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677967">
      <w:pPr>
        <w:rPr>
          <w:color w:val="auto"/>
        </w:rPr>
      </w:pPr>
    </w:p>
    <w:p w14:paraId="6E74C445">
      <w:pPr>
        <w:rPr>
          <w:color w:val="auto"/>
          <w:sz w:val="36"/>
          <w:szCs w:val="36"/>
        </w:rPr>
      </w:pPr>
    </w:p>
    <w:p w14:paraId="5B0912C6">
      <w:pPr>
        <w:rPr>
          <w:color w:val="auto"/>
          <w:sz w:val="36"/>
          <w:szCs w:val="36"/>
        </w:rPr>
      </w:pPr>
    </w:p>
    <w:p w14:paraId="17F7DBAC">
      <w:pPr>
        <w:rPr>
          <w:color w:val="auto"/>
          <w:sz w:val="36"/>
          <w:szCs w:val="36"/>
        </w:rPr>
      </w:pPr>
    </w:p>
    <w:p w14:paraId="534C7285">
      <w:pPr>
        <w:adjustRightInd w:val="0"/>
        <w:snapToGrid w:val="0"/>
        <w:jc w:val="center"/>
        <w:rPr>
          <w:b/>
          <w:color w:val="auto"/>
          <w:sz w:val="72"/>
          <w:szCs w:val="72"/>
        </w:rPr>
      </w:pPr>
      <w:bookmarkStart w:id="0" w:name="_Toc25978"/>
      <w:bookmarkStart w:id="1" w:name="_Toc29582"/>
      <w:bookmarkStart w:id="2" w:name="_Toc66820353"/>
      <w:r>
        <w:rPr>
          <w:b/>
          <w:color w:val="auto"/>
          <w:sz w:val="72"/>
          <w:szCs w:val="72"/>
        </w:rPr>
        <w:t>建设项目环境影响报告表</w:t>
      </w:r>
      <w:bookmarkEnd w:id="0"/>
      <w:bookmarkEnd w:id="1"/>
      <w:bookmarkEnd w:id="2"/>
    </w:p>
    <w:p w14:paraId="1877C3FF">
      <w:pPr>
        <w:adjustRightInd w:val="0"/>
        <w:snapToGrid w:val="0"/>
        <w:spacing w:before="192" w:beforeLines="80"/>
        <w:jc w:val="center"/>
        <w:rPr>
          <w:b/>
          <w:color w:val="auto"/>
          <w:sz w:val="48"/>
          <w:szCs w:val="48"/>
        </w:rPr>
      </w:pPr>
      <w:r>
        <w:rPr>
          <w:b/>
          <w:color w:val="auto"/>
          <w:sz w:val="48"/>
          <w:szCs w:val="48"/>
        </w:rPr>
        <w:t>（污染影响类）</w:t>
      </w:r>
    </w:p>
    <w:p w14:paraId="07FB42D3">
      <w:pPr>
        <w:rPr>
          <w:color w:val="auto"/>
          <w:sz w:val="52"/>
          <w:szCs w:val="52"/>
        </w:rPr>
      </w:pPr>
    </w:p>
    <w:p w14:paraId="3137658F">
      <w:pPr>
        <w:rPr>
          <w:color w:val="auto"/>
          <w:sz w:val="52"/>
          <w:szCs w:val="52"/>
        </w:rPr>
      </w:pPr>
    </w:p>
    <w:p w14:paraId="01DAEA73">
      <w:pPr>
        <w:rPr>
          <w:color w:val="auto"/>
          <w:sz w:val="52"/>
          <w:szCs w:val="52"/>
        </w:rPr>
      </w:pPr>
    </w:p>
    <w:p w14:paraId="1028DEAB">
      <w:pPr>
        <w:rPr>
          <w:color w:val="auto"/>
          <w:sz w:val="52"/>
          <w:szCs w:val="52"/>
        </w:rPr>
      </w:pPr>
    </w:p>
    <w:p w14:paraId="086C5B1A">
      <w:pPr>
        <w:rPr>
          <w:color w:val="auto"/>
          <w:sz w:val="44"/>
          <w:szCs w:val="44"/>
        </w:rPr>
      </w:pPr>
    </w:p>
    <w:p w14:paraId="25EFD26D">
      <w:pPr>
        <w:spacing w:line="360" w:lineRule="auto"/>
        <w:rPr>
          <w:color w:val="auto"/>
        </w:rPr>
      </w:pPr>
    </w:p>
    <w:tbl>
      <w:tblPr>
        <w:tblStyle w:val="59"/>
        <w:tblW w:w="0" w:type="auto"/>
        <w:jc w:val="center"/>
        <w:tblLayout w:type="autofit"/>
        <w:tblCellMar>
          <w:top w:w="0" w:type="dxa"/>
          <w:left w:w="108" w:type="dxa"/>
          <w:bottom w:w="0" w:type="dxa"/>
          <w:right w:w="108" w:type="dxa"/>
        </w:tblCellMar>
      </w:tblPr>
      <w:tblGrid>
        <w:gridCol w:w="3219"/>
        <w:gridCol w:w="5841"/>
      </w:tblGrid>
      <w:tr w14:paraId="45201965">
        <w:trPr>
          <w:jc w:val="center"/>
        </w:trPr>
        <w:tc>
          <w:tcPr>
            <w:tcW w:w="3219" w:type="dxa"/>
            <w:shd w:val="clear" w:color="auto" w:fill="auto"/>
            <w:vAlign w:val="center"/>
          </w:tcPr>
          <w:p w14:paraId="64607486">
            <w:pPr>
              <w:adjustRightInd w:val="0"/>
              <w:snapToGrid w:val="0"/>
              <w:jc w:val="center"/>
              <w:rPr>
                <w:color w:val="auto"/>
                <w:sz w:val="36"/>
                <w:szCs w:val="36"/>
              </w:rPr>
            </w:pPr>
            <w:r>
              <w:rPr>
                <w:rFonts w:hint="eastAsia"/>
                <w:b/>
                <w:bCs/>
                <w:color w:val="auto"/>
                <w:sz w:val="36"/>
                <w:szCs w:val="36"/>
              </w:rPr>
              <w:t>项目名称：</w:t>
            </w:r>
          </w:p>
        </w:tc>
        <w:tc>
          <w:tcPr>
            <w:tcW w:w="5841" w:type="dxa"/>
            <w:tcBorders>
              <w:bottom w:val="single" w:color="auto" w:sz="4" w:space="0"/>
            </w:tcBorders>
            <w:shd w:val="clear" w:color="auto" w:fill="auto"/>
            <w:vAlign w:val="center"/>
          </w:tcPr>
          <w:p w14:paraId="00D1AD6C">
            <w:pPr>
              <w:adjustRightInd w:val="0"/>
              <w:snapToGrid w:val="0"/>
              <w:jc w:val="center"/>
              <w:rPr>
                <w:rFonts w:hint="eastAsia" w:eastAsia="宋体"/>
                <w:color w:val="auto"/>
                <w:sz w:val="32"/>
                <w:szCs w:val="32"/>
                <w:lang w:eastAsia="zh-CN"/>
              </w:rPr>
            </w:pPr>
            <w:r>
              <w:rPr>
                <w:rFonts w:hint="eastAsia"/>
                <w:color w:val="auto"/>
                <w:sz w:val="32"/>
                <w:szCs w:val="32"/>
                <w:lang w:eastAsia="zh-CN"/>
              </w:rPr>
              <w:t>新建年产办公家具20000套、民用家具8000套项目</w:t>
            </w:r>
          </w:p>
        </w:tc>
      </w:tr>
      <w:tr w14:paraId="2EF98546">
        <w:tblPrEx>
          <w:tblCellMar>
            <w:top w:w="0" w:type="dxa"/>
            <w:left w:w="108" w:type="dxa"/>
            <w:bottom w:w="0" w:type="dxa"/>
            <w:right w:w="108" w:type="dxa"/>
          </w:tblCellMar>
        </w:tblPrEx>
        <w:trPr>
          <w:trHeight w:val="440" w:hRule="atLeast"/>
          <w:jc w:val="center"/>
        </w:trPr>
        <w:tc>
          <w:tcPr>
            <w:tcW w:w="3219" w:type="dxa"/>
            <w:shd w:val="clear" w:color="auto" w:fill="auto"/>
            <w:vAlign w:val="center"/>
          </w:tcPr>
          <w:p w14:paraId="390B9080">
            <w:pPr>
              <w:adjustRightInd w:val="0"/>
              <w:snapToGrid w:val="0"/>
              <w:jc w:val="center"/>
              <w:rPr>
                <w:color w:val="auto"/>
                <w:sz w:val="36"/>
                <w:szCs w:val="36"/>
              </w:rPr>
            </w:pPr>
            <w:r>
              <w:rPr>
                <w:b/>
                <w:bCs/>
                <w:color w:val="auto"/>
                <w:sz w:val="36"/>
                <w:szCs w:val="36"/>
              </w:rPr>
              <w:t>建设单位（盖章）</w:t>
            </w:r>
            <w:r>
              <w:rPr>
                <w:color w:val="auto"/>
                <w:sz w:val="36"/>
                <w:szCs w:val="36"/>
              </w:rPr>
              <w:t>：</w:t>
            </w:r>
          </w:p>
        </w:tc>
        <w:tc>
          <w:tcPr>
            <w:tcW w:w="5841" w:type="dxa"/>
            <w:tcBorders>
              <w:top w:val="single" w:color="auto" w:sz="4" w:space="0"/>
              <w:bottom w:val="single" w:color="auto" w:sz="4" w:space="0"/>
            </w:tcBorders>
            <w:shd w:val="clear" w:color="auto" w:fill="auto"/>
            <w:vAlign w:val="center"/>
          </w:tcPr>
          <w:p w14:paraId="70C26F7C">
            <w:pPr>
              <w:adjustRightInd w:val="0"/>
              <w:snapToGrid w:val="0"/>
              <w:jc w:val="center"/>
              <w:rPr>
                <w:rFonts w:hint="eastAsia" w:eastAsia="宋体"/>
                <w:color w:val="auto"/>
                <w:sz w:val="32"/>
                <w:szCs w:val="32"/>
                <w:lang w:eastAsia="zh-CN"/>
              </w:rPr>
            </w:pPr>
            <w:r>
              <w:rPr>
                <w:rFonts w:hint="eastAsia"/>
                <w:color w:val="auto"/>
                <w:sz w:val="32"/>
                <w:szCs w:val="32"/>
                <w:lang w:eastAsia="zh-CN"/>
              </w:rPr>
              <w:t>常州吉和智能家具有限公司</w:t>
            </w:r>
          </w:p>
        </w:tc>
      </w:tr>
      <w:tr w14:paraId="7F9A53AA">
        <w:tblPrEx>
          <w:tblCellMar>
            <w:top w:w="0" w:type="dxa"/>
            <w:left w:w="108" w:type="dxa"/>
            <w:bottom w:w="0" w:type="dxa"/>
            <w:right w:w="108" w:type="dxa"/>
          </w:tblCellMar>
        </w:tblPrEx>
        <w:trPr>
          <w:jc w:val="center"/>
        </w:trPr>
        <w:tc>
          <w:tcPr>
            <w:tcW w:w="3219" w:type="dxa"/>
            <w:shd w:val="clear" w:color="auto" w:fill="auto"/>
            <w:vAlign w:val="center"/>
          </w:tcPr>
          <w:p w14:paraId="5EA7398D">
            <w:pPr>
              <w:adjustRightInd w:val="0"/>
              <w:snapToGrid w:val="0"/>
              <w:jc w:val="center"/>
              <w:rPr>
                <w:color w:val="auto"/>
                <w:sz w:val="36"/>
                <w:szCs w:val="36"/>
              </w:rPr>
            </w:pPr>
            <w:r>
              <w:rPr>
                <w:b/>
                <w:bCs/>
                <w:color w:val="auto"/>
                <w:sz w:val="36"/>
                <w:szCs w:val="36"/>
              </w:rPr>
              <w:t>编制日期</w:t>
            </w:r>
            <w:r>
              <w:rPr>
                <w:color w:val="auto"/>
                <w:sz w:val="36"/>
                <w:szCs w:val="36"/>
              </w:rPr>
              <w:t>：</w:t>
            </w:r>
          </w:p>
        </w:tc>
        <w:tc>
          <w:tcPr>
            <w:tcW w:w="5841" w:type="dxa"/>
            <w:tcBorders>
              <w:top w:val="single" w:color="auto" w:sz="4" w:space="0"/>
              <w:bottom w:val="single" w:color="auto" w:sz="4" w:space="0"/>
            </w:tcBorders>
            <w:shd w:val="clear" w:color="auto" w:fill="auto"/>
            <w:vAlign w:val="center"/>
          </w:tcPr>
          <w:p w14:paraId="371490E4">
            <w:pPr>
              <w:adjustRightInd w:val="0"/>
              <w:snapToGrid w:val="0"/>
              <w:jc w:val="center"/>
              <w:rPr>
                <w:color w:val="auto"/>
                <w:sz w:val="32"/>
                <w:szCs w:val="32"/>
              </w:rPr>
            </w:pPr>
            <w:r>
              <w:rPr>
                <w:rFonts w:hint="eastAsia"/>
                <w:color w:val="auto"/>
                <w:sz w:val="32"/>
                <w:szCs w:val="32"/>
              </w:rPr>
              <w:t>202</w:t>
            </w:r>
            <w:r>
              <w:rPr>
                <w:rFonts w:hint="eastAsia"/>
                <w:color w:val="auto"/>
                <w:sz w:val="32"/>
                <w:szCs w:val="32"/>
                <w:lang w:val="en-US" w:eastAsia="zh-CN"/>
              </w:rPr>
              <w:t>5</w:t>
            </w:r>
            <w:r>
              <w:rPr>
                <w:rFonts w:hint="eastAsia"/>
                <w:color w:val="auto"/>
                <w:sz w:val="32"/>
                <w:szCs w:val="32"/>
              </w:rPr>
              <w:t>年</w:t>
            </w:r>
            <w:r>
              <w:rPr>
                <w:rFonts w:hint="eastAsia"/>
                <w:color w:val="auto"/>
                <w:sz w:val="32"/>
                <w:szCs w:val="32"/>
                <w:lang w:val="en-US" w:eastAsia="zh-CN"/>
              </w:rPr>
              <w:t>9</w:t>
            </w:r>
            <w:r>
              <w:rPr>
                <w:rFonts w:hint="eastAsia"/>
                <w:color w:val="auto"/>
                <w:sz w:val="32"/>
                <w:szCs w:val="32"/>
              </w:rPr>
              <w:t>月</w:t>
            </w:r>
          </w:p>
        </w:tc>
      </w:tr>
    </w:tbl>
    <w:p w14:paraId="287F066E">
      <w:pPr>
        <w:adjustRightInd w:val="0"/>
        <w:snapToGrid w:val="0"/>
        <w:spacing w:line="360" w:lineRule="auto"/>
        <w:jc w:val="center"/>
        <w:rPr>
          <w:color w:val="auto"/>
          <w:sz w:val="36"/>
          <w:szCs w:val="36"/>
          <w:u w:val="single"/>
        </w:rPr>
      </w:pPr>
    </w:p>
    <w:p w14:paraId="17799682">
      <w:pPr>
        <w:adjustRightInd w:val="0"/>
        <w:snapToGrid w:val="0"/>
        <w:spacing w:line="288" w:lineRule="auto"/>
        <w:rPr>
          <w:color w:val="auto"/>
          <w:sz w:val="36"/>
          <w:szCs w:val="36"/>
          <w:u w:val="single"/>
        </w:rPr>
      </w:pPr>
    </w:p>
    <w:p w14:paraId="1247A432">
      <w:pPr>
        <w:adjustRightInd w:val="0"/>
        <w:snapToGrid w:val="0"/>
        <w:spacing w:line="288" w:lineRule="auto"/>
        <w:rPr>
          <w:color w:val="auto"/>
          <w:sz w:val="36"/>
          <w:szCs w:val="36"/>
        </w:rPr>
      </w:pPr>
    </w:p>
    <w:p w14:paraId="1EB6D056">
      <w:pPr>
        <w:adjustRightInd w:val="0"/>
        <w:snapToGrid w:val="0"/>
        <w:spacing w:line="288" w:lineRule="auto"/>
        <w:rPr>
          <w:color w:val="auto"/>
          <w:sz w:val="36"/>
          <w:szCs w:val="36"/>
        </w:rPr>
      </w:pPr>
    </w:p>
    <w:p w14:paraId="777549B8">
      <w:pPr>
        <w:adjustRightInd w:val="0"/>
        <w:snapToGrid w:val="0"/>
        <w:spacing w:line="288" w:lineRule="auto"/>
        <w:rPr>
          <w:color w:val="auto"/>
          <w:sz w:val="36"/>
          <w:szCs w:val="36"/>
        </w:rPr>
      </w:pPr>
    </w:p>
    <w:p w14:paraId="3E29E0B7">
      <w:pPr>
        <w:adjustRightInd w:val="0"/>
        <w:snapToGrid w:val="0"/>
        <w:spacing w:line="288" w:lineRule="auto"/>
        <w:rPr>
          <w:color w:val="auto"/>
          <w:sz w:val="36"/>
          <w:szCs w:val="36"/>
        </w:rPr>
      </w:pPr>
    </w:p>
    <w:p w14:paraId="56CE530F">
      <w:pPr>
        <w:adjustRightInd w:val="0"/>
        <w:snapToGrid w:val="0"/>
        <w:spacing w:line="360" w:lineRule="auto"/>
        <w:jc w:val="center"/>
        <w:rPr>
          <w:rFonts w:ascii="Times New Roman" w:hAnsi="Times New Roman" w:eastAsia="宋体" w:cs="Times New Roman"/>
          <w:b/>
          <w:bCs/>
          <w:color w:val="auto"/>
          <w:sz w:val="36"/>
          <w:szCs w:val="36"/>
        </w:rPr>
      </w:pPr>
      <w:bookmarkStart w:id="3" w:name="_Toc10649"/>
      <w:r>
        <w:rPr>
          <w:rFonts w:ascii="Times New Roman" w:hAnsi="Times New Roman" w:eastAsia="宋体" w:cs="Times New Roman"/>
          <w:b/>
          <w:bCs/>
          <w:color w:val="auto"/>
          <w:sz w:val="36"/>
          <w:szCs w:val="36"/>
        </w:rPr>
        <w:t>中华人民共和国生态环境部制</w:t>
      </w:r>
      <w:bookmarkEnd w:id="3"/>
    </w:p>
    <w:p w14:paraId="6050227B">
      <w:pPr>
        <w:adjustRightInd w:val="0"/>
        <w:snapToGrid w:val="0"/>
        <w:spacing w:line="288" w:lineRule="auto"/>
        <w:rPr>
          <w:color w:val="auto"/>
          <w:sz w:val="24"/>
        </w:rPr>
      </w:pPr>
    </w:p>
    <w:p w14:paraId="3DB7786B">
      <w:pPr>
        <w:adjustRightInd w:val="0"/>
        <w:snapToGrid w:val="0"/>
        <w:spacing w:line="288" w:lineRule="auto"/>
        <w:rPr>
          <w:color w:val="auto"/>
          <w:sz w:val="24"/>
        </w:rPr>
      </w:pPr>
    </w:p>
    <w:p w14:paraId="22F85FF6">
      <w:pPr>
        <w:pStyle w:val="2"/>
        <w:outlineLvl w:val="9"/>
        <w:rPr>
          <w:color w:val="auto"/>
        </w:rPr>
      </w:pPr>
    </w:p>
    <w:p w14:paraId="3C29C12A">
      <w:pPr>
        <w:rPr>
          <w:color w:val="auto"/>
          <w:sz w:val="24"/>
          <w:szCs w:val="24"/>
        </w:rPr>
      </w:pPr>
    </w:p>
    <w:p w14:paraId="01259E4C">
      <w:pPr>
        <w:pStyle w:val="2"/>
        <w:jc w:val="center"/>
        <w:outlineLvl w:val="9"/>
        <w:rPr>
          <w:rFonts w:hint="eastAsia" w:eastAsia="宋体"/>
          <w:color w:val="auto"/>
          <w:lang w:eastAsia="zh-CN"/>
        </w:rPr>
      </w:pPr>
      <w:bookmarkStart w:id="39" w:name="_GoBack"/>
      <w:r>
        <w:rPr>
          <w:rFonts w:hint="eastAsia" w:eastAsia="宋体"/>
          <w:color w:val="auto"/>
          <w:lang w:eastAsia="zh-CN"/>
        </w:rPr>
        <w:drawing>
          <wp:inline distT="0" distB="0" distL="114300" distR="114300">
            <wp:extent cx="5609590" cy="8061325"/>
            <wp:effectExtent l="0" t="0" r="13970" b="635"/>
            <wp:docPr id="3" name="图片 3" descr="2026_01_09_15_13_0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6_01_09_15_13_00_01"/>
                    <pic:cNvPicPr>
                      <a:picLocks noChangeAspect="1"/>
                    </pic:cNvPicPr>
                  </pic:nvPicPr>
                  <pic:blipFill>
                    <a:blip r:embed="rId7"/>
                    <a:stretch>
                      <a:fillRect/>
                    </a:stretch>
                  </pic:blipFill>
                  <pic:spPr>
                    <a:xfrm>
                      <a:off x="0" y="0"/>
                      <a:ext cx="5609590" cy="8061325"/>
                    </a:xfrm>
                    <a:prstGeom prst="rect">
                      <a:avLst/>
                    </a:prstGeom>
                  </pic:spPr>
                </pic:pic>
              </a:graphicData>
            </a:graphic>
          </wp:inline>
        </w:drawing>
      </w:r>
      <w:bookmarkEnd w:id="39"/>
    </w:p>
    <w:p w14:paraId="3D663898">
      <w:pPr>
        <w:rPr>
          <w:color w:val="auto"/>
        </w:rPr>
      </w:pPr>
    </w:p>
    <w:p w14:paraId="11A7E449">
      <w:pPr>
        <w:pStyle w:val="2"/>
        <w:jc w:val="center"/>
        <w:outlineLvl w:val="9"/>
        <w:rPr>
          <w:rFonts w:ascii="宋体" w:hAnsi="宋体"/>
          <w:b/>
          <w:bCs/>
          <w:color w:val="auto"/>
          <w:sz w:val="24"/>
          <w:szCs w:val="24"/>
          <w:lang w:val="zh-CN"/>
        </w:rPr>
      </w:pPr>
      <w:r>
        <w:rPr>
          <w:rFonts w:hint="eastAsia" w:ascii="宋体" w:hAnsi="宋体"/>
          <w:b/>
          <w:color w:val="auto"/>
          <w:sz w:val="32"/>
          <w:szCs w:val="24"/>
        </w:rPr>
        <w:t>目录</w:t>
      </w:r>
      <w:r>
        <w:rPr>
          <w:rFonts w:ascii="宋体" w:hAnsi="宋体"/>
          <w:b/>
          <w:bCs/>
          <w:color w:val="auto"/>
          <w:lang w:val="zh-CN"/>
        </w:rPr>
        <w:fldChar w:fldCharType="begin"/>
      </w:r>
      <w:r>
        <w:rPr>
          <w:rFonts w:ascii="宋体" w:hAnsi="宋体"/>
          <w:b/>
          <w:bCs/>
          <w:color w:val="auto"/>
          <w:lang w:val="zh-CN"/>
        </w:rPr>
        <w:instrText xml:space="preserve"> TOC \o "1-3" \h \z \u </w:instrText>
      </w:r>
      <w:r>
        <w:rPr>
          <w:rFonts w:ascii="宋体" w:hAnsi="宋体"/>
          <w:b/>
          <w:bCs/>
          <w:color w:val="auto"/>
          <w:lang w:val="zh-CN"/>
        </w:rPr>
        <w:fldChar w:fldCharType="separate"/>
      </w:r>
    </w:p>
    <w:p w14:paraId="505FDE6A">
      <w:pPr>
        <w:pStyle w:val="40"/>
        <w:tabs>
          <w:tab w:val="right" w:leader="dot" w:pos="8844"/>
          <w:tab w:val="clear" w:pos="8296"/>
        </w:tabs>
        <w:rPr>
          <w:color w:val="auto"/>
          <w:sz w:val="24"/>
          <w:szCs w:val="24"/>
        </w:rPr>
      </w:pPr>
      <w:r>
        <w:rPr>
          <w:color w:val="auto"/>
        </w:rPr>
        <w:fldChar w:fldCharType="begin"/>
      </w:r>
      <w:r>
        <w:rPr>
          <w:color w:val="auto"/>
        </w:rPr>
        <w:instrText xml:space="preserve"> HYPERLINK \l "_Toc14737" </w:instrText>
      </w:r>
      <w:r>
        <w:rPr>
          <w:color w:val="auto"/>
        </w:rPr>
        <w:fldChar w:fldCharType="separate"/>
      </w:r>
      <w:r>
        <w:rPr>
          <w:color w:val="auto"/>
          <w:sz w:val="24"/>
          <w:szCs w:val="24"/>
        </w:rPr>
        <w:t>一、建设项目基本情况</w:t>
      </w:r>
      <w:r>
        <w:rPr>
          <w:color w:val="auto"/>
          <w:sz w:val="24"/>
          <w:szCs w:val="24"/>
        </w:rPr>
        <w:tab/>
      </w:r>
      <w:r>
        <w:rPr>
          <w:color w:val="auto"/>
          <w:sz w:val="24"/>
          <w:szCs w:val="24"/>
        </w:rPr>
        <w:fldChar w:fldCharType="begin"/>
      </w:r>
      <w:r>
        <w:rPr>
          <w:color w:val="auto"/>
          <w:sz w:val="24"/>
          <w:szCs w:val="24"/>
        </w:rPr>
        <w:instrText xml:space="preserve"> PAGEREF _Toc14737 \h </w:instrText>
      </w:r>
      <w:r>
        <w:rPr>
          <w:color w:val="auto"/>
          <w:sz w:val="24"/>
          <w:szCs w:val="24"/>
        </w:rPr>
        <w:fldChar w:fldCharType="separate"/>
      </w:r>
      <w:r>
        <w:rPr>
          <w:color w:val="auto"/>
          <w:sz w:val="24"/>
          <w:szCs w:val="24"/>
        </w:rPr>
        <w:t>1</w:t>
      </w:r>
      <w:r>
        <w:rPr>
          <w:color w:val="auto"/>
          <w:sz w:val="24"/>
          <w:szCs w:val="24"/>
        </w:rPr>
        <w:fldChar w:fldCharType="end"/>
      </w:r>
      <w:r>
        <w:rPr>
          <w:color w:val="auto"/>
          <w:sz w:val="24"/>
          <w:szCs w:val="24"/>
        </w:rPr>
        <w:fldChar w:fldCharType="end"/>
      </w:r>
    </w:p>
    <w:p w14:paraId="664A7A15">
      <w:pPr>
        <w:pStyle w:val="40"/>
        <w:tabs>
          <w:tab w:val="right" w:leader="dot" w:pos="8844"/>
          <w:tab w:val="clear" w:pos="8296"/>
        </w:tabs>
        <w:rPr>
          <w:color w:val="auto"/>
          <w:sz w:val="24"/>
          <w:szCs w:val="24"/>
        </w:rPr>
      </w:pPr>
      <w:r>
        <w:rPr>
          <w:color w:val="auto"/>
        </w:rPr>
        <w:fldChar w:fldCharType="begin"/>
      </w:r>
      <w:r>
        <w:rPr>
          <w:color w:val="auto"/>
        </w:rPr>
        <w:instrText xml:space="preserve"> HYPERLINK \l "_Toc14795" </w:instrText>
      </w:r>
      <w:r>
        <w:rPr>
          <w:color w:val="auto"/>
        </w:rPr>
        <w:fldChar w:fldCharType="separate"/>
      </w:r>
      <w:r>
        <w:rPr>
          <w:color w:val="auto"/>
          <w:sz w:val="24"/>
          <w:szCs w:val="24"/>
        </w:rPr>
        <w:t>二、建设项目工程分析</w:t>
      </w:r>
      <w:r>
        <w:rPr>
          <w:color w:val="auto"/>
          <w:sz w:val="24"/>
          <w:szCs w:val="24"/>
        </w:rPr>
        <w:tab/>
      </w:r>
      <w:r>
        <w:rPr>
          <w:color w:val="auto"/>
          <w:sz w:val="24"/>
          <w:szCs w:val="24"/>
        </w:rPr>
        <w:fldChar w:fldCharType="begin"/>
      </w:r>
      <w:r>
        <w:rPr>
          <w:color w:val="auto"/>
          <w:sz w:val="24"/>
          <w:szCs w:val="24"/>
        </w:rPr>
        <w:instrText xml:space="preserve"> PAGEREF _Toc14795 \h </w:instrText>
      </w:r>
      <w:r>
        <w:rPr>
          <w:color w:val="auto"/>
          <w:sz w:val="24"/>
          <w:szCs w:val="24"/>
        </w:rPr>
        <w:fldChar w:fldCharType="separate"/>
      </w:r>
      <w:r>
        <w:rPr>
          <w:color w:val="auto"/>
          <w:sz w:val="24"/>
          <w:szCs w:val="24"/>
        </w:rPr>
        <w:t>28</w:t>
      </w:r>
      <w:r>
        <w:rPr>
          <w:color w:val="auto"/>
          <w:sz w:val="24"/>
          <w:szCs w:val="24"/>
        </w:rPr>
        <w:fldChar w:fldCharType="end"/>
      </w:r>
      <w:r>
        <w:rPr>
          <w:color w:val="auto"/>
          <w:sz w:val="24"/>
          <w:szCs w:val="24"/>
        </w:rPr>
        <w:fldChar w:fldCharType="end"/>
      </w:r>
    </w:p>
    <w:p w14:paraId="2754A9DA">
      <w:pPr>
        <w:pStyle w:val="40"/>
        <w:tabs>
          <w:tab w:val="right" w:leader="dot" w:pos="8844"/>
          <w:tab w:val="clear" w:pos="8296"/>
        </w:tabs>
        <w:rPr>
          <w:color w:val="auto"/>
          <w:sz w:val="24"/>
          <w:szCs w:val="24"/>
        </w:rPr>
      </w:pPr>
      <w:r>
        <w:rPr>
          <w:color w:val="auto"/>
        </w:rPr>
        <w:fldChar w:fldCharType="begin"/>
      </w:r>
      <w:r>
        <w:rPr>
          <w:color w:val="auto"/>
        </w:rPr>
        <w:instrText xml:space="preserve"> HYPERLINK \l "_Toc21144" </w:instrText>
      </w:r>
      <w:r>
        <w:rPr>
          <w:color w:val="auto"/>
        </w:rPr>
        <w:fldChar w:fldCharType="separate"/>
      </w:r>
      <w:r>
        <w:rPr>
          <w:color w:val="auto"/>
          <w:sz w:val="24"/>
          <w:szCs w:val="24"/>
        </w:rPr>
        <w:t>三、区域环境质量现状、环境保护目标及评价标准</w:t>
      </w:r>
      <w:r>
        <w:rPr>
          <w:color w:val="auto"/>
          <w:sz w:val="24"/>
          <w:szCs w:val="24"/>
        </w:rPr>
        <w:tab/>
      </w:r>
      <w:r>
        <w:rPr>
          <w:color w:val="auto"/>
          <w:sz w:val="24"/>
          <w:szCs w:val="24"/>
        </w:rPr>
        <w:fldChar w:fldCharType="begin"/>
      </w:r>
      <w:r>
        <w:rPr>
          <w:color w:val="auto"/>
          <w:sz w:val="24"/>
          <w:szCs w:val="24"/>
        </w:rPr>
        <w:instrText xml:space="preserve"> PAGEREF _Toc21144 \h </w:instrText>
      </w:r>
      <w:r>
        <w:rPr>
          <w:color w:val="auto"/>
          <w:sz w:val="24"/>
          <w:szCs w:val="24"/>
        </w:rPr>
        <w:fldChar w:fldCharType="separate"/>
      </w:r>
      <w:r>
        <w:rPr>
          <w:color w:val="auto"/>
          <w:sz w:val="24"/>
          <w:szCs w:val="24"/>
        </w:rPr>
        <w:t>52</w:t>
      </w:r>
      <w:r>
        <w:rPr>
          <w:color w:val="auto"/>
          <w:sz w:val="24"/>
          <w:szCs w:val="24"/>
        </w:rPr>
        <w:fldChar w:fldCharType="end"/>
      </w:r>
      <w:r>
        <w:rPr>
          <w:color w:val="auto"/>
          <w:sz w:val="24"/>
          <w:szCs w:val="24"/>
        </w:rPr>
        <w:fldChar w:fldCharType="end"/>
      </w:r>
    </w:p>
    <w:p w14:paraId="158CD665">
      <w:pPr>
        <w:pStyle w:val="40"/>
        <w:tabs>
          <w:tab w:val="right" w:leader="dot" w:pos="8844"/>
          <w:tab w:val="clear" w:pos="8296"/>
        </w:tabs>
        <w:rPr>
          <w:color w:val="auto"/>
          <w:sz w:val="24"/>
          <w:szCs w:val="24"/>
        </w:rPr>
      </w:pPr>
      <w:r>
        <w:rPr>
          <w:color w:val="auto"/>
        </w:rPr>
        <w:fldChar w:fldCharType="begin"/>
      </w:r>
      <w:r>
        <w:rPr>
          <w:color w:val="auto"/>
        </w:rPr>
        <w:instrText xml:space="preserve"> HYPERLINK \l "_Toc9736" </w:instrText>
      </w:r>
      <w:r>
        <w:rPr>
          <w:color w:val="auto"/>
        </w:rPr>
        <w:fldChar w:fldCharType="separate"/>
      </w:r>
      <w:r>
        <w:rPr>
          <w:color w:val="auto"/>
          <w:sz w:val="24"/>
          <w:szCs w:val="24"/>
        </w:rPr>
        <w:t>四、主要环境影响和保护措施</w:t>
      </w:r>
      <w:r>
        <w:rPr>
          <w:color w:val="auto"/>
          <w:sz w:val="24"/>
          <w:szCs w:val="24"/>
        </w:rPr>
        <w:tab/>
      </w:r>
      <w:r>
        <w:rPr>
          <w:color w:val="auto"/>
          <w:sz w:val="24"/>
          <w:szCs w:val="24"/>
        </w:rPr>
        <w:fldChar w:fldCharType="begin"/>
      </w:r>
      <w:r>
        <w:rPr>
          <w:color w:val="auto"/>
          <w:sz w:val="24"/>
          <w:szCs w:val="24"/>
        </w:rPr>
        <w:instrText xml:space="preserve"> PAGEREF _Toc9736 \h </w:instrText>
      </w:r>
      <w:r>
        <w:rPr>
          <w:color w:val="auto"/>
          <w:sz w:val="24"/>
          <w:szCs w:val="24"/>
        </w:rPr>
        <w:fldChar w:fldCharType="separate"/>
      </w:r>
      <w:r>
        <w:rPr>
          <w:color w:val="auto"/>
          <w:sz w:val="24"/>
          <w:szCs w:val="24"/>
        </w:rPr>
        <w:t>61</w:t>
      </w:r>
      <w:r>
        <w:rPr>
          <w:color w:val="auto"/>
          <w:sz w:val="24"/>
          <w:szCs w:val="24"/>
        </w:rPr>
        <w:fldChar w:fldCharType="end"/>
      </w:r>
      <w:r>
        <w:rPr>
          <w:color w:val="auto"/>
          <w:sz w:val="24"/>
          <w:szCs w:val="24"/>
        </w:rPr>
        <w:fldChar w:fldCharType="end"/>
      </w:r>
    </w:p>
    <w:p w14:paraId="11FCF1A6">
      <w:pPr>
        <w:pStyle w:val="40"/>
        <w:tabs>
          <w:tab w:val="right" w:leader="dot" w:pos="8844"/>
          <w:tab w:val="clear" w:pos="8296"/>
        </w:tabs>
        <w:rPr>
          <w:color w:val="auto"/>
          <w:sz w:val="24"/>
          <w:szCs w:val="24"/>
        </w:rPr>
      </w:pPr>
      <w:r>
        <w:rPr>
          <w:color w:val="auto"/>
        </w:rPr>
        <w:fldChar w:fldCharType="begin"/>
      </w:r>
      <w:r>
        <w:rPr>
          <w:color w:val="auto"/>
        </w:rPr>
        <w:instrText xml:space="preserve"> HYPERLINK \l "_Toc21167" </w:instrText>
      </w:r>
      <w:r>
        <w:rPr>
          <w:color w:val="auto"/>
        </w:rPr>
        <w:fldChar w:fldCharType="separate"/>
      </w:r>
      <w:r>
        <w:rPr>
          <w:color w:val="auto"/>
          <w:sz w:val="24"/>
          <w:szCs w:val="24"/>
        </w:rPr>
        <w:t>五、环境保护措施监督检查清单</w:t>
      </w:r>
      <w:r>
        <w:rPr>
          <w:color w:val="auto"/>
          <w:sz w:val="24"/>
          <w:szCs w:val="24"/>
        </w:rPr>
        <w:tab/>
      </w:r>
      <w:r>
        <w:rPr>
          <w:color w:val="auto"/>
          <w:sz w:val="24"/>
          <w:szCs w:val="24"/>
        </w:rPr>
        <w:fldChar w:fldCharType="begin"/>
      </w:r>
      <w:r>
        <w:rPr>
          <w:color w:val="auto"/>
          <w:sz w:val="24"/>
          <w:szCs w:val="24"/>
        </w:rPr>
        <w:instrText xml:space="preserve"> PAGEREF _Toc21167 \h </w:instrText>
      </w:r>
      <w:r>
        <w:rPr>
          <w:color w:val="auto"/>
          <w:sz w:val="24"/>
          <w:szCs w:val="24"/>
        </w:rPr>
        <w:fldChar w:fldCharType="separate"/>
      </w:r>
      <w:r>
        <w:rPr>
          <w:color w:val="auto"/>
          <w:sz w:val="24"/>
          <w:szCs w:val="24"/>
        </w:rPr>
        <w:t>94</w:t>
      </w:r>
      <w:r>
        <w:rPr>
          <w:color w:val="auto"/>
          <w:sz w:val="24"/>
          <w:szCs w:val="24"/>
        </w:rPr>
        <w:fldChar w:fldCharType="end"/>
      </w:r>
      <w:r>
        <w:rPr>
          <w:color w:val="auto"/>
          <w:sz w:val="24"/>
          <w:szCs w:val="24"/>
        </w:rPr>
        <w:fldChar w:fldCharType="end"/>
      </w:r>
    </w:p>
    <w:p w14:paraId="67EEF151">
      <w:pPr>
        <w:pStyle w:val="40"/>
        <w:tabs>
          <w:tab w:val="right" w:leader="dot" w:pos="8844"/>
          <w:tab w:val="clear" w:pos="8296"/>
        </w:tabs>
        <w:rPr>
          <w:color w:val="auto"/>
          <w:sz w:val="24"/>
          <w:szCs w:val="24"/>
        </w:rPr>
      </w:pPr>
      <w:r>
        <w:rPr>
          <w:color w:val="auto"/>
        </w:rPr>
        <w:fldChar w:fldCharType="begin"/>
      </w:r>
      <w:r>
        <w:rPr>
          <w:color w:val="auto"/>
        </w:rPr>
        <w:instrText xml:space="preserve"> HYPERLINK \l "_Toc689" </w:instrText>
      </w:r>
      <w:r>
        <w:rPr>
          <w:color w:val="auto"/>
        </w:rPr>
        <w:fldChar w:fldCharType="separate"/>
      </w:r>
      <w:r>
        <w:rPr>
          <w:color w:val="auto"/>
          <w:sz w:val="24"/>
          <w:szCs w:val="24"/>
        </w:rPr>
        <w:t>六、结论</w:t>
      </w:r>
      <w:r>
        <w:rPr>
          <w:color w:val="auto"/>
          <w:sz w:val="24"/>
          <w:szCs w:val="24"/>
        </w:rPr>
        <w:tab/>
      </w:r>
      <w:r>
        <w:rPr>
          <w:color w:val="auto"/>
          <w:sz w:val="24"/>
          <w:szCs w:val="24"/>
        </w:rPr>
        <w:fldChar w:fldCharType="begin"/>
      </w:r>
      <w:r>
        <w:rPr>
          <w:color w:val="auto"/>
          <w:sz w:val="24"/>
          <w:szCs w:val="24"/>
        </w:rPr>
        <w:instrText xml:space="preserve"> PAGEREF _Toc689 \h </w:instrText>
      </w:r>
      <w:r>
        <w:rPr>
          <w:color w:val="auto"/>
          <w:sz w:val="24"/>
          <w:szCs w:val="24"/>
        </w:rPr>
        <w:fldChar w:fldCharType="separate"/>
      </w:r>
      <w:r>
        <w:rPr>
          <w:color w:val="auto"/>
          <w:sz w:val="24"/>
          <w:szCs w:val="24"/>
        </w:rPr>
        <w:t>96</w:t>
      </w:r>
      <w:r>
        <w:rPr>
          <w:color w:val="auto"/>
          <w:sz w:val="24"/>
          <w:szCs w:val="24"/>
        </w:rPr>
        <w:fldChar w:fldCharType="end"/>
      </w:r>
      <w:r>
        <w:rPr>
          <w:color w:val="auto"/>
          <w:sz w:val="24"/>
          <w:szCs w:val="24"/>
        </w:rPr>
        <w:fldChar w:fldCharType="end"/>
      </w:r>
    </w:p>
    <w:p w14:paraId="0E5B7DFA">
      <w:pPr>
        <w:pStyle w:val="677"/>
        <w:tabs>
          <w:tab w:val="right" w:leader="dot" w:pos="8844"/>
        </w:tabs>
        <w:adjustRightInd w:val="0"/>
        <w:snapToGrid w:val="0"/>
        <w:spacing w:line="360" w:lineRule="auto"/>
        <w:jc w:val="both"/>
        <w:rPr>
          <w:color w:val="auto"/>
        </w:rPr>
      </w:pPr>
      <w:r>
        <w:rPr>
          <w:rFonts w:ascii="宋体" w:hAnsi="宋体"/>
          <w:b/>
          <w:bCs/>
          <w:color w:val="auto"/>
          <w:sz w:val="24"/>
          <w:szCs w:val="24"/>
          <w:lang w:val="zh-CN"/>
        </w:rPr>
        <w:fldChar w:fldCharType="end"/>
      </w:r>
    </w:p>
    <w:p w14:paraId="3568AC9F">
      <w:pPr>
        <w:pStyle w:val="72"/>
        <w:rPr>
          <w:color w:val="auto"/>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31F81151">
      <w:pPr>
        <w:pStyle w:val="55"/>
        <w:rPr>
          <w:color w:val="auto"/>
        </w:rPr>
      </w:pPr>
      <w:bookmarkStart w:id="4" w:name="_Toc137559019"/>
      <w:bookmarkStart w:id="5" w:name="_Toc14737"/>
      <w:bookmarkStart w:id="6" w:name="_Toc3053"/>
      <w:r>
        <w:rPr>
          <w:color w:val="auto"/>
        </w:rPr>
        <w:t>一、建设项目基本情况</w:t>
      </w:r>
      <w:bookmarkEnd w:id="4"/>
      <w:bookmarkEnd w:id="5"/>
      <w:bookmarkEnd w:id="6"/>
    </w:p>
    <w:tbl>
      <w:tblPr>
        <w:tblStyle w:val="59"/>
        <w:tblW w:w="498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05"/>
        <w:gridCol w:w="369"/>
        <w:gridCol w:w="1722"/>
        <w:gridCol w:w="2212"/>
        <w:gridCol w:w="4064"/>
      </w:tblGrid>
      <w:tr w14:paraId="5F03E0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591" w:type="pct"/>
            <w:gridSpan w:val="2"/>
            <w:tcBorders>
              <w:bottom w:val="single" w:color="auto" w:sz="8" w:space="0"/>
              <w:right w:val="single" w:color="auto" w:sz="8" w:space="0"/>
            </w:tcBorders>
            <w:tcMar>
              <w:top w:w="16" w:type="dxa"/>
              <w:left w:w="16" w:type="dxa"/>
              <w:right w:w="16" w:type="dxa"/>
            </w:tcMar>
            <w:vAlign w:val="center"/>
          </w:tcPr>
          <w:p w14:paraId="629E4ED2">
            <w:pPr>
              <w:overflowPunct w:val="0"/>
              <w:adjustRightInd w:val="0"/>
              <w:snapToGrid w:val="0"/>
              <w:jc w:val="center"/>
              <w:rPr>
                <w:b/>
                <w:color w:val="auto"/>
              </w:rPr>
            </w:pPr>
            <w:r>
              <w:rPr>
                <w:b/>
                <w:color w:val="auto"/>
              </w:rPr>
              <w:t>建设项目名称</w:t>
            </w:r>
          </w:p>
        </w:tc>
        <w:tc>
          <w:tcPr>
            <w:tcW w:w="4408" w:type="pct"/>
            <w:gridSpan w:val="3"/>
            <w:tcBorders>
              <w:left w:val="single" w:color="auto" w:sz="8" w:space="0"/>
              <w:bottom w:val="single" w:color="auto" w:sz="8" w:space="0"/>
            </w:tcBorders>
            <w:vAlign w:val="center"/>
          </w:tcPr>
          <w:p w14:paraId="00D9FD0B">
            <w:pPr>
              <w:widowControl/>
              <w:adjustRightInd w:val="0"/>
              <w:snapToGrid w:val="0"/>
              <w:jc w:val="center"/>
              <w:rPr>
                <w:rFonts w:hint="eastAsia" w:eastAsia="宋体"/>
                <w:color w:val="auto"/>
                <w:lang w:eastAsia="zh-CN"/>
              </w:rPr>
            </w:pPr>
            <w:r>
              <w:rPr>
                <w:rFonts w:hint="eastAsia" w:cs="新宋体"/>
                <w:color w:val="auto"/>
                <w:kern w:val="0"/>
                <w:lang w:eastAsia="zh-CN" w:bidi="ar"/>
              </w:rPr>
              <w:t>新建年产办公家具20000套、民用家具8000套项目</w:t>
            </w:r>
          </w:p>
        </w:tc>
      </w:tr>
      <w:tr w14:paraId="1BCBA9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591"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33B906DF">
            <w:pPr>
              <w:overflowPunct w:val="0"/>
              <w:adjustRightInd w:val="0"/>
              <w:snapToGrid w:val="0"/>
              <w:jc w:val="center"/>
              <w:rPr>
                <w:b/>
                <w:color w:val="auto"/>
              </w:rPr>
            </w:pPr>
            <w:r>
              <w:rPr>
                <w:b/>
                <w:color w:val="auto"/>
              </w:rPr>
              <w:t>项目代码</w:t>
            </w:r>
          </w:p>
        </w:tc>
        <w:tc>
          <w:tcPr>
            <w:tcW w:w="4408" w:type="pct"/>
            <w:gridSpan w:val="3"/>
            <w:tcBorders>
              <w:top w:val="single" w:color="auto" w:sz="8" w:space="0"/>
              <w:left w:val="single" w:color="auto" w:sz="8" w:space="0"/>
              <w:bottom w:val="single" w:color="auto" w:sz="8" w:space="0"/>
            </w:tcBorders>
            <w:vAlign w:val="center"/>
          </w:tcPr>
          <w:p w14:paraId="5DAD695C">
            <w:pPr>
              <w:overflowPunct w:val="0"/>
              <w:adjustRightInd w:val="0"/>
              <w:snapToGrid w:val="0"/>
              <w:jc w:val="center"/>
              <w:rPr>
                <w:rFonts w:hint="eastAsia" w:eastAsia="宋体"/>
                <w:color w:val="auto"/>
                <w:lang w:eastAsia="zh-CN"/>
              </w:rPr>
            </w:pPr>
            <w:r>
              <w:rPr>
                <w:rFonts w:hint="eastAsia"/>
                <w:color w:val="auto"/>
                <w:lang w:eastAsia="zh-CN"/>
              </w:rPr>
              <w:t>2508-320413-04-01-345426</w:t>
            </w:r>
          </w:p>
        </w:tc>
      </w:tr>
      <w:tr w14:paraId="21C392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91"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47328ABA">
            <w:pPr>
              <w:overflowPunct w:val="0"/>
              <w:adjustRightInd w:val="0"/>
              <w:snapToGrid w:val="0"/>
              <w:jc w:val="center"/>
              <w:rPr>
                <w:b/>
                <w:color w:val="auto"/>
              </w:rPr>
            </w:pPr>
            <w:r>
              <w:rPr>
                <w:b/>
                <w:color w:val="auto"/>
              </w:rPr>
              <w:t>建设单位联系人</w:t>
            </w:r>
          </w:p>
        </w:tc>
        <w:tc>
          <w:tcPr>
            <w:tcW w:w="949" w:type="pct"/>
            <w:tcBorders>
              <w:top w:val="single" w:color="auto" w:sz="8" w:space="0"/>
              <w:left w:val="single" w:color="auto" w:sz="8" w:space="0"/>
              <w:bottom w:val="single" w:color="auto" w:sz="8" w:space="0"/>
              <w:right w:val="single" w:color="auto" w:sz="8" w:space="0"/>
            </w:tcBorders>
            <w:vAlign w:val="center"/>
          </w:tcPr>
          <w:p w14:paraId="5FA6032E">
            <w:pPr>
              <w:overflowPunct w:val="0"/>
              <w:adjustRightInd w:val="0"/>
              <w:snapToGrid w:val="0"/>
              <w:jc w:val="center"/>
              <w:rPr>
                <w:rFonts w:hint="eastAsia" w:eastAsia="宋体"/>
                <w:color w:val="auto"/>
                <w:lang w:eastAsia="zh-CN"/>
              </w:rPr>
            </w:pPr>
            <w:r>
              <w:rPr>
                <w:rFonts w:hint="eastAsia"/>
                <w:color w:val="auto"/>
                <w:lang w:val="en-US" w:eastAsia="zh-CN"/>
              </w:rPr>
              <w:t>杨志敏</w:t>
            </w:r>
          </w:p>
        </w:tc>
        <w:tc>
          <w:tcPr>
            <w:tcW w:w="1219" w:type="pct"/>
            <w:tcBorders>
              <w:top w:val="single" w:color="auto" w:sz="8" w:space="0"/>
              <w:left w:val="single" w:color="auto" w:sz="8" w:space="0"/>
              <w:bottom w:val="single" w:color="auto" w:sz="8" w:space="0"/>
              <w:right w:val="single" w:color="auto" w:sz="8" w:space="0"/>
            </w:tcBorders>
            <w:vAlign w:val="center"/>
          </w:tcPr>
          <w:p w14:paraId="33DAFBBA">
            <w:pPr>
              <w:overflowPunct w:val="0"/>
              <w:adjustRightInd w:val="0"/>
              <w:snapToGrid w:val="0"/>
              <w:jc w:val="center"/>
              <w:rPr>
                <w:b/>
                <w:color w:val="auto"/>
              </w:rPr>
            </w:pPr>
            <w:r>
              <w:rPr>
                <w:b/>
                <w:color w:val="auto"/>
              </w:rPr>
              <w:t>联系方式</w:t>
            </w:r>
          </w:p>
        </w:tc>
        <w:tc>
          <w:tcPr>
            <w:tcW w:w="2239" w:type="pct"/>
            <w:tcBorders>
              <w:top w:val="single" w:color="auto" w:sz="8" w:space="0"/>
              <w:left w:val="single" w:color="auto" w:sz="8" w:space="0"/>
              <w:bottom w:val="single" w:color="auto" w:sz="8" w:space="0"/>
            </w:tcBorders>
            <w:vAlign w:val="center"/>
          </w:tcPr>
          <w:p w14:paraId="76B0C9AE">
            <w:pPr>
              <w:overflowPunct w:val="0"/>
              <w:adjustRightInd w:val="0"/>
              <w:jc w:val="center"/>
              <w:rPr>
                <w:color w:val="auto"/>
              </w:rPr>
            </w:pPr>
            <w:r>
              <w:rPr>
                <w:rFonts w:hint="eastAsia"/>
                <w:color w:val="auto"/>
              </w:rPr>
              <w:t>18106115508</w:t>
            </w:r>
          </w:p>
        </w:tc>
      </w:tr>
      <w:tr w14:paraId="09FE67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591"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14865789">
            <w:pPr>
              <w:overflowPunct w:val="0"/>
              <w:adjustRightInd w:val="0"/>
              <w:snapToGrid w:val="0"/>
              <w:jc w:val="center"/>
              <w:rPr>
                <w:b/>
                <w:color w:val="auto"/>
              </w:rPr>
            </w:pPr>
            <w:r>
              <w:rPr>
                <w:b/>
                <w:color w:val="auto"/>
              </w:rPr>
              <w:t>建设地点</w:t>
            </w:r>
          </w:p>
        </w:tc>
        <w:tc>
          <w:tcPr>
            <w:tcW w:w="4408" w:type="pct"/>
            <w:gridSpan w:val="3"/>
            <w:tcBorders>
              <w:top w:val="single" w:color="auto" w:sz="8" w:space="0"/>
              <w:left w:val="single" w:color="auto" w:sz="8" w:space="0"/>
              <w:bottom w:val="single" w:color="auto" w:sz="8" w:space="0"/>
            </w:tcBorders>
            <w:vAlign w:val="center"/>
          </w:tcPr>
          <w:p w14:paraId="60F8317F">
            <w:pPr>
              <w:overflowPunct w:val="0"/>
              <w:adjustRightInd w:val="0"/>
              <w:jc w:val="center"/>
              <w:rPr>
                <w:rFonts w:hint="eastAsia" w:eastAsia="宋体"/>
                <w:color w:val="auto"/>
                <w:lang w:eastAsia="zh-CN"/>
              </w:rPr>
            </w:pPr>
            <w:r>
              <w:rPr>
                <w:rFonts w:hint="eastAsia"/>
                <w:color w:val="auto"/>
                <w:lang w:eastAsia="zh-CN"/>
              </w:rPr>
              <w:t>江苏省常州市金坛区金湖路99号</w:t>
            </w:r>
          </w:p>
        </w:tc>
      </w:tr>
      <w:tr w14:paraId="508BE6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4" w:hRule="atLeast"/>
          <w:jc w:val="center"/>
        </w:trPr>
        <w:tc>
          <w:tcPr>
            <w:tcW w:w="591"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05AE30C0">
            <w:pPr>
              <w:overflowPunct w:val="0"/>
              <w:adjustRightInd w:val="0"/>
              <w:snapToGrid w:val="0"/>
              <w:jc w:val="center"/>
              <w:rPr>
                <w:b/>
                <w:color w:val="auto"/>
              </w:rPr>
            </w:pPr>
            <w:r>
              <w:rPr>
                <w:b/>
                <w:color w:val="auto"/>
              </w:rPr>
              <w:t>地理坐标</w:t>
            </w:r>
          </w:p>
        </w:tc>
        <w:tc>
          <w:tcPr>
            <w:tcW w:w="4408" w:type="pct"/>
            <w:gridSpan w:val="3"/>
            <w:tcBorders>
              <w:top w:val="single" w:color="auto" w:sz="8" w:space="0"/>
              <w:left w:val="single" w:color="auto" w:sz="8" w:space="0"/>
              <w:bottom w:val="single" w:color="auto" w:sz="8" w:space="0"/>
            </w:tcBorders>
            <w:vAlign w:val="center"/>
          </w:tcPr>
          <w:p w14:paraId="079D8173">
            <w:pPr>
              <w:overflowPunct w:val="0"/>
              <w:adjustRightInd w:val="0"/>
              <w:jc w:val="center"/>
              <w:rPr>
                <w:color w:val="auto"/>
              </w:rPr>
            </w:pPr>
            <w:r>
              <w:rPr>
                <w:color w:val="auto"/>
              </w:rPr>
              <w:t>E：1</w:t>
            </w:r>
            <w:r>
              <w:rPr>
                <w:rFonts w:hint="eastAsia"/>
                <w:color w:val="auto"/>
              </w:rPr>
              <w:t>19</w:t>
            </w:r>
            <w:r>
              <w:rPr>
                <w:color w:val="auto"/>
              </w:rPr>
              <w:t>°</w:t>
            </w:r>
            <w:r>
              <w:rPr>
                <w:rFonts w:hint="eastAsia"/>
                <w:color w:val="auto"/>
              </w:rPr>
              <w:t>3</w:t>
            </w:r>
            <w:r>
              <w:rPr>
                <w:rFonts w:hint="eastAsia"/>
                <w:color w:val="auto"/>
                <w:lang w:val="en-US" w:eastAsia="zh-CN"/>
              </w:rPr>
              <w:t>7</w:t>
            </w:r>
            <w:r>
              <w:rPr>
                <w:color w:val="auto"/>
              </w:rPr>
              <w:t>′</w:t>
            </w:r>
            <w:r>
              <w:rPr>
                <w:rFonts w:hint="eastAsia"/>
                <w:color w:val="auto"/>
                <w:lang w:val="en-US" w:eastAsia="zh-CN"/>
              </w:rPr>
              <w:t>23.332</w:t>
            </w:r>
            <w:r>
              <w:rPr>
                <w:color w:val="auto"/>
              </w:rPr>
              <w:t>″，N：31°</w:t>
            </w:r>
            <w:r>
              <w:rPr>
                <w:rFonts w:hint="eastAsia"/>
                <w:color w:val="auto"/>
              </w:rPr>
              <w:t>4</w:t>
            </w:r>
            <w:r>
              <w:rPr>
                <w:rFonts w:hint="eastAsia"/>
                <w:color w:val="auto"/>
                <w:lang w:val="en-US" w:eastAsia="zh-CN"/>
              </w:rPr>
              <w:t>2</w:t>
            </w:r>
            <w:r>
              <w:rPr>
                <w:color w:val="auto"/>
              </w:rPr>
              <w:t>′</w:t>
            </w:r>
            <w:r>
              <w:rPr>
                <w:rFonts w:hint="eastAsia"/>
                <w:color w:val="auto"/>
                <w:lang w:val="en-US" w:eastAsia="zh-CN"/>
              </w:rPr>
              <w:t>46.288</w:t>
            </w:r>
            <w:r>
              <w:rPr>
                <w:color w:val="auto"/>
              </w:rPr>
              <w:t>″</w:t>
            </w:r>
          </w:p>
        </w:tc>
      </w:tr>
      <w:tr w14:paraId="7E02E5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591"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488B308A">
            <w:pPr>
              <w:overflowPunct w:val="0"/>
              <w:adjustRightInd w:val="0"/>
              <w:snapToGrid w:val="0"/>
              <w:jc w:val="center"/>
              <w:rPr>
                <w:b/>
                <w:color w:val="auto"/>
              </w:rPr>
            </w:pPr>
            <w:r>
              <w:rPr>
                <w:b/>
                <w:color w:val="auto"/>
              </w:rPr>
              <w:t>国民经济行业类别</w:t>
            </w:r>
          </w:p>
        </w:tc>
        <w:tc>
          <w:tcPr>
            <w:tcW w:w="949" w:type="pct"/>
            <w:tcBorders>
              <w:top w:val="single" w:color="auto" w:sz="8" w:space="0"/>
              <w:left w:val="single" w:color="auto" w:sz="8" w:space="0"/>
              <w:bottom w:val="single" w:color="auto" w:sz="8" w:space="0"/>
              <w:right w:val="single" w:color="auto" w:sz="8" w:space="0"/>
            </w:tcBorders>
            <w:vAlign w:val="center"/>
          </w:tcPr>
          <w:p w14:paraId="1F35C50C">
            <w:pPr>
              <w:overflowPunct w:val="0"/>
              <w:adjustRightInd w:val="0"/>
              <w:jc w:val="center"/>
              <w:rPr>
                <w:rFonts w:hint="eastAsia" w:eastAsia="宋体"/>
                <w:color w:val="auto"/>
                <w:lang w:eastAsia="zh-CN"/>
              </w:rPr>
            </w:pPr>
            <w:r>
              <w:rPr>
                <w:rFonts w:hint="eastAsia"/>
                <w:bCs/>
                <w:color w:val="auto"/>
                <w:kern w:val="0"/>
                <w:lang w:eastAsia="zh-CN"/>
              </w:rPr>
              <w:t>C2110木质家具制造</w:t>
            </w:r>
          </w:p>
        </w:tc>
        <w:tc>
          <w:tcPr>
            <w:tcW w:w="1219" w:type="pct"/>
            <w:tcBorders>
              <w:top w:val="single" w:color="auto" w:sz="8" w:space="0"/>
              <w:left w:val="single" w:color="auto" w:sz="8" w:space="0"/>
              <w:bottom w:val="single" w:color="auto" w:sz="8" w:space="0"/>
              <w:right w:val="single" w:color="auto" w:sz="8" w:space="0"/>
            </w:tcBorders>
            <w:vAlign w:val="center"/>
          </w:tcPr>
          <w:p w14:paraId="6724BFFC">
            <w:pPr>
              <w:overflowPunct w:val="0"/>
              <w:jc w:val="center"/>
              <w:rPr>
                <w:b/>
                <w:color w:val="auto"/>
              </w:rPr>
            </w:pPr>
            <w:bookmarkStart w:id="7" w:name="_Hlk49843745"/>
            <w:r>
              <w:rPr>
                <w:b/>
                <w:color w:val="auto"/>
              </w:rPr>
              <w:t>建设项目</w:t>
            </w:r>
          </w:p>
          <w:p w14:paraId="62AD214B">
            <w:pPr>
              <w:overflowPunct w:val="0"/>
              <w:jc w:val="center"/>
              <w:rPr>
                <w:b/>
                <w:color w:val="auto"/>
              </w:rPr>
            </w:pPr>
            <w:r>
              <w:rPr>
                <w:b/>
                <w:color w:val="auto"/>
              </w:rPr>
              <w:t>行业类别</w:t>
            </w:r>
            <w:bookmarkEnd w:id="7"/>
          </w:p>
        </w:tc>
        <w:tc>
          <w:tcPr>
            <w:tcW w:w="2239" w:type="pct"/>
            <w:tcBorders>
              <w:top w:val="single" w:color="auto" w:sz="8" w:space="0"/>
              <w:left w:val="single" w:color="auto" w:sz="8" w:space="0"/>
              <w:bottom w:val="single" w:color="auto" w:sz="8" w:space="0"/>
            </w:tcBorders>
            <w:vAlign w:val="center"/>
          </w:tcPr>
          <w:p w14:paraId="75DD1ED1">
            <w:pPr>
              <w:adjustRightInd w:val="0"/>
              <w:snapToGrid w:val="0"/>
              <w:jc w:val="left"/>
              <w:rPr>
                <w:color w:val="auto"/>
              </w:rPr>
            </w:pPr>
            <w:r>
              <w:rPr>
                <w:rFonts w:hint="eastAsia"/>
                <w:color w:val="auto"/>
                <w:kern w:val="0"/>
                <w:sz w:val="21"/>
                <w:lang w:val="en-US" w:eastAsia="zh-CN"/>
              </w:rPr>
              <w:t>十八</w:t>
            </w:r>
            <w:r>
              <w:rPr>
                <w:color w:val="auto"/>
                <w:kern w:val="0"/>
                <w:sz w:val="21"/>
              </w:rPr>
              <w:t>、</w:t>
            </w:r>
            <w:r>
              <w:rPr>
                <w:rFonts w:hint="eastAsia"/>
                <w:color w:val="auto"/>
                <w:kern w:val="0"/>
                <w:sz w:val="21"/>
                <w:lang w:val="en-US" w:eastAsia="zh-CN"/>
              </w:rPr>
              <w:t>家具制造业21 木质家具制造211</w:t>
            </w:r>
            <w:r>
              <w:rPr>
                <w:rFonts w:hint="eastAsia"/>
                <w:color w:val="auto"/>
                <w:kern w:val="0"/>
                <w:sz w:val="21"/>
              </w:rPr>
              <w:t xml:space="preserve"> 其他（仅分割、组装的除外；年用非溶剂型低VOCs含量涂料10吨以下的除外）</w:t>
            </w:r>
          </w:p>
        </w:tc>
      </w:tr>
      <w:tr w14:paraId="4B25E5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591"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0AE52D55">
            <w:pPr>
              <w:overflowPunct w:val="0"/>
              <w:adjustRightInd w:val="0"/>
              <w:snapToGrid w:val="0"/>
              <w:jc w:val="center"/>
              <w:rPr>
                <w:b/>
                <w:color w:val="auto"/>
              </w:rPr>
            </w:pPr>
            <w:r>
              <w:rPr>
                <w:b/>
                <w:color w:val="auto"/>
              </w:rPr>
              <w:t>建设性质</w:t>
            </w:r>
          </w:p>
        </w:tc>
        <w:tc>
          <w:tcPr>
            <w:tcW w:w="949" w:type="pct"/>
            <w:tcBorders>
              <w:top w:val="single" w:color="auto" w:sz="8" w:space="0"/>
              <w:left w:val="single" w:color="auto" w:sz="8" w:space="0"/>
              <w:bottom w:val="single" w:color="auto" w:sz="8" w:space="0"/>
              <w:right w:val="single" w:color="auto" w:sz="8" w:space="0"/>
            </w:tcBorders>
            <w:vAlign w:val="center"/>
          </w:tcPr>
          <w:p w14:paraId="3C959FDE">
            <w:pPr>
              <w:overflowPunct w:val="0"/>
              <w:jc w:val="left"/>
              <w:rPr>
                <w:color w:val="auto"/>
              </w:rPr>
            </w:pPr>
            <w:r>
              <w:rPr>
                <w:rFonts w:hint="eastAsia"/>
                <w:color w:val="auto"/>
              </w:rPr>
              <w:t>☑</w:t>
            </w:r>
            <w:r>
              <w:rPr>
                <w:rFonts w:hint="eastAsia"/>
                <w:b/>
                <w:bCs/>
                <w:color w:val="auto"/>
              </w:rPr>
              <w:t>新建（迁建）</w:t>
            </w:r>
          </w:p>
          <w:p w14:paraId="6FC37C9A">
            <w:pPr>
              <w:overflowPunct w:val="0"/>
              <w:jc w:val="left"/>
              <w:rPr>
                <w:color w:val="auto"/>
              </w:rPr>
            </w:pPr>
            <w:r>
              <w:rPr>
                <w:rFonts w:hint="eastAsia"/>
                <w:color w:val="auto"/>
              </w:rPr>
              <w:t>□</w:t>
            </w:r>
            <w:r>
              <w:rPr>
                <w:color w:val="auto"/>
              </w:rPr>
              <w:t>改建</w:t>
            </w:r>
          </w:p>
          <w:p w14:paraId="20D1659D">
            <w:pPr>
              <w:overflowPunct w:val="0"/>
              <w:jc w:val="left"/>
              <w:rPr>
                <w:b/>
                <w:bCs/>
                <w:color w:val="auto"/>
              </w:rPr>
            </w:pPr>
            <w:r>
              <w:rPr>
                <w:rFonts w:hint="eastAsia"/>
                <w:color w:val="auto"/>
              </w:rPr>
              <w:t>□</w:t>
            </w:r>
            <w:r>
              <w:rPr>
                <w:color w:val="auto"/>
              </w:rPr>
              <w:t>扩建</w:t>
            </w:r>
          </w:p>
          <w:p w14:paraId="17EC5727">
            <w:pPr>
              <w:overflowPunct w:val="0"/>
              <w:jc w:val="left"/>
              <w:rPr>
                <w:color w:val="auto"/>
              </w:rPr>
            </w:pPr>
            <w:r>
              <w:rPr>
                <w:rFonts w:hint="eastAsia"/>
                <w:color w:val="auto"/>
              </w:rPr>
              <w:t>□</w:t>
            </w:r>
            <w:r>
              <w:rPr>
                <w:color w:val="auto"/>
              </w:rPr>
              <w:t>技术改造</w:t>
            </w:r>
          </w:p>
        </w:tc>
        <w:tc>
          <w:tcPr>
            <w:tcW w:w="1219" w:type="pct"/>
            <w:tcBorders>
              <w:top w:val="single" w:color="auto" w:sz="8" w:space="0"/>
              <w:left w:val="single" w:color="auto" w:sz="8" w:space="0"/>
              <w:bottom w:val="single" w:color="auto" w:sz="8" w:space="0"/>
              <w:right w:val="single" w:color="auto" w:sz="8" w:space="0"/>
            </w:tcBorders>
            <w:vAlign w:val="center"/>
          </w:tcPr>
          <w:p w14:paraId="3EC62BB2">
            <w:pPr>
              <w:overflowPunct w:val="0"/>
              <w:adjustRightInd w:val="0"/>
              <w:snapToGrid w:val="0"/>
              <w:jc w:val="center"/>
              <w:rPr>
                <w:b/>
                <w:color w:val="auto"/>
              </w:rPr>
            </w:pPr>
            <w:r>
              <w:rPr>
                <w:b/>
                <w:color w:val="auto"/>
              </w:rPr>
              <w:t>建设项目</w:t>
            </w:r>
          </w:p>
          <w:p w14:paraId="5B6A20F1">
            <w:pPr>
              <w:overflowPunct w:val="0"/>
              <w:adjustRightInd w:val="0"/>
              <w:snapToGrid w:val="0"/>
              <w:jc w:val="center"/>
              <w:rPr>
                <w:b/>
                <w:color w:val="auto"/>
              </w:rPr>
            </w:pPr>
            <w:r>
              <w:rPr>
                <w:b/>
                <w:color w:val="auto"/>
              </w:rPr>
              <w:t>申报情形</w:t>
            </w:r>
          </w:p>
        </w:tc>
        <w:tc>
          <w:tcPr>
            <w:tcW w:w="2239" w:type="pct"/>
            <w:tcBorders>
              <w:top w:val="single" w:color="auto" w:sz="8" w:space="0"/>
              <w:left w:val="single" w:color="auto" w:sz="8" w:space="0"/>
              <w:bottom w:val="single" w:color="auto" w:sz="8" w:space="0"/>
            </w:tcBorders>
            <w:vAlign w:val="center"/>
          </w:tcPr>
          <w:p w14:paraId="042C9B8F">
            <w:pPr>
              <w:overflowPunct w:val="0"/>
              <w:jc w:val="left"/>
              <w:rPr>
                <w:color w:val="auto"/>
              </w:rPr>
            </w:pPr>
            <w:r>
              <w:rPr>
                <w:color w:val="auto"/>
              </w:rPr>
              <w:t>☑首次申报项目</w:t>
            </w:r>
          </w:p>
          <w:p w14:paraId="48C05E16">
            <w:pPr>
              <w:overflowPunct w:val="0"/>
              <w:jc w:val="left"/>
              <w:rPr>
                <w:color w:val="auto"/>
              </w:rPr>
            </w:pPr>
            <w:r>
              <w:rPr>
                <w:rFonts w:hint="eastAsia"/>
                <w:color w:val="auto"/>
              </w:rPr>
              <w:t>□</w:t>
            </w:r>
            <w:r>
              <w:rPr>
                <w:color w:val="auto"/>
              </w:rPr>
              <w:t>不予批准后再次申报项目</w:t>
            </w:r>
          </w:p>
          <w:p w14:paraId="5D6C1C27">
            <w:pPr>
              <w:overflowPunct w:val="0"/>
              <w:jc w:val="left"/>
              <w:rPr>
                <w:color w:val="auto"/>
              </w:rPr>
            </w:pPr>
            <w:r>
              <w:rPr>
                <w:rFonts w:hint="eastAsia"/>
                <w:color w:val="auto"/>
              </w:rPr>
              <w:t>□</w:t>
            </w:r>
            <w:r>
              <w:rPr>
                <w:color w:val="auto"/>
              </w:rPr>
              <w:t>超五年重新审核项目</w:t>
            </w:r>
          </w:p>
          <w:p w14:paraId="113C1DE9">
            <w:pPr>
              <w:overflowPunct w:val="0"/>
              <w:jc w:val="left"/>
              <w:rPr>
                <w:color w:val="auto"/>
              </w:rPr>
            </w:pPr>
            <w:r>
              <w:rPr>
                <w:rFonts w:hint="eastAsia"/>
                <w:color w:val="auto"/>
              </w:rPr>
              <w:t>□</w:t>
            </w:r>
            <w:r>
              <w:rPr>
                <w:color w:val="auto"/>
              </w:rPr>
              <w:t>重大变动重新报批项目</w:t>
            </w:r>
          </w:p>
        </w:tc>
      </w:tr>
      <w:tr w14:paraId="294031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91"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5C0B8A38">
            <w:pPr>
              <w:overflowPunct w:val="0"/>
              <w:adjustRightInd w:val="0"/>
              <w:snapToGrid w:val="0"/>
              <w:jc w:val="center"/>
              <w:rPr>
                <w:b/>
                <w:color w:val="auto"/>
              </w:rPr>
            </w:pPr>
            <w:r>
              <w:rPr>
                <w:b/>
                <w:color w:val="auto"/>
              </w:rPr>
              <w:t>项目备案部门</w:t>
            </w:r>
          </w:p>
        </w:tc>
        <w:tc>
          <w:tcPr>
            <w:tcW w:w="949" w:type="pct"/>
            <w:tcBorders>
              <w:top w:val="single" w:color="auto" w:sz="8" w:space="0"/>
              <w:left w:val="single" w:color="auto" w:sz="8" w:space="0"/>
              <w:bottom w:val="single" w:color="auto" w:sz="8" w:space="0"/>
              <w:right w:val="single" w:color="auto" w:sz="8" w:space="0"/>
            </w:tcBorders>
            <w:vAlign w:val="center"/>
          </w:tcPr>
          <w:p w14:paraId="1DC9FB83">
            <w:pPr>
              <w:overflowPunct w:val="0"/>
              <w:adjustRightInd w:val="0"/>
              <w:jc w:val="center"/>
              <w:rPr>
                <w:color w:val="auto"/>
              </w:rPr>
            </w:pPr>
            <w:r>
              <w:rPr>
                <w:rFonts w:hint="eastAsia"/>
                <w:color w:val="auto"/>
              </w:rPr>
              <w:t>常州市金坛区发展和改革局</w:t>
            </w:r>
          </w:p>
        </w:tc>
        <w:tc>
          <w:tcPr>
            <w:tcW w:w="1219" w:type="pct"/>
            <w:tcBorders>
              <w:top w:val="single" w:color="auto" w:sz="8" w:space="0"/>
              <w:left w:val="single" w:color="auto" w:sz="8" w:space="0"/>
              <w:bottom w:val="single" w:color="auto" w:sz="8" w:space="0"/>
              <w:right w:val="single" w:color="auto" w:sz="8" w:space="0"/>
            </w:tcBorders>
            <w:vAlign w:val="center"/>
          </w:tcPr>
          <w:p w14:paraId="0FE1C974">
            <w:pPr>
              <w:overflowPunct w:val="0"/>
              <w:adjustRightInd w:val="0"/>
              <w:snapToGrid w:val="0"/>
              <w:jc w:val="center"/>
              <w:rPr>
                <w:b/>
                <w:color w:val="auto"/>
              </w:rPr>
            </w:pPr>
            <w:r>
              <w:rPr>
                <w:b/>
                <w:color w:val="auto"/>
              </w:rPr>
              <w:t>项目备案文号</w:t>
            </w:r>
          </w:p>
        </w:tc>
        <w:tc>
          <w:tcPr>
            <w:tcW w:w="2239" w:type="pct"/>
            <w:tcBorders>
              <w:top w:val="single" w:color="auto" w:sz="8" w:space="0"/>
              <w:left w:val="single" w:color="auto" w:sz="8" w:space="0"/>
              <w:bottom w:val="single" w:color="auto" w:sz="8" w:space="0"/>
            </w:tcBorders>
            <w:vAlign w:val="center"/>
          </w:tcPr>
          <w:p w14:paraId="72F48DAE">
            <w:pPr>
              <w:overflowPunct w:val="0"/>
              <w:adjustRightInd w:val="0"/>
              <w:jc w:val="center"/>
              <w:rPr>
                <w:rFonts w:hint="default" w:eastAsia="宋体"/>
                <w:color w:val="auto"/>
                <w:lang w:val="en-US" w:eastAsia="zh-CN"/>
              </w:rPr>
            </w:pPr>
            <w:r>
              <w:rPr>
                <w:rFonts w:hint="eastAsia"/>
                <w:color w:val="auto"/>
                <w:lang w:val="en-US" w:eastAsia="zh-CN"/>
              </w:rPr>
              <w:t>坛发改备〔2025〕1404号</w:t>
            </w:r>
          </w:p>
        </w:tc>
      </w:tr>
      <w:tr w14:paraId="6334C9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91"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2F063EF0">
            <w:pPr>
              <w:overflowPunct w:val="0"/>
              <w:adjustRightInd w:val="0"/>
              <w:snapToGrid w:val="0"/>
              <w:jc w:val="center"/>
              <w:rPr>
                <w:b/>
                <w:color w:val="auto"/>
              </w:rPr>
            </w:pPr>
            <w:r>
              <w:rPr>
                <w:b/>
                <w:color w:val="auto"/>
              </w:rPr>
              <w:t>总投资（万元）</w:t>
            </w:r>
          </w:p>
        </w:tc>
        <w:tc>
          <w:tcPr>
            <w:tcW w:w="949" w:type="pct"/>
            <w:tcBorders>
              <w:top w:val="single" w:color="auto" w:sz="8" w:space="0"/>
              <w:left w:val="single" w:color="auto" w:sz="8" w:space="0"/>
              <w:bottom w:val="single" w:color="auto" w:sz="8" w:space="0"/>
              <w:right w:val="single" w:color="auto" w:sz="8" w:space="0"/>
            </w:tcBorders>
            <w:vAlign w:val="center"/>
          </w:tcPr>
          <w:p w14:paraId="3860F772">
            <w:pPr>
              <w:overflowPunct w:val="0"/>
              <w:adjustRightInd w:val="0"/>
              <w:jc w:val="center"/>
              <w:rPr>
                <w:rFonts w:hint="default" w:eastAsia="宋体"/>
                <w:color w:val="auto"/>
                <w:lang w:val="en-US" w:eastAsia="zh-CN"/>
              </w:rPr>
            </w:pPr>
            <w:r>
              <w:rPr>
                <w:rFonts w:hint="eastAsia"/>
                <w:color w:val="auto"/>
                <w:lang w:val="en-US" w:eastAsia="zh-CN"/>
              </w:rPr>
              <w:t>3500</w:t>
            </w:r>
          </w:p>
        </w:tc>
        <w:tc>
          <w:tcPr>
            <w:tcW w:w="1219" w:type="pct"/>
            <w:tcBorders>
              <w:top w:val="single" w:color="auto" w:sz="8" w:space="0"/>
              <w:left w:val="single" w:color="auto" w:sz="8" w:space="0"/>
              <w:bottom w:val="single" w:color="auto" w:sz="8" w:space="0"/>
              <w:right w:val="single" w:color="auto" w:sz="8" w:space="0"/>
            </w:tcBorders>
            <w:tcMar>
              <w:top w:w="16" w:type="dxa"/>
              <w:left w:w="16" w:type="dxa"/>
              <w:right w:w="16" w:type="dxa"/>
            </w:tcMar>
            <w:vAlign w:val="center"/>
          </w:tcPr>
          <w:p w14:paraId="6B1E8FD6">
            <w:pPr>
              <w:overflowPunct w:val="0"/>
              <w:adjustRightInd w:val="0"/>
              <w:snapToGrid w:val="0"/>
              <w:jc w:val="center"/>
              <w:rPr>
                <w:b/>
                <w:color w:val="auto"/>
              </w:rPr>
            </w:pPr>
            <w:r>
              <w:rPr>
                <w:b/>
                <w:color w:val="auto"/>
              </w:rPr>
              <w:t>环保投资（万元）</w:t>
            </w:r>
          </w:p>
        </w:tc>
        <w:tc>
          <w:tcPr>
            <w:tcW w:w="2239" w:type="pct"/>
            <w:tcBorders>
              <w:top w:val="single" w:color="auto" w:sz="8" w:space="0"/>
              <w:left w:val="single" w:color="auto" w:sz="8" w:space="0"/>
              <w:bottom w:val="single" w:color="auto" w:sz="8" w:space="0"/>
            </w:tcBorders>
            <w:vAlign w:val="center"/>
          </w:tcPr>
          <w:p w14:paraId="7EFD9664">
            <w:pPr>
              <w:overflowPunct w:val="0"/>
              <w:adjustRightInd w:val="0"/>
              <w:jc w:val="center"/>
              <w:rPr>
                <w:rFonts w:hint="default" w:eastAsia="宋体"/>
                <w:color w:val="auto"/>
                <w:lang w:val="en-US" w:eastAsia="zh-CN"/>
              </w:rPr>
            </w:pPr>
            <w:r>
              <w:rPr>
                <w:rFonts w:hint="eastAsia"/>
                <w:color w:val="auto"/>
                <w:lang w:val="en-US" w:eastAsia="zh-CN"/>
              </w:rPr>
              <w:t>50</w:t>
            </w:r>
          </w:p>
        </w:tc>
      </w:tr>
      <w:tr w14:paraId="639F4F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91"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10897B8E">
            <w:pPr>
              <w:overflowPunct w:val="0"/>
              <w:adjustRightInd w:val="0"/>
              <w:snapToGrid w:val="0"/>
              <w:jc w:val="center"/>
              <w:rPr>
                <w:b/>
                <w:color w:val="auto"/>
              </w:rPr>
            </w:pPr>
            <w:r>
              <w:rPr>
                <w:b/>
                <w:color w:val="auto"/>
              </w:rPr>
              <w:t>环保投资占比（%）</w:t>
            </w:r>
          </w:p>
        </w:tc>
        <w:tc>
          <w:tcPr>
            <w:tcW w:w="949" w:type="pct"/>
            <w:tcBorders>
              <w:top w:val="single" w:color="auto" w:sz="8" w:space="0"/>
              <w:left w:val="single" w:color="auto" w:sz="8" w:space="0"/>
              <w:bottom w:val="single" w:color="auto" w:sz="8" w:space="0"/>
              <w:right w:val="single" w:color="auto" w:sz="8" w:space="0"/>
            </w:tcBorders>
            <w:vAlign w:val="center"/>
          </w:tcPr>
          <w:p w14:paraId="03F21A31">
            <w:pPr>
              <w:overflowPunct w:val="0"/>
              <w:adjustRightInd w:val="0"/>
              <w:snapToGrid w:val="0"/>
              <w:jc w:val="center"/>
              <w:rPr>
                <w:rFonts w:hint="default" w:eastAsia="宋体"/>
                <w:color w:val="auto"/>
                <w:lang w:val="en-US" w:eastAsia="zh-CN"/>
              </w:rPr>
            </w:pPr>
            <w:r>
              <w:rPr>
                <w:rFonts w:hint="eastAsia"/>
                <w:color w:val="auto"/>
                <w:lang w:val="en-US" w:eastAsia="zh-CN"/>
              </w:rPr>
              <w:t>1.43</w:t>
            </w:r>
          </w:p>
        </w:tc>
        <w:tc>
          <w:tcPr>
            <w:tcW w:w="1219" w:type="pct"/>
            <w:tcBorders>
              <w:top w:val="single" w:color="auto" w:sz="8" w:space="0"/>
              <w:left w:val="single" w:color="auto" w:sz="8" w:space="0"/>
              <w:bottom w:val="single" w:color="auto" w:sz="8" w:space="0"/>
              <w:right w:val="single" w:color="auto" w:sz="8" w:space="0"/>
            </w:tcBorders>
            <w:tcMar>
              <w:top w:w="16" w:type="dxa"/>
              <w:left w:w="16" w:type="dxa"/>
              <w:right w:w="16" w:type="dxa"/>
            </w:tcMar>
            <w:vAlign w:val="center"/>
          </w:tcPr>
          <w:p w14:paraId="2B7677E9">
            <w:pPr>
              <w:overflowPunct w:val="0"/>
              <w:adjustRightInd w:val="0"/>
              <w:snapToGrid w:val="0"/>
              <w:jc w:val="center"/>
              <w:rPr>
                <w:b/>
                <w:color w:val="auto"/>
              </w:rPr>
            </w:pPr>
            <w:r>
              <w:rPr>
                <w:b/>
                <w:color w:val="auto"/>
              </w:rPr>
              <w:t>施工工期</w:t>
            </w:r>
          </w:p>
        </w:tc>
        <w:tc>
          <w:tcPr>
            <w:tcW w:w="2239" w:type="pct"/>
            <w:tcBorders>
              <w:top w:val="single" w:color="auto" w:sz="8" w:space="0"/>
              <w:left w:val="single" w:color="auto" w:sz="8" w:space="0"/>
              <w:bottom w:val="single" w:color="auto" w:sz="8" w:space="0"/>
            </w:tcBorders>
            <w:vAlign w:val="center"/>
          </w:tcPr>
          <w:p w14:paraId="2BC4CD4F">
            <w:pPr>
              <w:overflowPunct w:val="0"/>
              <w:adjustRightInd w:val="0"/>
              <w:snapToGrid w:val="0"/>
              <w:jc w:val="center"/>
              <w:rPr>
                <w:color w:val="auto"/>
              </w:rPr>
            </w:pPr>
            <w:r>
              <w:rPr>
                <w:color w:val="auto"/>
              </w:rPr>
              <w:t>3个月</w:t>
            </w:r>
          </w:p>
        </w:tc>
      </w:tr>
      <w:tr w14:paraId="19BA04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91"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2B84572C">
            <w:pPr>
              <w:overflowPunct w:val="0"/>
              <w:adjustRightInd w:val="0"/>
              <w:snapToGrid w:val="0"/>
              <w:jc w:val="center"/>
              <w:rPr>
                <w:b/>
                <w:color w:val="auto"/>
              </w:rPr>
            </w:pPr>
            <w:r>
              <w:rPr>
                <w:b/>
                <w:color w:val="auto"/>
              </w:rPr>
              <w:t>是否开工建设</w:t>
            </w:r>
          </w:p>
        </w:tc>
        <w:tc>
          <w:tcPr>
            <w:tcW w:w="949" w:type="pct"/>
            <w:tcBorders>
              <w:top w:val="single" w:color="auto" w:sz="8" w:space="0"/>
              <w:left w:val="single" w:color="auto" w:sz="8" w:space="0"/>
              <w:bottom w:val="single" w:color="auto" w:sz="8" w:space="0"/>
              <w:right w:val="single" w:color="auto" w:sz="8" w:space="0"/>
            </w:tcBorders>
            <w:vAlign w:val="center"/>
          </w:tcPr>
          <w:p w14:paraId="2F5A7714">
            <w:pPr>
              <w:overflowPunct w:val="0"/>
              <w:adjustRightInd w:val="0"/>
              <w:snapToGrid w:val="0"/>
              <w:rPr>
                <w:color w:val="auto"/>
              </w:rPr>
            </w:pPr>
            <w:r>
              <w:rPr>
                <w:color w:val="auto"/>
              </w:rPr>
              <w:t>☑否</w:t>
            </w:r>
          </w:p>
          <w:p w14:paraId="23952497">
            <w:pPr>
              <w:overflowPunct w:val="0"/>
              <w:adjustRightInd w:val="0"/>
              <w:jc w:val="left"/>
              <w:rPr>
                <w:color w:val="auto"/>
              </w:rPr>
            </w:pPr>
            <w:r>
              <w:rPr>
                <w:rFonts w:hint="eastAsia"/>
                <w:color w:val="auto"/>
              </w:rPr>
              <w:t>□</w:t>
            </w:r>
            <w:r>
              <w:rPr>
                <w:color w:val="auto"/>
              </w:rPr>
              <w:t>是：</w:t>
            </w:r>
            <w:r>
              <w:rPr>
                <w:color w:val="auto"/>
                <w:u w:val="single"/>
              </w:rPr>
              <w:t xml:space="preserve">           </w:t>
            </w:r>
          </w:p>
        </w:tc>
        <w:tc>
          <w:tcPr>
            <w:tcW w:w="1219" w:type="pct"/>
            <w:tcBorders>
              <w:top w:val="single" w:color="auto" w:sz="8" w:space="0"/>
              <w:left w:val="single" w:color="auto" w:sz="8" w:space="0"/>
              <w:bottom w:val="single" w:color="auto" w:sz="8" w:space="0"/>
              <w:right w:val="single" w:color="auto" w:sz="8" w:space="0"/>
            </w:tcBorders>
            <w:tcMar>
              <w:top w:w="16" w:type="dxa"/>
              <w:left w:w="16" w:type="dxa"/>
              <w:right w:w="16" w:type="dxa"/>
            </w:tcMar>
            <w:vAlign w:val="center"/>
          </w:tcPr>
          <w:p w14:paraId="30F56FC6">
            <w:pPr>
              <w:overflowPunct w:val="0"/>
              <w:adjustRightInd w:val="0"/>
              <w:snapToGrid w:val="0"/>
              <w:jc w:val="center"/>
              <w:rPr>
                <w:b/>
                <w:color w:val="auto"/>
              </w:rPr>
            </w:pPr>
            <w:r>
              <w:rPr>
                <w:b/>
                <w:color w:val="auto"/>
              </w:rPr>
              <w:t>用地面积（m</w:t>
            </w:r>
            <w:r>
              <w:rPr>
                <w:b/>
                <w:color w:val="auto"/>
                <w:vertAlign w:val="superscript"/>
              </w:rPr>
              <w:t>2</w:t>
            </w:r>
            <w:r>
              <w:rPr>
                <w:b/>
                <w:color w:val="auto"/>
              </w:rPr>
              <w:t>）</w:t>
            </w:r>
          </w:p>
        </w:tc>
        <w:tc>
          <w:tcPr>
            <w:tcW w:w="2239" w:type="pct"/>
            <w:tcBorders>
              <w:top w:val="single" w:color="auto" w:sz="8" w:space="0"/>
              <w:left w:val="single" w:color="auto" w:sz="8" w:space="0"/>
              <w:bottom w:val="single" w:color="auto" w:sz="8" w:space="0"/>
            </w:tcBorders>
            <w:vAlign w:val="center"/>
          </w:tcPr>
          <w:p w14:paraId="28D7D921">
            <w:pPr>
              <w:overflowPunct w:val="0"/>
              <w:adjustRightInd w:val="0"/>
              <w:snapToGrid w:val="0"/>
              <w:jc w:val="center"/>
              <w:rPr>
                <w:b/>
                <w:color w:val="auto"/>
              </w:rPr>
            </w:pPr>
            <w:r>
              <w:rPr>
                <w:rFonts w:hint="eastAsia"/>
                <w:bCs/>
                <w:color w:val="auto"/>
                <w:lang w:val="en-US" w:eastAsia="zh-CN"/>
              </w:rPr>
              <w:t>4173</w:t>
            </w:r>
            <w:r>
              <w:rPr>
                <w:bCs/>
                <w:color w:val="auto"/>
              </w:rPr>
              <w:t>（</w:t>
            </w:r>
            <w:r>
              <w:rPr>
                <w:rFonts w:hint="eastAsia"/>
                <w:bCs/>
                <w:color w:val="auto"/>
              </w:rPr>
              <w:t>建筑面积</w:t>
            </w:r>
            <w:r>
              <w:rPr>
                <w:bCs/>
                <w:color w:val="auto"/>
              </w:rPr>
              <w:t>）</w:t>
            </w:r>
          </w:p>
        </w:tc>
      </w:tr>
      <w:tr w14:paraId="2ED52C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1" w:type="pct"/>
            <w:gridSpan w:val="2"/>
            <w:tcBorders>
              <w:top w:val="single" w:color="auto" w:sz="8" w:space="0"/>
              <w:bottom w:val="single" w:color="auto" w:sz="8" w:space="0"/>
              <w:right w:val="single" w:color="auto" w:sz="8" w:space="0"/>
            </w:tcBorders>
            <w:vAlign w:val="center"/>
          </w:tcPr>
          <w:p w14:paraId="5A73AEBC">
            <w:pPr>
              <w:overflowPunct w:val="0"/>
              <w:adjustRightInd w:val="0"/>
              <w:snapToGrid w:val="0"/>
              <w:jc w:val="center"/>
              <w:rPr>
                <w:b/>
                <w:color w:val="auto"/>
                <w:kern w:val="0"/>
              </w:rPr>
            </w:pPr>
            <w:r>
              <w:rPr>
                <w:b/>
                <w:color w:val="auto"/>
                <w:kern w:val="0"/>
              </w:rPr>
              <w:t>专项评价设置情况</w:t>
            </w:r>
          </w:p>
        </w:tc>
        <w:tc>
          <w:tcPr>
            <w:tcW w:w="4408" w:type="pct"/>
            <w:gridSpan w:val="3"/>
            <w:tcBorders>
              <w:top w:val="single" w:color="auto" w:sz="8" w:space="0"/>
              <w:left w:val="single" w:color="auto" w:sz="8" w:space="0"/>
              <w:bottom w:val="single" w:color="auto" w:sz="8" w:space="0"/>
            </w:tcBorders>
            <w:vAlign w:val="center"/>
          </w:tcPr>
          <w:tbl>
            <w:tblPr>
              <w:tblStyle w:val="59"/>
              <w:tblW w:w="4998"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974"/>
              <w:gridCol w:w="3186"/>
              <w:gridCol w:w="2683"/>
              <w:gridCol w:w="907"/>
            </w:tblGrid>
            <w:tr w14:paraId="55F567B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40" w:hRule="atLeast"/>
                <w:jc w:val="center"/>
              </w:trPr>
              <w:tc>
                <w:tcPr>
                  <w:tcW w:w="628" w:type="pct"/>
                  <w:noWrap w:val="0"/>
                  <w:vAlign w:val="center"/>
                </w:tcPr>
                <w:p w14:paraId="5671890F">
                  <w:pPr>
                    <w:keepNext w:val="0"/>
                    <w:keepLines w:val="0"/>
                    <w:pageBreakBefore w:val="0"/>
                    <w:widowControl w:val="0"/>
                    <w:kinsoku/>
                    <w:wordWrap/>
                    <w:overflowPunct/>
                    <w:topLinePunct w:val="0"/>
                    <w:autoSpaceDE w:val="0"/>
                    <w:autoSpaceDN w:val="0"/>
                    <w:bidi w:val="0"/>
                    <w:adjustRightInd w:val="0"/>
                    <w:snapToGrid w:val="0"/>
                    <w:jc w:val="center"/>
                    <w:textAlignment w:val="auto"/>
                    <w:rPr>
                      <w:b/>
                      <w:bCs/>
                      <w:color w:val="auto"/>
                      <w:kern w:val="0"/>
                      <w:sz w:val="21"/>
                      <w:szCs w:val="21"/>
                      <w:highlight w:val="none"/>
                    </w:rPr>
                  </w:pPr>
                  <w:r>
                    <w:rPr>
                      <w:b/>
                      <w:bCs/>
                      <w:color w:val="auto"/>
                      <w:kern w:val="0"/>
                      <w:sz w:val="21"/>
                      <w:szCs w:val="21"/>
                      <w:highlight w:val="none"/>
                    </w:rPr>
                    <w:t>专项评价的类别</w:t>
                  </w:r>
                </w:p>
              </w:tc>
              <w:tc>
                <w:tcPr>
                  <w:tcW w:w="2055" w:type="pct"/>
                  <w:noWrap w:val="0"/>
                  <w:vAlign w:val="center"/>
                </w:tcPr>
                <w:p w14:paraId="39C61393">
                  <w:pPr>
                    <w:keepNext w:val="0"/>
                    <w:keepLines w:val="0"/>
                    <w:pageBreakBefore w:val="0"/>
                    <w:widowControl w:val="0"/>
                    <w:kinsoku/>
                    <w:wordWrap/>
                    <w:overflowPunct/>
                    <w:topLinePunct w:val="0"/>
                    <w:autoSpaceDE w:val="0"/>
                    <w:autoSpaceDN w:val="0"/>
                    <w:bidi w:val="0"/>
                    <w:adjustRightInd w:val="0"/>
                    <w:snapToGrid w:val="0"/>
                    <w:jc w:val="center"/>
                    <w:textAlignment w:val="auto"/>
                    <w:rPr>
                      <w:b/>
                      <w:bCs/>
                      <w:color w:val="auto"/>
                      <w:kern w:val="0"/>
                      <w:sz w:val="21"/>
                      <w:szCs w:val="21"/>
                      <w:highlight w:val="none"/>
                    </w:rPr>
                  </w:pPr>
                  <w:r>
                    <w:rPr>
                      <w:b/>
                      <w:bCs/>
                      <w:color w:val="auto"/>
                      <w:kern w:val="0"/>
                      <w:sz w:val="21"/>
                      <w:szCs w:val="21"/>
                      <w:highlight w:val="none"/>
                    </w:rPr>
                    <w:t>设置原则</w:t>
                  </w:r>
                </w:p>
              </w:tc>
              <w:tc>
                <w:tcPr>
                  <w:tcW w:w="1730" w:type="pct"/>
                  <w:noWrap w:val="0"/>
                  <w:vAlign w:val="center"/>
                </w:tcPr>
                <w:p w14:paraId="55799F33">
                  <w:pPr>
                    <w:keepNext w:val="0"/>
                    <w:keepLines w:val="0"/>
                    <w:pageBreakBefore w:val="0"/>
                    <w:widowControl w:val="0"/>
                    <w:kinsoku/>
                    <w:wordWrap/>
                    <w:overflowPunct/>
                    <w:topLinePunct w:val="0"/>
                    <w:autoSpaceDE w:val="0"/>
                    <w:autoSpaceDN w:val="0"/>
                    <w:bidi w:val="0"/>
                    <w:adjustRightInd w:val="0"/>
                    <w:snapToGrid w:val="0"/>
                    <w:jc w:val="center"/>
                    <w:textAlignment w:val="auto"/>
                    <w:rPr>
                      <w:b/>
                      <w:bCs/>
                      <w:color w:val="auto"/>
                      <w:kern w:val="0"/>
                      <w:sz w:val="21"/>
                      <w:szCs w:val="21"/>
                      <w:highlight w:val="none"/>
                    </w:rPr>
                  </w:pPr>
                  <w:r>
                    <w:rPr>
                      <w:b/>
                      <w:bCs/>
                      <w:color w:val="auto"/>
                      <w:kern w:val="0"/>
                      <w:sz w:val="21"/>
                      <w:szCs w:val="21"/>
                      <w:highlight w:val="none"/>
                    </w:rPr>
                    <w:t>项目情况</w:t>
                  </w:r>
                </w:p>
              </w:tc>
              <w:tc>
                <w:tcPr>
                  <w:tcW w:w="585" w:type="pct"/>
                  <w:noWrap w:val="0"/>
                  <w:vAlign w:val="center"/>
                </w:tcPr>
                <w:p w14:paraId="4D7B1A94">
                  <w:pPr>
                    <w:keepNext w:val="0"/>
                    <w:keepLines w:val="0"/>
                    <w:pageBreakBefore w:val="0"/>
                    <w:widowControl w:val="0"/>
                    <w:kinsoku/>
                    <w:wordWrap/>
                    <w:overflowPunct/>
                    <w:topLinePunct w:val="0"/>
                    <w:autoSpaceDE w:val="0"/>
                    <w:autoSpaceDN w:val="0"/>
                    <w:bidi w:val="0"/>
                    <w:adjustRightInd w:val="0"/>
                    <w:snapToGrid w:val="0"/>
                    <w:jc w:val="center"/>
                    <w:textAlignment w:val="auto"/>
                    <w:rPr>
                      <w:b/>
                      <w:bCs/>
                      <w:color w:val="auto"/>
                      <w:kern w:val="0"/>
                      <w:sz w:val="21"/>
                      <w:szCs w:val="21"/>
                      <w:highlight w:val="none"/>
                    </w:rPr>
                  </w:pPr>
                  <w:r>
                    <w:rPr>
                      <w:b/>
                      <w:bCs/>
                      <w:color w:val="auto"/>
                      <w:kern w:val="0"/>
                      <w:sz w:val="21"/>
                      <w:szCs w:val="21"/>
                      <w:highlight w:val="none"/>
                    </w:rPr>
                    <w:t>设置情况</w:t>
                  </w:r>
                </w:p>
              </w:tc>
            </w:tr>
            <w:tr w14:paraId="41BC695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628" w:type="pct"/>
                  <w:noWrap w:val="0"/>
                  <w:vAlign w:val="center"/>
                </w:tcPr>
                <w:p w14:paraId="5F02A817">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大气</w:t>
                  </w:r>
                </w:p>
              </w:tc>
              <w:tc>
                <w:tcPr>
                  <w:tcW w:w="2055" w:type="pct"/>
                  <w:noWrap w:val="0"/>
                  <w:vAlign w:val="center"/>
                </w:tcPr>
                <w:p w14:paraId="424CC3C3">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排放废气含有毒有害污染物</w:t>
                  </w:r>
                  <w:r>
                    <w:rPr>
                      <w:color w:val="auto"/>
                      <w:kern w:val="0"/>
                      <w:sz w:val="21"/>
                      <w:szCs w:val="21"/>
                      <w:highlight w:val="none"/>
                      <w:vertAlign w:val="superscript"/>
                    </w:rPr>
                    <w:t>1</w:t>
                  </w:r>
                  <w:r>
                    <w:rPr>
                      <w:color w:val="auto"/>
                      <w:kern w:val="0"/>
                      <w:sz w:val="21"/>
                      <w:szCs w:val="21"/>
                      <w:highlight w:val="none"/>
                    </w:rPr>
                    <w:t>、二噁英、苯并[a]芘、氰化物、氯气且厂界外500米范围内有环境空气保护目标</w:t>
                  </w:r>
                  <w:r>
                    <w:rPr>
                      <w:color w:val="auto"/>
                      <w:kern w:val="0"/>
                      <w:sz w:val="21"/>
                      <w:szCs w:val="21"/>
                      <w:highlight w:val="none"/>
                      <w:vertAlign w:val="superscript"/>
                    </w:rPr>
                    <w:t>2</w:t>
                  </w:r>
                  <w:r>
                    <w:rPr>
                      <w:color w:val="auto"/>
                      <w:kern w:val="0"/>
                      <w:sz w:val="21"/>
                      <w:szCs w:val="21"/>
                      <w:highlight w:val="none"/>
                    </w:rPr>
                    <w:t>的建设项目</w:t>
                  </w:r>
                </w:p>
              </w:tc>
              <w:tc>
                <w:tcPr>
                  <w:tcW w:w="1730" w:type="pct"/>
                  <w:noWrap w:val="0"/>
                  <w:vAlign w:val="center"/>
                </w:tcPr>
                <w:p w14:paraId="3308177A">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本项目排放废气为非甲烷总烃、颗粒物，不属于有毒有害污染物</w:t>
                  </w:r>
                  <w:r>
                    <w:rPr>
                      <w:color w:val="auto"/>
                      <w:kern w:val="0"/>
                      <w:sz w:val="21"/>
                      <w:szCs w:val="21"/>
                      <w:highlight w:val="none"/>
                    </w:rPr>
                    <w:t>，</w:t>
                  </w:r>
                  <w:r>
                    <w:rPr>
                      <w:rFonts w:hint="eastAsia"/>
                      <w:color w:val="auto"/>
                      <w:kern w:val="0"/>
                      <w:sz w:val="21"/>
                      <w:szCs w:val="21"/>
                      <w:highlight w:val="none"/>
                      <w:lang w:val="en-US" w:eastAsia="zh-CN"/>
                    </w:rPr>
                    <w:t>因此无需设置大气专项评价</w:t>
                  </w:r>
                </w:p>
              </w:tc>
              <w:tc>
                <w:tcPr>
                  <w:tcW w:w="585" w:type="pct"/>
                  <w:noWrap w:val="0"/>
                  <w:vAlign w:val="center"/>
                </w:tcPr>
                <w:p w14:paraId="29000FA1">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eastAsia="宋体"/>
                      <w:color w:val="auto"/>
                      <w:kern w:val="0"/>
                      <w:sz w:val="21"/>
                      <w:szCs w:val="21"/>
                      <w:highlight w:val="none"/>
                      <w:lang w:eastAsia="zh-CN"/>
                    </w:rPr>
                  </w:pPr>
                  <w:r>
                    <w:rPr>
                      <w:rFonts w:hint="eastAsia"/>
                      <w:color w:val="auto"/>
                      <w:kern w:val="0"/>
                      <w:sz w:val="21"/>
                      <w:szCs w:val="21"/>
                      <w:highlight w:val="none"/>
                      <w:lang w:val="en-US" w:eastAsia="zh-CN"/>
                    </w:rPr>
                    <w:t>无</w:t>
                  </w:r>
                </w:p>
              </w:tc>
            </w:tr>
            <w:tr w14:paraId="57C6F47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628" w:type="pct"/>
                  <w:noWrap w:val="0"/>
                  <w:vAlign w:val="center"/>
                </w:tcPr>
                <w:p w14:paraId="185195F2">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地表水</w:t>
                  </w:r>
                </w:p>
              </w:tc>
              <w:tc>
                <w:tcPr>
                  <w:tcW w:w="2055" w:type="pct"/>
                  <w:noWrap w:val="0"/>
                  <w:vAlign w:val="center"/>
                </w:tcPr>
                <w:p w14:paraId="6C5FEFEA">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新增工业废水直排建设项目（槽罐车外送污水处理厂的除外）；新增废水直排的污水集中处理厂</w:t>
                  </w:r>
                </w:p>
              </w:tc>
              <w:tc>
                <w:tcPr>
                  <w:tcW w:w="1730" w:type="pct"/>
                  <w:noWrap w:val="0"/>
                  <w:vAlign w:val="center"/>
                </w:tcPr>
                <w:p w14:paraId="48A623A9">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项目</w:t>
                  </w:r>
                  <w:r>
                    <w:rPr>
                      <w:rFonts w:hint="eastAsia"/>
                      <w:color w:val="auto"/>
                      <w:kern w:val="0"/>
                      <w:sz w:val="21"/>
                      <w:szCs w:val="21"/>
                      <w:highlight w:val="none"/>
                      <w:lang w:eastAsia="zh-CN"/>
                    </w:rPr>
                    <w:t>生活污水</w:t>
                  </w:r>
                  <w:r>
                    <w:rPr>
                      <w:rFonts w:hint="eastAsia"/>
                      <w:color w:val="auto"/>
                      <w:kern w:val="0"/>
                      <w:sz w:val="21"/>
                      <w:szCs w:val="21"/>
                      <w:highlight w:val="none"/>
                      <w:lang w:val="en-US" w:eastAsia="zh-CN"/>
                    </w:rPr>
                    <w:t>接管</w:t>
                  </w:r>
                  <w:r>
                    <w:rPr>
                      <w:rFonts w:hint="eastAsia"/>
                      <w:color w:val="auto"/>
                      <w:kern w:val="0"/>
                      <w:sz w:val="21"/>
                      <w:szCs w:val="21"/>
                      <w:highlight w:val="none"/>
                      <w:lang w:eastAsia="zh-CN"/>
                    </w:rPr>
                    <w:t>至常州金坛区第二污水处理有限公司</w:t>
                  </w:r>
                  <w:r>
                    <w:rPr>
                      <w:color w:val="auto"/>
                      <w:kern w:val="0"/>
                      <w:sz w:val="21"/>
                      <w:szCs w:val="21"/>
                      <w:highlight w:val="none"/>
                    </w:rPr>
                    <w:t>，</w:t>
                  </w:r>
                  <w:r>
                    <w:rPr>
                      <w:rFonts w:hint="eastAsia"/>
                      <w:color w:val="auto"/>
                      <w:kern w:val="0"/>
                      <w:sz w:val="21"/>
                      <w:szCs w:val="21"/>
                      <w:highlight w:val="none"/>
                      <w:lang w:val="en-US" w:eastAsia="zh-CN"/>
                    </w:rPr>
                    <w:t>无生产废水外排，</w:t>
                  </w:r>
                  <w:r>
                    <w:rPr>
                      <w:color w:val="auto"/>
                      <w:kern w:val="0"/>
                      <w:sz w:val="21"/>
                      <w:szCs w:val="21"/>
                      <w:highlight w:val="none"/>
                    </w:rPr>
                    <w:t>因此无需设置地表水专项评价</w:t>
                  </w:r>
                </w:p>
              </w:tc>
              <w:tc>
                <w:tcPr>
                  <w:tcW w:w="585" w:type="pct"/>
                  <w:noWrap w:val="0"/>
                  <w:vAlign w:val="center"/>
                </w:tcPr>
                <w:p w14:paraId="7C99817A">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无</w:t>
                  </w:r>
                </w:p>
              </w:tc>
            </w:tr>
            <w:tr w14:paraId="4C9D8FC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628" w:type="pct"/>
                  <w:noWrap w:val="0"/>
                  <w:vAlign w:val="center"/>
                </w:tcPr>
                <w:p w14:paraId="16FD4698">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环境风险</w:t>
                  </w:r>
                </w:p>
              </w:tc>
              <w:tc>
                <w:tcPr>
                  <w:tcW w:w="2055" w:type="pct"/>
                  <w:noWrap w:val="0"/>
                  <w:vAlign w:val="center"/>
                </w:tcPr>
                <w:p w14:paraId="3C555184">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有毒有害和易燃易爆危险物质存储量超过临界量</w:t>
                  </w:r>
                  <w:r>
                    <w:rPr>
                      <w:color w:val="auto"/>
                      <w:kern w:val="0"/>
                      <w:sz w:val="21"/>
                      <w:szCs w:val="21"/>
                      <w:highlight w:val="none"/>
                      <w:vertAlign w:val="superscript"/>
                    </w:rPr>
                    <w:t>3</w:t>
                  </w:r>
                  <w:r>
                    <w:rPr>
                      <w:color w:val="auto"/>
                      <w:kern w:val="0"/>
                      <w:sz w:val="21"/>
                      <w:szCs w:val="21"/>
                      <w:highlight w:val="none"/>
                    </w:rPr>
                    <w:t>的建设项目</w:t>
                  </w:r>
                </w:p>
              </w:tc>
              <w:tc>
                <w:tcPr>
                  <w:tcW w:w="1730" w:type="pct"/>
                  <w:noWrap w:val="0"/>
                  <w:vAlign w:val="center"/>
                </w:tcPr>
                <w:p w14:paraId="40E4B98E">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项目有毒有害和易燃易爆危险物质存储量</w:t>
                  </w:r>
                  <w:r>
                    <w:rPr>
                      <w:rFonts w:hint="eastAsia"/>
                      <w:color w:val="auto"/>
                      <w:kern w:val="0"/>
                      <w:sz w:val="21"/>
                      <w:szCs w:val="21"/>
                      <w:highlight w:val="none"/>
                    </w:rPr>
                    <w:t>未</w:t>
                  </w:r>
                  <w:r>
                    <w:rPr>
                      <w:color w:val="auto"/>
                      <w:kern w:val="0"/>
                      <w:sz w:val="21"/>
                      <w:szCs w:val="21"/>
                      <w:highlight w:val="none"/>
                    </w:rPr>
                    <w:t>超过临界量，Q</w:t>
                  </w:r>
                  <w:r>
                    <w:rPr>
                      <w:rFonts w:hint="eastAsia"/>
                      <w:color w:val="auto"/>
                      <w:kern w:val="0"/>
                      <w:sz w:val="21"/>
                      <w:szCs w:val="21"/>
                      <w:highlight w:val="none"/>
                    </w:rPr>
                    <w:t>＜1</w:t>
                  </w:r>
                  <w:r>
                    <w:rPr>
                      <w:color w:val="auto"/>
                      <w:kern w:val="0"/>
                      <w:sz w:val="21"/>
                      <w:szCs w:val="21"/>
                      <w:highlight w:val="none"/>
                    </w:rPr>
                    <w:t>，因此</w:t>
                  </w:r>
                  <w:r>
                    <w:rPr>
                      <w:rFonts w:hint="eastAsia"/>
                      <w:color w:val="auto"/>
                      <w:kern w:val="0"/>
                      <w:sz w:val="21"/>
                      <w:szCs w:val="21"/>
                      <w:highlight w:val="none"/>
                    </w:rPr>
                    <w:t>无需</w:t>
                  </w:r>
                  <w:r>
                    <w:rPr>
                      <w:color w:val="auto"/>
                      <w:kern w:val="0"/>
                      <w:sz w:val="21"/>
                      <w:szCs w:val="21"/>
                      <w:highlight w:val="none"/>
                    </w:rPr>
                    <w:t>设置环境风险专项评价</w:t>
                  </w:r>
                </w:p>
              </w:tc>
              <w:tc>
                <w:tcPr>
                  <w:tcW w:w="585" w:type="pct"/>
                  <w:noWrap w:val="0"/>
                  <w:vAlign w:val="center"/>
                </w:tcPr>
                <w:p w14:paraId="2171AB98">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无</w:t>
                  </w:r>
                </w:p>
              </w:tc>
            </w:tr>
            <w:tr w14:paraId="0BFB67E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628" w:type="pct"/>
                  <w:noWrap w:val="0"/>
                  <w:vAlign w:val="center"/>
                </w:tcPr>
                <w:p w14:paraId="01C27A5A">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生态</w:t>
                  </w:r>
                </w:p>
              </w:tc>
              <w:tc>
                <w:tcPr>
                  <w:tcW w:w="2055" w:type="pct"/>
                  <w:noWrap w:val="0"/>
                  <w:vAlign w:val="center"/>
                </w:tcPr>
                <w:p w14:paraId="32BE348E">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取水口下游500米范围内有重要水生生物的自然产卵场、索饵场、越冬场和洄游通道的新增河道取水的污染类建设项目</w:t>
                  </w:r>
                </w:p>
              </w:tc>
              <w:tc>
                <w:tcPr>
                  <w:tcW w:w="1730" w:type="pct"/>
                  <w:noWrap w:val="0"/>
                  <w:vAlign w:val="center"/>
                </w:tcPr>
                <w:p w14:paraId="3060B6E2">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不涉及</w:t>
                  </w:r>
                </w:p>
              </w:tc>
              <w:tc>
                <w:tcPr>
                  <w:tcW w:w="585" w:type="pct"/>
                  <w:noWrap w:val="0"/>
                  <w:vAlign w:val="center"/>
                </w:tcPr>
                <w:p w14:paraId="2C24BC99">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无</w:t>
                  </w:r>
                </w:p>
              </w:tc>
            </w:tr>
            <w:tr w14:paraId="54114B8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628" w:type="pct"/>
                  <w:noWrap w:val="0"/>
                  <w:vAlign w:val="center"/>
                </w:tcPr>
                <w:p w14:paraId="1C199965">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海洋</w:t>
                  </w:r>
                </w:p>
              </w:tc>
              <w:tc>
                <w:tcPr>
                  <w:tcW w:w="2055" w:type="pct"/>
                  <w:noWrap w:val="0"/>
                  <w:vAlign w:val="center"/>
                </w:tcPr>
                <w:p w14:paraId="2C7CAB2C">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直接向海排放污染物的海洋工程建设项目</w:t>
                  </w:r>
                </w:p>
              </w:tc>
              <w:tc>
                <w:tcPr>
                  <w:tcW w:w="1730" w:type="pct"/>
                  <w:noWrap w:val="0"/>
                  <w:vAlign w:val="center"/>
                </w:tcPr>
                <w:p w14:paraId="5F064A32">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不涉及</w:t>
                  </w:r>
                </w:p>
              </w:tc>
              <w:tc>
                <w:tcPr>
                  <w:tcW w:w="585" w:type="pct"/>
                  <w:noWrap w:val="0"/>
                  <w:vAlign w:val="center"/>
                </w:tcPr>
                <w:p w14:paraId="6537D41D">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无</w:t>
                  </w:r>
                </w:p>
              </w:tc>
            </w:tr>
          </w:tbl>
          <w:p w14:paraId="6973C921">
            <w:pPr>
              <w:overflowPunct w:val="0"/>
              <w:adjustRightInd w:val="0"/>
              <w:snapToGrid w:val="0"/>
              <w:jc w:val="center"/>
              <w:rPr>
                <w:color w:val="auto"/>
                <w:kern w:val="0"/>
              </w:rPr>
            </w:pPr>
          </w:p>
        </w:tc>
      </w:tr>
      <w:tr w14:paraId="256975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50" w:hRule="atLeast"/>
          <w:jc w:val="center"/>
        </w:trPr>
        <w:tc>
          <w:tcPr>
            <w:tcW w:w="591" w:type="pct"/>
            <w:gridSpan w:val="2"/>
            <w:tcBorders>
              <w:top w:val="single" w:color="auto" w:sz="8" w:space="0"/>
              <w:bottom w:val="single" w:color="auto" w:sz="8" w:space="0"/>
              <w:right w:val="single" w:color="auto" w:sz="8" w:space="0"/>
            </w:tcBorders>
            <w:vAlign w:val="center"/>
          </w:tcPr>
          <w:p w14:paraId="23CFC67D">
            <w:pPr>
              <w:overflowPunct w:val="0"/>
              <w:adjustRightInd w:val="0"/>
              <w:snapToGrid w:val="0"/>
              <w:jc w:val="center"/>
              <w:rPr>
                <w:b/>
                <w:color w:val="auto"/>
                <w:kern w:val="0"/>
              </w:rPr>
            </w:pPr>
            <w:r>
              <w:rPr>
                <w:b/>
                <w:color w:val="auto"/>
              </w:rPr>
              <w:t>规划情况</w:t>
            </w:r>
          </w:p>
        </w:tc>
        <w:tc>
          <w:tcPr>
            <w:tcW w:w="7998" w:type="dxa"/>
            <w:gridSpan w:val="3"/>
            <w:tcBorders>
              <w:top w:val="single" w:color="auto" w:sz="8" w:space="0"/>
              <w:left w:val="single" w:color="auto" w:sz="8" w:space="0"/>
              <w:bottom w:val="single" w:color="auto" w:sz="8" w:space="0"/>
            </w:tcBorders>
            <w:vAlign w:val="center"/>
          </w:tcPr>
          <w:p w14:paraId="13AD15D5">
            <w:pPr>
              <w:pStyle w:val="2"/>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规划名称：</w:t>
            </w:r>
            <w:r>
              <w:rPr>
                <w:rFonts w:hint="default" w:ascii="Times New Roman" w:hAnsi="Times New Roman" w:eastAsia="宋体" w:cs="Times New Roman"/>
                <w:color w:val="auto"/>
                <w:kern w:val="0"/>
                <w:sz w:val="21"/>
                <w:szCs w:val="21"/>
                <w:lang w:val="en-US" w:eastAsia="zh-CN" w:bidi="ar-SA"/>
              </w:rPr>
              <w:t>《江苏省金坛华罗庚高新技术产业开发区控制性详细规划》</w:t>
            </w:r>
          </w:p>
          <w:p w14:paraId="37EE0CE9">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审查机关：常州市金坛区人民政府</w:t>
            </w:r>
          </w:p>
          <w:p w14:paraId="05972D40">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eastAsia="宋体"/>
                <w:color w:val="auto"/>
                <w:lang w:eastAsia="zh-CN"/>
              </w:rPr>
            </w:pPr>
            <w:r>
              <w:rPr>
                <w:rFonts w:hint="default" w:ascii="Times New Roman" w:hAnsi="Times New Roman" w:eastAsia="宋体" w:cs="Times New Roman"/>
                <w:color w:val="auto"/>
                <w:kern w:val="0"/>
                <w:sz w:val="21"/>
                <w:szCs w:val="21"/>
                <w:lang w:val="en-US" w:eastAsia="zh-CN" w:bidi="ar-SA"/>
              </w:rPr>
              <w:t>审查文件名称及文号：《常州市金坛区人民政府关于同意江苏省金坛华罗庚高新技术产业开发区控制性详细规划的批复》（坛政复[2021]176号</w:t>
            </w:r>
            <w:r>
              <w:rPr>
                <w:rFonts w:hint="eastAsia" w:cs="Times New Roman"/>
                <w:color w:val="auto"/>
                <w:kern w:val="0"/>
                <w:sz w:val="21"/>
                <w:szCs w:val="21"/>
                <w:lang w:val="en-US" w:eastAsia="zh-CN" w:bidi="ar-SA"/>
              </w:rPr>
              <w:t>）</w:t>
            </w:r>
          </w:p>
        </w:tc>
      </w:tr>
      <w:tr w14:paraId="3692B3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30" w:hRule="atLeast"/>
          <w:jc w:val="center"/>
        </w:trPr>
        <w:tc>
          <w:tcPr>
            <w:tcW w:w="591" w:type="pct"/>
            <w:gridSpan w:val="2"/>
            <w:tcBorders>
              <w:top w:val="single" w:color="auto" w:sz="8" w:space="0"/>
              <w:bottom w:val="single" w:color="auto" w:sz="8" w:space="0"/>
              <w:right w:val="single" w:color="auto" w:sz="8" w:space="0"/>
            </w:tcBorders>
            <w:vAlign w:val="center"/>
          </w:tcPr>
          <w:p w14:paraId="51CA77A5">
            <w:pPr>
              <w:overflowPunct w:val="0"/>
              <w:adjustRightInd w:val="0"/>
              <w:snapToGrid w:val="0"/>
              <w:jc w:val="center"/>
              <w:rPr>
                <w:b/>
                <w:color w:val="auto"/>
              </w:rPr>
            </w:pPr>
            <w:r>
              <w:rPr>
                <w:b/>
                <w:bCs/>
                <w:color w:val="auto"/>
              </w:rPr>
              <w:t>规划环境影响评价情况</w:t>
            </w:r>
          </w:p>
        </w:tc>
        <w:tc>
          <w:tcPr>
            <w:tcW w:w="7998" w:type="dxa"/>
            <w:gridSpan w:val="3"/>
            <w:tcBorders>
              <w:top w:val="single" w:color="auto" w:sz="8" w:space="0"/>
              <w:left w:val="single" w:color="auto" w:sz="8" w:space="0"/>
              <w:bottom w:val="single" w:color="auto" w:sz="8" w:space="0"/>
            </w:tcBorders>
            <w:vAlign w:val="center"/>
          </w:tcPr>
          <w:p w14:paraId="7A7AD2E0">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color w:val="auto"/>
                <w:sz w:val="21"/>
                <w:szCs w:val="21"/>
                <w:highlight w:val="none"/>
              </w:rPr>
            </w:pPr>
            <w:r>
              <w:rPr>
                <w:color w:val="auto"/>
                <w:sz w:val="21"/>
                <w:szCs w:val="21"/>
                <w:highlight w:val="none"/>
              </w:rPr>
              <w:t>规划环境影响评价文件名称：</w:t>
            </w:r>
            <w:r>
              <w:rPr>
                <w:rFonts w:hint="eastAsia"/>
                <w:color w:val="auto"/>
                <w:sz w:val="21"/>
                <w:szCs w:val="21"/>
                <w:highlight w:val="none"/>
              </w:rPr>
              <w:t>《江苏省金坛华罗庚高新技术产业园开发区开发建设规划（2022~2035）环境影响报告书》</w:t>
            </w:r>
          </w:p>
          <w:p w14:paraId="1EFD8488">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color w:val="auto"/>
                <w:sz w:val="21"/>
                <w:szCs w:val="21"/>
                <w:highlight w:val="none"/>
              </w:rPr>
            </w:pPr>
            <w:r>
              <w:rPr>
                <w:color w:val="auto"/>
                <w:sz w:val="21"/>
                <w:szCs w:val="21"/>
                <w:highlight w:val="none"/>
              </w:rPr>
              <w:t>审查机关：</w:t>
            </w:r>
            <w:r>
              <w:rPr>
                <w:rFonts w:hint="default" w:ascii="Times New Roman" w:hAnsi="Times New Roman" w:eastAsia="宋体" w:cs="Times New Roman"/>
                <w:color w:val="auto"/>
              </w:rPr>
              <w:t>常州市生态环境局</w:t>
            </w:r>
          </w:p>
          <w:p w14:paraId="2A87BAC9">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color w:val="auto"/>
                <w:sz w:val="21"/>
                <w:szCs w:val="21"/>
                <w:highlight w:val="none"/>
              </w:rPr>
            </w:pPr>
            <w:r>
              <w:rPr>
                <w:color w:val="auto"/>
                <w:sz w:val="21"/>
                <w:szCs w:val="21"/>
                <w:highlight w:val="none"/>
              </w:rPr>
              <w:t>审查文件：</w:t>
            </w:r>
            <w:r>
              <w:rPr>
                <w:rFonts w:hint="eastAsia"/>
                <w:color w:val="auto"/>
                <w:sz w:val="21"/>
                <w:szCs w:val="21"/>
                <w:highlight w:val="none"/>
              </w:rPr>
              <w:t>《市生态环境局关于江苏省金坛华罗庚高新技术产业园开发区开发建设规划（2022~2035）环境影响报告书的审查意见》</w:t>
            </w:r>
          </w:p>
          <w:p w14:paraId="155A5B8E">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color w:val="auto"/>
              </w:rPr>
            </w:pPr>
            <w:r>
              <w:rPr>
                <w:color w:val="auto"/>
                <w:sz w:val="21"/>
                <w:szCs w:val="21"/>
                <w:highlight w:val="none"/>
              </w:rPr>
              <w:t>审查文号：</w:t>
            </w:r>
            <w:r>
              <w:rPr>
                <w:rFonts w:hint="eastAsia"/>
                <w:color w:val="auto"/>
                <w:sz w:val="21"/>
                <w:szCs w:val="21"/>
                <w:highlight w:val="none"/>
              </w:rPr>
              <w:t>常金环审[2023]4号</w:t>
            </w:r>
          </w:p>
        </w:tc>
      </w:tr>
      <w:tr w14:paraId="1C2191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03" w:hRule="atLeast"/>
          <w:jc w:val="center"/>
        </w:trPr>
        <w:tc>
          <w:tcPr>
            <w:tcW w:w="388" w:type="pct"/>
            <w:tcBorders>
              <w:top w:val="single" w:color="auto" w:sz="8" w:space="0"/>
            </w:tcBorders>
            <w:vAlign w:val="center"/>
          </w:tcPr>
          <w:p w14:paraId="7D2EF4E7">
            <w:pPr>
              <w:overflowPunct w:val="0"/>
              <w:adjustRightInd w:val="0"/>
              <w:snapToGrid w:val="0"/>
              <w:jc w:val="center"/>
              <w:rPr>
                <w:b/>
                <w:color w:val="auto"/>
                <w:kern w:val="0"/>
              </w:rPr>
            </w:pPr>
            <w:r>
              <w:rPr>
                <w:rFonts w:hint="eastAsia"/>
                <w:b/>
                <w:color w:val="auto"/>
              </w:rPr>
              <w:t>规划及</w:t>
            </w:r>
            <w:r>
              <w:rPr>
                <w:b/>
                <w:color w:val="auto"/>
              </w:rPr>
              <w:t>规划环境影响评价</w:t>
            </w:r>
            <w:r>
              <w:rPr>
                <w:rFonts w:hint="eastAsia"/>
                <w:b/>
                <w:color w:val="auto"/>
              </w:rPr>
              <w:t>符合性分析</w:t>
            </w:r>
          </w:p>
        </w:tc>
        <w:tc>
          <w:tcPr>
            <w:tcW w:w="4611" w:type="pct"/>
            <w:gridSpan w:val="4"/>
            <w:tcBorders>
              <w:top w:val="single" w:color="auto" w:sz="8" w:space="0"/>
            </w:tcBorders>
            <w:vAlign w:val="center"/>
          </w:tcPr>
          <w:p w14:paraId="758A771F">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b/>
                <w:bCs/>
                <w:color w:val="auto"/>
                <w:szCs w:val="21"/>
              </w:rPr>
            </w:pPr>
            <w:r>
              <w:rPr>
                <w:rFonts w:hint="eastAsia"/>
                <w:b/>
                <w:bCs/>
                <w:color w:val="auto"/>
                <w:szCs w:val="21"/>
              </w:rPr>
              <w:t>1、</w:t>
            </w:r>
            <w:r>
              <w:rPr>
                <w:b/>
                <w:bCs/>
                <w:color w:val="auto"/>
                <w:szCs w:val="21"/>
              </w:rPr>
              <w:t>规划相符性</w:t>
            </w:r>
          </w:p>
          <w:p w14:paraId="324E6C8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rPr>
              <w:t>本项目</w:t>
            </w:r>
            <w:r>
              <w:rPr>
                <w:rFonts w:hint="default" w:ascii="Times New Roman" w:hAnsi="Times New Roman" w:eastAsia="宋体" w:cs="Times New Roman"/>
                <w:b w:val="0"/>
                <w:bCs w:val="0"/>
                <w:color w:val="auto"/>
                <w:sz w:val="21"/>
                <w:szCs w:val="21"/>
                <w:highlight w:val="none"/>
              </w:rPr>
              <w:t>与《江苏省金坛华罗庚高新技术产业开发区控制性详细规划》相符性分析见</w:t>
            </w:r>
            <w:r>
              <w:rPr>
                <w:rFonts w:hint="eastAsia" w:ascii="Times New Roman" w:hAnsi="Times New Roman" w:eastAsia="宋体" w:cs="Times New Roman"/>
                <w:b w:val="0"/>
                <w:bCs w:val="0"/>
                <w:color w:val="auto"/>
                <w:sz w:val="21"/>
                <w:szCs w:val="21"/>
                <w:highlight w:val="none"/>
                <w:lang w:val="en-US" w:eastAsia="zh-CN"/>
              </w:rPr>
              <w:t>下表</w:t>
            </w:r>
            <w:r>
              <w:rPr>
                <w:rFonts w:hint="eastAsia" w:ascii="Times New Roman" w:hAnsi="Times New Roman" w:eastAsia="宋体" w:cs="Times New Roman"/>
                <w:b w:val="0"/>
                <w:bCs w:val="0"/>
                <w:color w:val="auto"/>
                <w:sz w:val="21"/>
                <w:szCs w:val="21"/>
                <w:highlight w:val="none"/>
                <w:lang w:eastAsia="zh-CN"/>
              </w:rPr>
              <w:t>。</w:t>
            </w:r>
          </w:p>
          <w:p w14:paraId="1FBE575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highlight w:val="none"/>
              </w:rPr>
              <w:t>表1-</w:t>
            </w:r>
            <w:r>
              <w:rPr>
                <w:rFonts w:hint="eastAsia" w:ascii="Times New Roman" w:hAnsi="Times New Roman" w:eastAsia="宋体"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rPr>
              <w:t xml:space="preserve"> </w:t>
            </w:r>
            <w:r>
              <w:rPr>
                <w:rFonts w:hint="eastAsia"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本项目</w:t>
            </w:r>
            <w:r>
              <w:rPr>
                <w:rFonts w:hint="default" w:ascii="Times New Roman" w:hAnsi="Times New Roman" w:eastAsia="宋体" w:cs="Times New Roman"/>
                <w:b/>
                <w:bCs/>
                <w:color w:val="auto"/>
                <w:sz w:val="21"/>
                <w:szCs w:val="21"/>
                <w:highlight w:val="none"/>
                <w:lang w:val="en-US" w:eastAsia="zh-CN"/>
              </w:rPr>
              <w:t>与《江苏省金坛华罗庚高新技术产业开发区控制性详细规划》</w:t>
            </w:r>
            <w:r>
              <w:rPr>
                <w:rFonts w:hint="default" w:ascii="Times New Roman" w:hAnsi="Times New Roman" w:eastAsia="宋体" w:cs="Times New Roman"/>
                <w:b/>
                <w:bCs/>
                <w:color w:val="auto"/>
                <w:sz w:val="21"/>
                <w:szCs w:val="21"/>
              </w:rPr>
              <w:t>相符性分析</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5026"/>
              <w:gridCol w:w="2378"/>
              <w:gridCol w:w="747"/>
            </w:tblGrid>
            <w:tr w14:paraId="509BA4E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083" w:type="pct"/>
                  <w:tcBorders>
                    <w:tl2br w:val="nil"/>
                    <w:tr2bl w:val="nil"/>
                  </w:tcBorders>
                  <w:noWrap w:val="0"/>
                  <w:vAlign w:val="center"/>
                </w:tcPr>
                <w:p w14:paraId="49F8137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val="0"/>
                      <w:color w:val="auto"/>
                      <w:kern w:val="0"/>
                      <w:sz w:val="21"/>
                      <w:szCs w:val="21"/>
                      <w:lang w:eastAsia="zh-CN"/>
                    </w:rPr>
                  </w:pPr>
                  <w:r>
                    <w:rPr>
                      <w:rFonts w:hint="default" w:ascii="Times New Roman" w:hAnsi="Times New Roman" w:eastAsia="宋体" w:cs="Times New Roman"/>
                      <w:b/>
                      <w:bCs w:val="0"/>
                      <w:color w:val="auto"/>
                      <w:kern w:val="0"/>
                      <w:sz w:val="21"/>
                      <w:szCs w:val="21"/>
                    </w:rPr>
                    <w:t>相关</w:t>
                  </w:r>
                  <w:r>
                    <w:rPr>
                      <w:rFonts w:hint="eastAsia" w:ascii="Times New Roman" w:hAnsi="Times New Roman" w:eastAsia="宋体" w:cs="Times New Roman"/>
                      <w:b/>
                      <w:bCs w:val="0"/>
                      <w:color w:val="auto"/>
                      <w:kern w:val="0"/>
                      <w:sz w:val="21"/>
                      <w:szCs w:val="21"/>
                      <w:lang w:val="en-US" w:eastAsia="zh-CN"/>
                    </w:rPr>
                    <w:t>要求</w:t>
                  </w:r>
                </w:p>
              </w:tc>
              <w:tc>
                <w:tcPr>
                  <w:tcW w:w="1458" w:type="pct"/>
                  <w:tcBorders>
                    <w:tl2br w:val="nil"/>
                    <w:tr2bl w:val="nil"/>
                  </w:tcBorders>
                  <w:noWrap w:val="0"/>
                  <w:vAlign w:val="center"/>
                </w:tcPr>
                <w:p w14:paraId="460DAF8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kern w:val="0"/>
                      <w:sz w:val="21"/>
                      <w:szCs w:val="21"/>
                      <w:lang w:val="en-US" w:eastAsia="zh-CN"/>
                    </w:rPr>
                  </w:pPr>
                  <w:r>
                    <w:rPr>
                      <w:rFonts w:hint="eastAsia" w:ascii="Times New Roman" w:hAnsi="Times New Roman" w:eastAsia="宋体" w:cs="Times New Roman"/>
                      <w:b/>
                      <w:bCs w:val="0"/>
                      <w:color w:val="auto"/>
                      <w:kern w:val="0"/>
                      <w:sz w:val="21"/>
                      <w:szCs w:val="21"/>
                      <w:lang w:val="en-US" w:eastAsia="zh-CN"/>
                    </w:rPr>
                    <w:t>本项目情况</w:t>
                  </w:r>
                </w:p>
              </w:tc>
              <w:tc>
                <w:tcPr>
                  <w:tcW w:w="458" w:type="pct"/>
                  <w:tcBorders>
                    <w:tl2br w:val="nil"/>
                    <w:tr2bl w:val="nil"/>
                  </w:tcBorders>
                  <w:noWrap w:val="0"/>
                  <w:vAlign w:val="center"/>
                </w:tcPr>
                <w:p w14:paraId="4363F66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相符性</w:t>
                  </w:r>
                </w:p>
              </w:tc>
            </w:tr>
            <w:tr w14:paraId="4832BB7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083" w:type="pct"/>
                  <w:tcBorders>
                    <w:tl2br w:val="nil"/>
                    <w:tr2bl w:val="nil"/>
                  </w:tcBorders>
                  <w:noWrap w:val="0"/>
                  <w:vAlign w:val="center"/>
                </w:tcPr>
                <w:p w14:paraId="01975F3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color w:val="auto"/>
                      <w:kern w:val="0"/>
                      <w:sz w:val="21"/>
                      <w:szCs w:val="21"/>
                      <w:lang w:eastAsia="zh-CN"/>
                    </w:rPr>
                  </w:pPr>
                  <w:r>
                    <w:rPr>
                      <w:rFonts w:hint="eastAsia" w:ascii="Times New Roman" w:hAnsi="Times New Roman" w:eastAsia="宋体" w:cs="Times New Roman"/>
                      <w:b w:val="0"/>
                      <w:bCs/>
                      <w:color w:val="auto"/>
                      <w:kern w:val="0"/>
                      <w:sz w:val="21"/>
                      <w:szCs w:val="21"/>
                      <w:lang w:eastAsia="zh-CN"/>
                    </w:rPr>
                    <w:t>规划范围：包括华罗庚产业科技园（东至G233，南至江东大道、西至金湖路、北至金坛大道）、金东现代产业园（东至G233、南至河下东街、西至金湖南路、北至长荡湖北路）、华罗庚科学城（东至庆生路、南至长荡湖北路、西至丹桂南路、北至华家路），规划面积46.02平方公里</w:t>
                  </w:r>
                </w:p>
              </w:tc>
              <w:tc>
                <w:tcPr>
                  <w:tcW w:w="1458" w:type="pct"/>
                  <w:tcBorders>
                    <w:tl2br w:val="nil"/>
                    <w:tr2bl w:val="nil"/>
                  </w:tcBorders>
                  <w:noWrap w:val="0"/>
                  <w:vAlign w:val="center"/>
                </w:tcPr>
                <w:p w14:paraId="64CAB8A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kern w:val="0"/>
                      <w:sz w:val="21"/>
                      <w:szCs w:val="21"/>
                    </w:rPr>
                  </w:pPr>
                  <w:r>
                    <w:rPr>
                      <w:rFonts w:hint="eastAsia" w:ascii="Times New Roman" w:hAnsi="Times New Roman" w:eastAsia="宋体" w:cs="Times New Roman"/>
                      <w:b w:val="0"/>
                      <w:bCs/>
                      <w:color w:val="auto"/>
                      <w:kern w:val="0"/>
                      <w:sz w:val="21"/>
                      <w:szCs w:val="21"/>
                      <w:lang w:val="en-US" w:eastAsia="zh-CN"/>
                    </w:rPr>
                    <w:t>项目建设地位于</w:t>
                  </w:r>
                  <w:r>
                    <w:rPr>
                      <w:rFonts w:hint="eastAsia"/>
                      <w:color w:val="auto"/>
                      <w:kern w:val="0"/>
                      <w:lang w:eastAsia="zh-CN"/>
                    </w:rPr>
                    <w:t>江苏省常州市金坛区金湖路99号</w:t>
                  </w:r>
                  <w:r>
                    <w:rPr>
                      <w:rFonts w:hint="eastAsia" w:ascii="Times New Roman" w:hAnsi="Times New Roman" w:eastAsia="宋体" w:cs="Times New Roman"/>
                      <w:b w:val="0"/>
                      <w:bCs/>
                      <w:color w:val="auto"/>
                      <w:kern w:val="0"/>
                      <w:sz w:val="21"/>
                      <w:szCs w:val="21"/>
                      <w:lang w:val="en-US" w:eastAsia="zh-CN"/>
                    </w:rPr>
                    <w:t>，位于</w:t>
                  </w:r>
                  <w:r>
                    <w:rPr>
                      <w:rFonts w:hint="default" w:ascii="Times New Roman" w:hAnsi="Times New Roman" w:eastAsia="宋体" w:cs="Times New Roman"/>
                      <w:color w:val="auto"/>
                      <w:kern w:val="0"/>
                      <w:sz w:val="21"/>
                      <w:szCs w:val="21"/>
                    </w:rPr>
                    <w:t>江苏省金坛华罗庚高新技术产业开发区</w:t>
                  </w:r>
                  <w:r>
                    <w:rPr>
                      <w:rFonts w:hint="eastAsia" w:ascii="Times New Roman" w:hAnsi="Times New Roman" w:eastAsia="宋体" w:cs="Times New Roman"/>
                      <w:color w:val="auto"/>
                      <w:kern w:val="0"/>
                      <w:sz w:val="21"/>
                      <w:szCs w:val="21"/>
                      <w:lang w:val="en-US" w:eastAsia="zh-CN"/>
                    </w:rPr>
                    <w:t>中</w:t>
                  </w:r>
                  <w:r>
                    <w:rPr>
                      <w:rFonts w:hint="eastAsia" w:eastAsia="宋体" w:cs="Times New Roman"/>
                      <w:color w:val="auto"/>
                      <w:kern w:val="0"/>
                      <w:sz w:val="21"/>
                      <w:szCs w:val="21"/>
                      <w:lang w:val="en-US" w:eastAsia="zh-CN"/>
                    </w:rPr>
                    <w:t>华罗庚科技产业园</w:t>
                  </w:r>
                  <w:r>
                    <w:rPr>
                      <w:rFonts w:hint="default" w:ascii="Times New Roman" w:hAnsi="Times New Roman" w:eastAsia="宋体" w:cs="Times New Roman"/>
                      <w:color w:val="auto"/>
                      <w:kern w:val="0"/>
                      <w:sz w:val="21"/>
                      <w:szCs w:val="21"/>
                    </w:rPr>
                    <w:t>（</w:t>
                  </w:r>
                  <w:r>
                    <w:rPr>
                      <w:rFonts w:hint="eastAsia" w:eastAsia="宋体" w:cs="Times New Roman"/>
                      <w:color w:val="auto"/>
                      <w:kern w:val="0"/>
                      <w:sz w:val="21"/>
                      <w:szCs w:val="21"/>
                      <w:lang w:val="en-US" w:eastAsia="zh-CN"/>
                    </w:rPr>
                    <w:t>北区</w:t>
                  </w:r>
                  <w:r>
                    <w:rPr>
                      <w:rFonts w:hint="default" w:ascii="Times New Roman" w:hAnsi="Times New Roman" w:eastAsia="宋体" w:cs="Times New Roman"/>
                      <w:color w:val="auto"/>
                      <w:kern w:val="0"/>
                      <w:sz w:val="21"/>
                      <w:szCs w:val="21"/>
                    </w:rPr>
                    <w:t>）</w:t>
                  </w:r>
                </w:p>
              </w:tc>
              <w:tc>
                <w:tcPr>
                  <w:tcW w:w="458" w:type="pct"/>
                  <w:tcBorders>
                    <w:tl2br w:val="nil"/>
                    <w:tr2bl w:val="nil"/>
                  </w:tcBorders>
                  <w:noWrap w:val="0"/>
                  <w:vAlign w:val="center"/>
                </w:tcPr>
                <w:p w14:paraId="0DAABB9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相符</w:t>
                  </w:r>
                </w:p>
              </w:tc>
            </w:tr>
          </w:tbl>
          <w:p w14:paraId="1A3EC5A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sz w:val="21"/>
                <w:szCs w:val="21"/>
                <w:highlight w:val="none"/>
              </w:rPr>
            </w:pPr>
            <w:r>
              <w:rPr>
                <w:rFonts w:hint="default" w:ascii="Times New Roman" w:hAnsi="Times New Roman" w:eastAsia="宋体" w:cs="Times New Roman"/>
                <w:color w:val="auto"/>
                <w:kern w:val="0"/>
                <w:sz w:val="21"/>
                <w:szCs w:val="21"/>
              </w:rPr>
              <w:t>项目建设地位于</w:t>
            </w:r>
            <w:r>
              <w:rPr>
                <w:rFonts w:hint="eastAsia"/>
                <w:color w:val="auto"/>
                <w:lang w:eastAsia="zh-CN"/>
              </w:rPr>
              <w:t>江苏省常州市金坛区金湖路99号</w:t>
            </w:r>
            <w:r>
              <w:rPr>
                <w:rFonts w:hint="default" w:ascii="Times New Roman" w:hAnsi="Times New Roman" w:eastAsia="宋体" w:cs="Times New Roman"/>
                <w:color w:val="auto"/>
                <w:kern w:val="0"/>
                <w:sz w:val="21"/>
                <w:szCs w:val="21"/>
              </w:rPr>
              <w:t>，</w:t>
            </w:r>
            <w:r>
              <w:rPr>
                <w:rFonts w:hint="eastAsia" w:ascii="Times New Roman" w:hAnsi="Times New Roman" w:eastAsia="宋体" w:cs="Times New Roman"/>
                <w:color w:val="auto"/>
                <w:kern w:val="0"/>
                <w:sz w:val="21"/>
                <w:szCs w:val="21"/>
                <w:lang w:val="en-US" w:eastAsia="zh-CN"/>
              </w:rPr>
              <w:t>位于</w:t>
            </w:r>
            <w:r>
              <w:rPr>
                <w:rFonts w:hint="default" w:ascii="Times New Roman" w:hAnsi="Times New Roman" w:eastAsia="宋体" w:cs="Times New Roman"/>
                <w:bCs/>
                <w:color w:val="auto"/>
                <w:sz w:val="21"/>
                <w:szCs w:val="21"/>
              </w:rPr>
              <w:t>江</w:t>
            </w:r>
            <w:r>
              <w:rPr>
                <w:rFonts w:hint="default" w:ascii="Times New Roman" w:hAnsi="Times New Roman" w:eastAsia="宋体" w:cs="Times New Roman"/>
                <w:color w:val="auto"/>
                <w:kern w:val="0"/>
                <w:sz w:val="21"/>
                <w:szCs w:val="21"/>
              </w:rPr>
              <w:t>苏省金坛华罗庚高新技术产业开发区</w:t>
            </w:r>
            <w:r>
              <w:rPr>
                <w:rFonts w:hint="eastAsia" w:ascii="Times New Roman" w:hAnsi="Times New Roman" w:eastAsia="宋体" w:cs="Times New Roman"/>
                <w:color w:val="auto"/>
                <w:kern w:val="0"/>
                <w:sz w:val="21"/>
                <w:szCs w:val="21"/>
                <w:lang w:val="en-US" w:eastAsia="zh-CN"/>
              </w:rPr>
              <w:t>中</w:t>
            </w:r>
            <w:r>
              <w:rPr>
                <w:rFonts w:hint="eastAsia" w:eastAsia="宋体" w:cs="Times New Roman"/>
                <w:color w:val="auto"/>
                <w:kern w:val="0"/>
                <w:sz w:val="21"/>
                <w:szCs w:val="21"/>
                <w:lang w:val="en-US" w:eastAsia="zh-CN"/>
              </w:rPr>
              <w:t>华罗庚科技产业园</w:t>
            </w:r>
            <w:r>
              <w:rPr>
                <w:rFonts w:hint="default" w:ascii="Times New Roman" w:hAnsi="Times New Roman" w:eastAsia="宋体" w:cs="Times New Roman"/>
                <w:color w:val="auto"/>
                <w:kern w:val="0"/>
                <w:sz w:val="21"/>
                <w:szCs w:val="21"/>
              </w:rPr>
              <w:t>（</w:t>
            </w:r>
            <w:r>
              <w:rPr>
                <w:rFonts w:hint="eastAsia" w:eastAsia="宋体" w:cs="Times New Roman"/>
                <w:color w:val="auto"/>
                <w:kern w:val="0"/>
                <w:sz w:val="21"/>
                <w:szCs w:val="21"/>
                <w:lang w:val="en-US" w:eastAsia="zh-CN"/>
              </w:rPr>
              <w:t>北区</w:t>
            </w:r>
            <w:r>
              <w:rPr>
                <w:rFonts w:hint="default" w:ascii="Times New Roman" w:hAnsi="Times New Roman" w:eastAsia="宋体" w:cs="Times New Roman"/>
                <w:color w:val="auto"/>
                <w:kern w:val="0"/>
                <w:sz w:val="21"/>
                <w:szCs w:val="21"/>
              </w:rPr>
              <w:t>）</w:t>
            </w:r>
            <w:r>
              <w:rPr>
                <w:rFonts w:hint="eastAsia"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根据用地规划图，项目用地地块属于</w:t>
            </w:r>
            <w:r>
              <w:rPr>
                <w:rFonts w:hint="eastAsia" w:eastAsia="宋体" w:cs="Times New Roman"/>
                <w:bCs/>
                <w:color w:val="auto"/>
                <w:sz w:val="21"/>
                <w:szCs w:val="21"/>
                <w:lang w:val="en-US" w:eastAsia="zh-CN"/>
              </w:rPr>
              <w:t>一</w:t>
            </w:r>
            <w:r>
              <w:rPr>
                <w:rFonts w:hint="default" w:ascii="Times New Roman" w:hAnsi="Times New Roman" w:eastAsia="宋体" w:cs="Times New Roman"/>
                <w:bCs/>
                <w:color w:val="auto"/>
                <w:sz w:val="21"/>
                <w:szCs w:val="21"/>
              </w:rPr>
              <w:t>类工业用地</w:t>
            </w:r>
            <w:r>
              <w:rPr>
                <w:rFonts w:hint="eastAsia" w:eastAsia="宋体" w:cs="Times New Roman"/>
                <w:bCs/>
                <w:color w:val="auto"/>
                <w:sz w:val="21"/>
                <w:szCs w:val="21"/>
                <w:lang w:eastAsia="zh-CN"/>
              </w:rPr>
              <w:t>（</w:t>
            </w:r>
            <w:r>
              <w:rPr>
                <w:rFonts w:hint="eastAsia" w:eastAsia="宋体" w:cs="Times New Roman"/>
                <w:bCs/>
                <w:color w:val="auto"/>
                <w:sz w:val="21"/>
                <w:szCs w:val="21"/>
                <w:lang w:val="en-US" w:eastAsia="zh-CN"/>
              </w:rPr>
              <w:t>见附图5用地规划图</w:t>
            </w:r>
            <w:r>
              <w:rPr>
                <w:rFonts w:hint="eastAsia" w:eastAsia="宋体" w:cs="Times New Roman"/>
                <w:bCs/>
                <w:color w:val="auto"/>
                <w:sz w:val="21"/>
                <w:szCs w:val="21"/>
                <w:lang w:eastAsia="zh-CN"/>
              </w:rPr>
              <w:t>）</w:t>
            </w:r>
            <w:r>
              <w:rPr>
                <w:rFonts w:hint="default" w:ascii="Times New Roman" w:hAnsi="Times New Roman" w:eastAsia="宋体" w:cs="Times New Roman"/>
                <w:bCs/>
                <w:color w:val="auto"/>
                <w:sz w:val="21"/>
                <w:szCs w:val="21"/>
              </w:rPr>
              <w:t>，满足规划要求。因此项目建设符合《江苏省金坛华罗庚高新技术产业开发区控制性详细规划》中相关要求。</w:t>
            </w:r>
          </w:p>
          <w:p w14:paraId="3DED2059">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textAlignment w:val="auto"/>
              <w:rPr>
                <w:b/>
                <w:color w:val="auto"/>
                <w:kern w:val="0"/>
                <w:sz w:val="21"/>
                <w:szCs w:val="21"/>
                <w:highlight w:val="none"/>
              </w:rPr>
            </w:pPr>
            <w:r>
              <w:rPr>
                <w:rFonts w:hint="eastAsia"/>
                <w:b/>
                <w:color w:val="auto"/>
                <w:kern w:val="0"/>
                <w:sz w:val="21"/>
                <w:szCs w:val="21"/>
                <w:highlight w:val="none"/>
                <w:lang w:val="en-US" w:eastAsia="zh-CN"/>
              </w:rPr>
              <w:t>2、</w:t>
            </w:r>
            <w:r>
              <w:rPr>
                <w:rFonts w:hint="eastAsia"/>
                <w:b/>
                <w:color w:val="auto"/>
                <w:kern w:val="0"/>
                <w:sz w:val="21"/>
                <w:szCs w:val="21"/>
                <w:highlight w:val="none"/>
              </w:rPr>
              <w:t>规划环境影响评价相符性分析</w:t>
            </w:r>
          </w:p>
          <w:p w14:paraId="193CB23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本项目与</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江苏省金坛华罗庚高新技术产业园开发区开发建设规划（2022~2035）环境影响报告书</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中园区环境准入</w:t>
            </w:r>
            <w:r>
              <w:rPr>
                <w:rFonts w:hint="default" w:ascii="Times New Roman" w:hAnsi="Times New Roman" w:eastAsia="宋体" w:cs="Times New Roman"/>
                <w:color w:val="auto"/>
                <w:sz w:val="21"/>
                <w:szCs w:val="21"/>
              </w:rPr>
              <w:t>清单</w:t>
            </w:r>
            <w:r>
              <w:rPr>
                <w:rFonts w:hint="eastAsia" w:ascii="Times New Roman" w:hAnsi="Times New Roman" w:eastAsia="宋体" w:cs="Times New Roman"/>
                <w:color w:val="auto"/>
                <w:sz w:val="21"/>
                <w:szCs w:val="21"/>
                <w:lang w:val="en-US" w:eastAsia="zh-CN"/>
              </w:rPr>
              <w:t>及</w:t>
            </w:r>
            <w:r>
              <w:rPr>
                <w:rFonts w:hint="default" w:ascii="Times New Roman" w:hAnsi="Times New Roman" w:eastAsia="宋体" w:cs="Times New Roman"/>
                <w:color w:val="auto"/>
                <w:sz w:val="21"/>
                <w:szCs w:val="21"/>
              </w:rPr>
              <w:t>审查意见相符性见</w:t>
            </w:r>
            <w:r>
              <w:rPr>
                <w:rFonts w:hint="eastAsia" w:ascii="Times New Roman" w:hAnsi="Times New Roman" w:eastAsia="宋体" w:cs="Times New Roman"/>
                <w:color w:val="auto"/>
                <w:sz w:val="21"/>
                <w:szCs w:val="21"/>
                <w:lang w:val="en-US" w:eastAsia="zh-CN"/>
              </w:rPr>
              <w:t>表1-2及表1-3</w:t>
            </w:r>
            <w:r>
              <w:rPr>
                <w:rFonts w:hint="default" w:ascii="Times New Roman" w:hAnsi="Times New Roman" w:eastAsia="宋体" w:cs="Times New Roman"/>
                <w:color w:val="auto"/>
                <w:sz w:val="21"/>
                <w:szCs w:val="21"/>
              </w:rPr>
              <w:t>。</w:t>
            </w:r>
          </w:p>
          <w:p w14:paraId="4BB7CDDF">
            <w:pPr>
              <w:pStyle w:val="709"/>
              <w:adjustRightInd w:val="0"/>
              <w:snapToGrid w:val="0"/>
              <w:spacing w:line="240" w:lineRule="auto"/>
              <w:ind w:left="0" w:leftChars="0" w:firstLine="0" w:firstLineChars="0"/>
              <w:jc w:val="center"/>
              <w:rPr>
                <w:rFonts w:hint="eastAsia"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 xml:space="preserve">2   </w:t>
            </w:r>
            <w:r>
              <w:rPr>
                <w:rFonts w:hint="default" w:ascii="Times New Roman" w:hAnsi="Times New Roman" w:eastAsia="宋体" w:cs="Times New Roman"/>
                <w:b/>
                <w:color w:val="auto"/>
                <w:sz w:val="21"/>
                <w:szCs w:val="21"/>
                <w:lang w:val="en-US" w:eastAsia="zh-CN"/>
              </w:rPr>
              <w:t>本项目与</w:t>
            </w:r>
            <w:r>
              <w:rPr>
                <w:rFonts w:hint="eastAsia" w:ascii="Times New Roman" w:hAnsi="Times New Roman" w:eastAsia="宋体" w:cs="Times New Roman"/>
                <w:b/>
                <w:color w:val="auto"/>
                <w:sz w:val="21"/>
                <w:szCs w:val="21"/>
                <w:lang w:val="en-US" w:eastAsia="zh-CN"/>
              </w:rPr>
              <w:t>《</w:t>
            </w:r>
            <w:r>
              <w:rPr>
                <w:rFonts w:hint="default" w:ascii="Times New Roman" w:hAnsi="Times New Roman" w:eastAsia="宋体" w:cs="Times New Roman"/>
                <w:b/>
                <w:color w:val="auto"/>
                <w:sz w:val="21"/>
                <w:szCs w:val="21"/>
                <w:lang w:val="en-US" w:eastAsia="zh-CN"/>
              </w:rPr>
              <w:t>江苏省金坛华罗庚高新技术产业园开发区开发建设规划（2022~2035）环境影响报告书</w:t>
            </w:r>
            <w:r>
              <w:rPr>
                <w:rFonts w:hint="eastAsia" w:ascii="Times New Roman" w:hAnsi="Times New Roman" w:eastAsia="宋体" w:cs="Times New Roman"/>
                <w:b/>
                <w:color w:val="auto"/>
                <w:sz w:val="21"/>
                <w:szCs w:val="21"/>
                <w:lang w:val="en-US" w:eastAsia="zh-CN"/>
              </w:rPr>
              <w:t>》中园区环境准入</w:t>
            </w:r>
            <w:r>
              <w:rPr>
                <w:rFonts w:hint="default" w:ascii="Times New Roman" w:hAnsi="Times New Roman" w:eastAsia="宋体" w:cs="Times New Roman"/>
                <w:b/>
                <w:bCs/>
                <w:color w:val="auto"/>
                <w:sz w:val="21"/>
                <w:szCs w:val="21"/>
              </w:rPr>
              <w:t>清单对照</w:t>
            </w:r>
            <w:r>
              <w:rPr>
                <w:rFonts w:hint="eastAsia" w:ascii="Times New Roman" w:hAnsi="Times New Roman" w:eastAsia="宋体" w:cs="Times New Roman"/>
                <w:b/>
                <w:bCs/>
                <w:color w:val="auto"/>
                <w:sz w:val="21"/>
                <w:szCs w:val="21"/>
                <w:lang w:val="en-US" w:eastAsia="zh-CN"/>
              </w:rPr>
              <w:t>表</w:t>
            </w:r>
          </w:p>
          <w:tbl>
            <w:tblPr>
              <w:tblStyle w:val="60"/>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921"/>
              <w:gridCol w:w="3948"/>
              <w:gridCol w:w="2582"/>
              <w:gridCol w:w="697"/>
            </w:tblGrid>
            <w:tr w14:paraId="573F1AB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565" w:type="pct"/>
                  <w:tcBorders>
                    <w:tl2br w:val="nil"/>
                    <w:tr2bl w:val="nil"/>
                  </w:tcBorders>
                  <w:noWrap w:val="0"/>
                  <w:tcMar>
                    <w:top w:w="0" w:type="dxa"/>
                    <w:left w:w="0" w:type="dxa"/>
                    <w:bottom w:w="0" w:type="dxa"/>
                    <w:right w:w="0" w:type="dxa"/>
                  </w:tcMar>
                  <w:vAlign w:val="center"/>
                </w:tcPr>
                <w:p w14:paraId="03156C2A">
                  <w:pPr>
                    <w:pStyle w:val="635"/>
                    <w:keepNext w:val="0"/>
                    <w:keepLines w:val="0"/>
                    <w:pageBreakBefore w:val="0"/>
                    <w:widowControl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清单类型</w:t>
                  </w:r>
                </w:p>
              </w:tc>
              <w:tc>
                <w:tcPr>
                  <w:tcW w:w="2422" w:type="pct"/>
                  <w:tcBorders>
                    <w:tl2br w:val="nil"/>
                    <w:tr2bl w:val="nil"/>
                  </w:tcBorders>
                  <w:noWrap w:val="0"/>
                  <w:tcMar>
                    <w:top w:w="0" w:type="dxa"/>
                    <w:left w:w="0" w:type="dxa"/>
                    <w:bottom w:w="0" w:type="dxa"/>
                    <w:right w:w="0" w:type="dxa"/>
                  </w:tcMar>
                  <w:vAlign w:val="center"/>
                </w:tcPr>
                <w:p w14:paraId="2FBC1682">
                  <w:pPr>
                    <w:pStyle w:val="635"/>
                    <w:keepNext w:val="0"/>
                    <w:keepLines w:val="0"/>
                    <w:pageBreakBefore w:val="0"/>
                    <w:widowControl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准入内容</w:t>
                  </w:r>
                </w:p>
              </w:tc>
              <w:tc>
                <w:tcPr>
                  <w:tcW w:w="1584" w:type="pct"/>
                  <w:tcBorders>
                    <w:tl2br w:val="nil"/>
                    <w:tr2bl w:val="nil"/>
                  </w:tcBorders>
                  <w:noWrap w:val="0"/>
                  <w:tcMar>
                    <w:top w:w="0" w:type="dxa"/>
                    <w:left w:w="0" w:type="dxa"/>
                    <w:bottom w:w="0" w:type="dxa"/>
                    <w:right w:w="0" w:type="dxa"/>
                  </w:tcMar>
                  <w:vAlign w:val="center"/>
                </w:tcPr>
                <w:p w14:paraId="6E5BE593">
                  <w:pPr>
                    <w:pStyle w:val="635"/>
                    <w:keepNext w:val="0"/>
                    <w:keepLines w:val="0"/>
                    <w:pageBreakBefore w:val="0"/>
                    <w:widowControl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本项目情况</w:t>
                  </w:r>
                </w:p>
              </w:tc>
              <w:tc>
                <w:tcPr>
                  <w:tcW w:w="427" w:type="pct"/>
                  <w:tcBorders>
                    <w:tl2br w:val="nil"/>
                    <w:tr2bl w:val="nil"/>
                  </w:tcBorders>
                  <w:noWrap w:val="0"/>
                  <w:tcMar>
                    <w:top w:w="0" w:type="dxa"/>
                    <w:left w:w="0" w:type="dxa"/>
                    <w:bottom w:w="0" w:type="dxa"/>
                    <w:right w:w="0" w:type="dxa"/>
                  </w:tcMar>
                  <w:vAlign w:val="center"/>
                </w:tcPr>
                <w:p w14:paraId="331E1F92">
                  <w:pPr>
                    <w:pStyle w:val="635"/>
                    <w:keepNext w:val="0"/>
                    <w:keepLines w:val="0"/>
                    <w:pageBreakBefore w:val="0"/>
                    <w:widowControl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相符性</w:t>
                  </w:r>
                </w:p>
              </w:tc>
            </w:tr>
            <w:tr w14:paraId="0E00ECC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565" w:type="pct"/>
                  <w:tcBorders>
                    <w:tl2br w:val="nil"/>
                    <w:tr2bl w:val="nil"/>
                  </w:tcBorders>
                  <w:noWrap w:val="0"/>
                  <w:tcMar>
                    <w:top w:w="0" w:type="dxa"/>
                    <w:left w:w="0" w:type="dxa"/>
                    <w:bottom w:w="0" w:type="dxa"/>
                    <w:right w:w="0" w:type="dxa"/>
                  </w:tcMar>
                  <w:vAlign w:val="center"/>
                </w:tcPr>
                <w:p w14:paraId="02E17FA8">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禁止引入项目</w:t>
                  </w:r>
                </w:p>
              </w:tc>
              <w:tc>
                <w:tcPr>
                  <w:tcW w:w="2422" w:type="pct"/>
                  <w:tcBorders>
                    <w:tl2br w:val="nil"/>
                    <w:tr2bl w:val="nil"/>
                  </w:tcBorders>
                  <w:noWrap w:val="0"/>
                  <w:tcMar>
                    <w:top w:w="0" w:type="dxa"/>
                    <w:left w:w="0" w:type="dxa"/>
                    <w:bottom w:w="0" w:type="dxa"/>
                    <w:right w:w="0" w:type="dxa"/>
                  </w:tcMar>
                  <w:vAlign w:val="center"/>
                </w:tcPr>
                <w:p w14:paraId="1605CADD">
                  <w:pPr>
                    <w:pStyle w:val="635"/>
                    <w:keepNext w:val="0"/>
                    <w:keepLines w:val="0"/>
                    <w:pageBreakBefore w:val="0"/>
                    <w:widowControl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禁止新建独立燃油汽车项目；（2）禁止新建应用普通钢板等传统材料、采用冲压焊接等传统工艺制造车身的独立车身总成的项目；（3）禁止建设纯电镀加工、纯铸造加工项目；（4）不得新建钢铁、煤电、化工、印染项目；（5）不得新增化学合成制药类项目；（6）禁止引入危险化学品仓储企业；（7）禁止建设使用高VOCs含量的溶剂型涂料、油墨、胶黏剂等项目；工业涂装、包装印刷、纺织、木材加工等行业以及涂料、油墨等生产企业的新（改、扩）建项目需满足低（无）VOCs含量限值要求；（8）禁止引入排放重点重金属（铅、汞、镉、铬、砷）的重点行业项目；</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9）其它：禁止引入《省生态环境厅关于报送高耗能、高排放项目清单的通知》（苏环便函[2021]903号）中规定的高耗能、高排放项目</w:t>
                  </w:r>
                  <w:r>
                    <w:rPr>
                      <w:rFonts w:hint="eastAsia" w:ascii="Times New Roman" w:hAnsi="Times New Roman" w:eastAsia="宋体" w:cs="Times New Roman"/>
                      <w:color w:val="auto"/>
                      <w:kern w:val="0"/>
                      <w:sz w:val="21"/>
                      <w:szCs w:val="21"/>
                      <w:lang w:val="en-US" w:eastAsia="zh-CN" w:bidi="ar-SA"/>
                    </w:rPr>
                    <w:t>。</w:t>
                  </w:r>
                </w:p>
              </w:tc>
              <w:tc>
                <w:tcPr>
                  <w:tcW w:w="1584" w:type="pct"/>
                  <w:tcBorders>
                    <w:tl2br w:val="nil"/>
                    <w:tr2bl w:val="nil"/>
                  </w:tcBorders>
                  <w:noWrap w:val="0"/>
                  <w:tcMar>
                    <w:top w:w="0" w:type="dxa"/>
                    <w:left w:w="0" w:type="dxa"/>
                    <w:bottom w:w="0" w:type="dxa"/>
                    <w:right w:w="0" w:type="dxa"/>
                  </w:tcMar>
                  <w:vAlign w:val="center"/>
                </w:tcPr>
                <w:p w14:paraId="01A85B45">
                  <w:pPr>
                    <w:pStyle w:val="635"/>
                    <w:keepNext w:val="0"/>
                    <w:keepLines w:val="0"/>
                    <w:pageBreakBefore w:val="0"/>
                    <w:widowControl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本项目从</w:t>
                  </w:r>
                  <w:r>
                    <w:rPr>
                      <w:rFonts w:hint="eastAsia" w:ascii="Times New Roman" w:hAnsi="Times New Roman" w:eastAsia="宋体" w:cs="Times New Roman"/>
                      <w:color w:val="auto"/>
                      <w:kern w:val="0"/>
                      <w:sz w:val="21"/>
                      <w:szCs w:val="21"/>
                      <w:lang w:val="en-US" w:eastAsia="zh-CN" w:bidi="ar-SA"/>
                    </w:rPr>
                    <w:t>事</w:t>
                  </w:r>
                  <w:r>
                    <w:rPr>
                      <w:rFonts w:hint="eastAsia"/>
                      <w:color w:val="auto"/>
                      <w:kern w:val="0"/>
                      <w:sz w:val="21"/>
                      <w:szCs w:val="21"/>
                      <w:lang w:val="en-US" w:eastAsia="zh-CN"/>
                    </w:rPr>
                    <w:t>木质家具</w:t>
                  </w:r>
                  <w:r>
                    <w:rPr>
                      <w:rFonts w:hint="default" w:ascii="Times New Roman" w:hAnsi="Times New Roman" w:eastAsia="宋体" w:cs="Times New Roman"/>
                      <w:color w:val="auto"/>
                      <w:kern w:val="0"/>
                      <w:sz w:val="21"/>
                      <w:szCs w:val="21"/>
                      <w:lang w:val="en-US" w:eastAsia="zh-CN" w:bidi="ar-SA"/>
                    </w:rPr>
                    <w:t>的生产</w:t>
                  </w:r>
                  <w:r>
                    <w:rPr>
                      <w:rFonts w:hint="eastAsia" w:ascii="Times New Roman" w:hAnsi="Times New Roman" w:eastAsia="宋体" w:cs="Times New Roman"/>
                      <w:color w:val="auto"/>
                      <w:kern w:val="0"/>
                      <w:sz w:val="21"/>
                      <w:szCs w:val="21"/>
                      <w:lang w:val="en-US" w:eastAsia="zh-CN" w:bidi="ar-SA"/>
                    </w:rPr>
                    <w:t>，不属于禁止引入项目</w:t>
                  </w:r>
                  <w:r>
                    <w:rPr>
                      <w:rFonts w:hint="eastAsia" w:ascii="Times New Roman" w:hAnsi="Times New Roman" w:cs="Times New Roman"/>
                      <w:color w:val="auto"/>
                      <w:kern w:val="0"/>
                      <w:sz w:val="21"/>
                      <w:szCs w:val="21"/>
                      <w:lang w:val="en-US" w:eastAsia="zh-CN" w:bidi="ar-SA"/>
                    </w:rPr>
                    <w:t>，所使用涂料、白乳胶、热熔胶满足《低挥发性有机化合物含量涂料产品技术要求》（GB/T 38597-2020）、《胶粘剂挥发性有机化合物限量》（GB33372-2020）中限量值要求</w:t>
                  </w:r>
                  <w:r>
                    <w:rPr>
                      <w:rFonts w:hint="eastAsia" w:ascii="Times New Roman" w:hAnsi="Times New Roman" w:eastAsia="宋体" w:cs="Times New Roman"/>
                      <w:color w:val="auto"/>
                      <w:kern w:val="0"/>
                      <w:sz w:val="21"/>
                      <w:szCs w:val="21"/>
                      <w:lang w:val="en-US" w:eastAsia="zh-CN" w:bidi="ar-SA"/>
                    </w:rPr>
                    <w:t>。</w:t>
                  </w:r>
                </w:p>
              </w:tc>
              <w:tc>
                <w:tcPr>
                  <w:tcW w:w="427" w:type="pct"/>
                  <w:tcBorders>
                    <w:tl2br w:val="nil"/>
                    <w:tr2bl w:val="nil"/>
                  </w:tcBorders>
                  <w:noWrap w:val="0"/>
                  <w:tcMar>
                    <w:top w:w="0" w:type="dxa"/>
                    <w:left w:w="0" w:type="dxa"/>
                    <w:bottom w:w="0" w:type="dxa"/>
                    <w:right w:w="0" w:type="dxa"/>
                  </w:tcMar>
                  <w:vAlign w:val="center"/>
                </w:tcPr>
                <w:p w14:paraId="32236808">
                  <w:pPr>
                    <w:pStyle w:val="635"/>
                    <w:keepNext w:val="0"/>
                    <w:keepLines w:val="0"/>
                    <w:pageBreakBefore w:val="0"/>
                    <w:widowControl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相符</w:t>
                  </w:r>
                </w:p>
              </w:tc>
            </w:tr>
            <w:tr w14:paraId="6B5F2EA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565" w:type="pct"/>
                  <w:tcBorders>
                    <w:tl2br w:val="nil"/>
                    <w:tr2bl w:val="nil"/>
                  </w:tcBorders>
                  <w:noWrap w:val="0"/>
                  <w:tcMar>
                    <w:top w:w="0" w:type="dxa"/>
                    <w:left w:w="0" w:type="dxa"/>
                    <w:bottom w:w="0" w:type="dxa"/>
                    <w:right w:w="0" w:type="dxa"/>
                  </w:tcMar>
                  <w:vAlign w:val="center"/>
                </w:tcPr>
                <w:p w14:paraId="62992345">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限制引入项目</w:t>
                  </w:r>
                </w:p>
              </w:tc>
              <w:tc>
                <w:tcPr>
                  <w:tcW w:w="2422" w:type="pct"/>
                  <w:tcBorders>
                    <w:tl2br w:val="nil"/>
                    <w:tr2bl w:val="nil"/>
                  </w:tcBorders>
                  <w:noWrap w:val="0"/>
                  <w:tcMar>
                    <w:top w:w="0" w:type="dxa"/>
                    <w:left w:w="0" w:type="dxa"/>
                    <w:bottom w:w="0" w:type="dxa"/>
                    <w:right w:w="0" w:type="dxa"/>
                  </w:tcMar>
                  <w:vAlign w:val="center"/>
                </w:tcPr>
                <w:p w14:paraId="505CE9E3">
                  <w:pPr>
                    <w:pStyle w:val="5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（1）限制引入使用不符合VOCs含量限值涂料的喷涂类项目</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（2）限制引入对生态破坏较大的工业项目</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（3）限制在居民区、学校、居民点等主要敏感目标附近布局排放异味气体、环境风险大、污染严重的企业项目，并充分考虑产业与城市建成区、区内居民点之间的环境防护距离</w:t>
                  </w:r>
                  <w:r>
                    <w:rPr>
                      <w:rFonts w:hint="eastAsia" w:ascii="Times New Roman" w:hAnsi="Times New Roman" w:eastAsia="宋体" w:cs="Times New Roman"/>
                      <w:color w:val="auto"/>
                      <w:kern w:val="0"/>
                      <w:sz w:val="21"/>
                      <w:szCs w:val="21"/>
                      <w:lang w:val="en-US" w:eastAsia="zh-CN" w:bidi="ar-SA"/>
                    </w:rPr>
                    <w:t>。</w:t>
                  </w:r>
                </w:p>
              </w:tc>
              <w:tc>
                <w:tcPr>
                  <w:tcW w:w="1584" w:type="pct"/>
                  <w:tcBorders>
                    <w:tl2br w:val="nil"/>
                    <w:tr2bl w:val="nil"/>
                  </w:tcBorders>
                  <w:noWrap w:val="0"/>
                  <w:tcMar>
                    <w:top w:w="0" w:type="dxa"/>
                    <w:left w:w="0" w:type="dxa"/>
                    <w:bottom w:w="0" w:type="dxa"/>
                    <w:right w:w="0" w:type="dxa"/>
                  </w:tcMar>
                  <w:vAlign w:val="center"/>
                </w:tcPr>
                <w:p w14:paraId="693B8807">
                  <w:pPr>
                    <w:pStyle w:val="635"/>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（1）本项目</w:t>
                  </w:r>
                  <w:r>
                    <w:rPr>
                      <w:rFonts w:hint="eastAsia" w:eastAsia="宋体"/>
                      <w:color w:val="auto"/>
                      <w:kern w:val="0"/>
                      <w:sz w:val="21"/>
                      <w:szCs w:val="21"/>
                      <w:highlight w:val="none"/>
                      <w:lang w:val="en-US" w:eastAsia="zh-CN"/>
                    </w:rPr>
                    <w:t>使用涂料</w:t>
                  </w:r>
                  <w:r>
                    <w:rPr>
                      <w:rFonts w:hint="eastAsia" w:ascii="Times New Roman" w:hAnsi="Times New Roman" w:cs="Times New Roman"/>
                      <w:color w:val="auto"/>
                      <w:kern w:val="0"/>
                      <w:sz w:val="21"/>
                      <w:szCs w:val="21"/>
                      <w:lang w:val="en-US" w:eastAsia="zh-CN" w:bidi="ar-SA"/>
                    </w:rPr>
                    <w:t>、白乳胶、热熔胶满足《低挥发性有机化合物含量涂料产品技术要求》（GB/T 38597-2020）、《胶粘剂挥发性有机化合物限量》（GB33372-2020）中限值要求</w:t>
                  </w:r>
                  <w:r>
                    <w:rPr>
                      <w:rFonts w:hint="eastAsia" w:eastAsia="宋体"/>
                      <w:color w:val="auto"/>
                      <w:kern w:val="0"/>
                      <w:sz w:val="21"/>
                      <w:szCs w:val="21"/>
                      <w:highlight w:val="none"/>
                      <w:lang w:val="en-US" w:eastAsia="zh-CN"/>
                    </w:rPr>
                    <w:t>；</w:t>
                  </w:r>
                  <w:r>
                    <w:rPr>
                      <w:rFonts w:hint="default" w:ascii="Times New Roman" w:hAnsi="Times New Roman" w:eastAsia="宋体" w:cs="Times New Roman"/>
                      <w:color w:val="auto"/>
                      <w:kern w:val="0"/>
                      <w:sz w:val="21"/>
                      <w:szCs w:val="21"/>
                      <w:lang w:val="en-US" w:eastAsia="zh-CN" w:bidi="ar-SA"/>
                    </w:rPr>
                    <w:t>（2）</w:t>
                  </w:r>
                  <w:r>
                    <w:rPr>
                      <w:rFonts w:hint="eastAsia" w:ascii="Times New Roman" w:hAnsi="Times New Roman" w:eastAsia="宋体" w:cs="Times New Roman"/>
                      <w:color w:val="auto"/>
                      <w:kern w:val="0"/>
                      <w:sz w:val="21"/>
                      <w:szCs w:val="21"/>
                      <w:lang w:val="en-US" w:eastAsia="zh-CN" w:bidi="ar-SA"/>
                    </w:rPr>
                    <w:t>项目租赁现有厂房进行生产，无</w:t>
                  </w:r>
                  <w:r>
                    <w:rPr>
                      <w:rFonts w:hint="default" w:ascii="Times New Roman" w:hAnsi="Times New Roman" w:eastAsia="宋体" w:cs="Times New Roman"/>
                      <w:color w:val="auto"/>
                      <w:kern w:val="0"/>
                      <w:sz w:val="21"/>
                      <w:szCs w:val="21"/>
                      <w:lang w:val="en-US" w:eastAsia="zh-CN" w:bidi="ar-SA"/>
                    </w:rPr>
                    <w:t>生态破坏</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（3）</w:t>
                  </w:r>
                  <w:r>
                    <w:rPr>
                      <w:rFonts w:hint="eastAsia" w:ascii="Times New Roman" w:hAnsi="Times New Roman" w:eastAsia="宋体" w:cs="Times New Roman"/>
                      <w:color w:val="auto"/>
                      <w:kern w:val="0"/>
                      <w:sz w:val="21"/>
                      <w:szCs w:val="21"/>
                      <w:lang w:val="en-US" w:eastAsia="zh-CN" w:bidi="ar-SA"/>
                    </w:rPr>
                    <w:t>项目从事</w:t>
                  </w:r>
                  <w:r>
                    <w:rPr>
                      <w:rFonts w:hint="eastAsia"/>
                      <w:color w:val="auto"/>
                      <w:kern w:val="0"/>
                      <w:sz w:val="21"/>
                      <w:szCs w:val="21"/>
                      <w:lang w:val="en-US" w:eastAsia="zh-CN"/>
                    </w:rPr>
                    <w:t>木质家具</w:t>
                  </w:r>
                  <w:r>
                    <w:rPr>
                      <w:rFonts w:hint="eastAsia" w:ascii="Times New Roman" w:hAnsi="Times New Roman" w:eastAsia="宋体" w:cs="Times New Roman"/>
                      <w:color w:val="auto"/>
                      <w:kern w:val="0"/>
                      <w:sz w:val="21"/>
                      <w:szCs w:val="21"/>
                      <w:lang w:val="en-US" w:eastAsia="zh-CN" w:bidi="ar-SA"/>
                    </w:rPr>
                    <w:t>的生产，不属于环境风险大、污染严重等项目且项目卫生防护距离100m范围内无环境敏感目标。</w:t>
                  </w:r>
                </w:p>
              </w:tc>
              <w:tc>
                <w:tcPr>
                  <w:tcW w:w="427" w:type="pct"/>
                  <w:tcBorders>
                    <w:tl2br w:val="nil"/>
                    <w:tr2bl w:val="nil"/>
                  </w:tcBorders>
                  <w:noWrap w:val="0"/>
                  <w:tcMar>
                    <w:top w:w="0" w:type="dxa"/>
                    <w:left w:w="0" w:type="dxa"/>
                    <w:bottom w:w="0" w:type="dxa"/>
                    <w:right w:w="0" w:type="dxa"/>
                  </w:tcMar>
                  <w:vAlign w:val="center"/>
                </w:tcPr>
                <w:p w14:paraId="62390B15">
                  <w:pPr>
                    <w:pStyle w:val="635"/>
                    <w:keepNext w:val="0"/>
                    <w:keepLines w:val="0"/>
                    <w:pageBreakBefore w:val="0"/>
                    <w:widowControl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相符</w:t>
                  </w:r>
                </w:p>
              </w:tc>
            </w:tr>
            <w:tr w14:paraId="0106F44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565" w:type="pct"/>
                  <w:tcBorders>
                    <w:tl2br w:val="nil"/>
                    <w:tr2bl w:val="nil"/>
                  </w:tcBorders>
                  <w:noWrap w:val="0"/>
                  <w:tcMar>
                    <w:top w:w="0" w:type="dxa"/>
                    <w:left w:w="0" w:type="dxa"/>
                    <w:bottom w:w="0" w:type="dxa"/>
                    <w:right w:w="0" w:type="dxa"/>
                  </w:tcMar>
                  <w:vAlign w:val="center"/>
                </w:tcPr>
                <w:p w14:paraId="0F74E54D">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空间管控要求</w:t>
                  </w:r>
                </w:p>
              </w:tc>
              <w:tc>
                <w:tcPr>
                  <w:tcW w:w="2422" w:type="pct"/>
                  <w:tcBorders>
                    <w:tl2br w:val="nil"/>
                    <w:tr2bl w:val="nil"/>
                  </w:tcBorders>
                  <w:noWrap w:val="0"/>
                  <w:tcMar>
                    <w:top w:w="0" w:type="dxa"/>
                    <w:left w:w="0" w:type="dxa"/>
                    <w:bottom w:w="0" w:type="dxa"/>
                    <w:right w:w="0" w:type="dxa"/>
                  </w:tcMar>
                  <w:vAlign w:val="center"/>
                </w:tcPr>
                <w:p w14:paraId="3173B2F1">
                  <w:pPr>
                    <w:pStyle w:val="5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（1）水域及绿地，禁止一切与环境保护功能无关的建设活动</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（2）钱资东河、尧塘河沿岸河道范围内</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两岸堤防背水坡堤脚外10m</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禁止建设妨碍行洪的建筑物、构筑物</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（3）禁止引进不能满足环评测算出的环境防护距离，或环评事故风险防范和应急措施难以落实到位的项目</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（4）严格遵照《中华人民共和国基本农田保护条例》要求，加强区内基本农田保护，在土地规划调整到位之前，禁止任何形式的基本农田开发</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（5）限制引进投资强度小、容积率低、土地产出率低的项目</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（6）符合金坛区</w:t>
                  </w:r>
                  <w:r>
                    <w:rPr>
                      <w:rFonts w:hint="eastAsia"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三区三线</w:t>
                  </w:r>
                  <w:r>
                    <w:rPr>
                      <w:rFonts w:hint="eastAsia"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管控要求。</w:t>
                  </w:r>
                </w:p>
              </w:tc>
              <w:tc>
                <w:tcPr>
                  <w:tcW w:w="1584" w:type="pct"/>
                  <w:tcBorders>
                    <w:tl2br w:val="nil"/>
                    <w:tr2bl w:val="nil"/>
                  </w:tcBorders>
                  <w:noWrap w:val="0"/>
                  <w:tcMar>
                    <w:top w:w="0" w:type="dxa"/>
                    <w:left w:w="0" w:type="dxa"/>
                    <w:bottom w:w="0" w:type="dxa"/>
                    <w:right w:w="0" w:type="dxa"/>
                  </w:tcMar>
                  <w:vAlign w:val="center"/>
                </w:tcPr>
                <w:p w14:paraId="66A9D128">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（1）本项目不在水域及绿地范围内；（2）不在钱资东河、尧塘河沿岸河道范围内；（3）项目卫生防护距离为生产车间100m范围，项目实施后，按要求</w:t>
                  </w:r>
                  <w:r>
                    <w:rPr>
                      <w:rFonts w:hint="default" w:ascii="Times New Roman" w:hAnsi="Times New Roman" w:eastAsia="宋体" w:cs="Times New Roman"/>
                      <w:color w:val="auto"/>
                      <w:kern w:val="0"/>
                      <w:sz w:val="21"/>
                      <w:szCs w:val="21"/>
                      <w:lang w:val="en-US" w:eastAsia="zh-CN" w:bidi="ar-SA"/>
                    </w:rPr>
                    <w:t>编制</w:t>
                  </w:r>
                  <w:r>
                    <w:rPr>
                      <w:rFonts w:hint="eastAsia" w:ascii="Times New Roman" w:hAnsi="Times New Roman" w:eastAsia="宋体" w:cs="Times New Roman"/>
                      <w:color w:val="auto"/>
                      <w:kern w:val="0"/>
                      <w:sz w:val="21"/>
                      <w:szCs w:val="21"/>
                      <w:lang w:val="en-US" w:eastAsia="zh-CN" w:bidi="ar-SA"/>
                    </w:rPr>
                    <w:t>突发环境事件</w:t>
                  </w:r>
                  <w:r>
                    <w:rPr>
                      <w:rFonts w:hint="default" w:ascii="Times New Roman" w:hAnsi="Times New Roman" w:eastAsia="宋体" w:cs="Times New Roman"/>
                      <w:color w:val="auto"/>
                      <w:kern w:val="0"/>
                      <w:sz w:val="21"/>
                      <w:szCs w:val="21"/>
                      <w:lang w:val="en-US" w:eastAsia="zh-CN" w:bidi="ar-SA"/>
                    </w:rPr>
                    <w:t>应急预案</w:t>
                  </w:r>
                  <w:r>
                    <w:rPr>
                      <w:rFonts w:hint="eastAsia" w:ascii="Times New Roman" w:hAnsi="Times New Roman" w:eastAsia="宋体" w:cs="Times New Roman"/>
                      <w:color w:val="auto"/>
                      <w:kern w:val="0"/>
                      <w:sz w:val="21"/>
                      <w:szCs w:val="21"/>
                      <w:lang w:val="en-US" w:eastAsia="zh-CN" w:bidi="ar-SA"/>
                    </w:rPr>
                    <w:t>、落实预案中的相关</w:t>
                  </w:r>
                  <w:r>
                    <w:rPr>
                      <w:rFonts w:hint="default" w:ascii="Times New Roman" w:hAnsi="Times New Roman" w:eastAsia="宋体" w:cs="Times New Roman"/>
                      <w:color w:val="auto"/>
                      <w:kern w:val="0"/>
                      <w:sz w:val="21"/>
                      <w:szCs w:val="21"/>
                      <w:lang w:val="en-US" w:eastAsia="zh-CN" w:bidi="ar-SA"/>
                    </w:rPr>
                    <w:t>风险防范措施</w:t>
                  </w:r>
                  <w:r>
                    <w:rPr>
                      <w:rFonts w:hint="eastAsia" w:ascii="Times New Roman" w:hAnsi="Times New Roman" w:eastAsia="宋体" w:cs="Times New Roman"/>
                      <w:color w:val="auto"/>
                      <w:kern w:val="0"/>
                      <w:sz w:val="21"/>
                      <w:szCs w:val="21"/>
                      <w:lang w:val="en-US" w:eastAsia="zh-CN" w:bidi="ar-SA"/>
                    </w:rPr>
                    <w:t>并报相关部门备案；（4）项目从事</w:t>
                  </w:r>
                  <w:r>
                    <w:rPr>
                      <w:rFonts w:hint="eastAsia"/>
                      <w:color w:val="auto"/>
                      <w:kern w:val="0"/>
                      <w:sz w:val="21"/>
                      <w:szCs w:val="21"/>
                      <w:lang w:val="en-US" w:eastAsia="zh-CN"/>
                    </w:rPr>
                    <w:t>木质家具</w:t>
                  </w:r>
                  <w:r>
                    <w:rPr>
                      <w:rFonts w:hint="eastAsia" w:ascii="Times New Roman" w:hAnsi="Times New Roman" w:eastAsia="宋体" w:cs="Times New Roman"/>
                      <w:color w:val="auto"/>
                      <w:kern w:val="0"/>
                      <w:sz w:val="21"/>
                      <w:szCs w:val="21"/>
                      <w:lang w:val="en-US" w:eastAsia="zh-CN" w:bidi="ar-SA"/>
                    </w:rPr>
                    <w:t>的生产，</w:t>
                  </w:r>
                  <w:r>
                    <w:rPr>
                      <w:rFonts w:hint="eastAsia" w:cs="Times New Roman"/>
                      <w:color w:val="auto"/>
                      <w:kern w:val="0"/>
                      <w:sz w:val="21"/>
                      <w:szCs w:val="21"/>
                      <w:lang w:val="en-US" w:eastAsia="zh-CN" w:bidi="ar-SA"/>
                    </w:rPr>
                    <w:t>项目所在地属于工业用地，</w:t>
                  </w:r>
                  <w:r>
                    <w:rPr>
                      <w:rFonts w:hint="eastAsia" w:ascii="Times New Roman" w:hAnsi="Times New Roman" w:eastAsia="宋体" w:cs="Times New Roman"/>
                      <w:color w:val="auto"/>
                      <w:kern w:val="0"/>
                      <w:sz w:val="21"/>
                      <w:szCs w:val="21"/>
                      <w:lang w:val="en-US" w:eastAsia="zh-CN" w:bidi="ar-SA"/>
                    </w:rPr>
                    <w:t>不</w:t>
                  </w:r>
                  <w:r>
                    <w:rPr>
                      <w:rFonts w:hint="eastAsia" w:cs="Times New Roman"/>
                      <w:color w:val="auto"/>
                      <w:kern w:val="0"/>
                      <w:sz w:val="21"/>
                      <w:szCs w:val="21"/>
                      <w:lang w:val="en-US" w:eastAsia="zh-CN" w:bidi="ar-SA"/>
                    </w:rPr>
                    <w:t>在基本农田范围开发</w:t>
                  </w:r>
                  <w:r>
                    <w:rPr>
                      <w:rFonts w:hint="eastAsia" w:ascii="Times New Roman" w:hAnsi="Times New Roman" w:eastAsia="宋体" w:cs="Times New Roman"/>
                      <w:color w:val="auto"/>
                      <w:kern w:val="0"/>
                      <w:sz w:val="21"/>
                      <w:szCs w:val="21"/>
                      <w:lang w:val="en-US" w:eastAsia="zh-CN" w:bidi="ar-SA"/>
                    </w:rPr>
                    <w:t>；（5）项目所在地属于工业用地；（6）本项目在城镇开发边界内，且不占用耕地和永久基本农田，不涉及生态保护红线，因此本项目满足国土空间规划及“三区三线”要求符合金坛区“三区三线”管控要求。</w:t>
                  </w:r>
                </w:p>
              </w:tc>
              <w:tc>
                <w:tcPr>
                  <w:tcW w:w="427" w:type="pct"/>
                  <w:tcBorders>
                    <w:tl2br w:val="nil"/>
                    <w:tr2bl w:val="nil"/>
                  </w:tcBorders>
                  <w:noWrap w:val="0"/>
                  <w:tcMar>
                    <w:top w:w="0" w:type="dxa"/>
                    <w:left w:w="0" w:type="dxa"/>
                    <w:bottom w:w="0" w:type="dxa"/>
                    <w:right w:w="0" w:type="dxa"/>
                  </w:tcMar>
                  <w:vAlign w:val="center"/>
                </w:tcPr>
                <w:p w14:paraId="19544438">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相符</w:t>
                  </w:r>
                </w:p>
              </w:tc>
            </w:tr>
            <w:tr w14:paraId="5003DBC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565" w:type="pct"/>
                  <w:tcBorders>
                    <w:tl2br w:val="nil"/>
                    <w:tr2bl w:val="nil"/>
                  </w:tcBorders>
                  <w:noWrap w:val="0"/>
                  <w:tcMar>
                    <w:top w:w="0" w:type="dxa"/>
                    <w:left w:w="0" w:type="dxa"/>
                    <w:bottom w:w="0" w:type="dxa"/>
                    <w:right w:w="0" w:type="dxa"/>
                  </w:tcMar>
                  <w:vAlign w:val="center"/>
                </w:tcPr>
                <w:p w14:paraId="6B1ED277">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污染物排放管控</w:t>
                  </w:r>
                </w:p>
              </w:tc>
              <w:tc>
                <w:tcPr>
                  <w:tcW w:w="2422" w:type="pct"/>
                  <w:tcBorders>
                    <w:tl2br w:val="nil"/>
                    <w:tr2bl w:val="nil"/>
                  </w:tcBorders>
                  <w:noWrap w:val="0"/>
                  <w:tcMar>
                    <w:top w:w="0" w:type="dxa"/>
                    <w:left w:w="0" w:type="dxa"/>
                    <w:bottom w:w="0" w:type="dxa"/>
                    <w:right w:w="0" w:type="dxa"/>
                  </w:tcMar>
                  <w:vAlign w:val="center"/>
                </w:tcPr>
                <w:p w14:paraId="0F178148">
                  <w:pPr>
                    <w:pStyle w:val="5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颗粒物、二氧化硫、氮氧化物、VOCs作为总量控制因子，根据省、市上级要求，进行现役源2倍削减量替代或关闭类项目1.5倍削减量替代。（2）规划实施后华罗庚高新区范围内所有新、改、扩建涉重金属重点行业项目必须遵守重点重金属污染物排放“减量置换”或“等量替换”的原则，区域重金属总量控制由市环保行政主管部门核定平衡，在本市区域内明确具体的重金属污染物排放总量来源</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（3）氮、磷</w:t>
                  </w:r>
                  <w:r>
                    <w:rPr>
                      <w:rFonts w:hint="eastAsia"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根据《江苏省太湖水污染防治条例</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2018年修订</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w:t>
                  </w:r>
                  <w:r>
                    <w:rPr>
                      <w:rFonts w:hint="eastAsia"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太湖流域三级保护区内，在工业集聚区新建、改建、扩建排放含磷、氮等污染物的战略性新兴产业项目，以及排放含磷、氮等污染物的现有企业在不增加产能的前提下实施提升环保标准的技术改造项目，应当符合国家产业政策和水环境综合治理要求，在实现国家和省减排目标的基础上，实施区域磷、氮等重点水污染物年排放总量减量替代。</w:t>
                  </w:r>
                  <w:r>
                    <w:rPr>
                      <w:rFonts w:hint="eastAsia"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战略性新兴产业项目对照《江苏省太湖流域战略性新兴产业类别目录</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2018年本</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》确定</w:t>
                  </w:r>
                  <w:r>
                    <w:rPr>
                      <w:rFonts w:hint="eastAsia" w:ascii="Times New Roman" w:hAnsi="Times New Roman" w:eastAsia="宋体" w:cs="Times New Roman"/>
                      <w:color w:val="auto"/>
                      <w:kern w:val="0"/>
                      <w:sz w:val="21"/>
                      <w:szCs w:val="21"/>
                      <w:lang w:val="en-US" w:eastAsia="zh-CN" w:bidi="ar-SA"/>
                    </w:rPr>
                    <w:t>。</w:t>
                  </w:r>
                </w:p>
              </w:tc>
              <w:tc>
                <w:tcPr>
                  <w:tcW w:w="1584" w:type="pct"/>
                  <w:tcBorders>
                    <w:tl2br w:val="nil"/>
                    <w:tr2bl w:val="nil"/>
                  </w:tcBorders>
                  <w:noWrap w:val="0"/>
                  <w:tcMar>
                    <w:top w:w="0" w:type="dxa"/>
                    <w:left w:w="0" w:type="dxa"/>
                    <w:bottom w:w="0" w:type="dxa"/>
                    <w:right w:w="0" w:type="dxa"/>
                  </w:tcMar>
                  <w:vAlign w:val="center"/>
                </w:tcPr>
                <w:p w14:paraId="54091A0D">
                  <w:pPr>
                    <w:pStyle w:val="635"/>
                    <w:keepNext w:val="0"/>
                    <w:keepLines w:val="0"/>
                    <w:pageBreakBefore w:val="0"/>
                    <w:numPr>
                      <w:ilvl w:val="0"/>
                      <w:numId w:val="0"/>
                    </w:numPr>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（1）本项目</w:t>
                  </w:r>
                  <w:r>
                    <w:rPr>
                      <w:rFonts w:hint="eastAsia" w:ascii="Times New Roman" w:hAnsi="Times New Roman" w:cs="Times New Roman"/>
                      <w:color w:val="auto"/>
                      <w:kern w:val="0"/>
                      <w:sz w:val="21"/>
                      <w:szCs w:val="21"/>
                      <w:lang w:val="en-US" w:eastAsia="zh-CN" w:bidi="ar-SA"/>
                    </w:rPr>
                    <w:t>新增的污染物</w:t>
                  </w:r>
                  <w:r>
                    <w:rPr>
                      <w:rFonts w:hint="eastAsia" w:ascii="Times New Roman" w:hAnsi="Times New Roman" w:eastAsia="宋体" w:cs="Times New Roman"/>
                      <w:color w:val="auto"/>
                      <w:kern w:val="0"/>
                      <w:sz w:val="21"/>
                      <w:szCs w:val="21"/>
                      <w:lang w:val="en-US" w:eastAsia="zh-CN" w:bidi="ar-SA"/>
                    </w:rPr>
                    <w:t>应按省、市上级要求进行现役源2倍削减量代替</w:t>
                  </w:r>
                  <w:r>
                    <w:rPr>
                      <w:rFonts w:hint="default" w:ascii="Times New Roman" w:hAnsi="Times New Roman" w:eastAsia="宋体" w:cs="Times New Roman"/>
                      <w:color w:val="auto"/>
                      <w:kern w:val="0"/>
                      <w:sz w:val="21"/>
                      <w:szCs w:val="21"/>
                      <w:lang w:val="en-US" w:eastAsia="zh-CN" w:bidi="ar-SA"/>
                    </w:rPr>
                    <w:t>或关闭类项目1.5倍削减量替代</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（2）</w:t>
                  </w:r>
                  <w:r>
                    <w:rPr>
                      <w:rFonts w:hint="eastAsia" w:ascii="Times New Roman" w:hAnsi="Times New Roman" w:eastAsia="宋体" w:cs="Times New Roman"/>
                      <w:color w:val="auto"/>
                      <w:kern w:val="0"/>
                      <w:sz w:val="21"/>
                      <w:szCs w:val="21"/>
                      <w:lang w:val="en-US" w:eastAsia="zh-CN" w:bidi="ar-SA"/>
                    </w:rPr>
                    <w:t>本项目不涉及重金属重点行业；</w:t>
                  </w:r>
                  <w:r>
                    <w:rPr>
                      <w:rFonts w:hint="default" w:ascii="Times New Roman" w:hAnsi="Times New Roman" w:eastAsia="宋体"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3</w:t>
                  </w:r>
                  <w:r>
                    <w:rPr>
                      <w:rFonts w:hint="default" w:ascii="Times New Roman" w:hAnsi="Times New Roman" w:eastAsia="宋体"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本项目无生产废水，产生的生活污水</w:t>
                  </w:r>
                  <w:r>
                    <w:rPr>
                      <w:rFonts w:hint="default" w:ascii="Times New Roman" w:hAnsi="Times New Roman" w:eastAsia="宋体" w:cs="Times New Roman"/>
                      <w:color w:val="auto"/>
                      <w:kern w:val="0"/>
                      <w:sz w:val="21"/>
                      <w:szCs w:val="21"/>
                      <w:lang w:val="en-US" w:eastAsia="zh-CN" w:bidi="ar-SA"/>
                    </w:rPr>
                    <w:t>满足江苏省太湖水污染防治条例要求</w:t>
                  </w:r>
                  <w:r>
                    <w:rPr>
                      <w:rFonts w:hint="eastAsia" w:ascii="Times New Roman" w:hAnsi="Times New Roman" w:eastAsia="宋体" w:cs="Times New Roman"/>
                      <w:color w:val="auto"/>
                      <w:kern w:val="0"/>
                      <w:sz w:val="21"/>
                      <w:szCs w:val="21"/>
                      <w:lang w:val="en-US" w:eastAsia="zh-CN" w:bidi="ar-SA"/>
                    </w:rPr>
                    <w:t>。</w:t>
                  </w:r>
                </w:p>
              </w:tc>
              <w:tc>
                <w:tcPr>
                  <w:tcW w:w="427" w:type="pct"/>
                  <w:tcBorders>
                    <w:tl2br w:val="nil"/>
                    <w:tr2bl w:val="nil"/>
                  </w:tcBorders>
                  <w:noWrap w:val="0"/>
                  <w:tcMar>
                    <w:top w:w="0" w:type="dxa"/>
                    <w:left w:w="0" w:type="dxa"/>
                    <w:bottom w:w="0" w:type="dxa"/>
                    <w:right w:w="0" w:type="dxa"/>
                  </w:tcMar>
                  <w:vAlign w:val="center"/>
                </w:tcPr>
                <w:p w14:paraId="593D18DC">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相符</w:t>
                  </w:r>
                </w:p>
              </w:tc>
            </w:tr>
            <w:tr w14:paraId="7DC8545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565" w:type="pct"/>
                  <w:tcBorders>
                    <w:tl2br w:val="nil"/>
                    <w:tr2bl w:val="nil"/>
                  </w:tcBorders>
                  <w:noWrap w:val="0"/>
                  <w:tcMar>
                    <w:top w:w="0" w:type="dxa"/>
                    <w:left w:w="0" w:type="dxa"/>
                    <w:bottom w:w="0" w:type="dxa"/>
                    <w:right w:w="0" w:type="dxa"/>
                  </w:tcMar>
                  <w:vAlign w:val="center"/>
                </w:tcPr>
                <w:p w14:paraId="30915C5D">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环境风险防控</w:t>
                  </w:r>
                </w:p>
              </w:tc>
              <w:tc>
                <w:tcPr>
                  <w:tcW w:w="2422" w:type="pct"/>
                  <w:tcBorders>
                    <w:tl2br w:val="nil"/>
                    <w:tr2bl w:val="nil"/>
                  </w:tcBorders>
                  <w:noWrap w:val="0"/>
                  <w:tcMar>
                    <w:top w:w="0" w:type="dxa"/>
                    <w:left w:w="0" w:type="dxa"/>
                    <w:bottom w:w="0" w:type="dxa"/>
                    <w:right w:w="0" w:type="dxa"/>
                  </w:tcMar>
                  <w:vAlign w:val="center"/>
                </w:tcPr>
                <w:p w14:paraId="270FF0F3">
                  <w:pPr>
                    <w:pStyle w:val="5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（1）园区应建立环境风险防控体系</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（2）按相关文件要求及时更新编制园区突发环境事件应急预案</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（3）建立有效的安全防范体系，制定风险应急救援措施，一旦发生事故确保各项应急救援快速高效有序启动，减缓事故蔓延范围，最大限度减轻风险事故造成的损失。</w:t>
                  </w:r>
                </w:p>
              </w:tc>
              <w:tc>
                <w:tcPr>
                  <w:tcW w:w="1584" w:type="pct"/>
                  <w:tcBorders>
                    <w:tl2br w:val="nil"/>
                    <w:tr2bl w:val="nil"/>
                  </w:tcBorders>
                  <w:noWrap w:val="0"/>
                  <w:tcMar>
                    <w:top w:w="0" w:type="dxa"/>
                    <w:left w:w="0" w:type="dxa"/>
                    <w:bottom w:w="0" w:type="dxa"/>
                    <w:right w:w="0" w:type="dxa"/>
                  </w:tcMar>
                  <w:vAlign w:val="center"/>
                </w:tcPr>
                <w:p w14:paraId="6BB5C3D9">
                  <w:pPr>
                    <w:pStyle w:val="635"/>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项目实施后，按要求</w:t>
                  </w:r>
                  <w:r>
                    <w:rPr>
                      <w:rFonts w:hint="default" w:ascii="Times New Roman" w:hAnsi="Times New Roman" w:eastAsia="宋体" w:cs="Times New Roman"/>
                      <w:color w:val="auto"/>
                      <w:kern w:val="0"/>
                      <w:sz w:val="21"/>
                      <w:szCs w:val="21"/>
                      <w:lang w:val="en-US" w:eastAsia="zh-CN" w:bidi="ar-SA"/>
                    </w:rPr>
                    <w:t>编制</w:t>
                  </w:r>
                  <w:r>
                    <w:rPr>
                      <w:rFonts w:hint="eastAsia" w:ascii="Times New Roman" w:hAnsi="Times New Roman" w:eastAsia="宋体" w:cs="Times New Roman"/>
                      <w:color w:val="auto"/>
                      <w:kern w:val="0"/>
                      <w:sz w:val="21"/>
                      <w:szCs w:val="21"/>
                      <w:lang w:val="en-US" w:eastAsia="zh-CN" w:bidi="ar-SA"/>
                    </w:rPr>
                    <w:t>突发环境事件</w:t>
                  </w:r>
                  <w:r>
                    <w:rPr>
                      <w:rFonts w:hint="default" w:ascii="Times New Roman" w:hAnsi="Times New Roman" w:eastAsia="宋体" w:cs="Times New Roman"/>
                      <w:color w:val="auto"/>
                      <w:kern w:val="0"/>
                      <w:sz w:val="21"/>
                      <w:szCs w:val="21"/>
                      <w:lang w:val="en-US" w:eastAsia="zh-CN" w:bidi="ar-SA"/>
                    </w:rPr>
                    <w:t>应急预案</w:t>
                  </w:r>
                  <w:r>
                    <w:rPr>
                      <w:rFonts w:hint="eastAsia" w:ascii="Times New Roman" w:hAnsi="Times New Roman" w:eastAsia="宋体" w:cs="Times New Roman"/>
                      <w:color w:val="auto"/>
                      <w:kern w:val="0"/>
                      <w:sz w:val="21"/>
                      <w:szCs w:val="21"/>
                      <w:lang w:val="en-US" w:eastAsia="zh-CN" w:bidi="ar-SA"/>
                    </w:rPr>
                    <w:t>、落实预案中的相关</w:t>
                  </w:r>
                  <w:r>
                    <w:rPr>
                      <w:rFonts w:hint="default" w:ascii="Times New Roman" w:hAnsi="Times New Roman" w:eastAsia="宋体" w:cs="Times New Roman"/>
                      <w:color w:val="auto"/>
                      <w:kern w:val="0"/>
                      <w:sz w:val="21"/>
                      <w:szCs w:val="21"/>
                      <w:lang w:val="en-US" w:eastAsia="zh-CN" w:bidi="ar-SA"/>
                    </w:rPr>
                    <w:t>风险防范措施</w:t>
                  </w:r>
                  <w:r>
                    <w:rPr>
                      <w:rFonts w:hint="eastAsia" w:ascii="Times New Roman" w:hAnsi="Times New Roman" w:eastAsia="宋体" w:cs="Times New Roman"/>
                      <w:color w:val="auto"/>
                      <w:kern w:val="0"/>
                      <w:sz w:val="21"/>
                      <w:szCs w:val="21"/>
                      <w:lang w:val="en-US" w:eastAsia="zh-CN" w:bidi="ar-SA"/>
                    </w:rPr>
                    <w:t>并定期组织应急演练。</w:t>
                  </w:r>
                </w:p>
              </w:tc>
              <w:tc>
                <w:tcPr>
                  <w:tcW w:w="427" w:type="pct"/>
                  <w:tcBorders>
                    <w:tl2br w:val="nil"/>
                    <w:tr2bl w:val="nil"/>
                  </w:tcBorders>
                  <w:noWrap w:val="0"/>
                  <w:tcMar>
                    <w:top w:w="0" w:type="dxa"/>
                    <w:left w:w="0" w:type="dxa"/>
                    <w:bottom w:w="0" w:type="dxa"/>
                    <w:right w:w="0" w:type="dxa"/>
                  </w:tcMar>
                  <w:vAlign w:val="center"/>
                </w:tcPr>
                <w:p w14:paraId="1BB23407">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相符</w:t>
                  </w:r>
                </w:p>
              </w:tc>
            </w:tr>
            <w:tr w14:paraId="0566415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565" w:type="pct"/>
                  <w:tcBorders>
                    <w:tl2br w:val="nil"/>
                    <w:tr2bl w:val="nil"/>
                  </w:tcBorders>
                  <w:noWrap w:val="0"/>
                  <w:tcMar>
                    <w:top w:w="0" w:type="dxa"/>
                    <w:left w:w="0" w:type="dxa"/>
                    <w:bottom w:w="0" w:type="dxa"/>
                    <w:right w:w="0" w:type="dxa"/>
                  </w:tcMar>
                  <w:vAlign w:val="center"/>
                </w:tcPr>
                <w:p w14:paraId="6C18CB15">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资源开发利用效率</w:t>
                  </w:r>
                </w:p>
              </w:tc>
              <w:tc>
                <w:tcPr>
                  <w:tcW w:w="2422" w:type="pct"/>
                  <w:tcBorders>
                    <w:tl2br w:val="nil"/>
                    <w:tr2bl w:val="nil"/>
                  </w:tcBorders>
                  <w:noWrap w:val="0"/>
                  <w:tcMar>
                    <w:top w:w="0" w:type="dxa"/>
                    <w:left w:w="0" w:type="dxa"/>
                    <w:bottom w:w="0" w:type="dxa"/>
                    <w:right w:w="0" w:type="dxa"/>
                  </w:tcMar>
                  <w:vAlign w:val="center"/>
                </w:tcPr>
                <w:p w14:paraId="0319F7C1">
                  <w:pPr>
                    <w:pStyle w:val="5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（1）大力倡导使用清洁能源</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（2）提升废水资源化技术，提高水资源回用率</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（3）禁止销售使用燃料为</w:t>
                  </w:r>
                  <w:r>
                    <w:rPr>
                      <w:rFonts w:hint="eastAsia"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III类</w:t>
                  </w:r>
                  <w:r>
                    <w:rPr>
                      <w:rFonts w:hint="eastAsia" w:eastAsia="宋体"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严格</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，具体包括:①煤炭及其制品</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包括原煤、散煤煤矸石、煤泥、煤粉、水煤浆、型煤、焦炭、兰炭等</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②石油焦、油页岩、原油、重油、渣油、煤焦油</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③非专用锅炉或未配置高效除尘设施的专用锅炉燃用的生物质成型燃料</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④国家规定的其它高污染燃料</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（4）资源利用上线</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单位工业增加值综合能耗≤0.1吨标煤/万元</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单位工业增加值新鲜水耗≤3.0m</w:t>
                  </w:r>
                  <w:r>
                    <w:rPr>
                      <w:rFonts w:hint="eastAsia" w:ascii="Times New Roman" w:hAnsi="Times New Roman" w:eastAsia="宋体" w:cs="Times New Roman"/>
                      <w:color w:val="auto"/>
                      <w:kern w:val="0"/>
                      <w:sz w:val="21"/>
                      <w:szCs w:val="21"/>
                      <w:vertAlign w:val="superscript"/>
                      <w:lang w:val="en-US" w:eastAsia="zh-CN" w:bidi="ar-SA"/>
                    </w:rPr>
                    <w:t>3</w:t>
                  </w:r>
                  <w:r>
                    <w:rPr>
                      <w:rFonts w:hint="default" w:ascii="Times New Roman" w:hAnsi="Times New Roman" w:eastAsia="宋体" w:cs="Times New Roman"/>
                      <w:color w:val="auto"/>
                      <w:kern w:val="0"/>
                      <w:sz w:val="21"/>
                      <w:szCs w:val="21"/>
                      <w:lang w:val="en-US" w:eastAsia="zh-CN" w:bidi="ar-SA"/>
                    </w:rPr>
                    <w:t>/万元</w:t>
                  </w:r>
                  <w:r>
                    <w:rPr>
                      <w:rFonts w:hint="eastAsia" w:ascii="Times New Roman" w:hAnsi="Times New Roman" w:eastAsia="宋体" w:cs="Times New Roman"/>
                      <w:color w:val="auto"/>
                      <w:kern w:val="0"/>
                      <w:sz w:val="21"/>
                      <w:szCs w:val="21"/>
                      <w:lang w:val="en-US" w:eastAsia="zh-CN" w:bidi="ar-SA"/>
                    </w:rPr>
                    <w:t>。</w:t>
                  </w:r>
                </w:p>
              </w:tc>
              <w:tc>
                <w:tcPr>
                  <w:tcW w:w="1584" w:type="pct"/>
                  <w:tcBorders>
                    <w:tl2br w:val="nil"/>
                    <w:tr2bl w:val="nil"/>
                  </w:tcBorders>
                  <w:noWrap w:val="0"/>
                  <w:tcMar>
                    <w:top w:w="0" w:type="dxa"/>
                    <w:left w:w="0" w:type="dxa"/>
                    <w:bottom w:w="0" w:type="dxa"/>
                    <w:right w:w="0" w:type="dxa"/>
                  </w:tcMar>
                  <w:vAlign w:val="center"/>
                </w:tcPr>
                <w:p w14:paraId="5A2B762A">
                  <w:pPr>
                    <w:pStyle w:val="635"/>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（1）项目使用清洁能源电</w:t>
                  </w:r>
                  <w:r>
                    <w:rPr>
                      <w:rFonts w:hint="default" w:ascii="Times New Roman" w:hAnsi="Times New Roman" w:eastAsia="宋体"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（2）</w:t>
                  </w:r>
                  <w:r>
                    <w:rPr>
                      <w:rFonts w:hint="default" w:ascii="Times New Roman" w:hAnsi="Times New Roman" w:eastAsia="宋体" w:cs="Times New Roman"/>
                      <w:color w:val="auto"/>
                      <w:kern w:val="0"/>
                      <w:sz w:val="21"/>
                      <w:szCs w:val="21"/>
                      <w:lang w:val="en-US" w:eastAsia="zh-CN" w:bidi="ar-SA"/>
                    </w:rPr>
                    <w:t>项目无生产废水排放；</w:t>
                  </w:r>
                  <w:r>
                    <w:rPr>
                      <w:rFonts w:hint="eastAsia" w:ascii="Times New Roman" w:hAnsi="Times New Roman" w:eastAsia="宋体" w:cs="Times New Roman"/>
                      <w:color w:val="auto"/>
                      <w:kern w:val="0"/>
                      <w:sz w:val="21"/>
                      <w:szCs w:val="21"/>
                      <w:lang w:val="en-US" w:eastAsia="zh-CN" w:bidi="ar-SA"/>
                    </w:rPr>
                    <w:t>（3）本项目不销售、使用燃料；（4）</w:t>
                  </w:r>
                  <w:r>
                    <w:rPr>
                      <w:rFonts w:hint="default" w:ascii="Times New Roman" w:hAnsi="Times New Roman" w:eastAsia="宋体" w:cs="Times New Roman"/>
                      <w:color w:val="auto"/>
                      <w:kern w:val="0"/>
                      <w:sz w:val="21"/>
                      <w:szCs w:val="21"/>
                      <w:lang w:val="en-US" w:eastAsia="zh-CN" w:bidi="ar-SA"/>
                    </w:rPr>
                    <w:t>单位工业增加值综合能耗</w:t>
                  </w:r>
                  <w:r>
                    <w:rPr>
                      <w:rFonts w:hint="eastAsia" w:ascii="Times New Roman" w:hAnsi="Times New Roman" w:eastAsia="宋体" w:cs="Times New Roman"/>
                      <w:color w:val="auto"/>
                      <w:kern w:val="0"/>
                      <w:sz w:val="21"/>
                      <w:szCs w:val="21"/>
                      <w:lang w:val="en-US" w:eastAsia="zh-CN" w:bidi="ar-SA"/>
                    </w:rPr>
                    <w:t>0.0</w:t>
                  </w:r>
                  <w:r>
                    <w:rPr>
                      <w:rFonts w:hint="eastAsia" w:ascii="Times New Roman" w:hAnsi="Times New Roman" w:cs="Times New Roman"/>
                      <w:color w:val="auto"/>
                      <w:kern w:val="0"/>
                      <w:sz w:val="21"/>
                      <w:szCs w:val="21"/>
                      <w:lang w:val="en-US" w:eastAsia="zh-CN" w:bidi="ar-SA"/>
                    </w:rPr>
                    <w:t>07</w:t>
                  </w:r>
                  <w:r>
                    <w:rPr>
                      <w:rFonts w:hint="default" w:ascii="Times New Roman" w:hAnsi="Times New Roman" w:eastAsia="宋体" w:cs="Times New Roman"/>
                      <w:color w:val="auto"/>
                      <w:kern w:val="0"/>
                      <w:sz w:val="21"/>
                      <w:szCs w:val="21"/>
                      <w:lang w:val="en-US" w:eastAsia="zh-CN" w:bidi="ar-SA"/>
                    </w:rPr>
                    <w:t>吨标煤/万元</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单位工业增加值新鲜水耗≤</w:t>
                  </w:r>
                  <w:r>
                    <w:rPr>
                      <w:rFonts w:hint="eastAsia" w:ascii="Times New Roman" w:hAnsi="Times New Roman" w:eastAsia="宋体" w:cs="Times New Roman"/>
                      <w:color w:val="auto"/>
                      <w:kern w:val="0"/>
                      <w:sz w:val="21"/>
                      <w:szCs w:val="21"/>
                      <w:lang w:val="en-US" w:eastAsia="zh-CN" w:bidi="ar-SA"/>
                    </w:rPr>
                    <w:t>0.</w:t>
                  </w:r>
                  <w:r>
                    <w:rPr>
                      <w:rFonts w:hint="eastAsia" w:ascii="Times New Roman" w:hAnsi="Times New Roman" w:cs="Times New Roman"/>
                      <w:color w:val="auto"/>
                      <w:kern w:val="0"/>
                      <w:sz w:val="21"/>
                      <w:szCs w:val="21"/>
                      <w:lang w:val="en-US" w:eastAsia="zh-CN" w:bidi="ar-SA"/>
                    </w:rPr>
                    <w:t>36</w:t>
                  </w:r>
                  <w:r>
                    <w:rPr>
                      <w:rFonts w:hint="default" w:ascii="Times New Roman" w:hAnsi="Times New Roman" w:eastAsia="宋体" w:cs="Times New Roman"/>
                      <w:color w:val="auto"/>
                      <w:kern w:val="0"/>
                      <w:sz w:val="21"/>
                      <w:szCs w:val="21"/>
                      <w:lang w:val="en-US" w:eastAsia="zh-CN" w:bidi="ar-SA"/>
                    </w:rPr>
                    <w:t>m</w:t>
                  </w:r>
                  <w:r>
                    <w:rPr>
                      <w:rFonts w:hint="eastAsia" w:ascii="Times New Roman" w:hAnsi="Times New Roman" w:eastAsia="宋体" w:cs="Times New Roman"/>
                      <w:color w:val="auto"/>
                      <w:kern w:val="0"/>
                      <w:sz w:val="21"/>
                      <w:szCs w:val="21"/>
                      <w:vertAlign w:val="superscript"/>
                      <w:lang w:val="en-US" w:eastAsia="zh-CN" w:bidi="ar-SA"/>
                    </w:rPr>
                    <w:t>3</w:t>
                  </w:r>
                  <w:r>
                    <w:rPr>
                      <w:rFonts w:hint="default" w:ascii="Times New Roman" w:hAnsi="Times New Roman" w:eastAsia="宋体" w:cs="Times New Roman"/>
                      <w:color w:val="auto"/>
                      <w:kern w:val="0"/>
                      <w:sz w:val="21"/>
                      <w:szCs w:val="21"/>
                      <w:lang w:val="en-US" w:eastAsia="zh-CN" w:bidi="ar-SA"/>
                    </w:rPr>
                    <w:t>/万元</w:t>
                  </w:r>
                  <w:r>
                    <w:rPr>
                      <w:rFonts w:hint="eastAsia" w:ascii="Times New Roman" w:hAnsi="Times New Roman" w:eastAsia="宋体" w:cs="Times New Roman"/>
                      <w:color w:val="auto"/>
                      <w:kern w:val="0"/>
                      <w:sz w:val="21"/>
                      <w:szCs w:val="21"/>
                      <w:lang w:val="en-US" w:eastAsia="zh-CN" w:bidi="ar-SA"/>
                    </w:rPr>
                    <w:t>，满足资源利用上线要求。</w:t>
                  </w:r>
                </w:p>
              </w:tc>
              <w:tc>
                <w:tcPr>
                  <w:tcW w:w="427" w:type="pct"/>
                  <w:tcBorders>
                    <w:tl2br w:val="nil"/>
                    <w:tr2bl w:val="nil"/>
                  </w:tcBorders>
                  <w:noWrap w:val="0"/>
                  <w:tcMar>
                    <w:top w:w="0" w:type="dxa"/>
                    <w:left w:w="0" w:type="dxa"/>
                    <w:bottom w:w="0" w:type="dxa"/>
                    <w:right w:w="0" w:type="dxa"/>
                  </w:tcMar>
                  <w:vAlign w:val="center"/>
                </w:tcPr>
                <w:p w14:paraId="7C63BCCC">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相符</w:t>
                  </w:r>
                </w:p>
              </w:tc>
            </w:tr>
          </w:tbl>
          <w:p w14:paraId="4AB6323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color w:val="auto"/>
                <w:kern w:val="0"/>
                <w:sz w:val="21"/>
                <w:szCs w:val="21"/>
                <w:highlight w:val="none"/>
              </w:rPr>
            </w:pPr>
            <w:r>
              <w:rPr>
                <w:rFonts w:hint="eastAsia"/>
                <w:b/>
                <w:color w:val="auto"/>
                <w:kern w:val="0"/>
                <w:sz w:val="21"/>
                <w:szCs w:val="21"/>
                <w:highlight w:val="none"/>
              </w:rPr>
              <w:t>表1-</w:t>
            </w:r>
            <w:r>
              <w:rPr>
                <w:rFonts w:hint="eastAsia"/>
                <w:b/>
                <w:color w:val="auto"/>
                <w:kern w:val="0"/>
                <w:sz w:val="21"/>
                <w:szCs w:val="21"/>
                <w:highlight w:val="none"/>
                <w:lang w:val="en-US" w:eastAsia="zh-CN"/>
              </w:rPr>
              <w:t>3</w:t>
            </w:r>
            <w:r>
              <w:rPr>
                <w:rFonts w:hint="eastAsia"/>
                <w:b/>
                <w:color w:val="auto"/>
                <w:kern w:val="0"/>
                <w:sz w:val="21"/>
                <w:szCs w:val="21"/>
                <w:highlight w:val="none"/>
              </w:rPr>
              <w:t xml:space="preserve"> </w:t>
            </w:r>
            <w:r>
              <w:rPr>
                <w:rFonts w:hint="eastAsia"/>
                <w:b/>
                <w:color w:val="auto"/>
                <w:kern w:val="0"/>
                <w:sz w:val="21"/>
                <w:szCs w:val="21"/>
                <w:highlight w:val="none"/>
                <w:lang w:val="en-US" w:eastAsia="zh-CN"/>
              </w:rPr>
              <w:t xml:space="preserve">  </w:t>
            </w:r>
            <w:r>
              <w:rPr>
                <w:rFonts w:hint="eastAsia"/>
                <w:b/>
                <w:color w:val="auto"/>
                <w:kern w:val="0"/>
                <w:sz w:val="21"/>
                <w:szCs w:val="21"/>
                <w:highlight w:val="none"/>
              </w:rPr>
              <w:t>本项目与江苏省金坛华罗庚高新技术产业园开发区开发建设规划（2022~2035）环境影响报告书的审查意见相符性分析</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773"/>
              <w:gridCol w:w="4979"/>
              <w:gridCol w:w="1593"/>
              <w:gridCol w:w="806"/>
            </w:tblGrid>
            <w:tr w14:paraId="10A67BC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340" w:hRule="atLeast"/>
                <w:jc w:val="center"/>
              </w:trPr>
              <w:tc>
                <w:tcPr>
                  <w:tcW w:w="773" w:type="dxa"/>
                  <w:tcBorders>
                    <w:tl2br w:val="nil"/>
                    <w:tr2bl w:val="nil"/>
                  </w:tcBorders>
                  <w:noWrap w:val="0"/>
                  <w:vAlign w:val="center"/>
                </w:tcPr>
                <w:p w14:paraId="15721235">
                  <w:pPr>
                    <w:autoSpaceDE w:val="0"/>
                    <w:autoSpaceDN w:val="0"/>
                    <w:adjustRightInd w:val="0"/>
                    <w:snapToGrid w:val="0"/>
                    <w:jc w:val="center"/>
                    <w:rPr>
                      <w:rFonts w:hint="default" w:eastAsia="宋体"/>
                      <w:b/>
                      <w:color w:val="auto"/>
                      <w:kern w:val="0"/>
                      <w:sz w:val="21"/>
                      <w:szCs w:val="21"/>
                      <w:highlight w:val="none"/>
                      <w:lang w:val="en-US" w:eastAsia="zh-CN"/>
                    </w:rPr>
                  </w:pPr>
                  <w:r>
                    <w:rPr>
                      <w:rFonts w:hint="eastAsia"/>
                      <w:b/>
                      <w:color w:val="auto"/>
                      <w:kern w:val="0"/>
                      <w:sz w:val="21"/>
                      <w:szCs w:val="21"/>
                      <w:highlight w:val="none"/>
                      <w:lang w:val="en-US" w:eastAsia="zh-CN"/>
                    </w:rPr>
                    <w:t>条款类型</w:t>
                  </w:r>
                </w:p>
              </w:tc>
              <w:tc>
                <w:tcPr>
                  <w:tcW w:w="4979" w:type="dxa"/>
                  <w:tcBorders>
                    <w:tl2br w:val="nil"/>
                    <w:tr2bl w:val="nil"/>
                  </w:tcBorders>
                  <w:noWrap w:val="0"/>
                  <w:vAlign w:val="center"/>
                </w:tcPr>
                <w:p w14:paraId="68F9E9F8">
                  <w:pPr>
                    <w:autoSpaceDE w:val="0"/>
                    <w:autoSpaceDN w:val="0"/>
                    <w:adjustRightInd w:val="0"/>
                    <w:snapToGrid w:val="0"/>
                    <w:jc w:val="center"/>
                    <w:rPr>
                      <w:b/>
                      <w:color w:val="auto"/>
                      <w:kern w:val="0"/>
                      <w:sz w:val="21"/>
                      <w:szCs w:val="21"/>
                      <w:highlight w:val="none"/>
                    </w:rPr>
                  </w:pPr>
                  <w:r>
                    <w:rPr>
                      <w:rFonts w:hint="eastAsia"/>
                      <w:b/>
                      <w:color w:val="auto"/>
                      <w:kern w:val="0"/>
                      <w:sz w:val="21"/>
                      <w:szCs w:val="21"/>
                      <w:highlight w:val="none"/>
                    </w:rPr>
                    <w:t>相关要求</w:t>
                  </w:r>
                </w:p>
              </w:tc>
              <w:tc>
                <w:tcPr>
                  <w:tcW w:w="1593" w:type="dxa"/>
                  <w:tcBorders>
                    <w:tl2br w:val="nil"/>
                    <w:tr2bl w:val="nil"/>
                  </w:tcBorders>
                  <w:noWrap w:val="0"/>
                  <w:vAlign w:val="center"/>
                </w:tcPr>
                <w:p w14:paraId="50A18F92">
                  <w:pPr>
                    <w:autoSpaceDE w:val="0"/>
                    <w:autoSpaceDN w:val="0"/>
                    <w:adjustRightInd w:val="0"/>
                    <w:snapToGrid w:val="0"/>
                    <w:jc w:val="center"/>
                    <w:rPr>
                      <w:b/>
                      <w:color w:val="auto"/>
                      <w:kern w:val="0"/>
                      <w:sz w:val="21"/>
                      <w:szCs w:val="21"/>
                      <w:highlight w:val="none"/>
                    </w:rPr>
                  </w:pPr>
                  <w:r>
                    <w:rPr>
                      <w:rFonts w:hint="eastAsia"/>
                      <w:b/>
                      <w:color w:val="auto"/>
                      <w:kern w:val="0"/>
                      <w:sz w:val="21"/>
                      <w:szCs w:val="21"/>
                      <w:highlight w:val="none"/>
                    </w:rPr>
                    <w:t>本项目情况</w:t>
                  </w:r>
                </w:p>
              </w:tc>
              <w:tc>
                <w:tcPr>
                  <w:tcW w:w="806" w:type="dxa"/>
                  <w:tcBorders>
                    <w:tl2br w:val="nil"/>
                    <w:tr2bl w:val="nil"/>
                  </w:tcBorders>
                  <w:noWrap w:val="0"/>
                  <w:vAlign w:val="center"/>
                </w:tcPr>
                <w:p w14:paraId="043802FF">
                  <w:pPr>
                    <w:autoSpaceDE w:val="0"/>
                    <w:autoSpaceDN w:val="0"/>
                    <w:adjustRightInd w:val="0"/>
                    <w:snapToGrid w:val="0"/>
                    <w:jc w:val="center"/>
                    <w:rPr>
                      <w:b/>
                      <w:color w:val="auto"/>
                      <w:kern w:val="0"/>
                      <w:sz w:val="21"/>
                      <w:szCs w:val="21"/>
                      <w:highlight w:val="none"/>
                    </w:rPr>
                  </w:pPr>
                  <w:r>
                    <w:rPr>
                      <w:rFonts w:hint="eastAsia"/>
                      <w:b/>
                      <w:color w:val="auto"/>
                      <w:kern w:val="0"/>
                      <w:sz w:val="21"/>
                      <w:szCs w:val="21"/>
                      <w:highlight w:val="none"/>
                    </w:rPr>
                    <w:t>相符性</w:t>
                  </w:r>
                </w:p>
              </w:tc>
            </w:tr>
            <w:tr w14:paraId="588BF5D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773" w:type="dxa"/>
                  <w:tcBorders>
                    <w:tl2br w:val="nil"/>
                    <w:tr2bl w:val="nil"/>
                  </w:tcBorders>
                  <w:noWrap w:val="0"/>
                  <w:vAlign w:val="center"/>
                </w:tcPr>
                <w:p w14:paraId="052F6D91">
                  <w:pPr>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园区规划范围</w:t>
                  </w:r>
                </w:p>
              </w:tc>
              <w:tc>
                <w:tcPr>
                  <w:tcW w:w="4979" w:type="dxa"/>
                  <w:tcBorders>
                    <w:tl2br w:val="nil"/>
                    <w:tr2bl w:val="nil"/>
                  </w:tcBorders>
                  <w:noWrap w:val="0"/>
                  <w:vAlign w:val="center"/>
                </w:tcPr>
                <w:p w14:paraId="4AD46AE6">
                  <w:pPr>
                    <w:keepNext/>
                    <w:keepLines/>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江苏省金坛华罗庚高新技术产业开发区（以下简称</w:t>
                  </w:r>
                  <w:r>
                    <w:rPr>
                      <w:rFonts w:hint="eastAsia"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华罗庚高新区</w:t>
                  </w:r>
                  <w:r>
                    <w:rPr>
                      <w:rFonts w:hint="eastAsia"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）由华罗庚科技产业园片区（北区）和金东现代产业园片区（南区）2个片区组成，规划总面积34.11km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rPr>
                    <w:t>。其中，华罗庚科技产业园片区四至范围：东至银湖路、南至江东大道、西至金湖路、北至金武快速路和南二环路，片区规划面积为31.19km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rPr>
                    <w:t>；金东现代产业园片区四至范围为：东至引水河、南至湟里河、西至金湖南路、北至长荡湖北路，片区规划面积为2.92km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rPr>
                    <w:t>。</w:t>
                  </w:r>
                </w:p>
              </w:tc>
              <w:tc>
                <w:tcPr>
                  <w:tcW w:w="1593" w:type="dxa"/>
                  <w:tcBorders>
                    <w:tl2br w:val="nil"/>
                    <w:tr2bl w:val="nil"/>
                  </w:tcBorders>
                  <w:noWrap w:val="0"/>
                  <w:vAlign w:val="center"/>
                </w:tcPr>
                <w:p w14:paraId="29DB0D65">
                  <w:pPr>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项目建设地</w:t>
                  </w:r>
                  <w:r>
                    <w:rPr>
                      <w:rFonts w:hint="default" w:ascii="Times New Roman" w:hAnsi="Times New Roman" w:eastAsia="宋体" w:cs="Times New Roman"/>
                      <w:color w:val="auto"/>
                      <w:kern w:val="0"/>
                      <w:sz w:val="21"/>
                      <w:szCs w:val="21"/>
                    </w:rPr>
                    <w:t>位于</w:t>
                  </w:r>
                  <w:r>
                    <w:rPr>
                      <w:rFonts w:hint="eastAsia"/>
                      <w:color w:val="auto"/>
                      <w:kern w:val="0"/>
                      <w:lang w:eastAsia="zh-CN"/>
                    </w:rPr>
                    <w:t>江苏省常州市金坛区金湖路99号</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位于</w:t>
                  </w:r>
                  <w:r>
                    <w:rPr>
                      <w:rFonts w:hint="default" w:ascii="Times New Roman" w:hAnsi="Times New Roman" w:eastAsia="宋体" w:cs="Times New Roman"/>
                      <w:color w:val="auto"/>
                      <w:kern w:val="0"/>
                      <w:sz w:val="21"/>
                      <w:szCs w:val="21"/>
                    </w:rPr>
                    <w:t>江苏省金坛华罗庚高新技术产业开发区</w:t>
                  </w:r>
                  <w:r>
                    <w:rPr>
                      <w:rFonts w:hint="eastAsia" w:ascii="Times New Roman" w:hAnsi="Times New Roman" w:eastAsia="宋体" w:cs="Times New Roman"/>
                      <w:color w:val="auto"/>
                      <w:kern w:val="0"/>
                      <w:sz w:val="21"/>
                      <w:szCs w:val="21"/>
                      <w:lang w:val="en-US" w:eastAsia="zh-CN"/>
                    </w:rPr>
                    <w:t>中</w:t>
                  </w:r>
                  <w:r>
                    <w:rPr>
                      <w:rFonts w:hint="eastAsia" w:eastAsia="宋体" w:cs="Times New Roman"/>
                      <w:color w:val="auto"/>
                      <w:kern w:val="0"/>
                      <w:sz w:val="21"/>
                      <w:szCs w:val="21"/>
                      <w:lang w:val="en-US" w:eastAsia="zh-CN"/>
                    </w:rPr>
                    <w:t>华罗庚科技产业园</w:t>
                  </w:r>
                  <w:r>
                    <w:rPr>
                      <w:rFonts w:hint="default" w:ascii="Times New Roman" w:hAnsi="Times New Roman" w:eastAsia="宋体" w:cs="Times New Roman"/>
                      <w:color w:val="auto"/>
                      <w:kern w:val="0"/>
                      <w:sz w:val="21"/>
                      <w:szCs w:val="21"/>
                    </w:rPr>
                    <w:t>（</w:t>
                  </w:r>
                  <w:r>
                    <w:rPr>
                      <w:rFonts w:hint="eastAsia" w:eastAsia="宋体" w:cs="Times New Roman"/>
                      <w:color w:val="auto"/>
                      <w:kern w:val="0"/>
                      <w:sz w:val="21"/>
                      <w:szCs w:val="21"/>
                      <w:lang w:val="en-US" w:eastAsia="zh-CN"/>
                    </w:rPr>
                    <w:t>北区</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内，</w:t>
                  </w:r>
                  <w:r>
                    <w:rPr>
                      <w:rFonts w:hint="default" w:ascii="Times New Roman" w:hAnsi="Times New Roman" w:eastAsia="宋体" w:cs="Times New Roman"/>
                      <w:color w:val="auto"/>
                      <w:kern w:val="0"/>
                      <w:sz w:val="21"/>
                      <w:szCs w:val="21"/>
                    </w:rPr>
                    <w:t>属于规划范围内。</w:t>
                  </w:r>
                </w:p>
              </w:tc>
              <w:tc>
                <w:tcPr>
                  <w:tcW w:w="806" w:type="dxa"/>
                  <w:tcBorders>
                    <w:tl2br w:val="nil"/>
                    <w:tr2bl w:val="nil"/>
                  </w:tcBorders>
                  <w:noWrap w:val="0"/>
                  <w:vAlign w:val="center"/>
                </w:tcPr>
                <w:p w14:paraId="5CFFE2D2">
                  <w:pPr>
                    <w:autoSpaceDE w:val="0"/>
                    <w:autoSpaceDN w:val="0"/>
                    <w:adjustRightInd w:val="0"/>
                    <w:snapToGrid w:val="0"/>
                    <w:jc w:val="center"/>
                    <w:rPr>
                      <w:rFonts w:hint="default" w:eastAsia="宋体"/>
                      <w:b w:val="0"/>
                      <w:bCs/>
                      <w:color w:val="auto"/>
                      <w:kern w:val="0"/>
                      <w:sz w:val="21"/>
                      <w:szCs w:val="21"/>
                      <w:highlight w:val="none"/>
                      <w:lang w:val="en-US" w:eastAsia="zh-CN"/>
                    </w:rPr>
                  </w:pPr>
                  <w:r>
                    <w:rPr>
                      <w:rFonts w:hint="eastAsia"/>
                      <w:b w:val="0"/>
                      <w:bCs/>
                      <w:color w:val="auto"/>
                      <w:kern w:val="0"/>
                      <w:sz w:val="21"/>
                      <w:szCs w:val="21"/>
                      <w:highlight w:val="none"/>
                      <w:lang w:val="en-US" w:eastAsia="zh-CN"/>
                    </w:rPr>
                    <w:t>符合</w:t>
                  </w:r>
                </w:p>
              </w:tc>
            </w:tr>
            <w:tr w14:paraId="5F50A5A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773" w:type="dxa"/>
                  <w:tcBorders>
                    <w:tl2br w:val="nil"/>
                    <w:tr2bl w:val="nil"/>
                  </w:tcBorders>
                  <w:noWrap w:val="0"/>
                  <w:vAlign w:val="center"/>
                </w:tcPr>
                <w:p w14:paraId="14D1446C">
                  <w:pPr>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规划时限</w:t>
                  </w:r>
                </w:p>
              </w:tc>
              <w:tc>
                <w:tcPr>
                  <w:tcW w:w="4979" w:type="dxa"/>
                  <w:tcBorders>
                    <w:tl2br w:val="nil"/>
                    <w:tr2bl w:val="nil"/>
                  </w:tcBorders>
                  <w:noWrap w:val="0"/>
                  <w:vAlign w:val="center"/>
                </w:tcPr>
                <w:p w14:paraId="22D0EDF3">
                  <w:pPr>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规划基准年2021年，规划期限为2022~2035年。其中，近期为2022~2025年，远期为2026~2035年。</w:t>
                  </w:r>
                </w:p>
              </w:tc>
              <w:tc>
                <w:tcPr>
                  <w:tcW w:w="1593" w:type="dxa"/>
                  <w:tcBorders>
                    <w:tl2br w:val="nil"/>
                    <w:tr2bl w:val="nil"/>
                  </w:tcBorders>
                  <w:noWrap w:val="0"/>
                  <w:vAlign w:val="center"/>
                </w:tcPr>
                <w:p w14:paraId="30CC7420">
                  <w:pPr>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本项目建设</w:t>
                  </w:r>
                  <w:r>
                    <w:rPr>
                      <w:rFonts w:hint="default" w:ascii="Times New Roman" w:hAnsi="Times New Roman" w:eastAsia="宋体" w:cs="Times New Roman"/>
                      <w:color w:val="auto"/>
                      <w:kern w:val="0"/>
                      <w:sz w:val="21"/>
                      <w:szCs w:val="21"/>
                      <w:lang w:val="en-US" w:eastAsia="zh-CN"/>
                    </w:rPr>
                    <w:t>期间</w:t>
                  </w:r>
                  <w:r>
                    <w:rPr>
                      <w:rFonts w:hint="default" w:ascii="Times New Roman" w:hAnsi="Times New Roman" w:eastAsia="宋体" w:cs="Times New Roman"/>
                      <w:color w:val="auto"/>
                      <w:kern w:val="0"/>
                      <w:sz w:val="21"/>
                      <w:szCs w:val="21"/>
                    </w:rPr>
                    <w:t>位于规划</w:t>
                  </w:r>
                  <w:r>
                    <w:rPr>
                      <w:rFonts w:hint="default" w:ascii="Times New Roman" w:hAnsi="Times New Roman" w:eastAsia="宋体" w:cs="Times New Roman"/>
                      <w:color w:val="auto"/>
                      <w:kern w:val="0"/>
                      <w:sz w:val="21"/>
                      <w:szCs w:val="21"/>
                      <w:lang w:val="en-US" w:eastAsia="zh-CN"/>
                    </w:rPr>
                    <w:t>期限</w:t>
                  </w:r>
                  <w:r>
                    <w:rPr>
                      <w:rFonts w:hint="default" w:ascii="Times New Roman" w:hAnsi="Times New Roman" w:eastAsia="宋体" w:cs="Times New Roman"/>
                      <w:color w:val="auto"/>
                      <w:kern w:val="0"/>
                      <w:sz w:val="21"/>
                      <w:szCs w:val="21"/>
                    </w:rPr>
                    <w:t>内。</w:t>
                  </w:r>
                </w:p>
              </w:tc>
              <w:tc>
                <w:tcPr>
                  <w:tcW w:w="806" w:type="dxa"/>
                  <w:tcBorders>
                    <w:tl2br w:val="nil"/>
                    <w:tr2bl w:val="nil"/>
                  </w:tcBorders>
                  <w:noWrap w:val="0"/>
                  <w:vAlign w:val="center"/>
                </w:tcPr>
                <w:p w14:paraId="03FFBCDA">
                  <w:pPr>
                    <w:autoSpaceDE w:val="0"/>
                    <w:autoSpaceDN w:val="0"/>
                    <w:adjustRightInd w:val="0"/>
                    <w:snapToGrid w:val="0"/>
                    <w:jc w:val="center"/>
                    <w:rPr>
                      <w:rFonts w:hint="eastAsia"/>
                      <w:b w:val="0"/>
                      <w:bCs/>
                      <w:color w:val="auto"/>
                      <w:kern w:val="0"/>
                      <w:sz w:val="21"/>
                      <w:szCs w:val="21"/>
                      <w:highlight w:val="none"/>
                    </w:rPr>
                  </w:pPr>
                  <w:r>
                    <w:rPr>
                      <w:rFonts w:hint="eastAsia"/>
                      <w:b w:val="0"/>
                      <w:bCs/>
                      <w:color w:val="auto"/>
                      <w:kern w:val="0"/>
                      <w:sz w:val="21"/>
                      <w:szCs w:val="21"/>
                      <w:highlight w:val="none"/>
                      <w:lang w:val="en-US" w:eastAsia="zh-CN"/>
                    </w:rPr>
                    <w:t>符合</w:t>
                  </w:r>
                </w:p>
              </w:tc>
            </w:tr>
            <w:tr w14:paraId="4EF3D46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773" w:type="dxa"/>
                  <w:tcBorders>
                    <w:tl2br w:val="nil"/>
                    <w:tr2bl w:val="nil"/>
                  </w:tcBorders>
                  <w:noWrap w:val="0"/>
                  <w:vAlign w:val="center"/>
                </w:tcPr>
                <w:p w14:paraId="227CB30D">
                  <w:pPr>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产业定位</w:t>
                  </w:r>
                </w:p>
              </w:tc>
              <w:tc>
                <w:tcPr>
                  <w:tcW w:w="4979" w:type="dxa"/>
                  <w:tcBorders>
                    <w:tl2br w:val="nil"/>
                    <w:tr2bl w:val="nil"/>
                  </w:tcBorders>
                  <w:noWrap w:val="0"/>
                  <w:vAlign w:val="center"/>
                </w:tcPr>
                <w:p w14:paraId="4C30AA34">
                  <w:pPr>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华罗庚高新区将依托华罗庚科技产业园片区（北区）、金东现代产业园片区（南区）前期产业发展基础，以</w:t>
                  </w:r>
                  <w:r>
                    <w:rPr>
                      <w:rFonts w:hint="eastAsia"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强链、补链、融链</w:t>
                  </w:r>
                  <w:r>
                    <w:rPr>
                      <w:rFonts w:hint="eastAsia"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为原则，做强做大新能源汽车、新型基础设施建设两大主导产业，培育打造智能网联汽车</w:t>
                  </w:r>
                  <w:r>
                    <w:rPr>
                      <w:rFonts w:hint="eastAsia"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一区一战略产业</w:t>
                  </w:r>
                  <w:r>
                    <w:rPr>
                      <w:rFonts w:hint="eastAsia"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，构建</w:t>
                  </w:r>
                  <w:r>
                    <w:rPr>
                      <w:rFonts w:hint="eastAsia"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2→1</w:t>
                  </w:r>
                  <w:r>
                    <w:rPr>
                      <w:rFonts w:hint="eastAsia"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高新技术产业体系，进一步凸显华罗庚高新区的产业特色和优势。同时，加快园区原有产业升级与转型，以</w:t>
                  </w:r>
                  <w:r>
                    <w:rPr>
                      <w:rFonts w:hint="eastAsia"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绿色、智能、制造</w:t>
                  </w:r>
                  <w:r>
                    <w:rPr>
                      <w:rFonts w:hint="eastAsia"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为主线，从产业链和产业集群入手，发挥链主企业的引领作用，整合优质资源，提升创新研发、产业化、综合集成能力，推动产业纵向延伸、横向联合和跨界整合；以产业集群创新园区建设与发展模式，带动区内原有中小企业转型发展，全面提升园区高质量发展水平。</w:t>
                  </w:r>
                </w:p>
              </w:tc>
              <w:tc>
                <w:tcPr>
                  <w:tcW w:w="1593" w:type="dxa"/>
                  <w:tcBorders>
                    <w:tl2br w:val="nil"/>
                    <w:tr2bl w:val="nil"/>
                  </w:tcBorders>
                  <w:noWrap w:val="0"/>
                  <w:vAlign w:val="center"/>
                </w:tcPr>
                <w:p w14:paraId="44DEB399">
                  <w:pPr>
                    <w:keepNext/>
                    <w:keepLines/>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本项目为行业类别为</w:t>
                  </w:r>
                  <w:r>
                    <w:rPr>
                      <w:rFonts w:hint="eastAsia"/>
                      <w:bCs/>
                      <w:color w:val="auto"/>
                      <w:kern w:val="0"/>
                      <w:lang w:eastAsia="zh-CN"/>
                    </w:rPr>
                    <w:t>C2110木质家具制造</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属于</w:t>
                  </w:r>
                  <w:r>
                    <w:rPr>
                      <w:rFonts w:hint="eastAsia" w:eastAsia="宋体" w:cs="Times New Roman"/>
                      <w:color w:val="auto"/>
                      <w:kern w:val="0"/>
                      <w:sz w:val="21"/>
                      <w:szCs w:val="21"/>
                      <w:lang w:val="en-US" w:eastAsia="zh-CN"/>
                    </w:rPr>
                    <w:t>制造</w:t>
                  </w:r>
                  <w:r>
                    <w:rPr>
                      <w:rFonts w:hint="default" w:ascii="Times New Roman" w:hAnsi="Times New Roman" w:eastAsia="宋体" w:cs="Times New Roman"/>
                      <w:color w:val="auto"/>
                      <w:kern w:val="0"/>
                      <w:sz w:val="21"/>
                      <w:szCs w:val="21"/>
                      <w:lang w:val="en-US" w:eastAsia="zh-CN"/>
                    </w:rPr>
                    <w:t>产业，符合产业定位。</w:t>
                  </w:r>
                </w:p>
              </w:tc>
              <w:tc>
                <w:tcPr>
                  <w:tcW w:w="806" w:type="dxa"/>
                  <w:tcBorders>
                    <w:tl2br w:val="nil"/>
                    <w:tr2bl w:val="nil"/>
                  </w:tcBorders>
                  <w:noWrap w:val="0"/>
                  <w:vAlign w:val="center"/>
                </w:tcPr>
                <w:p w14:paraId="1C654882">
                  <w:pPr>
                    <w:autoSpaceDE w:val="0"/>
                    <w:autoSpaceDN w:val="0"/>
                    <w:adjustRightInd w:val="0"/>
                    <w:snapToGrid w:val="0"/>
                    <w:spacing w:line="240" w:lineRule="auto"/>
                    <w:jc w:val="center"/>
                    <w:rPr>
                      <w:rFonts w:hint="eastAsia"/>
                      <w:b w:val="0"/>
                      <w:bCs/>
                      <w:color w:val="auto"/>
                      <w:kern w:val="0"/>
                      <w:sz w:val="21"/>
                      <w:szCs w:val="21"/>
                      <w:highlight w:val="none"/>
                    </w:rPr>
                  </w:pPr>
                  <w:r>
                    <w:rPr>
                      <w:rFonts w:hint="eastAsia"/>
                      <w:b w:val="0"/>
                      <w:bCs/>
                      <w:color w:val="auto"/>
                      <w:kern w:val="0"/>
                      <w:sz w:val="21"/>
                      <w:szCs w:val="21"/>
                      <w:highlight w:val="none"/>
                      <w:lang w:val="en-US" w:eastAsia="zh-CN"/>
                    </w:rPr>
                    <w:t>符合</w:t>
                  </w:r>
                </w:p>
              </w:tc>
            </w:tr>
            <w:tr w14:paraId="107149C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773" w:type="dxa"/>
                  <w:tcBorders>
                    <w:tl2br w:val="nil"/>
                    <w:tr2bl w:val="nil"/>
                  </w:tcBorders>
                  <w:noWrap w:val="0"/>
                  <w:vAlign w:val="center"/>
                </w:tcPr>
                <w:p w14:paraId="347CD354">
                  <w:pPr>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总体布局</w:t>
                  </w:r>
                </w:p>
              </w:tc>
              <w:tc>
                <w:tcPr>
                  <w:tcW w:w="4979" w:type="dxa"/>
                  <w:tcBorders>
                    <w:tl2br w:val="nil"/>
                    <w:tr2bl w:val="nil"/>
                  </w:tcBorders>
                  <w:noWrap w:val="0"/>
                  <w:vAlign w:val="center"/>
                </w:tcPr>
                <w:p w14:paraId="747C3055">
                  <w:pPr>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总体形成</w:t>
                  </w:r>
                  <w:r>
                    <w:rPr>
                      <w:rFonts w:hint="eastAsia"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三轴六区，一心多点</w:t>
                  </w:r>
                  <w:r>
                    <w:rPr>
                      <w:rFonts w:hint="eastAsia"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的空间结构。三轴：产业中轴（复兴路-汇福路-云湖路-月湖路）、两湖创新集聚轴（金坛大道、钱资荡大道）、常金一体化发展轴（河海大道）。六区：1个创智生态融合区、1个产城融合示范区、1个科技创新区（科创中心）、2个集镇服务区（尧塘-汤庄集镇、水北集镇）、1个产研联动发展区。一心：围绕科创中心板块形成科技创新核心。多点：围绕片区功能形成的生态景观节点、生活服务节点、科技服务节点。</w:t>
                  </w:r>
                </w:p>
              </w:tc>
              <w:tc>
                <w:tcPr>
                  <w:tcW w:w="1593" w:type="dxa"/>
                  <w:tcBorders>
                    <w:tl2br w:val="nil"/>
                    <w:tr2bl w:val="nil"/>
                  </w:tcBorders>
                  <w:noWrap w:val="0"/>
                  <w:vAlign w:val="center"/>
                </w:tcPr>
                <w:p w14:paraId="34225CDF">
                  <w:pPr>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本项目位于两湖创新集聚轴（金坛大道、钱资荡大道）。</w:t>
                  </w:r>
                </w:p>
              </w:tc>
              <w:tc>
                <w:tcPr>
                  <w:tcW w:w="806" w:type="dxa"/>
                  <w:tcBorders>
                    <w:tl2br w:val="nil"/>
                    <w:tr2bl w:val="nil"/>
                  </w:tcBorders>
                  <w:noWrap w:val="0"/>
                  <w:vAlign w:val="center"/>
                </w:tcPr>
                <w:p w14:paraId="398D2DFA">
                  <w:pPr>
                    <w:autoSpaceDE w:val="0"/>
                    <w:autoSpaceDN w:val="0"/>
                    <w:adjustRightInd w:val="0"/>
                    <w:snapToGrid w:val="0"/>
                    <w:spacing w:line="240" w:lineRule="auto"/>
                    <w:jc w:val="center"/>
                    <w:rPr>
                      <w:rFonts w:hint="eastAsia"/>
                      <w:b w:val="0"/>
                      <w:bCs/>
                      <w:color w:val="auto"/>
                      <w:kern w:val="0"/>
                      <w:sz w:val="21"/>
                      <w:szCs w:val="21"/>
                      <w:highlight w:val="none"/>
                      <w:lang w:val="en-US" w:eastAsia="zh-CN"/>
                    </w:rPr>
                  </w:pPr>
                  <w:r>
                    <w:rPr>
                      <w:rFonts w:hint="eastAsia"/>
                      <w:b w:val="0"/>
                      <w:bCs/>
                      <w:color w:val="auto"/>
                      <w:kern w:val="0"/>
                      <w:sz w:val="21"/>
                      <w:szCs w:val="21"/>
                      <w:highlight w:val="none"/>
                      <w:lang w:val="en-US" w:eastAsia="zh-CN"/>
                    </w:rPr>
                    <w:t>符合</w:t>
                  </w:r>
                </w:p>
              </w:tc>
            </w:tr>
            <w:tr w14:paraId="68091FB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773" w:type="dxa"/>
                  <w:tcBorders>
                    <w:tl2br w:val="nil"/>
                    <w:tr2bl w:val="nil"/>
                  </w:tcBorders>
                  <w:noWrap w:val="0"/>
                  <w:vAlign w:val="center"/>
                </w:tcPr>
                <w:p w14:paraId="13C3E915">
                  <w:pPr>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用地规划布局</w:t>
                  </w:r>
                </w:p>
              </w:tc>
              <w:tc>
                <w:tcPr>
                  <w:tcW w:w="4979" w:type="dxa"/>
                  <w:tcBorders>
                    <w:tl2br w:val="nil"/>
                    <w:tr2bl w:val="nil"/>
                  </w:tcBorders>
                  <w:noWrap w:val="0"/>
                  <w:vAlign w:val="center"/>
                </w:tcPr>
                <w:p w14:paraId="0F2589B0">
                  <w:pPr>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至规划末期（2035年），华罗庚高新区内建设用地总面积将达到32.48km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rPr>
                    <w:t>，占华罗庚高新区总面积的95.2%。其中，规划工业用地、居住用地、道路与交通设施用地、绿化与广场用地面积分别达到13.28km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rPr>
                    <w:t>、6.70km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rPr>
                    <w:t>、5.34km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rPr>
                    <w:t>、6.03km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rPr>
                    <w:t>。</w:t>
                  </w:r>
                </w:p>
              </w:tc>
              <w:tc>
                <w:tcPr>
                  <w:tcW w:w="1593" w:type="dxa"/>
                  <w:tcBorders>
                    <w:tl2br w:val="nil"/>
                    <w:tr2bl w:val="nil"/>
                  </w:tcBorders>
                  <w:noWrap w:val="0"/>
                  <w:vAlign w:val="center"/>
                </w:tcPr>
                <w:p w14:paraId="2B49C338">
                  <w:pPr>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本项目所在地为工业用地。</w:t>
                  </w:r>
                </w:p>
              </w:tc>
              <w:tc>
                <w:tcPr>
                  <w:tcW w:w="806" w:type="dxa"/>
                  <w:tcBorders>
                    <w:tl2br w:val="nil"/>
                    <w:tr2bl w:val="nil"/>
                  </w:tcBorders>
                  <w:noWrap w:val="0"/>
                  <w:vAlign w:val="center"/>
                </w:tcPr>
                <w:p w14:paraId="4E33CD87">
                  <w:pPr>
                    <w:autoSpaceDE w:val="0"/>
                    <w:autoSpaceDN w:val="0"/>
                    <w:adjustRightInd w:val="0"/>
                    <w:snapToGrid w:val="0"/>
                    <w:spacing w:line="240" w:lineRule="auto"/>
                    <w:jc w:val="center"/>
                    <w:rPr>
                      <w:rFonts w:hint="eastAsia"/>
                      <w:b w:val="0"/>
                      <w:bCs/>
                      <w:color w:val="auto"/>
                      <w:kern w:val="0"/>
                      <w:sz w:val="21"/>
                      <w:szCs w:val="21"/>
                      <w:highlight w:val="none"/>
                      <w:lang w:val="en-US" w:eastAsia="zh-CN"/>
                    </w:rPr>
                  </w:pPr>
                  <w:r>
                    <w:rPr>
                      <w:rFonts w:hint="eastAsia"/>
                      <w:b w:val="0"/>
                      <w:bCs/>
                      <w:color w:val="auto"/>
                      <w:kern w:val="0"/>
                      <w:sz w:val="21"/>
                      <w:szCs w:val="21"/>
                      <w:highlight w:val="none"/>
                      <w:lang w:val="en-US" w:eastAsia="zh-CN"/>
                    </w:rPr>
                    <w:t>符合</w:t>
                  </w:r>
                </w:p>
              </w:tc>
            </w:tr>
            <w:tr w14:paraId="2686D36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773" w:type="dxa"/>
                  <w:tcBorders>
                    <w:tl2br w:val="nil"/>
                    <w:tr2bl w:val="nil"/>
                  </w:tcBorders>
                  <w:noWrap w:val="0"/>
                  <w:vAlign w:val="center"/>
                </w:tcPr>
                <w:p w14:paraId="6B673C94">
                  <w:pPr>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环保基础设施</w:t>
                  </w:r>
                </w:p>
              </w:tc>
              <w:tc>
                <w:tcPr>
                  <w:tcW w:w="4979" w:type="dxa"/>
                  <w:tcBorders>
                    <w:tl2br w:val="nil"/>
                    <w:tr2bl w:val="nil"/>
                  </w:tcBorders>
                  <w:noWrap w:val="0"/>
                  <w:vAlign w:val="center"/>
                </w:tcPr>
                <w:p w14:paraId="4AA5FE2C">
                  <w:pPr>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（1）规划保留现有供水模式，生活和工业用水主要由长荡湖水厂供水，水源为长荡湖。长荡湖水厂现状规模为20万m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/d，规划末期长荡湖水厂供水能力将达到30万m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d，以满足区域整体需求。（2）排水制度为雨污分流制。华罗庚科技产业园片区（北区）污水主要送入金坛第二污水处理厂和金坛工业污水厂（在建）处理，金东园现代产业园片区（南区）污水分流进入金坛第二污水处理厂和儒林污水处理厂处理，未来根据实际运行情况，合理调度园区污水去向。（3）规划保留220kV水北变、110kV尧塘变、华科变，新建220kV南汤变、金东变，110kV镇南变等变电所。（4）园区内现有产业项目对供热需求整体偏小，规划仍以采用现行的分散式供热为主，对有热能需求的企业推广天然气锅炉供热。远期如有大规模供热需求，将根据园区实际情况，进一步规划建设集中供热设施。（5）生活垃圾收运模式采用集中转运方式，保留尧夏路北侧已建垃圾转运站，新建汤庄垃圾转运站、金东垃圾转运站，生活垃圾集中收集后进入区外的金坛垃圾焚烧厂处理。</w:t>
                  </w:r>
                </w:p>
              </w:tc>
              <w:tc>
                <w:tcPr>
                  <w:tcW w:w="1593" w:type="dxa"/>
                  <w:tcBorders>
                    <w:tl2br w:val="nil"/>
                    <w:tr2bl w:val="nil"/>
                  </w:tcBorders>
                  <w:noWrap w:val="0"/>
                  <w:vAlign w:val="center"/>
                </w:tcPr>
                <w:p w14:paraId="3CFA7BA1">
                  <w:pPr>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本项目采用雨污分流排水体制，</w:t>
                  </w:r>
                  <w:r>
                    <w:rPr>
                      <w:rFonts w:hint="default" w:ascii="Times New Roman" w:hAnsi="Times New Roman" w:eastAsia="宋体" w:cs="Times New Roman"/>
                      <w:color w:val="auto"/>
                      <w:kern w:val="0"/>
                      <w:sz w:val="21"/>
                      <w:szCs w:val="21"/>
                      <w:lang w:val="en-US" w:eastAsia="zh-CN"/>
                    </w:rPr>
                    <w:t>项目位于</w:t>
                  </w:r>
                  <w:r>
                    <w:rPr>
                      <w:rFonts w:hint="default" w:ascii="Times New Roman" w:hAnsi="Times New Roman" w:eastAsia="宋体" w:cs="Times New Roman"/>
                      <w:color w:val="auto"/>
                      <w:kern w:val="0"/>
                      <w:sz w:val="21"/>
                      <w:szCs w:val="21"/>
                    </w:rPr>
                    <w:t>江苏省金坛华罗庚高新技术产业开发区</w:t>
                  </w:r>
                  <w:r>
                    <w:rPr>
                      <w:rFonts w:hint="eastAsia" w:ascii="Times New Roman" w:hAnsi="Times New Roman" w:eastAsia="宋体" w:cs="Times New Roman"/>
                      <w:color w:val="auto"/>
                      <w:kern w:val="0"/>
                      <w:sz w:val="21"/>
                      <w:szCs w:val="21"/>
                      <w:lang w:val="en-US" w:eastAsia="zh-CN"/>
                    </w:rPr>
                    <w:t>中</w:t>
                  </w:r>
                  <w:r>
                    <w:rPr>
                      <w:rFonts w:hint="eastAsia" w:eastAsia="宋体" w:cs="Times New Roman"/>
                      <w:color w:val="auto"/>
                      <w:kern w:val="0"/>
                      <w:sz w:val="21"/>
                      <w:szCs w:val="21"/>
                      <w:lang w:val="en-US" w:eastAsia="zh-CN"/>
                    </w:rPr>
                    <w:t>华罗庚科技产业园</w:t>
                  </w:r>
                  <w:r>
                    <w:rPr>
                      <w:rFonts w:hint="default" w:ascii="Times New Roman" w:hAnsi="Times New Roman" w:eastAsia="宋体" w:cs="Times New Roman"/>
                      <w:color w:val="auto"/>
                      <w:kern w:val="0"/>
                      <w:sz w:val="21"/>
                      <w:szCs w:val="21"/>
                    </w:rPr>
                    <w:t>（</w:t>
                  </w:r>
                  <w:r>
                    <w:rPr>
                      <w:rFonts w:hint="eastAsia" w:eastAsia="宋体" w:cs="Times New Roman"/>
                      <w:color w:val="auto"/>
                      <w:kern w:val="0"/>
                      <w:sz w:val="21"/>
                      <w:szCs w:val="21"/>
                      <w:lang w:val="en-US" w:eastAsia="zh-CN"/>
                    </w:rPr>
                    <w:t>北区</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rPr>
                    <w:t>污水经收集后排入常州金坛区第二污水处理有限公司集中处理</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项目无需供热；一般固废经暂存后外售综合利用，</w:t>
                  </w:r>
                  <w:r>
                    <w:rPr>
                      <w:rFonts w:hint="default" w:ascii="Times New Roman" w:hAnsi="Times New Roman" w:eastAsia="宋体" w:cs="Times New Roman"/>
                      <w:color w:val="auto"/>
                      <w:kern w:val="0"/>
                      <w:sz w:val="21"/>
                      <w:szCs w:val="21"/>
                      <w:vertAlign w:val="baseline"/>
                      <w:lang w:val="en-US" w:eastAsia="zh-CN"/>
                    </w:rPr>
                    <w:t>危险固废经安全暂存后委托有资质单位处置</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生活垃圾委托环卫部门统一收集，固废达到零排放。</w:t>
                  </w:r>
                </w:p>
              </w:tc>
              <w:tc>
                <w:tcPr>
                  <w:tcW w:w="806" w:type="dxa"/>
                  <w:tcBorders>
                    <w:tl2br w:val="nil"/>
                    <w:tr2bl w:val="nil"/>
                  </w:tcBorders>
                  <w:noWrap w:val="0"/>
                  <w:vAlign w:val="center"/>
                </w:tcPr>
                <w:p w14:paraId="1AAB6E25">
                  <w:pPr>
                    <w:autoSpaceDE w:val="0"/>
                    <w:autoSpaceDN w:val="0"/>
                    <w:adjustRightInd w:val="0"/>
                    <w:snapToGrid w:val="0"/>
                    <w:spacing w:line="240" w:lineRule="auto"/>
                    <w:jc w:val="center"/>
                    <w:rPr>
                      <w:rFonts w:hint="eastAsia"/>
                      <w:b w:val="0"/>
                      <w:bCs/>
                      <w:color w:val="auto"/>
                      <w:kern w:val="0"/>
                      <w:sz w:val="21"/>
                      <w:szCs w:val="21"/>
                      <w:highlight w:val="none"/>
                      <w:lang w:val="en-US" w:eastAsia="zh-CN"/>
                    </w:rPr>
                  </w:pPr>
                  <w:r>
                    <w:rPr>
                      <w:rFonts w:hint="eastAsia"/>
                      <w:b w:val="0"/>
                      <w:bCs/>
                      <w:color w:val="auto"/>
                      <w:kern w:val="0"/>
                      <w:sz w:val="21"/>
                      <w:szCs w:val="21"/>
                      <w:highlight w:val="none"/>
                      <w:lang w:val="en-US" w:eastAsia="zh-CN"/>
                    </w:rPr>
                    <w:t>符合</w:t>
                  </w:r>
                </w:p>
              </w:tc>
            </w:tr>
          </w:tbl>
          <w:p w14:paraId="33A8B686">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color w:val="auto"/>
                <w:sz w:val="21"/>
                <w:szCs w:val="21"/>
                <w:highlight w:val="none"/>
                <w:lang w:val="en-US" w:eastAsia="zh-CN"/>
              </w:rPr>
            </w:pPr>
            <w:r>
              <w:rPr>
                <w:rFonts w:hint="eastAsia"/>
                <w:color w:val="auto"/>
                <w:sz w:val="21"/>
                <w:szCs w:val="21"/>
                <w:highlight w:val="none"/>
                <w:lang w:val="en-US" w:eastAsia="zh-CN"/>
              </w:rPr>
              <w:t>综上，本</w:t>
            </w:r>
            <w:r>
              <w:rPr>
                <w:rFonts w:hint="eastAsia"/>
                <w:color w:val="auto"/>
                <w:sz w:val="21"/>
                <w:szCs w:val="21"/>
                <w:highlight w:val="none"/>
              </w:rPr>
              <w:t>项目建设符合江苏省金坛华罗庚高新技术产业园开发区开发建设规划（2022~2035）环境影响报告书中园区环境准入清单及审查意见</w:t>
            </w:r>
            <w:r>
              <w:rPr>
                <w:rFonts w:hint="eastAsia"/>
                <w:color w:val="auto"/>
                <w:sz w:val="21"/>
                <w:szCs w:val="21"/>
                <w:highlight w:val="none"/>
                <w:lang w:val="en-US" w:eastAsia="zh-CN"/>
              </w:rPr>
              <w:t>相关要求。</w:t>
            </w:r>
          </w:p>
          <w:p w14:paraId="1E9AC512">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b/>
                <w:color w:val="auto"/>
                <w:kern w:val="0"/>
                <w:sz w:val="21"/>
                <w:szCs w:val="21"/>
                <w:highlight w:val="none"/>
              </w:rPr>
            </w:pPr>
            <w:r>
              <w:rPr>
                <w:rFonts w:hint="eastAsia"/>
                <w:b/>
                <w:color w:val="auto"/>
                <w:kern w:val="0"/>
                <w:sz w:val="21"/>
                <w:szCs w:val="21"/>
                <w:highlight w:val="none"/>
                <w:lang w:val="en-US" w:eastAsia="zh-CN"/>
              </w:rPr>
              <w:t>3、国土空间规划及“三区三线”</w:t>
            </w:r>
            <w:r>
              <w:rPr>
                <w:rFonts w:hint="eastAsia"/>
                <w:b/>
                <w:color w:val="auto"/>
                <w:kern w:val="0"/>
                <w:sz w:val="21"/>
                <w:szCs w:val="21"/>
                <w:highlight w:val="none"/>
              </w:rPr>
              <w:t>相符性分析</w:t>
            </w:r>
          </w:p>
          <w:p w14:paraId="4226A30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b w:val="0"/>
                <w:bCs/>
                <w:color w:val="auto"/>
                <w:kern w:val="0"/>
                <w:sz w:val="21"/>
                <w:szCs w:val="21"/>
                <w:highlight w:val="none"/>
                <w:lang w:val="en-US" w:eastAsia="zh-CN"/>
              </w:rPr>
            </w:pPr>
            <w:r>
              <w:rPr>
                <w:rFonts w:hint="eastAsia"/>
                <w:b w:val="0"/>
                <w:bCs/>
                <w:color w:val="auto"/>
                <w:kern w:val="0"/>
                <w:sz w:val="21"/>
                <w:szCs w:val="21"/>
                <w:highlight w:val="none"/>
                <w:lang w:val="en-US" w:eastAsia="zh-CN"/>
              </w:rPr>
              <w:t>根据《自然资源部关于在全国开展“三区三线”划定工作的函》（自然资函[2022]47号）以及《江苏省国土空间规划（2021-2035年）》，文件提出创建全国生态文明试验区，以底线约束和安全韧性为前提，优先保障生态、农业、安全等保护性空间。按照耕地和永久基本农田、生态保护红线、城镇开发边界的优先序，统筹划定“三区三线”：到2035年，江苏省耕地保有量不低于5977万亩，其中永久基本农田保护面积不低于5344万亩；生态保护红线不低于1.82万平方千米，其中海洋生态保护红线不低于0.95万平方千米；城镇开发边界扩展倍数控制在基于2020年城镇建设用地规模的1.3倍以内。加强自然资源整体保护与高效利用，统筹安排防灾减灾救灾和重大突发公共事件的应急空间，为保障粮食安全、生态安全、能源安全提供了基础保障。</w:t>
            </w:r>
          </w:p>
          <w:p w14:paraId="4C8D928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color w:val="auto"/>
              </w:rPr>
            </w:pPr>
            <w:r>
              <w:rPr>
                <w:rFonts w:hint="eastAsia"/>
                <w:b w:val="0"/>
                <w:bCs/>
                <w:color w:val="auto"/>
                <w:kern w:val="0"/>
                <w:sz w:val="21"/>
                <w:szCs w:val="21"/>
                <w:highlight w:val="none"/>
                <w:lang w:val="en-US" w:eastAsia="zh-CN"/>
              </w:rPr>
              <w:t>根据《常州市国土空间总体规划（2021-2035年）》中“市域国土空间控制线规划图”和“市辖区国土空间规划分区图”可知，本项目位于工业发展区，在城镇开发边界内，且不占用耕地和永久基本农田，不涉及生态保护红线，因此本项目满足国土空间规划及“三区三线”要求。</w:t>
            </w:r>
          </w:p>
        </w:tc>
      </w:tr>
      <w:tr w14:paraId="1E6CA4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61" w:hRule="atLeast"/>
          <w:jc w:val="center"/>
        </w:trPr>
        <w:tc>
          <w:tcPr>
            <w:tcW w:w="388" w:type="pct"/>
            <w:vAlign w:val="center"/>
          </w:tcPr>
          <w:p w14:paraId="1135EBCA">
            <w:pPr>
              <w:overflowPunct w:val="0"/>
              <w:adjustRightInd w:val="0"/>
              <w:snapToGrid w:val="0"/>
              <w:jc w:val="center"/>
              <w:rPr>
                <w:b/>
                <w:bCs/>
                <w:color w:val="auto"/>
                <w:kern w:val="0"/>
              </w:rPr>
            </w:pPr>
            <w:r>
              <w:rPr>
                <w:b/>
                <w:bCs/>
                <w:color w:val="auto"/>
                <w:kern w:val="0"/>
              </w:rPr>
              <w:t>其他符合性分析</w:t>
            </w:r>
          </w:p>
        </w:tc>
        <w:tc>
          <w:tcPr>
            <w:tcW w:w="4611" w:type="pct"/>
            <w:gridSpan w:val="4"/>
            <w:vAlign w:val="center"/>
          </w:tcPr>
          <w:p w14:paraId="2F9906E5">
            <w:pPr>
              <w:overflowPunct w:val="0"/>
              <w:adjustRightInd w:val="0"/>
              <w:snapToGrid w:val="0"/>
              <w:spacing w:line="360" w:lineRule="auto"/>
              <w:ind w:firstLine="422" w:firstLineChars="200"/>
              <w:rPr>
                <w:b/>
                <w:color w:val="auto"/>
              </w:rPr>
            </w:pPr>
            <w:r>
              <w:rPr>
                <w:b/>
                <w:color w:val="auto"/>
              </w:rPr>
              <w:t>1、产业政策相符性</w:t>
            </w:r>
            <w:r>
              <w:rPr>
                <w:rFonts w:hint="eastAsia"/>
                <w:b/>
                <w:color w:val="auto"/>
              </w:rPr>
              <w:t>分析</w:t>
            </w:r>
          </w:p>
          <w:p w14:paraId="6C4E4216">
            <w:pPr>
              <w:adjustRightInd w:val="0"/>
              <w:snapToGrid w:val="0"/>
              <w:spacing w:line="360" w:lineRule="auto"/>
              <w:ind w:firstLine="420" w:firstLineChars="200"/>
              <w:rPr>
                <w:color w:val="auto"/>
              </w:rPr>
            </w:pPr>
            <w:r>
              <w:rPr>
                <w:color w:val="auto"/>
              </w:rPr>
              <w:t>本项目属于《国民经济行业分类》（GB/T4754-2017）（国家标准第1号修改单，2019年3月29日起实施）中</w:t>
            </w:r>
            <w:r>
              <w:rPr>
                <w:rFonts w:hint="eastAsia"/>
                <w:color w:val="auto"/>
              </w:rPr>
              <w:t>“</w:t>
            </w:r>
            <w:r>
              <w:rPr>
                <w:rFonts w:hint="eastAsia"/>
                <w:color w:val="auto"/>
                <w:lang w:eastAsia="zh-CN"/>
              </w:rPr>
              <w:t>C2110木质家具制造</w:t>
            </w:r>
            <w:r>
              <w:rPr>
                <w:rFonts w:hint="eastAsia"/>
                <w:color w:val="auto"/>
              </w:rPr>
              <w:t>”</w:t>
            </w:r>
            <w:r>
              <w:rPr>
                <w:color w:val="auto"/>
              </w:rPr>
              <w:t>，对照《产业结构调整指导目录（</w:t>
            </w:r>
            <w:r>
              <w:rPr>
                <w:rFonts w:hint="eastAsia"/>
                <w:color w:val="auto"/>
              </w:rPr>
              <w:t>2024年本</w:t>
            </w:r>
            <w:r>
              <w:rPr>
                <w:color w:val="auto"/>
              </w:rPr>
              <w:t>）》，项目不属于其限制类或淘汰类项目，属于允许建设项目；</w:t>
            </w:r>
            <w:r>
              <w:rPr>
                <w:rFonts w:hint="eastAsia"/>
                <w:color w:val="auto"/>
              </w:rPr>
              <w:t>不属于《中共江苏省委办公厅江苏省人民政府办公厅关于加快全省化工钢铁煤电行业转型升级高质量发展的实施意见》（苏办发[2018]32号）附件3中“江苏省产业结构调整限制、淘汰和禁止目录”；</w:t>
            </w:r>
            <w:r>
              <w:rPr>
                <w:color w:val="auto"/>
              </w:rPr>
              <w:t>也不属于其他相关法律法规要求淘汰和限制的项目，符合国家和地方产业政策。</w:t>
            </w:r>
          </w:p>
          <w:p w14:paraId="33C927C2">
            <w:pPr>
              <w:widowControl/>
              <w:adjustRightInd w:val="0"/>
              <w:snapToGrid w:val="0"/>
              <w:spacing w:line="360" w:lineRule="auto"/>
              <w:ind w:firstLine="420" w:firstLineChars="200"/>
              <w:jc w:val="left"/>
              <w:rPr>
                <w:color w:val="auto"/>
              </w:rPr>
            </w:pPr>
            <w:r>
              <w:rPr>
                <w:color w:val="auto"/>
              </w:rPr>
              <w:t>与</w:t>
            </w:r>
            <w:r>
              <w:rPr>
                <w:rFonts w:hint="eastAsia"/>
                <w:color w:val="auto"/>
              </w:rPr>
              <w:t>《江苏省“两高”项目管理名录（202</w:t>
            </w:r>
            <w:r>
              <w:rPr>
                <w:rFonts w:hint="eastAsia"/>
                <w:color w:val="auto"/>
                <w:lang w:val="en-US" w:eastAsia="zh-CN"/>
              </w:rPr>
              <w:t>5</w:t>
            </w:r>
            <w:r>
              <w:rPr>
                <w:rFonts w:hint="eastAsia"/>
                <w:color w:val="auto"/>
              </w:rPr>
              <w:t>年版）》符合性分析如下：</w:t>
            </w:r>
          </w:p>
          <w:p w14:paraId="580686D5">
            <w:pPr>
              <w:widowControl/>
              <w:adjustRightInd w:val="0"/>
              <w:snapToGrid w:val="0"/>
              <w:jc w:val="center"/>
              <w:rPr>
                <w:b/>
                <w:bCs/>
                <w:color w:val="auto"/>
                <w:kern w:val="0"/>
                <w:lang w:bidi="ar"/>
              </w:rPr>
            </w:pPr>
            <w:r>
              <w:rPr>
                <w:b/>
                <w:bCs/>
                <w:color w:val="auto"/>
                <w:kern w:val="0"/>
                <w:lang w:bidi="ar"/>
              </w:rPr>
              <w:t>表</w:t>
            </w:r>
            <w:r>
              <w:rPr>
                <w:rFonts w:hint="eastAsia"/>
                <w:b/>
                <w:bCs/>
                <w:color w:val="auto"/>
                <w:kern w:val="0"/>
                <w:lang w:bidi="ar"/>
              </w:rPr>
              <w:t>1-</w:t>
            </w:r>
            <w:r>
              <w:rPr>
                <w:rFonts w:hint="eastAsia"/>
                <w:b/>
                <w:bCs/>
                <w:color w:val="auto"/>
                <w:kern w:val="0"/>
                <w:lang w:val="en-US" w:eastAsia="zh-CN" w:bidi="ar"/>
              </w:rPr>
              <w:t>4</w:t>
            </w:r>
            <w:r>
              <w:rPr>
                <w:rFonts w:hint="eastAsia"/>
                <w:b/>
                <w:bCs/>
                <w:color w:val="auto"/>
                <w:kern w:val="0"/>
                <w:lang w:bidi="ar"/>
              </w:rPr>
              <w:t xml:space="preserve">   </w:t>
            </w:r>
            <w:r>
              <w:rPr>
                <w:b/>
                <w:bCs/>
                <w:color w:val="auto"/>
                <w:kern w:val="0"/>
                <w:lang w:bidi="ar"/>
              </w:rPr>
              <w:t>与</w:t>
            </w:r>
            <w:r>
              <w:rPr>
                <w:rFonts w:hint="eastAsia"/>
                <w:b/>
                <w:bCs/>
                <w:color w:val="auto"/>
                <w:kern w:val="0"/>
                <w:lang w:bidi="ar"/>
              </w:rPr>
              <w:t>《江苏省“两高”项目管理名录（202</w:t>
            </w:r>
            <w:r>
              <w:rPr>
                <w:rFonts w:hint="eastAsia"/>
                <w:b/>
                <w:bCs/>
                <w:color w:val="auto"/>
                <w:kern w:val="0"/>
                <w:lang w:val="en-US" w:eastAsia="zh-CN" w:bidi="ar"/>
              </w:rPr>
              <w:t>5</w:t>
            </w:r>
            <w:r>
              <w:rPr>
                <w:rFonts w:hint="eastAsia"/>
                <w:b/>
                <w:bCs/>
                <w:color w:val="auto"/>
                <w:kern w:val="0"/>
                <w:lang w:bidi="ar"/>
              </w:rPr>
              <w:t>年版）》</w:t>
            </w:r>
            <w:r>
              <w:rPr>
                <w:b/>
                <w:bCs/>
                <w:color w:val="auto"/>
                <w:kern w:val="0"/>
                <w:lang w:bidi="ar"/>
              </w:rPr>
              <w:t>对照分析</w:t>
            </w:r>
          </w:p>
          <w:tbl>
            <w:tblPr>
              <w:tblStyle w:val="60"/>
              <w:tblW w:w="8151"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630"/>
              <w:gridCol w:w="1630"/>
              <w:gridCol w:w="1802"/>
              <w:gridCol w:w="1802"/>
              <w:gridCol w:w="1287"/>
            </w:tblGrid>
            <w:tr w14:paraId="10AD098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260" w:type="dxa"/>
                  <w:gridSpan w:val="2"/>
                  <w:tcBorders>
                    <w:tl2br w:val="nil"/>
                    <w:tr2bl w:val="nil"/>
                  </w:tcBorders>
                  <w:vAlign w:val="center"/>
                </w:tcPr>
                <w:p w14:paraId="7F381D28">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宋体"/>
                      <w:b/>
                      <w:bCs/>
                      <w:color w:val="auto"/>
                      <w:kern w:val="0"/>
                      <w:sz w:val="21"/>
                      <w:szCs w:val="21"/>
                      <w:vertAlign w:val="baseline"/>
                      <w:lang w:val="en-US" w:eastAsia="zh-CN" w:bidi="ar"/>
                    </w:rPr>
                  </w:pPr>
                  <w:r>
                    <w:rPr>
                      <w:rFonts w:hint="eastAsia"/>
                      <w:b/>
                      <w:bCs/>
                      <w:color w:val="auto"/>
                      <w:kern w:val="0"/>
                      <w:sz w:val="21"/>
                      <w:szCs w:val="21"/>
                      <w:vertAlign w:val="baseline"/>
                      <w:lang w:val="en-US" w:eastAsia="zh-CN" w:bidi="ar"/>
                    </w:rPr>
                    <w:t>国民经济行业分类及代码</w:t>
                  </w:r>
                </w:p>
              </w:tc>
              <w:tc>
                <w:tcPr>
                  <w:tcW w:w="3604" w:type="dxa"/>
                  <w:gridSpan w:val="2"/>
                  <w:tcBorders>
                    <w:tl2br w:val="nil"/>
                    <w:tr2bl w:val="nil"/>
                  </w:tcBorders>
                  <w:vAlign w:val="center"/>
                </w:tcPr>
                <w:p w14:paraId="3415D4B6">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宋体"/>
                      <w:b/>
                      <w:bCs/>
                      <w:color w:val="auto"/>
                      <w:kern w:val="0"/>
                      <w:sz w:val="21"/>
                      <w:szCs w:val="21"/>
                      <w:vertAlign w:val="baseline"/>
                      <w:lang w:val="en-US" w:eastAsia="zh-CN" w:bidi="ar"/>
                    </w:rPr>
                  </w:pPr>
                  <w:r>
                    <w:rPr>
                      <w:rFonts w:hint="eastAsia"/>
                      <w:b/>
                      <w:bCs/>
                      <w:color w:val="auto"/>
                      <w:kern w:val="0"/>
                      <w:sz w:val="21"/>
                      <w:szCs w:val="21"/>
                      <w:vertAlign w:val="baseline"/>
                      <w:lang w:val="en-US" w:eastAsia="zh-CN" w:bidi="ar"/>
                    </w:rPr>
                    <w:t>纳入重点管理范围的具体产品或装置</w:t>
                  </w:r>
                </w:p>
              </w:tc>
              <w:tc>
                <w:tcPr>
                  <w:tcW w:w="1287" w:type="dxa"/>
                  <w:vMerge w:val="restart"/>
                  <w:tcBorders>
                    <w:tl2br w:val="nil"/>
                    <w:tr2bl w:val="nil"/>
                  </w:tcBorders>
                  <w:vAlign w:val="center"/>
                </w:tcPr>
                <w:p w14:paraId="6CB49578">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b/>
                      <w:bCs/>
                      <w:color w:val="auto"/>
                      <w:kern w:val="0"/>
                      <w:sz w:val="21"/>
                      <w:szCs w:val="21"/>
                      <w:vertAlign w:val="baseline"/>
                      <w:lang w:val="en-US" w:eastAsia="zh-CN" w:bidi="ar"/>
                    </w:rPr>
                  </w:pPr>
                  <w:r>
                    <w:rPr>
                      <w:rFonts w:hint="eastAsia"/>
                      <w:b/>
                      <w:bCs/>
                      <w:color w:val="auto"/>
                      <w:kern w:val="0"/>
                      <w:sz w:val="21"/>
                      <w:szCs w:val="21"/>
                      <w:vertAlign w:val="baseline"/>
                      <w:lang w:val="en-US" w:eastAsia="zh-CN" w:bidi="ar"/>
                    </w:rPr>
                    <w:t>对照分析</w:t>
                  </w:r>
                </w:p>
              </w:tc>
            </w:tr>
            <w:tr w14:paraId="6C926E5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tcBorders>
                    <w:tl2br w:val="nil"/>
                    <w:tr2bl w:val="nil"/>
                  </w:tcBorders>
                  <w:vAlign w:val="center"/>
                </w:tcPr>
                <w:p w14:paraId="75682759">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b/>
                      <w:bCs/>
                      <w:color w:val="auto"/>
                      <w:kern w:val="0"/>
                      <w:sz w:val="21"/>
                      <w:szCs w:val="21"/>
                      <w:vertAlign w:val="baseline"/>
                      <w:lang w:val="en-US" w:eastAsia="zh-CN" w:bidi="ar"/>
                    </w:rPr>
                  </w:pPr>
                  <w:r>
                    <w:rPr>
                      <w:rFonts w:hint="eastAsia"/>
                      <w:b/>
                      <w:bCs/>
                      <w:color w:val="auto"/>
                      <w:kern w:val="0"/>
                      <w:sz w:val="21"/>
                      <w:szCs w:val="21"/>
                      <w:vertAlign w:val="baseline"/>
                      <w:lang w:val="en-US" w:eastAsia="zh-CN" w:bidi="ar"/>
                    </w:rPr>
                    <w:t>大类</w:t>
                  </w:r>
                </w:p>
              </w:tc>
              <w:tc>
                <w:tcPr>
                  <w:tcW w:w="1630" w:type="dxa"/>
                  <w:tcBorders>
                    <w:tl2br w:val="nil"/>
                    <w:tr2bl w:val="nil"/>
                  </w:tcBorders>
                  <w:vAlign w:val="center"/>
                </w:tcPr>
                <w:p w14:paraId="3823BFB2">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宋体"/>
                      <w:b/>
                      <w:bCs/>
                      <w:color w:val="auto"/>
                      <w:kern w:val="0"/>
                      <w:sz w:val="21"/>
                      <w:szCs w:val="21"/>
                      <w:vertAlign w:val="baseline"/>
                      <w:lang w:val="en-US" w:eastAsia="zh-CN" w:bidi="ar"/>
                    </w:rPr>
                  </w:pPr>
                  <w:r>
                    <w:rPr>
                      <w:rFonts w:hint="eastAsia"/>
                      <w:b/>
                      <w:bCs/>
                      <w:color w:val="auto"/>
                      <w:kern w:val="0"/>
                      <w:sz w:val="21"/>
                      <w:szCs w:val="21"/>
                      <w:vertAlign w:val="baseline"/>
                      <w:lang w:val="en-US" w:eastAsia="zh-CN" w:bidi="ar"/>
                    </w:rPr>
                    <w:t>小类</w:t>
                  </w:r>
                </w:p>
              </w:tc>
              <w:tc>
                <w:tcPr>
                  <w:tcW w:w="1802" w:type="dxa"/>
                  <w:tcBorders>
                    <w:tl2br w:val="nil"/>
                    <w:tr2bl w:val="nil"/>
                  </w:tcBorders>
                  <w:vAlign w:val="center"/>
                </w:tcPr>
                <w:p w14:paraId="71ED1DEB">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b/>
                      <w:bCs/>
                      <w:color w:val="auto"/>
                      <w:kern w:val="0"/>
                      <w:sz w:val="21"/>
                      <w:szCs w:val="21"/>
                      <w:vertAlign w:val="baseline"/>
                      <w:lang w:val="en-US" w:eastAsia="zh-CN" w:bidi="ar"/>
                    </w:rPr>
                  </w:pPr>
                  <w:r>
                    <w:rPr>
                      <w:rFonts w:hint="eastAsia"/>
                      <w:b/>
                      <w:bCs/>
                      <w:color w:val="auto"/>
                      <w:kern w:val="0"/>
                      <w:sz w:val="21"/>
                      <w:szCs w:val="21"/>
                      <w:vertAlign w:val="baseline"/>
                      <w:lang w:val="en-US" w:eastAsia="zh-CN" w:bidi="ar"/>
                    </w:rPr>
                    <w:t>产品</w:t>
                  </w:r>
                </w:p>
              </w:tc>
              <w:tc>
                <w:tcPr>
                  <w:tcW w:w="1802" w:type="dxa"/>
                  <w:tcBorders>
                    <w:tl2br w:val="nil"/>
                    <w:tr2bl w:val="nil"/>
                  </w:tcBorders>
                  <w:vAlign w:val="center"/>
                </w:tcPr>
                <w:p w14:paraId="293CFE05">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b/>
                      <w:bCs/>
                      <w:color w:val="auto"/>
                      <w:kern w:val="0"/>
                      <w:sz w:val="21"/>
                      <w:szCs w:val="21"/>
                      <w:vertAlign w:val="baseline"/>
                      <w:lang w:val="en-US" w:eastAsia="zh-CN" w:bidi="ar"/>
                    </w:rPr>
                  </w:pPr>
                  <w:r>
                    <w:rPr>
                      <w:rFonts w:hint="eastAsia"/>
                      <w:b/>
                      <w:bCs/>
                      <w:color w:val="auto"/>
                      <w:kern w:val="0"/>
                      <w:sz w:val="21"/>
                      <w:szCs w:val="21"/>
                      <w:vertAlign w:val="baseline"/>
                      <w:lang w:val="en-US" w:eastAsia="zh-CN" w:bidi="ar"/>
                    </w:rPr>
                    <w:t>装置</w:t>
                  </w:r>
                </w:p>
              </w:tc>
              <w:tc>
                <w:tcPr>
                  <w:tcW w:w="1287" w:type="dxa"/>
                  <w:vMerge w:val="continue"/>
                  <w:tcBorders>
                    <w:tl2br w:val="nil"/>
                    <w:tr2bl w:val="nil"/>
                  </w:tcBorders>
                  <w:vAlign w:val="center"/>
                </w:tcPr>
                <w:p w14:paraId="75FDB52F">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bCs/>
                      <w:color w:val="auto"/>
                      <w:kern w:val="0"/>
                      <w:sz w:val="21"/>
                      <w:szCs w:val="21"/>
                      <w:vertAlign w:val="baseline"/>
                      <w:lang w:bidi="ar"/>
                    </w:rPr>
                  </w:pPr>
                </w:p>
              </w:tc>
            </w:tr>
            <w:tr w14:paraId="601207D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restart"/>
                  <w:tcBorders>
                    <w:tl2br w:val="nil"/>
                    <w:tr2bl w:val="nil"/>
                  </w:tcBorders>
                  <w:vAlign w:val="center"/>
                </w:tcPr>
                <w:p w14:paraId="6FC4099D">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r>
                    <w:rPr>
                      <w:rFonts w:hint="eastAsia"/>
                      <w:b w:val="0"/>
                      <w:bCs w:val="0"/>
                      <w:color w:val="auto"/>
                      <w:kern w:val="0"/>
                      <w:sz w:val="21"/>
                      <w:szCs w:val="21"/>
                      <w:vertAlign w:val="baseline"/>
                      <w:lang w:val="en-US" w:eastAsia="zh-CN" w:bidi="ar"/>
                    </w:rPr>
                    <w:t>石油、煤炭及其他燃料加工业（25）</w:t>
                  </w:r>
                </w:p>
              </w:tc>
              <w:tc>
                <w:tcPr>
                  <w:tcW w:w="1630" w:type="dxa"/>
                  <w:tcBorders>
                    <w:tl2br w:val="nil"/>
                    <w:tr2bl w:val="nil"/>
                  </w:tcBorders>
                  <w:vAlign w:val="center"/>
                </w:tcPr>
                <w:p w14:paraId="5BA45EB7">
                  <w:pPr>
                    <w:widowControl/>
                    <w:adjustRightInd w:val="0"/>
                    <w:snapToGrid w:val="0"/>
                    <w:jc w:val="center"/>
                    <w:rPr>
                      <w:b w:val="0"/>
                      <w:bCs w:val="0"/>
                      <w:color w:val="auto"/>
                      <w:kern w:val="0"/>
                      <w:sz w:val="21"/>
                      <w:szCs w:val="21"/>
                      <w:vertAlign w:val="baseline"/>
                      <w:lang w:bidi="ar"/>
                    </w:rPr>
                  </w:pPr>
                  <w:r>
                    <w:rPr>
                      <w:rFonts w:hint="eastAsia"/>
                      <w:b w:val="0"/>
                      <w:bCs w:val="0"/>
                      <w:color w:val="auto"/>
                      <w:kern w:val="0"/>
                      <w:vertAlign w:val="baseline"/>
                      <w:lang w:val="en-US" w:eastAsia="zh-CN" w:bidi="ar"/>
                    </w:rPr>
                    <w:t>原油加工及石油制品制造（2511）</w:t>
                  </w:r>
                </w:p>
              </w:tc>
              <w:tc>
                <w:tcPr>
                  <w:tcW w:w="1802" w:type="dxa"/>
                  <w:tcBorders>
                    <w:tl2br w:val="nil"/>
                    <w:tr2bl w:val="nil"/>
                  </w:tcBorders>
                  <w:vAlign w:val="center"/>
                </w:tcPr>
                <w:p w14:paraId="24E03AAA">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r>
                    <w:rPr>
                      <w:rFonts w:hint="eastAsia"/>
                      <w:b w:val="0"/>
                      <w:bCs w:val="0"/>
                      <w:color w:val="auto"/>
                      <w:kern w:val="0"/>
                      <w:sz w:val="21"/>
                      <w:szCs w:val="21"/>
                      <w:vertAlign w:val="baseline"/>
                      <w:lang w:bidi="ar"/>
                    </w:rPr>
                    <w:t>汽油、煤油、柴油、燃料油、石脑油、溶剂油、石油气、沥青及其他相关产品（不包括一二次炼油以外的质量升级油品）</w:t>
                  </w:r>
                </w:p>
              </w:tc>
              <w:tc>
                <w:tcPr>
                  <w:tcW w:w="1802" w:type="dxa"/>
                  <w:tcBorders>
                    <w:tl2br w:val="nil"/>
                    <w:tr2bl w:val="nil"/>
                  </w:tcBorders>
                  <w:vAlign w:val="center"/>
                </w:tcPr>
                <w:p w14:paraId="7FC9AA59">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r>
                    <w:rPr>
                      <w:rFonts w:hint="eastAsia"/>
                      <w:b w:val="0"/>
                      <w:bCs w:val="0"/>
                      <w:color w:val="auto"/>
                      <w:kern w:val="0"/>
                      <w:sz w:val="21"/>
                      <w:szCs w:val="21"/>
                      <w:vertAlign w:val="baseline"/>
                      <w:lang w:bidi="ar"/>
                    </w:rPr>
                    <w:t>常减压装置、催化裂化（裂解）装置、加氢裂化装置、延迟焦化装置、重整装置</w:t>
                  </w:r>
                </w:p>
              </w:tc>
              <w:tc>
                <w:tcPr>
                  <w:tcW w:w="1287" w:type="dxa"/>
                  <w:vMerge w:val="restart"/>
                  <w:tcBorders>
                    <w:tl2br w:val="nil"/>
                    <w:tr2bl w:val="nil"/>
                  </w:tcBorders>
                  <w:vAlign w:val="center"/>
                </w:tcPr>
                <w:p w14:paraId="36D1AC7A">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r>
                    <w:rPr>
                      <w:rFonts w:hint="eastAsia"/>
                      <w:b w:val="0"/>
                      <w:bCs w:val="0"/>
                      <w:color w:val="auto"/>
                      <w:kern w:val="0"/>
                      <w:sz w:val="21"/>
                      <w:szCs w:val="21"/>
                      <w:vertAlign w:val="baseline"/>
                      <w:lang w:bidi="ar"/>
                    </w:rPr>
                    <w:t>本项目国民经济行业类别属于</w:t>
                  </w:r>
                  <w:r>
                    <w:rPr>
                      <w:rFonts w:hint="eastAsia"/>
                      <w:b w:val="0"/>
                      <w:bCs w:val="0"/>
                      <w:color w:val="auto"/>
                      <w:kern w:val="0"/>
                      <w:sz w:val="21"/>
                      <w:szCs w:val="21"/>
                      <w:vertAlign w:val="baseline"/>
                      <w:lang w:eastAsia="zh-CN" w:bidi="ar"/>
                    </w:rPr>
                    <w:t>C</w:t>
                  </w:r>
                  <w:r>
                    <w:rPr>
                      <w:rFonts w:hint="eastAsia"/>
                      <w:b w:val="0"/>
                      <w:bCs w:val="0"/>
                      <w:color w:val="auto"/>
                      <w:kern w:val="0"/>
                      <w:sz w:val="21"/>
                      <w:szCs w:val="21"/>
                      <w:vertAlign w:val="baseline"/>
                      <w:lang w:val="en-US" w:eastAsia="zh-CN" w:bidi="ar"/>
                    </w:rPr>
                    <w:t>2110木质家具</w:t>
                  </w:r>
                  <w:r>
                    <w:rPr>
                      <w:rFonts w:hint="eastAsia"/>
                      <w:b w:val="0"/>
                      <w:bCs w:val="0"/>
                      <w:color w:val="auto"/>
                      <w:kern w:val="0"/>
                      <w:sz w:val="21"/>
                      <w:szCs w:val="21"/>
                      <w:vertAlign w:val="baseline"/>
                      <w:lang w:eastAsia="zh-CN" w:bidi="ar"/>
                    </w:rPr>
                    <w:t>制造</w:t>
                  </w:r>
                  <w:r>
                    <w:rPr>
                      <w:rFonts w:hint="eastAsia"/>
                      <w:b w:val="0"/>
                      <w:bCs w:val="0"/>
                      <w:color w:val="auto"/>
                      <w:kern w:val="0"/>
                      <w:sz w:val="21"/>
                      <w:szCs w:val="21"/>
                      <w:vertAlign w:val="baseline"/>
                      <w:lang w:bidi="ar"/>
                    </w:rPr>
                    <w:t>，不属于江苏省“两高”项目。</w:t>
                  </w:r>
                </w:p>
              </w:tc>
            </w:tr>
            <w:tr w14:paraId="52E0216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2B203D4C">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2270BAB2">
                  <w:pPr>
                    <w:widowControl/>
                    <w:adjustRightInd w:val="0"/>
                    <w:snapToGrid w:val="0"/>
                    <w:jc w:val="center"/>
                    <w:rPr>
                      <w:b w:val="0"/>
                      <w:bCs w:val="0"/>
                      <w:color w:val="auto"/>
                      <w:kern w:val="0"/>
                      <w:sz w:val="21"/>
                      <w:szCs w:val="21"/>
                      <w:vertAlign w:val="baseline"/>
                      <w:lang w:bidi="ar"/>
                    </w:rPr>
                  </w:pPr>
                  <w:r>
                    <w:rPr>
                      <w:rFonts w:hint="eastAsia"/>
                      <w:b w:val="0"/>
                      <w:bCs w:val="0"/>
                      <w:color w:val="auto"/>
                      <w:kern w:val="0"/>
                      <w:vertAlign w:val="baseline"/>
                      <w:lang w:val="en-US" w:eastAsia="zh-CN" w:bidi="ar"/>
                    </w:rPr>
                    <w:t>炼焦（2521）</w:t>
                  </w:r>
                </w:p>
              </w:tc>
              <w:tc>
                <w:tcPr>
                  <w:tcW w:w="1802" w:type="dxa"/>
                  <w:tcBorders>
                    <w:tl2br w:val="nil"/>
                    <w:tr2bl w:val="nil"/>
                  </w:tcBorders>
                  <w:vAlign w:val="center"/>
                </w:tcPr>
                <w:p w14:paraId="701029D7">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r>
                    <w:rPr>
                      <w:rFonts w:hint="eastAsia"/>
                      <w:b w:val="0"/>
                      <w:bCs w:val="0"/>
                      <w:color w:val="auto"/>
                      <w:kern w:val="0"/>
                      <w:sz w:val="21"/>
                      <w:szCs w:val="21"/>
                      <w:vertAlign w:val="baseline"/>
                      <w:lang w:bidi="ar"/>
                    </w:rPr>
                    <w:t>焦炭、半焦（兰炭）</w:t>
                  </w:r>
                </w:p>
              </w:tc>
              <w:tc>
                <w:tcPr>
                  <w:tcW w:w="1802" w:type="dxa"/>
                  <w:tcBorders>
                    <w:tl2br w:val="nil"/>
                    <w:tr2bl w:val="nil"/>
                  </w:tcBorders>
                  <w:vAlign w:val="center"/>
                </w:tcPr>
                <w:p w14:paraId="1E6E546D">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焦炉</w:t>
                  </w:r>
                </w:p>
              </w:tc>
              <w:tc>
                <w:tcPr>
                  <w:tcW w:w="1287" w:type="dxa"/>
                  <w:vMerge w:val="continue"/>
                  <w:tcBorders>
                    <w:tl2br w:val="nil"/>
                    <w:tr2bl w:val="nil"/>
                  </w:tcBorders>
                  <w:vAlign w:val="center"/>
                </w:tcPr>
                <w:p w14:paraId="0DB6CB5E">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3B26BC9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5BD9CE99">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6D400B7E">
                  <w:pPr>
                    <w:widowControl/>
                    <w:adjustRightInd w:val="0"/>
                    <w:snapToGrid w:val="0"/>
                    <w:jc w:val="center"/>
                    <w:rPr>
                      <w:b w:val="0"/>
                      <w:bCs w:val="0"/>
                      <w:color w:val="auto"/>
                      <w:kern w:val="0"/>
                      <w:sz w:val="21"/>
                      <w:szCs w:val="21"/>
                      <w:vertAlign w:val="baseline"/>
                      <w:lang w:bidi="ar"/>
                    </w:rPr>
                  </w:pPr>
                  <w:r>
                    <w:rPr>
                      <w:rFonts w:hint="eastAsia"/>
                      <w:b w:val="0"/>
                      <w:bCs w:val="0"/>
                      <w:color w:val="auto"/>
                      <w:kern w:val="0"/>
                      <w:vertAlign w:val="baseline"/>
                      <w:lang w:val="en-US" w:eastAsia="zh-CN" w:bidi="ar"/>
                    </w:rPr>
                    <w:t>煤制合成气生产（2522）</w:t>
                  </w:r>
                </w:p>
              </w:tc>
              <w:tc>
                <w:tcPr>
                  <w:tcW w:w="1802" w:type="dxa"/>
                  <w:tcBorders>
                    <w:tl2br w:val="nil"/>
                    <w:tr2bl w:val="nil"/>
                  </w:tcBorders>
                  <w:vAlign w:val="center"/>
                </w:tcPr>
                <w:p w14:paraId="3FCC7549">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煤制气</w:t>
                  </w:r>
                </w:p>
              </w:tc>
              <w:tc>
                <w:tcPr>
                  <w:tcW w:w="1802" w:type="dxa"/>
                  <w:tcBorders>
                    <w:tl2br w:val="nil"/>
                    <w:tr2bl w:val="nil"/>
                  </w:tcBorders>
                  <w:vAlign w:val="center"/>
                </w:tcPr>
                <w:p w14:paraId="4DF259A9">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煤气化炉</w:t>
                  </w:r>
                </w:p>
              </w:tc>
              <w:tc>
                <w:tcPr>
                  <w:tcW w:w="1287" w:type="dxa"/>
                  <w:vMerge w:val="continue"/>
                  <w:tcBorders>
                    <w:tl2br w:val="nil"/>
                    <w:tr2bl w:val="nil"/>
                  </w:tcBorders>
                  <w:vAlign w:val="center"/>
                </w:tcPr>
                <w:p w14:paraId="151C0E67">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1D38C5D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407D407F">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59E9744F">
                  <w:pPr>
                    <w:widowControl/>
                    <w:adjustRightInd w:val="0"/>
                    <w:snapToGrid w:val="0"/>
                    <w:jc w:val="center"/>
                    <w:rPr>
                      <w:b w:val="0"/>
                      <w:bCs w:val="0"/>
                      <w:color w:val="auto"/>
                      <w:kern w:val="0"/>
                      <w:sz w:val="21"/>
                      <w:szCs w:val="21"/>
                      <w:vertAlign w:val="baseline"/>
                      <w:lang w:bidi="ar"/>
                    </w:rPr>
                  </w:pPr>
                  <w:r>
                    <w:rPr>
                      <w:rFonts w:hint="eastAsia"/>
                      <w:b w:val="0"/>
                      <w:bCs w:val="0"/>
                      <w:color w:val="auto"/>
                      <w:kern w:val="0"/>
                      <w:vertAlign w:val="baseline"/>
                      <w:lang w:val="en-US" w:eastAsia="zh-CN" w:bidi="ar"/>
                    </w:rPr>
                    <w:t>煤制液体燃料生产（2523）</w:t>
                  </w:r>
                </w:p>
              </w:tc>
              <w:tc>
                <w:tcPr>
                  <w:tcW w:w="1802" w:type="dxa"/>
                  <w:tcBorders>
                    <w:tl2br w:val="nil"/>
                    <w:tr2bl w:val="nil"/>
                  </w:tcBorders>
                  <w:vAlign w:val="center"/>
                </w:tcPr>
                <w:p w14:paraId="62F0BAC2">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r>
                    <w:rPr>
                      <w:rFonts w:hint="eastAsia"/>
                      <w:b w:val="0"/>
                      <w:bCs w:val="0"/>
                      <w:color w:val="auto"/>
                      <w:kern w:val="0"/>
                      <w:sz w:val="21"/>
                      <w:szCs w:val="21"/>
                      <w:vertAlign w:val="baseline"/>
                      <w:lang w:bidi="ar"/>
                    </w:rPr>
                    <w:t>煤制油、甲醇、烯烃、乙二醇</w:t>
                  </w:r>
                </w:p>
              </w:tc>
              <w:tc>
                <w:tcPr>
                  <w:tcW w:w="1802" w:type="dxa"/>
                  <w:tcBorders>
                    <w:tl2br w:val="nil"/>
                    <w:tr2bl w:val="nil"/>
                  </w:tcBorders>
                  <w:vAlign w:val="center"/>
                </w:tcPr>
                <w:p w14:paraId="4501E1C9">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煤气化炉</w:t>
                  </w:r>
                </w:p>
              </w:tc>
              <w:tc>
                <w:tcPr>
                  <w:tcW w:w="1287" w:type="dxa"/>
                  <w:vMerge w:val="continue"/>
                  <w:tcBorders>
                    <w:tl2br w:val="nil"/>
                    <w:tr2bl w:val="nil"/>
                  </w:tcBorders>
                  <w:vAlign w:val="center"/>
                </w:tcPr>
                <w:p w14:paraId="122C906B">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1232989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restart"/>
                  <w:tcBorders>
                    <w:tl2br w:val="nil"/>
                    <w:tr2bl w:val="nil"/>
                  </w:tcBorders>
                  <w:vAlign w:val="center"/>
                </w:tcPr>
                <w:p w14:paraId="69F8728A">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b w:val="0"/>
                      <w:bCs w:val="0"/>
                      <w:color w:val="auto"/>
                      <w:kern w:val="0"/>
                      <w:sz w:val="21"/>
                      <w:szCs w:val="21"/>
                      <w:vertAlign w:val="baseline"/>
                      <w:lang w:eastAsia="zh-CN" w:bidi="ar"/>
                    </w:rPr>
                  </w:pPr>
                  <w:r>
                    <w:rPr>
                      <w:rFonts w:hint="eastAsia"/>
                      <w:b w:val="0"/>
                      <w:bCs w:val="0"/>
                      <w:color w:val="auto"/>
                      <w:kern w:val="0"/>
                      <w:sz w:val="21"/>
                      <w:szCs w:val="21"/>
                      <w:vertAlign w:val="baseline"/>
                      <w:lang w:bidi="ar"/>
                    </w:rPr>
                    <w:t>化学原料和化学制品制造业</w:t>
                  </w:r>
                  <w:r>
                    <w:rPr>
                      <w:rFonts w:hint="eastAsia"/>
                      <w:b w:val="0"/>
                      <w:bCs w:val="0"/>
                      <w:color w:val="auto"/>
                      <w:kern w:val="0"/>
                      <w:sz w:val="21"/>
                      <w:szCs w:val="21"/>
                      <w:vertAlign w:val="baseline"/>
                      <w:lang w:eastAsia="zh-CN" w:bidi="ar"/>
                    </w:rPr>
                    <w:t>（</w:t>
                  </w:r>
                  <w:r>
                    <w:rPr>
                      <w:rFonts w:hint="eastAsia"/>
                      <w:b w:val="0"/>
                      <w:bCs w:val="0"/>
                      <w:color w:val="auto"/>
                      <w:kern w:val="0"/>
                      <w:sz w:val="21"/>
                      <w:szCs w:val="21"/>
                      <w:vertAlign w:val="baseline"/>
                      <w:lang w:val="en-US" w:eastAsia="zh-CN" w:bidi="ar"/>
                    </w:rPr>
                    <w:t>26</w:t>
                  </w:r>
                  <w:r>
                    <w:rPr>
                      <w:rFonts w:hint="eastAsia"/>
                      <w:b w:val="0"/>
                      <w:bCs w:val="0"/>
                      <w:color w:val="auto"/>
                      <w:kern w:val="0"/>
                      <w:sz w:val="21"/>
                      <w:szCs w:val="21"/>
                      <w:vertAlign w:val="baseline"/>
                      <w:lang w:eastAsia="zh-CN" w:bidi="ar"/>
                    </w:rPr>
                    <w:t>）</w:t>
                  </w:r>
                </w:p>
              </w:tc>
              <w:tc>
                <w:tcPr>
                  <w:tcW w:w="1630" w:type="dxa"/>
                  <w:tcBorders>
                    <w:tl2br w:val="nil"/>
                    <w:tr2bl w:val="nil"/>
                  </w:tcBorders>
                  <w:vAlign w:val="center"/>
                </w:tcPr>
                <w:p w14:paraId="6F460E58">
                  <w:pPr>
                    <w:widowControl/>
                    <w:adjustRightInd w:val="0"/>
                    <w:snapToGrid w:val="0"/>
                    <w:jc w:val="center"/>
                    <w:rPr>
                      <w:b w:val="0"/>
                      <w:bCs w:val="0"/>
                      <w:color w:val="auto"/>
                      <w:kern w:val="0"/>
                      <w:sz w:val="21"/>
                      <w:szCs w:val="21"/>
                      <w:vertAlign w:val="baseline"/>
                      <w:lang w:bidi="ar"/>
                    </w:rPr>
                  </w:pPr>
                  <w:r>
                    <w:rPr>
                      <w:rFonts w:hint="eastAsia"/>
                      <w:b w:val="0"/>
                      <w:bCs w:val="0"/>
                      <w:color w:val="auto"/>
                      <w:kern w:val="0"/>
                      <w:vertAlign w:val="baseline"/>
                      <w:lang w:val="en-US" w:eastAsia="zh-CN" w:bidi="ar"/>
                    </w:rPr>
                    <w:t>无机碱制造（2612）</w:t>
                  </w:r>
                </w:p>
              </w:tc>
              <w:tc>
                <w:tcPr>
                  <w:tcW w:w="1802" w:type="dxa"/>
                  <w:tcBorders>
                    <w:tl2br w:val="nil"/>
                    <w:tr2bl w:val="nil"/>
                  </w:tcBorders>
                  <w:vAlign w:val="center"/>
                </w:tcPr>
                <w:p w14:paraId="0AC3F0EA">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r>
                    <w:rPr>
                      <w:rFonts w:hint="eastAsia"/>
                      <w:b w:val="0"/>
                      <w:bCs w:val="0"/>
                      <w:color w:val="auto"/>
                      <w:kern w:val="0"/>
                      <w:sz w:val="21"/>
                      <w:szCs w:val="21"/>
                      <w:vertAlign w:val="baseline"/>
                      <w:lang w:bidi="ar"/>
                    </w:rPr>
                    <w:t>烧碱、纯碱（采用井下循环制碱工艺的除外）</w:t>
                  </w:r>
                </w:p>
              </w:tc>
              <w:tc>
                <w:tcPr>
                  <w:tcW w:w="1802" w:type="dxa"/>
                  <w:tcBorders>
                    <w:tl2br w:val="nil"/>
                    <w:tr2bl w:val="nil"/>
                  </w:tcBorders>
                  <w:vAlign w:val="center"/>
                </w:tcPr>
                <w:p w14:paraId="087E3748">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宋体"/>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电解槽、碳化塔</w:t>
                  </w:r>
                </w:p>
              </w:tc>
              <w:tc>
                <w:tcPr>
                  <w:tcW w:w="1287" w:type="dxa"/>
                  <w:vMerge w:val="continue"/>
                  <w:tcBorders>
                    <w:tl2br w:val="nil"/>
                    <w:tr2bl w:val="nil"/>
                  </w:tcBorders>
                  <w:vAlign w:val="center"/>
                </w:tcPr>
                <w:p w14:paraId="285E9BEF">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65CF9CE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7B17D52F">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1F392CC9">
                  <w:pPr>
                    <w:widowControl/>
                    <w:adjustRightInd w:val="0"/>
                    <w:snapToGrid w:val="0"/>
                    <w:jc w:val="center"/>
                    <w:rPr>
                      <w:b w:val="0"/>
                      <w:bCs w:val="0"/>
                      <w:color w:val="auto"/>
                      <w:kern w:val="0"/>
                      <w:sz w:val="21"/>
                      <w:szCs w:val="21"/>
                      <w:vertAlign w:val="baseline"/>
                      <w:lang w:bidi="ar"/>
                    </w:rPr>
                  </w:pPr>
                  <w:r>
                    <w:rPr>
                      <w:rFonts w:hint="eastAsia"/>
                      <w:b w:val="0"/>
                      <w:bCs w:val="0"/>
                      <w:color w:val="auto"/>
                      <w:kern w:val="0"/>
                      <w:vertAlign w:val="baseline"/>
                      <w:lang w:val="en-US" w:eastAsia="zh-CN" w:bidi="ar"/>
                    </w:rPr>
                    <w:t>无机盐制造（2613）</w:t>
                  </w:r>
                </w:p>
              </w:tc>
              <w:tc>
                <w:tcPr>
                  <w:tcW w:w="1802" w:type="dxa"/>
                  <w:tcBorders>
                    <w:tl2br w:val="nil"/>
                    <w:tr2bl w:val="nil"/>
                  </w:tcBorders>
                  <w:vAlign w:val="center"/>
                </w:tcPr>
                <w:p w14:paraId="3284C5FE">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r>
                    <w:rPr>
                      <w:rFonts w:hint="eastAsia"/>
                      <w:b w:val="0"/>
                      <w:bCs w:val="0"/>
                      <w:color w:val="auto"/>
                      <w:kern w:val="0"/>
                      <w:sz w:val="21"/>
                      <w:szCs w:val="21"/>
                      <w:vertAlign w:val="baseline"/>
                      <w:lang w:bidi="ar"/>
                    </w:rPr>
                    <w:t>电石（碳化钙）、碳化硅</w:t>
                  </w:r>
                </w:p>
              </w:tc>
              <w:tc>
                <w:tcPr>
                  <w:tcW w:w="1802" w:type="dxa"/>
                  <w:tcBorders>
                    <w:tl2br w:val="nil"/>
                    <w:tr2bl w:val="nil"/>
                  </w:tcBorders>
                  <w:vAlign w:val="center"/>
                </w:tcPr>
                <w:p w14:paraId="060D422D">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宋体"/>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电石炉、石墨化炉</w:t>
                  </w:r>
                </w:p>
              </w:tc>
              <w:tc>
                <w:tcPr>
                  <w:tcW w:w="1287" w:type="dxa"/>
                  <w:vMerge w:val="continue"/>
                  <w:tcBorders>
                    <w:tl2br w:val="nil"/>
                    <w:tr2bl w:val="nil"/>
                  </w:tcBorders>
                  <w:vAlign w:val="center"/>
                </w:tcPr>
                <w:p w14:paraId="779BBC92">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27DC1B3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6446D0FD">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3F59286C">
                  <w:pPr>
                    <w:widowControl/>
                    <w:adjustRightInd w:val="0"/>
                    <w:snapToGrid w:val="0"/>
                    <w:jc w:val="center"/>
                    <w:rPr>
                      <w:b w:val="0"/>
                      <w:bCs w:val="0"/>
                      <w:color w:val="auto"/>
                      <w:kern w:val="0"/>
                      <w:sz w:val="21"/>
                      <w:szCs w:val="21"/>
                      <w:vertAlign w:val="baseline"/>
                      <w:lang w:bidi="ar"/>
                    </w:rPr>
                  </w:pPr>
                  <w:r>
                    <w:rPr>
                      <w:rFonts w:hint="eastAsia"/>
                      <w:b w:val="0"/>
                      <w:bCs w:val="0"/>
                      <w:color w:val="auto"/>
                      <w:kern w:val="0"/>
                      <w:vertAlign w:val="baseline"/>
                      <w:lang w:val="en-US" w:eastAsia="zh-CN" w:bidi="ar"/>
                    </w:rPr>
                    <w:t>有机化学原料制造（2614）</w:t>
                  </w:r>
                </w:p>
              </w:tc>
              <w:tc>
                <w:tcPr>
                  <w:tcW w:w="1802" w:type="dxa"/>
                  <w:tcBorders>
                    <w:tl2br w:val="nil"/>
                    <w:tr2bl w:val="nil"/>
                  </w:tcBorders>
                  <w:vAlign w:val="center"/>
                </w:tcPr>
                <w:p w14:paraId="1000F996">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r>
                    <w:rPr>
                      <w:rFonts w:hint="eastAsia"/>
                      <w:b w:val="0"/>
                      <w:bCs w:val="0"/>
                      <w:color w:val="auto"/>
                      <w:kern w:val="0"/>
                      <w:sz w:val="21"/>
                      <w:szCs w:val="21"/>
                      <w:vertAlign w:val="baseline"/>
                      <w:lang w:bidi="ar"/>
                    </w:rPr>
                    <w:t>乙烯、对二甲苯（PX）</w:t>
                  </w:r>
                </w:p>
              </w:tc>
              <w:tc>
                <w:tcPr>
                  <w:tcW w:w="1802" w:type="dxa"/>
                  <w:tcBorders>
                    <w:tl2br w:val="nil"/>
                    <w:tr2bl w:val="nil"/>
                  </w:tcBorders>
                  <w:vAlign w:val="center"/>
                </w:tcPr>
                <w:p w14:paraId="3A56EB78">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r>
                    <w:rPr>
                      <w:rFonts w:hint="eastAsia"/>
                      <w:b w:val="0"/>
                      <w:bCs w:val="0"/>
                      <w:color w:val="auto"/>
                      <w:kern w:val="0"/>
                      <w:sz w:val="21"/>
                      <w:szCs w:val="21"/>
                      <w:vertAlign w:val="baseline"/>
                      <w:lang w:bidi="ar"/>
                    </w:rPr>
                    <w:t>乙烯装置、对二甲苯（PX）装置</w:t>
                  </w:r>
                </w:p>
              </w:tc>
              <w:tc>
                <w:tcPr>
                  <w:tcW w:w="1287" w:type="dxa"/>
                  <w:vMerge w:val="continue"/>
                  <w:tcBorders>
                    <w:tl2br w:val="nil"/>
                    <w:tr2bl w:val="nil"/>
                  </w:tcBorders>
                  <w:vAlign w:val="center"/>
                </w:tcPr>
                <w:p w14:paraId="1AC0A9CC">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48EDB23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6312EEE6">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509D3073">
                  <w:pPr>
                    <w:widowControl/>
                    <w:adjustRightInd w:val="0"/>
                    <w:snapToGrid w:val="0"/>
                    <w:jc w:val="center"/>
                    <w:rPr>
                      <w:b w:val="0"/>
                      <w:bCs w:val="0"/>
                      <w:color w:val="auto"/>
                      <w:kern w:val="0"/>
                      <w:sz w:val="21"/>
                      <w:szCs w:val="21"/>
                      <w:vertAlign w:val="baseline"/>
                      <w:lang w:bidi="ar"/>
                    </w:rPr>
                  </w:pPr>
                  <w:r>
                    <w:rPr>
                      <w:rFonts w:hint="eastAsia"/>
                      <w:b w:val="0"/>
                      <w:bCs w:val="0"/>
                      <w:color w:val="auto"/>
                      <w:kern w:val="0"/>
                      <w:vertAlign w:val="baseline"/>
                      <w:lang w:val="en-US" w:eastAsia="zh-CN" w:bidi="ar"/>
                    </w:rPr>
                    <w:t>其他基础化学原料制造（2619）</w:t>
                  </w:r>
                </w:p>
              </w:tc>
              <w:tc>
                <w:tcPr>
                  <w:tcW w:w="1802" w:type="dxa"/>
                  <w:tcBorders>
                    <w:tl2br w:val="nil"/>
                    <w:tr2bl w:val="nil"/>
                  </w:tcBorders>
                  <w:vAlign w:val="center"/>
                </w:tcPr>
                <w:p w14:paraId="16F7F169">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黄磷</w:t>
                  </w:r>
                </w:p>
              </w:tc>
              <w:tc>
                <w:tcPr>
                  <w:tcW w:w="1802" w:type="dxa"/>
                  <w:tcBorders>
                    <w:tl2br w:val="nil"/>
                    <w:tr2bl w:val="nil"/>
                  </w:tcBorders>
                  <w:vAlign w:val="center"/>
                </w:tcPr>
                <w:p w14:paraId="46BCF934">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电炉</w:t>
                  </w:r>
                </w:p>
              </w:tc>
              <w:tc>
                <w:tcPr>
                  <w:tcW w:w="1287" w:type="dxa"/>
                  <w:vMerge w:val="continue"/>
                  <w:tcBorders>
                    <w:tl2br w:val="nil"/>
                    <w:tr2bl w:val="nil"/>
                  </w:tcBorders>
                  <w:vAlign w:val="center"/>
                </w:tcPr>
                <w:p w14:paraId="13040087">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1AFF5CC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4914565D">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282011C1">
                  <w:pPr>
                    <w:widowControl/>
                    <w:adjustRightInd w:val="0"/>
                    <w:snapToGrid w:val="0"/>
                    <w:jc w:val="center"/>
                    <w:rPr>
                      <w:b w:val="0"/>
                      <w:bCs w:val="0"/>
                      <w:color w:val="auto"/>
                      <w:kern w:val="0"/>
                      <w:sz w:val="21"/>
                      <w:szCs w:val="21"/>
                      <w:vertAlign w:val="baseline"/>
                      <w:lang w:bidi="ar"/>
                    </w:rPr>
                  </w:pPr>
                  <w:r>
                    <w:rPr>
                      <w:rFonts w:hint="eastAsia"/>
                      <w:b w:val="0"/>
                      <w:bCs w:val="0"/>
                      <w:color w:val="auto"/>
                      <w:kern w:val="0"/>
                      <w:vertAlign w:val="baseline"/>
                      <w:lang w:val="en-US" w:eastAsia="zh-CN" w:bidi="ar"/>
                    </w:rPr>
                    <w:t>氮肥制造（2621）</w:t>
                  </w:r>
                </w:p>
              </w:tc>
              <w:tc>
                <w:tcPr>
                  <w:tcW w:w="1802" w:type="dxa"/>
                  <w:tcBorders>
                    <w:tl2br w:val="nil"/>
                    <w:tr2bl w:val="nil"/>
                  </w:tcBorders>
                  <w:vAlign w:val="center"/>
                </w:tcPr>
                <w:p w14:paraId="1EF99E39">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r>
                    <w:rPr>
                      <w:rFonts w:hint="eastAsia"/>
                      <w:b w:val="0"/>
                      <w:bCs w:val="0"/>
                      <w:color w:val="auto"/>
                      <w:kern w:val="0"/>
                      <w:sz w:val="21"/>
                      <w:szCs w:val="21"/>
                      <w:vertAlign w:val="baseline"/>
                      <w:lang w:bidi="ar"/>
                    </w:rPr>
                    <w:t>合成氨、尿素</w:t>
                  </w:r>
                </w:p>
              </w:tc>
              <w:tc>
                <w:tcPr>
                  <w:tcW w:w="1802" w:type="dxa"/>
                  <w:tcBorders>
                    <w:tl2br w:val="nil"/>
                    <w:tr2bl w:val="nil"/>
                  </w:tcBorders>
                  <w:vAlign w:val="center"/>
                </w:tcPr>
                <w:p w14:paraId="13D10485">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合成氨装置</w:t>
                  </w:r>
                </w:p>
              </w:tc>
              <w:tc>
                <w:tcPr>
                  <w:tcW w:w="1287" w:type="dxa"/>
                  <w:vMerge w:val="continue"/>
                  <w:tcBorders>
                    <w:tl2br w:val="nil"/>
                    <w:tr2bl w:val="nil"/>
                  </w:tcBorders>
                  <w:vAlign w:val="center"/>
                </w:tcPr>
                <w:p w14:paraId="2BC872D7">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7ED7708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5A082E31">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636D617D">
                  <w:pPr>
                    <w:widowControl/>
                    <w:adjustRightInd w:val="0"/>
                    <w:snapToGrid w:val="0"/>
                    <w:jc w:val="center"/>
                    <w:rPr>
                      <w:b w:val="0"/>
                      <w:bCs w:val="0"/>
                      <w:color w:val="auto"/>
                      <w:kern w:val="0"/>
                      <w:sz w:val="21"/>
                      <w:szCs w:val="21"/>
                      <w:vertAlign w:val="baseline"/>
                      <w:lang w:bidi="ar"/>
                    </w:rPr>
                  </w:pPr>
                  <w:r>
                    <w:rPr>
                      <w:rFonts w:hint="eastAsia"/>
                      <w:b w:val="0"/>
                      <w:bCs w:val="0"/>
                      <w:color w:val="auto"/>
                      <w:kern w:val="0"/>
                      <w:vertAlign w:val="baseline"/>
                      <w:lang w:val="en-US" w:eastAsia="zh-CN" w:bidi="ar"/>
                    </w:rPr>
                    <w:t>磷肥制造（2622）</w:t>
                  </w:r>
                </w:p>
              </w:tc>
              <w:tc>
                <w:tcPr>
                  <w:tcW w:w="1802" w:type="dxa"/>
                  <w:tcBorders>
                    <w:tl2br w:val="nil"/>
                    <w:tr2bl w:val="nil"/>
                  </w:tcBorders>
                  <w:vAlign w:val="center"/>
                </w:tcPr>
                <w:p w14:paraId="19F12D97">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r>
                    <w:rPr>
                      <w:rFonts w:hint="eastAsia"/>
                      <w:b w:val="0"/>
                      <w:bCs w:val="0"/>
                      <w:color w:val="auto"/>
                      <w:kern w:val="0"/>
                      <w:sz w:val="21"/>
                      <w:szCs w:val="21"/>
                      <w:vertAlign w:val="baseline"/>
                      <w:lang w:bidi="ar"/>
                    </w:rPr>
                    <w:t>磷酸一铵、磷酸二铵</w:t>
                  </w:r>
                </w:p>
              </w:tc>
              <w:tc>
                <w:tcPr>
                  <w:tcW w:w="1802" w:type="dxa"/>
                  <w:tcBorders>
                    <w:tl2br w:val="nil"/>
                    <w:tr2bl w:val="nil"/>
                  </w:tcBorders>
                  <w:vAlign w:val="center"/>
                </w:tcPr>
                <w:p w14:paraId="027F97F5">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氨化装置</w:t>
                  </w:r>
                </w:p>
              </w:tc>
              <w:tc>
                <w:tcPr>
                  <w:tcW w:w="1287" w:type="dxa"/>
                  <w:vMerge w:val="continue"/>
                  <w:tcBorders>
                    <w:tl2br w:val="nil"/>
                    <w:tr2bl w:val="nil"/>
                  </w:tcBorders>
                  <w:vAlign w:val="center"/>
                </w:tcPr>
                <w:p w14:paraId="4E260D65">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31D90BA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4ADAB3C2">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272CD9CE">
                  <w:pPr>
                    <w:widowControl/>
                    <w:adjustRightInd w:val="0"/>
                    <w:snapToGrid w:val="0"/>
                    <w:jc w:val="center"/>
                    <w:rPr>
                      <w:b w:val="0"/>
                      <w:bCs w:val="0"/>
                      <w:color w:val="auto"/>
                      <w:kern w:val="0"/>
                      <w:sz w:val="21"/>
                      <w:szCs w:val="21"/>
                      <w:vertAlign w:val="baseline"/>
                      <w:lang w:bidi="ar"/>
                    </w:rPr>
                  </w:pPr>
                  <w:r>
                    <w:rPr>
                      <w:rFonts w:hint="eastAsia"/>
                      <w:b w:val="0"/>
                      <w:bCs w:val="0"/>
                      <w:color w:val="auto"/>
                      <w:kern w:val="0"/>
                      <w:vertAlign w:val="baseline"/>
                      <w:lang w:val="en-US" w:eastAsia="zh-CN" w:bidi="ar"/>
                    </w:rPr>
                    <w:t>工业颜料制造（2643）</w:t>
                  </w:r>
                </w:p>
              </w:tc>
              <w:tc>
                <w:tcPr>
                  <w:tcW w:w="1802" w:type="dxa"/>
                  <w:tcBorders>
                    <w:tl2br w:val="nil"/>
                    <w:tr2bl w:val="nil"/>
                  </w:tcBorders>
                  <w:vAlign w:val="center"/>
                </w:tcPr>
                <w:p w14:paraId="6629EC83">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r>
                    <w:rPr>
                      <w:rFonts w:hint="eastAsia"/>
                      <w:b w:val="0"/>
                      <w:bCs w:val="0"/>
                      <w:color w:val="auto"/>
                      <w:kern w:val="0"/>
                      <w:sz w:val="21"/>
                      <w:szCs w:val="21"/>
                      <w:vertAlign w:val="baseline"/>
                      <w:lang w:bidi="ar"/>
                    </w:rPr>
                    <w:t>立德粉、钛白粉、铅铬黄</w:t>
                  </w:r>
                </w:p>
              </w:tc>
              <w:tc>
                <w:tcPr>
                  <w:tcW w:w="1802" w:type="dxa"/>
                  <w:tcBorders>
                    <w:tl2br w:val="nil"/>
                    <w:tr2bl w:val="nil"/>
                  </w:tcBorders>
                  <w:vAlign w:val="center"/>
                </w:tcPr>
                <w:p w14:paraId="225498F5">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宋体"/>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w:t>
                  </w:r>
                </w:p>
              </w:tc>
              <w:tc>
                <w:tcPr>
                  <w:tcW w:w="1287" w:type="dxa"/>
                  <w:vMerge w:val="continue"/>
                  <w:tcBorders>
                    <w:tl2br w:val="nil"/>
                    <w:tr2bl w:val="nil"/>
                  </w:tcBorders>
                  <w:vAlign w:val="center"/>
                </w:tcPr>
                <w:p w14:paraId="1DF31E33">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470C0DE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14D20B6C">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1A32ED44">
                  <w:pPr>
                    <w:widowControl/>
                    <w:adjustRightInd w:val="0"/>
                    <w:snapToGrid w:val="0"/>
                    <w:jc w:val="center"/>
                    <w:rPr>
                      <w:b w:val="0"/>
                      <w:bCs w:val="0"/>
                      <w:color w:val="auto"/>
                      <w:kern w:val="0"/>
                      <w:sz w:val="21"/>
                      <w:szCs w:val="21"/>
                      <w:vertAlign w:val="baseline"/>
                      <w:lang w:bidi="ar"/>
                    </w:rPr>
                  </w:pPr>
                  <w:r>
                    <w:rPr>
                      <w:rFonts w:hint="eastAsia"/>
                      <w:b w:val="0"/>
                      <w:bCs w:val="0"/>
                      <w:color w:val="auto"/>
                      <w:kern w:val="0"/>
                      <w:vertAlign w:val="baseline"/>
                      <w:lang w:val="en-US" w:eastAsia="zh-CN" w:bidi="ar"/>
                    </w:rPr>
                    <w:t>初级形态塑料及合成树脂制造（2651）</w:t>
                  </w:r>
                </w:p>
              </w:tc>
              <w:tc>
                <w:tcPr>
                  <w:tcW w:w="1802" w:type="dxa"/>
                  <w:tcBorders>
                    <w:tl2br w:val="nil"/>
                    <w:tr2bl w:val="nil"/>
                  </w:tcBorders>
                  <w:vAlign w:val="center"/>
                </w:tcPr>
                <w:p w14:paraId="6CAAF091">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电石法聚氯乙烯</w:t>
                  </w:r>
                </w:p>
              </w:tc>
              <w:tc>
                <w:tcPr>
                  <w:tcW w:w="1802" w:type="dxa"/>
                  <w:tcBorders>
                    <w:tl2br w:val="nil"/>
                    <w:tr2bl w:val="nil"/>
                  </w:tcBorders>
                  <w:vAlign w:val="center"/>
                </w:tcPr>
                <w:p w14:paraId="7B248B03">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宋体"/>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w:t>
                  </w:r>
                </w:p>
              </w:tc>
              <w:tc>
                <w:tcPr>
                  <w:tcW w:w="1287" w:type="dxa"/>
                  <w:vMerge w:val="continue"/>
                  <w:tcBorders>
                    <w:tl2br w:val="nil"/>
                    <w:tr2bl w:val="nil"/>
                  </w:tcBorders>
                  <w:vAlign w:val="center"/>
                </w:tcPr>
                <w:p w14:paraId="5FA83D4D">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00EA9A5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687440BC">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1B957CE9">
                  <w:pPr>
                    <w:widowControl/>
                    <w:adjustRightInd w:val="0"/>
                    <w:snapToGrid w:val="0"/>
                    <w:jc w:val="center"/>
                    <w:rPr>
                      <w:rFonts w:hint="eastAsia"/>
                      <w:b w:val="0"/>
                      <w:bCs w:val="0"/>
                      <w:color w:val="auto"/>
                      <w:kern w:val="0"/>
                      <w:vertAlign w:val="baseline"/>
                      <w:lang w:val="en-US" w:eastAsia="zh-CN" w:bidi="ar"/>
                    </w:rPr>
                  </w:pPr>
                  <w:r>
                    <w:rPr>
                      <w:rFonts w:hint="eastAsia"/>
                      <w:b w:val="0"/>
                      <w:bCs w:val="0"/>
                      <w:color w:val="auto"/>
                      <w:kern w:val="0"/>
                      <w:vertAlign w:val="baseline"/>
                      <w:lang w:val="en-US" w:eastAsia="zh-CN" w:bidi="ar"/>
                    </w:rPr>
                    <w:t>合成橡胶制造（2652）</w:t>
                  </w:r>
                </w:p>
              </w:tc>
              <w:tc>
                <w:tcPr>
                  <w:tcW w:w="1802" w:type="dxa"/>
                  <w:tcBorders>
                    <w:tl2br w:val="nil"/>
                    <w:tr2bl w:val="nil"/>
                  </w:tcBorders>
                  <w:vAlign w:val="center"/>
                </w:tcPr>
                <w:p w14:paraId="6D7474B3">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r>
                    <w:rPr>
                      <w:rFonts w:hint="eastAsia"/>
                      <w:b w:val="0"/>
                      <w:bCs w:val="0"/>
                      <w:color w:val="auto"/>
                      <w:kern w:val="0"/>
                      <w:sz w:val="21"/>
                      <w:szCs w:val="21"/>
                      <w:vertAlign w:val="baseline"/>
                      <w:lang w:bidi="ar"/>
                    </w:rPr>
                    <w:t>四氯化碳溶剂法氯化橡胶</w:t>
                  </w:r>
                </w:p>
              </w:tc>
              <w:tc>
                <w:tcPr>
                  <w:tcW w:w="1802" w:type="dxa"/>
                  <w:tcBorders>
                    <w:tl2br w:val="nil"/>
                    <w:tr2bl w:val="nil"/>
                  </w:tcBorders>
                  <w:vAlign w:val="center"/>
                </w:tcPr>
                <w:p w14:paraId="34A978F5">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宋体"/>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w:t>
                  </w:r>
                </w:p>
              </w:tc>
              <w:tc>
                <w:tcPr>
                  <w:tcW w:w="1287" w:type="dxa"/>
                  <w:vMerge w:val="continue"/>
                  <w:tcBorders>
                    <w:tl2br w:val="nil"/>
                    <w:tr2bl w:val="nil"/>
                  </w:tcBorders>
                  <w:vAlign w:val="center"/>
                </w:tcPr>
                <w:p w14:paraId="6F771810">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3B95C43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restart"/>
                  <w:tcBorders>
                    <w:tl2br w:val="nil"/>
                    <w:tr2bl w:val="nil"/>
                  </w:tcBorders>
                  <w:vAlign w:val="center"/>
                </w:tcPr>
                <w:p w14:paraId="4789B57D">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val="0"/>
                      <w:bCs w:val="0"/>
                      <w:color w:val="auto"/>
                      <w:kern w:val="0"/>
                      <w:sz w:val="21"/>
                      <w:szCs w:val="21"/>
                      <w:vertAlign w:val="baseline"/>
                      <w:lang w:bidi="ar"/>
                    </w:rPr>
                  </w:pPr>
                  <w:r>
                    <w:rPr>
                      <w:rFonts w:hint="eastAsia"/>
                      <w:b w:val="0"/>
                      <w:bCs w:val="0"/>
                      <w:color w:val="auto"/>
                      <w:kern w:val="0"/>
                      <w:sz w:val="21"/>
                      <w:szCs w:val="21"/>
                      <w:vertAlign w:val="baseline"/>
                      <w:lang w:bidi="ar"/>
                    </w:rPr>
                    <w:t>非金属矿物</w:t>
                  </w:r>
                </w:p>
                <w:p w14:paraId="63BC7470">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r>
                    <w:rPr>
                      <w:rFonts w:hint="eastAsia"/>
                      <w:b w:val="0"/>
                      <w:bCs w:val="0"/>
                      <w:color w:val="auto"/>
                      <w:kern w:val="0"/>
                      <w:sz w:val="21"/>
                      <w:szCs w:val="21"/>
                      <w:vertAlign w:val="baseline"/>
                      <w:lang w:bidi="ar"/>
                    </w:rPr>
                    <w:t>制品业（30）</w:t>
                  </w:r>
                </w:p>
              </w:tc>
              <w:tc>
                <w:tcPr>
                  <w:tcW w:w="1630" w:type="dxa"/>
                  <w:tcBorders>
                    <w:tl2br w:val="nil"/>
                    <w:tr2bl w:val="nil"/>
                  </w:tcBorders>
                  <w:vAlign w:val="center"/>
                </w:tcPr>
                <w:p w14:paraId="5CEAB686">
                  <w:pPr>
                    <w:widowControl/>
                    <w:adjustRightInd w:val="0"/>
                    <w:snapToGrid w:val="0"/>
                    <w:jc w:val="center"/>
                    <w:rPr>
                      <w:rFonts w:hint="eastAsia"/>
                      <w:b w:val="0"/>
                      <w:bCs w:val="0"/>
                      <w:color w:val="auto"/>
                      <w:kern w:val="0"/>
                      <w:vertAlign w:val="baseline"/>
                      <w:lang w:val="en-US" w:eastAsia="zh-CN" w:bidi="ar"/>
                    </w:rPr>
                  </w:pPr>
                  <w:r>
                    <w:rPr>
                      <w:rFonts w:hint="eastAsia"/>
                      <w:b w:val="0"/>
                      <w:bCs w:val="0"/>
                      <w:color w:val="auto"/>
                      <w:kern w:val="0"/>
                      <w:vertAlign w:val="baseline"/>
                      <w:lang w:val="en-US" w:eastAsia="zh-CN" w:bidi="ar"/>
                    </w:rPr>
                    <w:t>水泥制造（3011）</w:t>
                  </w:r>
                </w:p>
              </w:tc>
              <w:tc>
                <w:tcPr>
                  <w:tcW w:w="1802" w:type="dxa"/>
                  <w:tcBorders>
                    <w:tl2br w:val="nil"/>
                    <w:tr2bl w:val="nil"/>
                  </w:tcBorders>
                  <w:vAlign w:val="center"/>
                </w:tcPr>
                <w:p w14:paraId="1C58325F">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水泥熟料</w:t>
                  </w:r>
                </w:p>
              </w:tc>
              <w:tc>
                <w:tcPr>
                  <w:tcW w:w="1802" w:type="dxa"/>
                  <w:tcBorders>
                    <w:tl2br w:val="nil"/>
                    <w:tr2bl w:val="nil"/>
                  </w:tcBorders>
                  <w:vAlign w:val="center"/>
                </w:tcPr>
                <w:p w14:paraId="6B7A2DFC">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水泥窑</w:t>
                  </w:r>
                </w:p>
              </w:tc>
              <w:tc>
                <w:tcPr>
                  <w:tcW w:w="1287" w:type="dxa"/>
                  <w:vMerge w:val="continue"/>
                  <w:tcBorders>
                    <w:tl2br w:val="nil"/>
                    <w:tr2bl w:val="nil"/>
                  </w:tcBorders>
                  <w:vAlign w:val="center"/>
                </w:tcPr>
                <w:p w14:paraId="21CD6ABB">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33F0760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2668BB7A">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00E273EF">
                  <w:pPr>
                    <w:widowControl/>
                    <w:adjustRightInd w:val="0"/>
                    <w:snapToGrid w:val="0"/>
                    <w:jc w:val="center"/>
                    <w:rPr>
                      <w:rFonts w:hint="eastAsia"/>
                      <w:b w:val="0"/>
                      <w:bCs w:val="0"/>
                      <w:color w:val="auto"/>
                      <w:kern w:val="0"/>
                      <w:vertAlign w:val="baseline"/>
                      <w:lang w:val="en-US" w:eastAsia="zh-CN" w:bidi="ar"/>
                    </w:rPr>
                  </w:pPr>
                  <w:r>
                    <w:rPr>
                      <w:rFonts w:hint="eastAsia"/>
                      <w:b w:val="0"/>
                      <w:bCs w:val="0"/>
                      <w:color w:val="auto"/>
                      <w:kern w:val="0"/>
                      <w:vertAlign w:val="baseline"/>
                      <w:lang w:val="en-US" w:eastAsia="zh-CN" w:bidi="ar"/>
                    </w:rPr>
                    <w:t>石灰和石膏制造（3012）</w:t>
                  </w:r>
                </w:p>
              </w:tc>
              <w:tc>
                <w:tcPr>
                  <w:tcW w:w="1802" w:type="dxa"/>
                  <w:tcBorders>
                    <w:tl2br w:val="nil"/>
                    <w:tr2bl w:val="nil"/>
                  </w:tcBorders>
                  <w:vAlign w:val="center"/>
                </w:tcPr>
                <w:p w14:paraId="5918B575">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石灰</w:t>
                  </w:r>
                </w:p>
              </w:tc>
              <w:tc>
                <w:tcPr>
                  <w:tcW w:w="1802" w:type="dxa"/>
                  <w:tcBorders>
                    <w:tl2br w:val="nil"/>
                    <w:tr2bl w:val="nil"/>
                  </w:tcBorders>
                  <w:vAlign w:val="center"/>
                </w:tcPr>
                <w:p w14:paraId="554940E0">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石灰窑</w:t>
                  </w:r>
                </w:p>
              </w:tc>
              <w:tc>
                <w:tcPr>
                  <w:tcW w:w="1287" w:type="dxa"/>
                  <w:vMerge w:val="continue"/>
                  <w:tcBorders>
                    <w:tl2br w:val="nil"/>
                    <w:tr2bl w:val="nil"/>
                  </w:tcBorders>
                  <w:vAlign w:val="center"/>
                </w:tcPr>
                <w:p w14:paraId="3DC9B5AB">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1669DDE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4B3C648F">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40ACFA5F">
                  <w:pPr>
                    <w:widowControl/>
                    <w:adjustRightInd w:val="0"/>
                    <w:snapToGrid w:val="0"/>
                    <w:jc w:val="center"/>
                    <w:rPr>
                      <w:rFonts w:hint="eastAsia"/>
                      <w:b w:val="0"/>
                      <w:bCs w:val="0"/>
                      <w:color w:val="auto"/>
                      <w:kern w:val="0"/>
                      <w:vertAlign w:val="baseline"/>
                      <w:lang w:val="en-US" w:eastAsia="zh-CN" w:bidi="ar"/>
                    </w:rPr>
                  </w:pPr>
                  <w:r>
                    <w:rPr>
                      <w:rFonts w:hint="eastAsia"/>
                      <w:b w:val="0"/>
                      <w:bCs w:val="0"/>
                      <w:color w:val="auto"/>
                      <w:kern w:val="0"/>
                      <w:vertAlign w:val="baseline"/>
                      <w:lang w:val="en-US" w:eastAsia="zh-CN" w:bidi="ar"/>
                    </w:rPr>
                    <w:t>粘土砖瓦及建筑砌块制造（3031）</w:t>
                  </w:r>
                </w:p>
              </w:tc>
              <w:tc>
                <w:tcPr>
                  <w:tcW w:w="1802" w:type="dxa"/>
                  <w:tcBorders>
                    <w:tl2br w:val="nil"/>
                    <w:tr2bl w:val="nil"/>
                  </w:tcBorders>
                  <w:vAlign w:val="center"/>
                </w:tcPr>
                <w:p w14:paraId="5CE89817">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val="0"/>
                      <w:bCs w:val="0"/>
                      <w:color w:val="auto"/>
                      <w:kern w:val="0"/>
                      <w:sz w:val="21"/>
                      <w:szCs w:val="21"/>
                      <w:vertAlign w:val="baseline"/>
                      <w:lang w:bidi="ar"/>
                    </w:rPr>
                  </w:pPr>
                  <w:r>
                    <w:rPr>
                      <w:rFonts w:hint="eastAsia"/>
                      <w:b w:val="0"/>
                      <w:bCs w:val="0"/>
                      <w:color w:val="auto"/>
                      <w:kern w:val="0"/>
                      <w:sz w:val="21"/>
                      <w:szCs w:val="21"/>
                      <w:vertAlign w:val="baseline"/>
                      <w:lang w:bidi="ar"/>
                    </w:rPr>
                    <w:t>烧结砖、烧结瓦（不包括资源综合利用烧结砖瓦）</w:t>
                  </w:r>
                </w:p>
              </w:tc>
              <w:tc>
                <w:tcPr>
                  <w:tcW w:w="1802" w:type="dxa"/>
                  <w:tcBorders>
                    <w:tl2br w:val="nil"/>
                    <w:tr2bl w:val="nil"/>
                  </w:tcBorders>
                  <w:vAlign w:val="center"/>
                </w:tcPr>
                <w:p w14:paraId="6A52F34C">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砖瓦窑</w:t>
                  </w:r>
                </w:p>
              </w:tc>
              <w:tc>
                <w:tcPr>
                  <w:tcW w:w="1287" w:type="dxa"/>
                  <w:vMerge w:val="continue"/>
                  <w:tcBorders>
                    <w:tl2br w:val="nil"/>
                    <w:tr2bl w:val="nil"/>
                  </w:tcBorders>
                  <w:vAlign w:val="center"/>
                </w:tcPr>
                <w:p w14:paraId="4920165C">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3CA3468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7B078745">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3DFD7A37">
                  <w:pPr>
                    <w:widowControl/>
                    <w:adjustRightInd w:val="0"/>
                    <w:snapToGrid w:val="0"/>
                    <w:jc w:val="center"/>
                    <w:rPr>
                      <w:rFonts w:hint="eastAsia"/>
                      <w:b w:val="0"/>
                      <w:bCs w:val="0"/>
                      <w:color w:val="auto"/>
                      <w:kern w:val="0"/>
                      <w:vertAlign w:val="baseline"/>
                      <w:lang w:val="en-US" w:eastAsia="zh-CN" w:bidi="ar"/>
                    </w:rPr>
                  </w:pPr>
                  <w:r>
                    <w:rPr>
                      <w:rFonts w:hint="eastAsia"/>
                      <w:b w:val="0"/>
                      <w:bCs w:val="0"/>
                      <w:color w:val="auto"/>
                      <w:kern w:val="0"/>
                      <w:vertAlign w:val="baseline"/>
                      <w:lang w:val="en-US" w:eastAsia="zh-CN" w:bidi="ar"/>
                    </w:rPr>
                    <w:t>平板玻璃制造（3041）</w:t>
                  </w:r>
                </w:p>
              </w:tc>
              <w:tc>
                <w:tcPr>
                  <w:tcW w:w="1802" w:type="dxa"/>
                  <w:tcBorders>
                    <w:tl2br w:val="nil"/>
                    <w:tr2bl w:val="nil"/>
                  </w:tcBorders>
                  <w:vAlign w:val="center"/>
                </w:tcPr>
                <w:p w14:paraId="284DD112">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val="0"/>
                      <w:bCs w:val="0"/>
                      <w:color w:val="auto"/>
                      <w:kern w:val="0"/>
                      <w:sz w:val="21"/>
                      <w:szCs w:val="21"/>
                      <w:vertAlign w:val="baseline"/>
                      <w:lang w:bidi="ar"/>
                    </w:rPr>
                  </w:pPr>
                  <w:r>
                    <w:rPr>
                      <w:rFonts w:hint="eastAsia"/>
                      <w:b w:val="0"/>
                      <w:bCs w:val="0"/>
                      <w:color w:val="auto"/>
                      <w:kern w:val="0"/>
                      <w:sz w:val="21"/>
                      <w:szCs w:val="21"/>
                      <w:vertAlign w:val="baseline"/>
                      <w:lang w:bidi="ar"/>
                    </w:rPr>
                    <w:t>浮法平板玻璃（不包括基板玻璃）、压延玻璃（不包括光伏压延玻璃、微晶玻璃）</w:t>
                  </w:r>
                </w:p>
              </w:tc>
              <w:tc>
                <w:tcPr>
                  <w:tcW w:w="1802" w:type="dxa"/>
                  <w:tcBorders>
                    <w:tl2br w:val="nil"/>
                    <w:tr2bl w:val="nil"/>
                  </w:tcBorders>
                  <w:vAlign w:val="center"/>
                </w:tcPr>
                <w:p w14:paraId="6A1932C5">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玻璃窑炉</w:t>
                  </w:r>
                </w:p>
              </w:tc>
              <w:tc>
                <w:tcPr>
                  <w:tcW w:w="1287" w:type="dxa"/>
                  <w:vMerge w:val="continue"/>
                  <w:tcBorders>
                    <w:tl2br w:val="nil"/>
                    <w:tr2bl w:val="nil"/>
                  </w:tcBorders>
                  <w:vAlign w:val="center"/>
                </w:tcPr>
                <w:p w14:paraId="639C3175">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465C21F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6C09410E">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07E99764">
                  <w:pPr>
                    <w:widowControl/>
                    <w:adjustRightInd w:val="0"/>
                    <w:snapToGrid w:val="0"/>
                    <w:jc w:val="center"/>
                    <w:rPr>
                      <w:rFonts w:hint="eastAsia"/>
                      <w:b w:val="0"/>
                      <w:bCs w:val="0"/>
                      <w:color w:val="auto"/>
                      <w:kern w:val="0"/>
                      <w:vertAlign w:val="baseline"/>
                      <w:lang w:val="en-US" w:eastAsia="zh-CN" w:bidi="ar"/>
                    </w:rPr>
                  </w:pPr>
                  <w:r>
                    <w:rPr>
                      <w:rFonts w:hint="eastAsia"/>
                      <w:b w:val="0"/>
                      <w:bCs w:val="0"/>
                      <w:color w:val="auto"/>
                      <w:kern w:val="0"/>
                      <w:vertAlign w:val="baseline"/>
                      <w:lang w:val="en-US" w:eastAsia="zh-CN" w:bidi="ar"/>
                    </w:rPr>
                    <w:t>玻璃纤维及制品制造（3061）</w:t>
                  </w:r>
                </w:p>
              </w:tc>
              <w:tc>
                <w:tcPr>
                  <w:tcW w:w="1802" w:type="dxa"/>
                  <w:tcBorders>
                    <w:tl2br w:val="nil"/>
                    <w:tr2bl w:val="nil"/>
                  </w:tcBorders>
                  <w:vAlign w:val="center"/>
                </w:tcPr>
                <w:p w14:paraId="753F9006">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val="0"/>
                      <w:bCs w:val="0"/>
                      <w:color w:val="auto"/>
                      <w:kern w:val="0"/>
                      <w:sz w:val="21"/>
                      <w:szCs w:val="21"/>
                      <w:vertAlign w:val="baseline"/>
                      <w:lang w:bidi="ar"/>
                    </w:rPr>
                  </w:pPr>
                  <w:r>
                    <w:rPr>
                      <w:rFonts w:hint="eastAsia"/>
                      <w:b w:val="0"/>
                      <w:bCs w:val="0"/>
                      <w:color w:val="auto"/>
                      <w:kern w:val="0"/>
                      <w:sz w:val="21"/>
                      <w:szCs w:val="21"/>
                      <w:vertAlign w:val="baseline"/>
                      <w:lang w:bidi="ar"/>
                    </w:rPr>
                    <w:t>玻璃纤维（《产业结构调整指导目录（2024年本）》中鼓励类池窑拉丝、高性能及特种玻璃纤维制造除外）</w:t>
                  </w:r>
                </w:p>
              </w:tc>
              <w:tc>
                <w:tcPr>
                  <w:tcW w:w="1802" w:type="dxa"/>
                  <w:tcBorders>
                    <w:tl2br w:val="nil"/>
                    <w:tr2bl w:val="nil"/>
                  </w:tcBorders>
                  <w:vAlign w:val="center"/>
                </w:tcPr>
                <w:p w14:paraId="3F08FB6E">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玻璃纤维窑炉</w:t>
                  </w:r>
                </w:p>
              </w:tc>
              <w:tc>
                <w:tcPr>
                  <w:tcW w:w="1287" w:type="dxa"/>
                  <w:vMerge w:val="continue"/>
                  <w:tcBorders>
                    <w:tl2br w:val="nil"/>
                    <w:tr2bl w:val="nil"/>
                  </w:tcBorders>
                  <w:vAlign w:val="center"/>
                </w:tcPr>
                <w:p w14:paraId="11696338">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6EADC28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31EDFEEE">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02DE4635">
                  <w:pPr>
                    <w:widowControl/>
                    <w:adjustRightInd w:val="0"/>
                    <w:snapToGrid w:val="0"/>
                    <w:jc w:val="center"/>
                    <w:rPr>
                      <w:rFonts w:hint="eastAsia"/>
                      <w:b w:val="0"/>
                      <w:bCs w:val="0"/>
                      <w:color w:val="auto"/>
                      <w:kern w:val="0"/>
                      <w:vertAlign w:val="baseline"/>
                      <w:lang w:val="en-US" w:eastAsia="zh-CN" w:bidi="ar"/>
                    </w:rPr>
                  </w:pPr>
                  <w:r>
                    <w:rPr>
                      <w:rFonts w:hint="eastAsia"/>
                      <w:b w:val="0"/>
                      <w:bCs w:val="0"/>
                      <w:color w:val="auto"/>
                      <w:kern w:val="0"/>
                      <w:vertAlign w:val="baseline"/>
                      <w:lang w:val="en-US" w:eastAsia="zh-CN" w:bidi="ar"/>
                    </w:rPr>
                    <w:t>建筑陶瓷制品制造（3071）</w:t>
                  </w:r>
                </w:p>
              </w:tc>
              <w:tc>
                <w:tcPr>
                  <w:tcW w:w="1802" w:type="dxa"/>
                  <w:tcBorders>
                    <w:tl2br w:val="nil"/>
                    <w:tr2bl w:val="nil"/>
                  </w:tcBorders>
                  <w:vAlign w:val="center"/>
                </w:tcPr>
                <w:p w14:paraId="0A42DAF1">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val="0"/>
                      <w:bCs w:val="0"/>
                      <w:color w:val="auto"/>
                      <w:kern w:val="0"/>
                      <w:sz w:val="21"/>
                      <w:szCs w:val="21"/>
                      <w:vertAlign w:val="baseline"/>
                      <w:lang w:bidi="ar"/>
                    </w:rPr>
                  </w:pPr>
                  <w:r>
                    <w:rPr>
                      <w:rFonts w:hint="eastAsia"/>
                      <w:b w:val="0"/>
                      <w:bCs w:val="0"/>
                      <w:color w:val="auto"/>
                      <w:kern w:val="0"/>
                      <w:sz w:val="21"/>
                      <w:szCs w:val="21"/>
                      <w:vertAlign w:val="baseline"/>
                      <w:lang w:bidi="ar"/>
                    </w:rPr>
                    <w:t>建筑陶瓷（不包括非经高温烧结的发泡陶瓷板等）</w:t>
                  </w:r>
                </w:p>
              </w:tc>
              <w:tc>
                <w:tcPr>
                  <w:tcW w:w="1802" w:type="dxa"/>
                  <w:tcBorders>
                    <w:tl2br w:val="nil"/>
                    <w:tr2bl w:val="nil"/>
                  </w:tcBorders>
                  <w:vAlign w:val="center"/>
                </w:tcPr>
                <w:p w14:paraId="02EE810E">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窑炉</w:t>
                  </w:r>
                </w:p>
              </w:tc>
              <w:tc>
                <w:tcPr>
                  <w:tcW w:w="1287" w:type="dxa"/>
                  <w:vMerge w:val="continue"/>
                  <w:tcBorders>
                    <w:tl2br w:val="nil"/>
                    <w:tr2bl w:val="nil"/>
                  </w:tcBorders>
                  <w:vAlign w:val="center"/>
                </w:tcPr>
                <w:p w14:paraId="790FCEB1">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07F0E6D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67401B31">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424E412F">
                  <w:pPr>
                    <w:widowControl/>
                    <w:adjustRightInd w:val="0"/>
                    <w:snapToGrid w:val="0"/>
                    <w:jc w:val="center"/>
                    <w:rPr>
                      <w:rFonts w:hint="eastAsia"/>
                      <w:b w:val="0"/>
                      <w:bCs w:val="0"/>
                      <w:color w:val="auto"/>
                      <w:kern w:val="0"/>
                      <w:vertAlign w:val="baseline"/>
                      <w:lang w:val="en-US" w:eastAsia="zh-CN" w:bidi="ar"/>
                    </w:rPr>
                  </w:pPr>
                  <w:r>
                    <w:rPr>
                      <w:rFonts w:hint="eastAsia"/>
                      <w:b w:val="0"/>
                      <w:bCs w:val="0"/>
                      <w:color w:val="auto"/>
                      <w:kern w:val="0"/>
                      <w:vertAlign w:val="baseline"/>
                      <w:lang w:val="en-US" w:eastAsia="zh-CN" w:bidi="ar"/>
                    </w:rPr>
                    <w:t>卫生陶瓷制品制造（3072）</w:t>
                  </w:r>
                </w:p>
              </w:tc>
              <w:tc>
                <w:tcPr>
                  <w:tcW w:w="1802" w:type="dxa"/>
                  <w:tcBorders>
                    <w:tl2br w:val="nil"/>
                    <w:tr2bl w:val="nil"/>
                  </w:tcBorders>
                  <w:vAlign w:val="center"/>
                </w:tcPr>
                <w:p w14:paraId="40C36D4A">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卫生陶瓷</w:t>
                  </w:r>
                </w:p>
              </w:tc>
              <w:tc>
                <w:tcPr>
                  <w:tcW w:w="1802" w:type="dxa"/>
                  <w:tcBorders>
                    <w:tl2br w:val="nil"/>
                    <w:tr2bl w:val="nil"/>
                  </w:tcBorders>
                  <w:vAlign w:val="center"/>
                </w:tcPr>
                <w:p w14:paraId="7F07BE9D">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窑炉</w:t>
                  </w:r>
                </w:p>
              </w:tc>
              <w:tc>
                <w:tcPr>
                  <w:tcW w:w="1287" w:type="dxa"/>
                  <w:vMerge w:val="continue"/>
                  <w:tcBorders>
                    <w:tl2br w:val="nil"/>
                    <w:tr2bl w:val="nil"/>
                  </w:tcBorders>
                  <w:vAlign w:val="center"/>
                </w:tcPr>
                <w:p w14:paraId="09804078">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714B8EE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62B8B092">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5941AAD3">
                  <w:pPr>
                    <w:widowControl/>
                    <w:adjustRightInd w:val="0"/>
                    <w:snapToGrid w:val="0"/>
                    <w:jc w:val="center"/>
                    <w:rPr>
                      <w:rFonts w:hint="eastAsia"/>
                      <w:b w:val="0"/>
                      <w:bCs w:val="0"/>
                      <w:color w:val="auto"/>
                      <w:kern w:val="0"/>
                      <w:vertAlign w:val="baseline"/>
                      <w:lang w:val="en-US" w:eastAsia="zh-CN" w:bidi="ar"/>
                    </w:rPr>
                  </w:pPr>
                  <w:r>
                    <w:rPr>
                      <w:rFonts w:hint="eastAsia"/>
                      <w:b w:val="0"/>
                      <w:bCs w:val="0"/>
                      <w:color w:val="auto"/>
                      <w:kern w:val="0"/>
                      <w:vertAlign w:val="baseline"/>
                      <w:lang w:val="en-US" w:eastAsia="zh-CN" w:bidi="ar"/>
                    </w:rPr>
                    <w:t>耐火陶瓷制品及其他耐火材料制造（3089）</w:t>
                  </w:r>
                </w:p>
              </w:tc>
              <w:tc>
                <w:tcPr>
                  <w:tcW w:w="1802" w:type="dxa"/>
                  <w:tcBorders>
                    <w:tl2br w:val="nil"/>
                    <w:tr2bl w:val="nil"/>
                  </w:tcBorders>
                  <w:vAlign w:val="center"/>
                </w:tcPr>
                <w:p w14:paraId="6C7FB364">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耐火材料</w:t>
                  </w:r>
                </w:p>
              </w:tc>
              <w:tc>
                <w:tcPr>
                  <w:tcW w:w="1802" w:type="dxa"/>
                  <w:tcBorders>
                    <w:tl2br w:val="nil"/>
                    <w:tr2bl w:val="nil"/>
                  </w:tcBorders>
                  <w:vAlign w:val="center"/>
                </w:tcPr>
                <w:p w14:paraId="2B6D1BD5">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耐火材料高温窑炉</w:t>
                  </w:r>
                </w:p>
              </w:tc>
              <w:tc>
                <w:tcPr>
                  <w:tcW w:w="1287" w:type="dxa"/>
                  <w:vMerge w:val="continue"/>
                  <w:tcBorders>
                    <w:tl2br w:val="nil"/>
                    <w:tr2bl w:val="nil"/>
                  </w:tcBorders>
                  <w:vAlign w:val="center"/>
                </w:tcPr>
                <w:p w14:paraId="50B7B61D">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6BE01CF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1836CFA7">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7218B5CC">
                  <w:pPr>
                    <w:widowControl/>
                    <w:adjustRightInd w:val="0"/>
                    <w:snapToGrid w:val="0"/>
                    <w:jc w:val="center"/>
                    <w:rPr>
                      <w:rFonts w:hint="eastAsia"/>
                      <w:b w:val="0"/>
                      <w:bCs w:val="0"/>
                      <w:color w:val="auto"/>
                      <w:kern w:val="0"/>
                      <w:vertAlign w:val="baseline"/>
                      <w:lang w:val="en-US" w:eastAsia="zh-CN" w:bidi="ar"/>
                    </w:rPr>
                  </w:pPr>
                  <w:r>
                    <w:rPr>
                      <w:rFonts w:hint="eastAsia"/>
                      <w:b w:val="0"/>
                      <w:bCs w:val="0"/>
                      <w:color w:val="auto"/>
                      <w:kern w:val="0"/>
                      <w:vertAlign w:val="baseline"/>
                      <w:lang w:val="en-US" w:eastAsia="zh-CN" w:bidi="ar"/>
                    </w:rPr>
                    <w:t>石墨及碳素制品制造（3091）</w:t>
                  </w:r>
                </w:p>
              </w:tc>
              <w:tc>
                <w:tcPr>
                  <w:tcW w:w="1802" w:type="dxa"/>
                  <w:tcBorders>
                    <w:tl2br w:val="nil"/>
                    <w:tr2bl w:val="nil"/>
                  </w:tcBorders>
                  <w:vAlign w:val="center"/>
                </w:tcPr>
                <w:p w14:paraId="45C0F899">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val="0"/>
                      <w:bCs w:val="0"/>
                      <w:color w:val="auto"/>
                      <w:kern w:val="0"/>
                      <w:sz w:val="21"/>
                      <w:szCs w:val="21"/>
                      <w:vertAlign w:val="baseline"/>
                      <w:lang w:bidi="ar"/>
                    </w:rPr>
                  </w:pPr>
                  <w:r>
                    <w:rPr>
                      <w:rFonts w:hint="eastAsia"/>
                      <w:b w:val="0"/>
                      <w:bCs w:val="0"/>
                      <w:color w:val="auto"/>
                      <w:kern w:val="0"/>
                      <w:sz w:val="21"/>
                      <w:szCs w:val="21"/>
                      <w:vertAlign w:val="baseline"/>
                      <w:lang w:bidi="ar"/>
                    </w:rPr>
                    <w:t>碳块、碳电极、碳糊、铝用炭素（不包括天然石墨及制品）</w:t>
                  </w:r>
                </w:p>
              </w:tc>
              <w:tc>
                <w:tcPr>
                  <w:tcW w:w="1802" w:type="dxa"/>
                  <w:tcBorders>
                    <w:tl2br w:val="nil"/>
                    <w:tr2bl w:val="nil"/>
                  </w:tcBorders>
                  <w:vAlign w:val="center"/>
                </w:tcPr>
                <w:p w14:paraId="0F5A5C98">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煅烧炉、焙烧炉、石墨化炉</w:t>
                  </w:r>
                </w:p>
              </w:tc>
              <w:tc>
                <w:tcPr>
                  <w:tcW w:w="1287" w:type="dxa"/>
                  <w:vMerge w:val="continue"/>
                  <w:tcBorders>
                    <w:tl2br w:val="nil"/>
                    <w:tr2bl w:val="nil"/>
                  </w:tcBorders>
                  <w:vAlign w:val="center"/>
                </w:tcPr>
                <w:p w14:paraId="7F1B6CED">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3402369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3DED87D5">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7AB367CA">
                  <w:pPr>
                    <w:widowControl/>
                    <w:adjustRightInd w:val="0"/>
                    <w:snapToGrid w:val="0"/>
                    <w:jc w:val="center"/>
                    <w:rPr>
                      <w:rFonts w:hint="eastAsia"/>
                      <w:b w:val="0"/>
                      <w:bCs w:val="0"/>
                      <w:color w:val="auto"/>
                      <w:kern w:val="0"/>
                      <w:vertAlign w:val="baseline"/>
                      <w:lang w:val="en-US" w:eastAsia="zh-CN" w:bidi="ar"/>
                    </w:rPr>
                  </w:pPr>
                  <w:r>
                    <w:rPr>
                      <w:rFonts w:hint="eastAsia"/>
                      <w:b w:val="0"/>
                      <w:bCs w:val="0"/>
                      <w:color w:val="auto"/>
                      <w:kern w:val="0"/>
                      <w:vertAlign w:val="baseline"/>
                      <w:lang w:val="en-US" w:eastAsia="zh-CN" w:bidi="ar"/>
                    </w:rPr>
                    <w:t>其他非金属矿物制品制造（3099）</w:t>
                  </w:r>
                </w:p>
              </w:tc>
              <w:tc>
                <w:tcPr>
                  <w:tcW w:w="1802" w:type="dxa"/>
                  <w:tcBorders>
                    <w:tl2br w:val="nil"/>
                    <w:tr2bl w:val="nil"/>
                  </w:tcBorders>
                  <w:vAlign w:val="center"/>
                </w:tcPr>
                <w:p w14:paraId="320E4916">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val="0"/>
                      <w:bCs w:val="0"/>
                      <w:color w:val="auto"/>
                      <w:kern w:val="0"/>
                      <w:sz w:val="21"/>
                      <w:szCs w:val="21"/>
                      <w:vertAlign w:val="baseline"/>
                      <w:lang w:bidi="ar"/>
                    </w:rPr>
                  </w:pPr>
                  <w:r>
                    <w:rPr>
                      <w:rFonts w:hint="eastAsia"/>
                      <w:b w:val="0"/>
                      <w:bCs w:val="0"/>
                      <w:color w:val="auto"/>
                      <w:kern w:val="0"/>
                      <w:sz w:val="21"/>
                      <w:szCs w:val="21"/>
                      <w:vertAlign w:val="baseline"/>
                      <w:lang w:bidi="ar"/>
                    </w:rPr>
                    <w:t>多晶硅（高纯多晶硅除外）、单晶硅（高效单晶硅棒、高效单晶硅片、直径200mm以上硅单晶除外）</w:t>
                  </w:r>
                </w:p>
              </w:tc>
              <w:tc>
                <w:tcPr>
                  <w:tcW w:w="1802" w:type="dxa"/>
                  <w:tcBorders>
                    <w:tl2br w:val="nil"/>
                    <w:tr2bl w:val="nil"/>
                  </w:tcBorders>
                  <w:vAlign w:val="center"/>
                </w:tcPr>
                <w:p w14:paraId="7582280D">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单晶炉、还原炉、精馏塔</w:t>
                  </w:r>
                </w:p>
              </w:tc>
              <w:tc>
                <w:tcPr>
                  <w:tcW w:w="1287" w:type="dxa"/>
                  <w:vMerge w:val="continue"/>
                  <w:tcBorders>
                    <w:tl2br w:val="nil"/>
                    <w:tr2bl w:val="nil"/>
                  </w:tcBorders>
                  <w:vAlign w:val="center"/>
                </w:tcPr>
                <w:p w14:paraId="00A00675">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0601A56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restart"/>
                  <w:tcBorders>
                    <w:tl2br w:val="nil"/>
                    <w:tr2bl w:val="nil"/>
                  </w:tcBorders>
                  <w:vAlign w:val="center"/>
                </w:tcPr>
                <w:p w14:paraId="6F3E41F3">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r>
                    <w:rPr>
                      <w:rFonts w:hint="eastAsia"/>
                      <w:b w:val="0"/>
                      <w:bCs w:val="0"/>
                      <w:color w:val="auto"/>
                      <w:kern w:val="0"/>
                      <w:sz w:val="21"/>
                      <w:szCs w:val="21"/>
                      <w:vertAlign w:val="baseline"/>
                      <w:lang w:bidi="ar"/>
                    </w:rPr>
                    <w:t>黑色金属冶炼和压延加工业</w:t>
                  </w:r>
                </w:p>
              </w:tc>
              <w:tc>
                <w:tcPr>
                  <w:tcW w:w="1630" w:type="dxa"/>
                  <w:tcBorders>
                    <w:tl2br w:val="nil"/>
                    <w:tr2bl w:val="nil"/>
                  </w:tcBorders>
                  <w:vAlign w:val="center"/>
                </w:tcPr>
                <w:p w14:paraId="3AB33975">
                  <w:pPr>
                    <w:widowControl/>
                    <w:adjustRightInd w:val="0"/>
                    <w:snapToGrid w:val="0"/>
                    <w:jc w:val="center"/>
                    <w:rPr>
                      <w:rFonts w:hint="eastAsia"/>
                      <w:b w:val="0"/>
                      <w:bCs w:val="0"/>
                      <w:color w:val="auto"/>
                      <w:kern w:val="0"/>
                      <w:vertAlign w:val="baseline"/>
                      <w:lang w:val="en-US" w:eastAsia="zh-CN" w:bidi="ar"/>
                    </w:rPr>
                  </w:pPr>
                  <w:r>
                    <w:rPr>
                      <w:rFonts w:hint="eastAsia"/>
                      <w:b w:val="0"/>
                      <w:bCs w:val="0"/>
                      <w:color w:val="auto"/>
                      <w:kern w:val="0"/>
                      <w:vertAlign w:val="baseline"/>
                      <w:lang w:val="en-US" w:eastAsia="zh-CN" w:bidi="ar"/>
                    </w:rPr>
                    <w:t>炼铁（3110）</w:t>
                  </w:r>
                </w:p>
              </w:tc>
              <w:tc>
                <w:tcPr>
                  <w:tcW w:w="1802" w:type="dxa"/>
                  <w:tcBorders>
                    <w:tl2br w:val="nil"/>
                    <w:tr2bl w:val="nil"/>
                  </w:tcBorders>
                  <w:vAlign w:val="center"/>
                </w:tcPr>
                <w:p w14:paraId="72D4763D">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val="0"/>
                      <w:bCs w:val="0"/>
                      <w:color w:val="auto"/>
                      <w:kern w:val="0"/>
                      <w:sz w:val="21"/>
                      <w:szCs w:val="21"/>
                      <w:vertAlign w:val="baseline"/>
                      <w:lang w:bidi="ar"/>
                    </w:rPr>
                  </w:pPr>
                  <w:r>
                    <w:rPr>
                      <w:rFonts w:hint="eastAsia"/>
                      <w:b w:val="0"/>
                      <w:bCs w:val="0"/>
                      <w:color w:val="auto"/>
                      <w:kern w:val="0"/>
                      <w:sz w:val="21"/>
                      <w:szCs w:val="21"/>
                      <w:vertAlign w:val="baseline"/>
                      <w:lang w:bidi="ar"/>
                    </w:rPr>
                    <w:t>炼钢用生铁、熔融还原铁、铸造用生铁</w:t>
                  </w:r>
                </w:p>
              </w:tc>
              <w:tc>
                <w:tcPr>
                  <w:tcW w:w="1802" w:type="dxa"/>
                  <w:tcBorders>
                    <w:tl2br w:val="nil"/>
                    <w:tr2bl w:val="nil"/>
                  </w:tcBorders>
                  <w:vAlign w:val="center"/>
                </w:tcPr>
                <w:p w14:paraId="37417E28">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高炉、非高炉炼铁装置（氢还原除外）</w:t>
                  </w:r>
                </w:p>
              </w:tc>
              <w:tc>
                <w:tcPr>
                  <w:tcW w:w="1287" w:type="dxa"/>
                  <w:vMerge w:val="continue"/>
                  <w:tcBorders>
                    <w:tl2br w:val="nil"/>
                    <w:tr2bl w:val="nil"/>
                  </w:tcBorders>
                  <w:vAlign w:val="center"/>
                </w:tcPr>
                <w:p w14:paraId="18D2ACDA">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711BB14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358FDCDE">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5CEAFC6E">
                  <w:pPr>
                    <w:widowControl/>
                    <w:adjustRightInd w:val="0"/>
                    <w:snapToGrid w:val="0"/>
                    <w:jc w:val="center"/>
                    <w:rPr>
                      <w:rFonts w:hint="eastAsia"/>
                      <w:b w:val="0"/>
                      <w:bCs w:val="0"/>
                      <w:color w:val="auto"/>
                      <w:kern w:val="0"/>
                      <w:vertAlign w:val="baseline"/>
                      <w:lang w:val="en-US" w:eastAsia="zh-CN" w:bidi="ar"/>
                    </w:rPr>
                  </w:pPr>
                  <w:r>
                    <w:rPr>
                      <w:rFonts w:hint="eastAsia"/>
                      <w:b w:val="0"/>
                      <w:bCs w:val="0"/>
                      <w:color w:val="auto"/>
                      <w:kern w:val="0"/>
                      <w:vertAlign w:val="baseline"/>
                      <w:lang w:val="en-US" w:eastAsia="zh-CN" w:bidi="ar"/>
                    </w:rPr>
                    <w:t>炼钢（3120）</w:t>
                  </w:r>
                </w:p>
              </w:tc>
              <w:tc>
                <w:tcPr>
                  <w:tcW w:w="1802" w:type="dxa"/>
                  <w:tcBorders>
                    <w:tl2br w:val="nil"/>
                    <w:tr2bl w:val="nil"/>
                  </w:tcBorders>
                  <w:vAlign w:val="center"/>
                </w:tcPr>
                <w:p w14:paraId="3F095971">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val="0"/>
                      <w:bCs w:val="0"/>
                      <w:color w:val="auto"/>
                      <w:kern w:val="0"/>
                      <w:sz w:val="21"/>
                      <w:szCs w:val="21"/>
                      <w:vertAlign w:val="baseline"/>
                      <w:lang w:bidi="ar"/>
                    </w:rPr>
                  </w:pPr>
                  <w:r>
                    <w:rPr>
                      <w:rFonts w:hint="eastAsia"/>
                      <w:b w:val="0"/>
                      <w:bCs w:val="0"/>
                      <w:color w:val="auto"/>
                      <w:kern w:val="0"/>
                      <w:sz w:val="21"/>
                      <w:szCs w:val="21"/>
                      <w:vertAlign w:val="baseline"/>
                      <w:lang w:bidi="ar"/>
                    </w:rPr>
                    <w:t>非合金钢粗钢、低合金钢粗钢、合金钢粗钢（不包括短流程炼钢）</w:t>
                  </w:r>
                </w:p>
              </w:tc>
              <w:tc>
                <w:tcPr>
                  <w:tcW w:w="1802" w:type="dxa"/>
                  <w:tcBorders>
                    <w:tl2br w:val="nil"/>
                    <w:tr2bl w:val="nil"/>
                  </w:tcBorders>
                  <w:vAlign w:val="center"/>
                </w:tcPr>
                <w:p w14:paraId="44B9C163">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转炉</w:t>
                  </w:r>
                </w:p>
              </w:tc>
              <w:tc>
                <w:tcPr>
                  <w:tcW w:w="1287" w:type="dxa"/>
                  <w:vMerge w:val="continue"/>
                  <w:tcBorders>
                    <w:tl2br w:val="nil"/>
                    <w:tr2bl w:val="nil"/>
                  </w:tcBorders>
                  <w:vAlign w:val="center"/>
                </w:tcPr>
                <w:p w14:paraId="5F32FB7B">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5A64D76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7D2330A9">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5A9F2FB9">
                  <w:pPr>
                    <w:widowControl/>
                    <w:adjustRightInd w:val="0"/>
                    <w:snapToGrid w:val="0"/>
                    <w:jc w:val="center"/>
                    <w:rPr>
                      <w:rFonts w:hint="eastAsia"/>
                      <w:b w:val="0"/>
                      <w:bCs w:val="0"/>
                      <w:color w:val="auto"/>
                      <w:kern w:val="0"/>
                      <w:vertAlign w:val="baseline"/>
                      <w:lang w:val="en-US" w:eastAsia="zh-CN" w:bidi="ar"/>
                    </w:rPr>
                  </w:pPr>
                  <w:r>
                    <w:rPr>
                      <w:rFonts w:hint="eastAsia"/>
                      <w:b w:val="0"/>
                      <w:bCs w:val="0"/>
                      <w:color w:val="auto"/>
                      <w:kern w:val="0"/>
                      <w:vertAlign w:val="baseline"/>
                      <w:lang w:val="en-US" w:eastAsia="zh-CN" w:bidi="ar"/>
                    </w:rPr>
                    <w:t>钢压延加工（3130）</w:t>
                  </w:r>
                </w:p>
              </w:tc>
              <w:tc>
                <w:tcPr>
                  <w:tcW w:w="1802" w:type="dxa"/>
                  <w:tcBorders>
                    <w:tl2br w:val="nil"/>
                    <w:tr2bl w:val="nil"/>
                  </w:tcBorders>
                  <w:vAlign w:val="center"/>
                </w:tcPr>
                <w:p w14:paraId="5A00E0E8">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val="0"/>
                      <w:bCs w:val="0"/>
                      <w:color w:val="auto"/>
                      <w:kern w:val="0"/>
                      <w:sz w:val="21"/>
                      <w:szCs w:val="21"/>
                      <w:vertAlign w:val="baseline"/>
                      <w:lang w:bidi="ar"/>
                    </w:rPr>
                  </w:pPr>
                  <w:r>
                    <w:rPr>
                      <w:rFonts w:hint="eastAsia"/>
                      <w:b w:val="0"/>
                      <w:bCs w:val="0"/>
                      <w:color w:val="auto"/>
                      <w:kern w:val="0"/>
                      <w:sz w:val="21"/>
                      <w:szCs w:val="21"/>
                      <w:vertAlign w:val="baseline"/>
                      <w:lang w:bidi="ar"/>
                    </w:rPr>
                    <w:t>列入《工业战略性新兴产业分类目录（2023）》的先进钢铁材料制造除外；近终形铸轧一体化除外；采用加热炉高效燃烧（包括全氧、富氧、低氮燃烧）的除外。</w:t>
                  </w:r>
                </w:p>
              </w:tc>
              <w:tc>
                <w:tcPr>
                  <w:tcW w:w="1802" w:type="dxa"/>
                  <w:tcBorders>
                    <w:tl2br w:val="nil"/>
                    <w:tr2bl w:val="nil"/>
                  </w:tcBorders>
                  <w:vAlign w:val="center"/>
                </w:tcPr>
                <w:p w14:paraId="198211BB">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w:t>
                  </w:r>
                </w:p>
              </w:tc>
              <w:tc>
                <w:tcPr>
                  <w:tcW w:w="1287" w:type="dxa"/>
                  <w:vMerge w:val="continue"/>
                  <w:tcBorders>
                    <w:tl2br w:val="nil"/>
                    <w:tr2bl w:val="nil"/>
                  </w:tcBorders>
                  <w:vAlign w:val="center"/>
                </w:tcPr>
                <w:p w14:paraId="0E2F93C4">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5F147CD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372699BF">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7B6F29B6">
                  <w:pPr>
                    <w:widowControl/>
                    <w:adjustRightInd w:val="0"/>
                    <w:snapToGrid w:val="0"/>
                    <w:jc w:val="center"/>
                    <w:rPr>
                      <w:rFonts w:hint="eastAsia"/>
                      <w:b w:val="0"/>
                      <w:bCs w:val="0"/>
                      <w:color w:val="auto"/>
                      <w:kern w:val="0"/>
                      <w:vertAlign w:val="baseline"/>
                      <w:lang w:val="en-US" w:eastAsia="zh-CN" w:bidi="ar"/>
                    </w:rPr>
                  </w:pPr>
                  <w:r>
                    <w:rPr>
                      <w:rFonts w:hint="eastAsia"/>
                      <w:b w:val="0"/>
                      <w:bCs w:val="0"/>
                      <w:color w:val="auto"/>
                      <w:kern w:val="0"/>
                      <w:vertAlign w:val="baseline"/>
                      <w:lang w:val="en-US" w:eastAsia="zh-CN" w:bidi="ar"/>
                    </w:rPr>
                    <w:t>铁合金冶炼（3140）</w:t>
                  </w:r>
                </w:p>
              </w:tc>
              <w:tc>
                <w:tcPr>
                  <w:tcW w:w="1802" w:type="dxa"/>
                  <w:tcBorders>
                    <w:tl2br w:val="nil"/>
                    <w:tr2bl w:val="nil"/>
                  </w:tcBorders>
                  <w:vAlign w:val="center"/>
                </w:tcPr>
                <w:p w14:paraId="1B65130C">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val="0"/>
                      <w:bCs w:val="0"/>
                      <w:color w:val="auto"/>
                      <w:kern w:val="0"/>
                      <w:sz w:val="21"/>
                      <w:szCs w:val="21"/>
                      <w:vertAlign w:val="baseline"/>
                      <w:lang w:bidi="ar"/>
                    </w:rPr>
                  </w:pPr>
                  <w:r>
                    <w:rPr>
                      <w:rFonts w:hint="eastAsia"/>
                      <w:b w:val="0"/>
                      <w:bCs w:val="0"/>
                      <w:color w:val="auto"/>
                      <w:kern w:val="0"/>
                      <w:sz w:val="21"/>
                      <w:szCs w:val="21"/>
                      <w:vertAlign w:val="baseline"/>
                      <w:lang w:bidi="ar"/>
                    </w:rPr>
                    <w:t>硅铁、锰硅合金、高碳铬铁、镍铁及其他铁合金产品</w:t>
                  </w:r>
                </w:p>
              </w:tc>
              <w:tc>
                <w:tcPr>
                  <w:tcW w:w="1802" w:type="dxa"/>
                  <w:tcBorders>
                    <w:tl2br w:val="nil"/>
                    <w:tr2bl w:val="nil"/>
                  </w:tcBorders>
                  <w:vAlign w:val="center"/>
                </w:tcPr>
                <w:p w14:paraId="60F4EDC3">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矿热炉、电弧炉</w:t>
                  </w:r>
                </w:p>
              </w:tc>
              <w:tc>
                <w:tcPr>
                  <w:tcW w:w="1287" w:type="dxa"/>
                  <w:vMerge w:val="continue"/>
                  <w:tcBorders>
                    <w:tl2br w:val="nil"/>
                    <w:tr2bl w:val="nil"/>
                  </w:tcBorders>
                  <w:vAlign w:val="center"/>
                </w:tcPr>
                <w:p w14:paraId="38BEE0D9">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0E6E85A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restart"/>
                  <w:tcBorders>
                    <w:tl2br w:val="nil"/>
                    <w:tr2bl w:val="nil"/>
                  </w:tcBorders>
                  <w:vAlign w:val="center"/>
                </w:tcPr>
                <w:p w14:paraId="14CDFFC0">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b w:val="0"/>
                      <w:bCs w:val="0"/>
                      <w:color w:val="auto"/>
                      <w:kern w:val="0"/>
                      <w:sz w:val="21"/>
                      <w:szCs w:val="21"/>
                      <w:vertAlign w:val="baseline"/>
                      <w:lang w:eastAsia="zh-CN" w:bidi="ar"/>
                    </w:rPr>
                  </w:pPr>
                  <w:r>
                    <w:rPr>
                      <w:rFonts w:hint="eastAsia"/>
                      <w:b w:val="0"/>
                      <w:bCs w:val="0"/>
                      <w:color w:val="auto"/>
                      <w:kern w:val="0"/>
                      <w:sz w:val="21"/>
                      <w:szCs w:val="21"/>
                      <w:vertAlign w:val="baseline"/>
                      <w:lang w:bidi="ar"/>
                    </w:rPr>
                    <w:t>有色金属冶炼和压延加工业</w:t>
                  </w:r>
                  <w:r>
                    <w:rPr>
                      <w:rFonts w:hint="eastAsia"/>
                      <w:b w:val="0"/>
                      <w:bCs w:val="0"/>
                      <w:color w:val="auto"/>
                      <w:kern w:val="0"/>
                      <w:sz w:val="21"/>
                      <w:szCs w:val="21"/>
                      <w:vertAlign w:val="baseline"/>
                      <w:lang w:eastAsia="zh-CN" w:bidi="ar"/>
                    </w:rPr>
                    <w:t>（</w:t>
                  </w:r>
                  <w:r>
                    <w:rPr>
                      <w:rFonts w:hint="eastAsia"/>
                      <w:b w:val="0"/>
                      <w:bCs w:val="0"/>
                      <w:color w:val="auto"/>
                      <w:kern w:val="0"/>
                      <w:sz w:val="21"/>
                      <w:szCs w:val="21"/>
                      <w:vertAlign w:val="baseline"/>
                      <w:lang w:val="en-US" w:eastAsia="zh-CN" w:bidi="ar"/>
                    </w:rPr>
                    <w:t>32</w:t>
                  </w:r>
                  <w:r>
                    <w:rPr>
                      <w:rFonts w:hint="eastAsia"/>
                      <w:b w:val="0"/>
                      <w:bCs w:val="0"/>
                      <w:color w:val="auto"/>
                      <w:kern w:val="0"/>
                      <w:sz w:val="21"/>
                      <w:szCs w:val="21"/>
                      <w:vertAlign w:val="baseline"/>
                      <w:lang w:eastAsia="zh-CN" w:bidi="ar"/>
                    </w:rPr>
                    <w:t>）</w:t>
                  </w:r>
                </w:p>
              </w:tc>
              <w:tc>
                <w:tcPr>
                  <w:tcW w:w="1630" w:type="dxa"/>
                  <w:tcBorders>
                    <w:tl2br w:val="nil"/>
                    <w:tr2bl w:val="nil"/>
                  </w:tcBorders>
                  <w:vAlign w:val="center"/>
                </w:tcPr>
                <w:p w14:paraId="43012369">
                  <w:pPr>
                    <w:widowControl/>
                    <w:adjustRightInd w:val="0"/>
                    <w:snapToGrid w:val="0"/>
                    <w:jc w:val="center"/>
                    <w:rPr>
                      <w:rFonts w:hint="eastAsia"/>
                      <w:b w:val="0"/>
                      <w:bCs w:val="0"/>
                      <w:color w:val="auto"/>
                      <w:kern w:val="0"/>
                      <w:vertAlign w:val="baseline"/>
                      <w:lang w:val="en-US" w:eastAsia="zh-CN" w:bidi="ar"/>
                    </w:rPr>
                  </w:pPr>
                  <w:r>
                    <w:rPr>
                      <w:rFonts w:hint="eastAsia"/>
                      <w:b w:val="0"/>
                      <w:bCs w:val="0"/>
                      <w:color w:val="auto"/>
                      <w:kern w:val="0"/>
                      <w:vertAlign w:val="baseline"/>
                      <w:lang w:val="en-US" w:eastAsia="zh-CN" w:bidi="ar"/>
                    </w:rPr>
                    <w:t>铜冶炼（3211）</w:t>
                  </w:r>
                </w:p>
              </w:tc>
              <w:tc>
                <w:tcPr>
                  <w:tcW w:w="1802" w:type="dxa"/>
                  <w:tcBorders>
                    <w:tl2br w:val="nil"/>
                    <w:tr2bl w:val="nil"/>
                  </w:tcBorders>
                  <w:vAlign w:val="center"/>
                </w:tcPr>
                <w:p w14:paraId="11358BC1">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val="0"/>
                      <w:bCs w:val="0"/>
                      <w:color w:val="auto"/>
                      <w:kern w:val="0"/>
                      <w:sz w:val="21"/>
                      <w:szCs w:val="21"/>
                      <w:vertAlign w:val="baseline"/>
                      <w:lang w:bidi="ar"/>
                    </w:rPr>
                  </w:pPr>
                  <w:r>
                    <w:rPr>
                      <w:rFonts w:hint="eastAsia"/>
                      <w:b w:val="0"/>
                      <w:bCs w:val="0"/>
                      <w:color w:val="auto"/>
                      <w:kern w:val="0"/>
                      <w:sz w:val="21"/>
                      <w:szCs w:val="21"/>
                      <w:vertAlign w:val="baseline"/>
                      <w:lang w:bidi="ar"/>
                    </w:rPr>
                    <w:t>阴极铜、阳极铜、粗铜、电解铜（不包括再生有色资源冶炼）</w:t>
                  </w:r>
                </w:p>
              </w:tc>
              <w:tc>
                <w:tcPr>
                  <w:tcW w:w="1802" w:type="dxa"/>
                  <w:tcBorders>
                    <w:tl2br w:val="nil"/>
                    <w:tr2bl w:val="nil"/>
                  </w:tcBorders>
                  <w:vAlign w:val="center"/>
                </w:tcPr>
                <w:p w14:paraId="2CDBAA22">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电解槽</w:t>
                  </w:r>
                </w:p>
              </w:tc>
              <w:tc>
                <w:tcPr>
                  <w:tcW w:w="1287" w:type="dxa"/>
                  <w:vMerge w:val="continue"/>
                  <w:tcBorders>
                    <w:tl2br w:val="nil"/>
                    <w:tr2bl w:val="nil"/>
                  </w:tcBorders>
                  <w:vAlign w:val="center"/>
                </w:tcPr>
                <w:p w14:paraId="7D8BCECA">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5ECD3CD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2261C34C">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5FEBD8FA">
                  <w:pPr>
                    <w:widowControl/>
                    <w:adjustRightInd w:val="0"/>
                    <w:snapToGrid w:val="0"/>
                    <w:jc w:val="center"/>
                    <w:rPr>
                      <w:rFonts w:hint="eastAsia"/>
                      <w:b w:val="0"/>
                      <w:bCs w:val="0"/>
                      <w:color w:val="auto"/>
                      <w:kern w:val="0"/>
                      <w:vertAlign w:val="baseline"/>
                      <w:lang w:val="en-US" w:eastAsia="zh-CN" w:bidi="ar"/>
                    </w:rPr>
                  </w:pPr>
                  <w:r>
                    <w:rPr>
                      <w:rFonts w:hint="eastAsia"/>
                      <w:b w:val="0"/>
                      <w:bCs w:val="0"/>
                      <w:color w:val="auto"/>
                      <w:kern w:val="0"/>
                      <w:vertAlign w:val="baseline"/>
                      <w:lang w:val="en-US" w:eastAsia="zh-CN" w:bidi="ar"/>
                    </w:rPr>
                    <w:t>铅锌冶炼（3212）</w:t>
                  </w:r>
                </w:p>
              </w:tc>
              <w:tc>
                <w:tcPr>
                  <w:tcW w:w="1802" w:type="dxa"/>
                  <w:tcBorders>
                    <w:tl2br w:val="nil"/>
                    <w:tr2bl w:val="nil"/>
                  </w:tcBorders>
                  <w:vAlign w:val="center"/>
                </w:tcPr>
                <w:p w14:paraId="01C94448">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val="0"/>
                      <w:bCs w:val="0"/>
                      <w:color w:val="auto"/>
                      <w:kern w:val="0"/>
                      <w:sz w:val="21"/>
                      <w:szCs w:val="21"/>
                      <w:vertAlign w:val="baseline"/>
                      <w:lang w:bidi="ar"/>
                    </w:rPr>
                  </w:pPr>
                  <w:r>
                    <w:rPr>
                      <w:rFonts w:hint="eastAsia"/>
                      <w:b w:val="0"/>
                      <w:bCs w:val="0"/>
                      <w:color w:val="auto"/>
                      <w:kern w:val="0"/>
                      <w:sz w:val="21"/>
                      <w:szCs w:val="21"/>
                      <w:vertAlign w:val="baseline"/>
                      <w:lang w:bidi="ar"/>
                    </w:rPr>
                    <w:t>粗铅、电解铅、粗锌、电解锌（不包括再生有色资源冶炼）</w:t>
                  </w:r>
                </w:p>
              </w:tc>
              <w:tc>
                <w:tcPr>
                  <w:tcW w:w="1802" w:type="dxa"/>
                  <w:tcBorders>
                    <w:tl2br w:val="nil"/>
                    <w:tr2bl w:val="nil"/>
                  </w:tcBorders>
                  <w:vAlign w:val="center"/>
                </w:tcPr>
                <w:p w14:paraId="6B4D5AF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电解槽</w:t>
                  </w:r>
                </w:p>
              </w:tc>
              <w:tc>
                <w:tcPr>
                  <w:tcW w:w="1287" w:type="dxa"/>
                  <w:vMerge w:val="continue"/>
                  <w:tcBorders>
                    <w:tl2br w:val="nil"/>
                    <w:tr2bl w:val="nil"/>
                  </w:tcBorders>
                  <w:vAlign w:val="center"/>
                </w:tcPr>
                <w:p w14:paraId="252E4E05">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5794F7C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5014AEF3">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40FDE636">
                  <w:pPr>
                    <w:widowControl/>
                    <w:adjustRightInd w:val="0"/>
                    <w:snapToGrid w:val="0"/>
                    <w:jc w:val="center"/>
                    <w:rPr>
                      <w:rFonts w:hint="eastAsia"/>
                      <w:b w:val="0"/>
                      <w:bCs w:val="0"/>
                      <w:color w:val="auto"/>
                      <w:kern w:val="0"/>
                      <w:vertAlign w:val="baseline"/>
                      <w:lang w:val="en-US" w:eastAsia="zh-CN" w:bidi="ar"/>
                    </w:rPr>
                  </w:pPr>
                  <w:r>
                    <w:rPr>
                      <w:rFonts w:hint="eastAsia"/>
                      <w:b w:val="0"/>
                      <w:bCs w:val="0"/>
                      <w:color w:val="auto"/>
                      <w:kern w:val="0"/>
                      <w:vertAlign w:val="baseline"/>
                      <w:lang w:val="en-US" w:eastAsia="zh-CN" w:bidi="ar"/>
                    </w:rPr>
                    <w:t>铝冶炼（3216）</w:t>
                  </w:r>
                </w:p>
              </w:tc>
              <w:tc>
                <w:tcPr>
                  <w:tcW w:w="1802" w:type="dxa"/>
                  <w:tcBorders>
                    <w:tl2br w:val="nil"/>
                    <w:tr2bl w:val="nil"/>
                  </w:tcBorders>
                  <w:vAlign w:val="center"/>
                </w:tcPr>
                <w:p w14:paraId="2552B69B">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val="0"/>
                      <w:bCs w:val="0"/>
                      <w:color w:val="auto"/>
                      <w:kern w:val="0"/>
                      <w:sz w:val="21"/>
                      <w:szCs w:val="21"/>
                      <w:vertAlign w:val="baseline"/>
                      <w:lang w:bidi="ar"/>
                    </w:rPr>
                  </w:pPr>
                  <w:r>
                    <w:rPr>
                      <w:rFonts w:hint="eastAsia"/>
                      <w:b w:val="0"/>
                      <w:bCs w:val="0"/>
                      <w:color w:val="auto"/>
                      <w:kern w:val="0"/>
                      <w:sz w:val="21"/>
                      <w:szCs w:val="21"/>
                      <w:vertAlign w:val="baseline"/>
                      <w:lang w:bidi="ar"/>
                    </w:rPr>
                    <w:t>氧化铝、电解铝（不包括再生有色资源冶炼）</w:t>
                  </w:r>
                </w:p>
              </w:tc>
              <w:tc>
                <w:tcPr>
                  <w:tcW w:w="1802" w:type="dxa"/>
                  <w:tcBorders>
                    <w:tl2br w:val="nil"/>
                    <w:tr2bl w:val="nil"/>
                  </w:tcBorders>
                  <w:vAlign w:val="center"/>
                </w:tcPr>
                <w:p w14:paraId="7FBED75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电解槽</w:t>
                  </w:r>
                </w:p>
              </w:tc>
              <w:tc>
                <w:tcPr>
                  <w:tcW w:w="1287" w:type="dxa"/>
                  <w:vMerge w:val="continue"/>
                  <w:tcBorders>
                    <w:tl2br w:val="nil"/>
                    <w:tr2bl w:val="nil"/>
                  </w:tcBorders>
                  <w:vAlign w:val="center"/>
                </w:tcPr>
                <w:p w14:paraId="5E4F6249">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367CF77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192BB11E">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7D516164">
                  <w:pPr>
                    <w:widowControl/>
                    <w:adjustRightInd w:val="0"/>
                    <w:snapToGrid w:val="0"/>
                    <w:jc w:val="center"/>
                    <w:rPr>
                      <w:rFonts w:hint="eastAsia"/>
                      <w:b w:val="0"/>
                      <w:bCs w:val="0"/>
                      <w:color w:val="auto"/>
                      <w:kern w:val="0"/>
                      <w:vertAlign w:val="baseline"/>
                      <w:lang w:val="en-US" w:eastAsia="zh-CN" w:bidi="ar"/>
                    </w:rPr>
                  </w:pPr>
                  <w:r>
                    <w:rPr>
                      <w:rFonts w:hint="eastAsia"/>
                      <w:b w:val="0"/>
                      <w:bCs w:val="0"/>
                      <w:color w:val="auto"/>
                      <w:kern w:val="0"/>
                      <w:vertAlign w:val="baseline"/>
                      <w:lang w:val="en-US" w:eastAsia="zh-CN" w:bidi="ar"/>
                    </w:rPr>
                    <w:t>硅冶炼（3218）</w:t>
                  </w:r>
                </w:p>
              </w:tc>
              <w:tc>
                <w:tcPr>
                  <w:tcW w:w="1802" w:type="dxa"/>
                  <w:tcBorders>
                    <w:tl2br w:val="nil"/>
                    <w:tr2bl w:val="nil"/>
                  </w:tcBorders>
                  <w:vAlign w:val="center"/>
                </w:tcPr>
                <w:p w14:paraId="12A29575">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工业硅</w:t>
                  </w:r>
                </w:p>
              </w:tc>
              <w:tc>
                <w:tcPr>
                  <w:tcW w:w="1802" w:type="dxa"/>
                  <w:tcBorders>
                    <w:tl2br w:val="nil"/>
                    <w:tr2bl w:val="nil"/>
                  </w:tcBorders>
                  <w:vAlign w:val="center"/>
                </w:tcPr>
                <w:p w14:paraId="4D0E1764">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矿热炉</w:t>
                  </w:r>
                </w:p>
              </w:tc>
              <w:tc>
                <w:tcPr>
                  <w:tcW w:w="1287" w:type="dxa"/>
                  <w:vMerge w:val="continue"/>
                  <w:tcBorders>
                    <w:tl2br w:val="nil"/>
                    <w:tr2bl w:val="nil"/>
                  </w:tcBorders>
                  <w:vAlign w:val="center"/>
                </w:tcPr>
                <w:p w14:paraId="5B398D8B">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244E700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restart"/>
                  <w:tcBorders>
                    <w:tl2br w:val="nil"/>
                    <w:tr2bl w:val="nil"/>
                  </w:tcBorders>
                  <w:vAlign w:val="center"/>
                </w:tcPr>
                <w:p w14:paraId="7E55C0DE">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eastAsia="宋体"/>
                      <w:b w:val="0"/>
                      <w:bCs w:val="0"/>
                      <w:color w:val="auto"/>
                      <w:kern w:val="0"/>
                      <w:sz w:val="21"/>
                      <w:szCs w:val="21"/>
                      <w:vertAlign w:val="baseline"/>
                      <w:lang w:eastAsia="zh-CN" w:bidi="ar"/>
                    </w:rPr>
                  </w:pPr>
                  <w:r>
                    <w:rPr>
                      <w:rFonts w:hint="eastAsia"/>
                      <w:b w:val="0"/>
                      <w:bCs w:val="0"/>
                      <w:color w:val="auto"/>
                      <w:kern w:val="0"/>
                      <w:sz w:val="21"/>
                      <w:szCs w:val="21"/>
                      <w:vertAlign w:val="baseline"/>
                      <w:lang w:bidi="ar"/>
                    </w:rPr>
                    <w:t>电力、热力生产和供应业</w:t>
                  </w:r>
                  <w:r>
                    <w:rPr>
                      <w:rFonts w:hint="eastAsia"/>
                      <w:b w:val="0"/>
                      <w:bCs w:val="0"/>
                      <w:color w:val="auto"/>
                      <w:kern w:val="0"/>
                      <w:sz w:val="21"/>
                      <w:szCs w:val="21"/>
                      <w:vertAlign w:val="baseline"/>
                      <w:lang w:eastAsia="zh-CN" w:bidi="ar"/>
                    </w:rPr>
                    <w:t>（</w:t>
                  </w:r>
                  <w:r>
                    <w:rPr>
                      <w:rFonts w:hint="eastAsia"/>
                      <w:b w:val="0"/>
                      <w:bCs w:val="0"/>
                      <w:color w:val="auto"/>
                      <w:kern w:val="0"/>
                      <w:sz w:val="21"/>
                      <w:szCs w:val="21"/>
                      <w:vertAlign w:val="baseline"/>
                      <w:lang w:val="en-US" w:eastAsia="zh-CN" w:bidi="ar"/>
                    </w:rPr>
                    <w:t>44</w:t>
                  </w:r>
                  <w:r>
                    <w:rPr>
                      <w:rFonts w:hint="eastAsia"/>
                      <w:b w:val="0"/>
                      <w:bCs w:val="0"/>
                      <w:color w:val="auto"/>
                      <w:kern w:val="0"/>
                      <w:sz w:val="21"/>
                      <w:szCs w:val="21"/>
                      <w:vertAlign w:val="baseline"/>
                      <w:lang w:eastAsia="zh-CN" w:bidi="ar"/>
                    </w:rPr>
                    <w:t>）</w:t>
                  </w:r>
                </w:p>
              </w:tc>
              <w:tc>
                <w:tcPr>
                  <w:tcW w:w="1630" w:type="dxa"/>
                  <w:tcBorders>
                    <w:tl2br w:val="nil"/>
                    <w:tr2bl w:val="nil"/>
                  </w:tcBorders>
                  <w:vAlign w:val="center"/>
                </w:tcPr>
                <w:p w14:paraId="4585C223">
                  <w:pPr>
                    <w:widowControl/>
                    <w:adjustRightInd w:val="0"/>
                    <w:snapToGrid w:val="0"/>
                    <w:jc w:val="center"/>
                    <w:rPr>
                      <w:rFonts w:hint="eastAsia"/>
                      <w:b w:val="0"/>
                      <w:bCs w:val="0"/>
                      <w:color w:val="auto"/>
                      <w:kern w:val="0"/>
                      <w:vertAlign w:val="baseline"/>
                      <w:lang w:val="en-US" w:eastAsia="zh-CN" w:bidi="ar"/>
                    </w:rPr>
                  </w:pPr>
                  <w:r>
                    <w:rPr>
                      <w:rFonts w:hint="eastAsia"/>
                      <w:b w:val="0"/>
                      <w:bCs w:val="0"/>
                      <w:color w:val="auto"/>
                      <w:kern w:val="0"/>
                      <w:vertAlign w:val="baseline"/>
                      <w:lang w:val="en-US" w:eastAsia="zh-CN" w:bidi="ar"/>
                    </w:rPr>
                    <w:t>火力发电（4411）</w:t>
                  </w:r>
                </w:p>
              </w:tc>
              <w:tc>
                <w:tcPr>
                  <w:tcW w:w="1802" w:type="dxa"/>
                  <w:tcBorders>
                    <w:tl2br w:val="nil"/>
                    <w:tr2bl w:val="nil"/>
                  </w:tcBorders>
                  <w:vAlign w:val="center"/>
                </w:tcPr>
                <w:p w14:paraId="57995FB2">
                  <w:pPr>
                    <w:widowControl/>
                    <w:adjustRightInd w:val="0"/>
                    <w:snapToGrid w:val="0"/>
                    <w:jc w:val="center"/>
                    <w:rPr>
                      <w:rFonts w:hint="eastAsia"/>
                      <w:b w:val="0"/>
                      <w:bCs w:val="0"/>
                      <w:color w:val="auto"/>
                      <w:kern w:val="0"/>
                      <w:sz w:val="21"/>
                      <w:szCs w:val="21"/>
                      <w:vertAlign w:val="baseline"/>
                      <w:lang w:val="en-US" w:eastAsia="zh-CN" w:bidi="ar"/>
                    </w:rPr>
                  </w:pPr>
                  <w:r>
                    <w:rPr>
                      <w:rFonts w:hint="eastAsia"/>
                      <w:b w:val="0"/>
                      <w:bCs w:val="0"/>
                      <w:color w:val="auto"/>
                      <w:kern w:val="0"/>
                      <w:vertAlign w:val="baseline"/>
                      <w:lang w:val="en-US" w:eastAsia="zh-CN" w:bidi="ar"/>
                    </w:rPr>
                    <w:t>燃煤发电（包括煤矸石发电）</w:t>
                  </w:r>
                </w:p>
              </w:tc>
              <w:tc>
                <w:tcPr>
                  <w:tcW w:w="1802" w:type="dxa"/>
                  <w:tcBorders>
                    <w:tl2br w:val="nil"/>
                    <w:tr2bl w:val="nil"/>
                  </w:tcBorders>
                  <w:vAlign w:val="center"/>
                </w:tcPr>
                <w:p w14:paraId="5DE9C4A7">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w:t>
                  </w:r>
                </w:p>
              </w:tc>
              <w:tc>
                <w:tcPr>
                  <w:tcW w:w="1287" w:type="dxa"/>
                  <w:vMerge w:val="continue"/>
                  <w:tcBorders>
                    <w:tl2br w:val="nil"/>
                    <w:tr2bl w:val="nil"/>
                  </w:tcBorders>
                  <w:vAlign w:val="center"/>
                </w:tcPr>
                <w:p w14:paraId="766F6978">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4464C84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vMerge w:val="continue"/>
                  <w:tcBorders>
                    <w:tl2br w:val="nil"/>
                    <w:tr2bl w:val="nil"/>
                  </w:tcBorders>
                  <w:vAlign w:val="center"/>
                </w:tcPr>
                <w:p w14:paraId="3E2465FC">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c>
                <w:tcPr>
                  <w:tcW w:w="1630" w:type="dxa"/>
                  <w:tcBorders>
                    <w:tl2br w:val="nil"/>
                    <w:tr2bl w:val="nil"/>
                  </w:tcBorders>
                  <w:vAlign w:val="center"/>
                </w:tcPr>
                <w:p w14:paraId="34C83028">
                  <w:pPr>
                    <w:widowControl/>
                    <w:adjustRightInd w:val="0"/>
                    <w:snapToGrid w:val="0"/>
                    <w:jc w:val="center"/>
                    <w:rPr>
                      <w:rFonts w:hint="eastAsia"/>
                      <w:b w:val="0"/>
                      <w:bCs w:val="0"/>
                      <w:color w:val="auto"/>
                      <w:kern w:val="0"/>
                      <w:vertAlign w:val="baseline"/>
                      <w:lang w:val="en-US" w:eastAsia="zh-CN" w:bidi="ar"/>
                    </w:rPr>
                  </w:pPr>
                  <w:r>
                    <w:rPr>
                      <w:rFonts w:hint="eastAsia"/>
                      <w:b w:val="0"/>
                      <w:bCs w:val="0"/>
                      <w:color w:val="auto"/>
                      <w:kern w:val="0"/>
                      <w:vertAlign w:val="baseline"/>
                      <w:lang w:val="en-US" w:eastAsia="zh-CN" w:bidi="ar"/>
                    </w:rPr>
                    <w:t>热电联产（4412）</w:t>
                  </w:r>
                </w:p>
              </w:tc>
              <w:tc>
                <w:tcPr>
                  <w:tcW w:w="1802" w:type="dxa"/>
                  <w:tcBorders>
                    <w:tl2br w:val="nil"/>
                    <w:tr2bl w:val="nil"/>
                  </w:tcBorders>
                  <w:vAlign w:val="center"/>
                </w:tcPr>
                <w:p w14:paraId="62154FCB">
                  <w:pPr>
                    <w:widowControl/>
                    <w:adjustRightInd w:val="0"/>
                    <w:snapToGrid w:val="0"/>
                    <w:jc w:val="center"/>
                    <w:rPr>
                      <w:rFonts w:hint="eastAsia"/>
                      <w:b w:val="0"/>
                      <w:bCs w:val="0"/>
                      <w:color w:val="auto"/>
                      <w:kern w:val="0"/>
                      <w:sz w:val="21"/>
                      <w:szCs w:val="21"/>
                      <w:vertAlign w:val="baseline"/>
                      <w:lang w:val="en-US" w:eastAsia="zh-CN" w:bidi="ar"/>
                    </w:rPr>
                  </w:pPr>
                  <w:r>
                    <w:rPr>
                      <w:rFonts w:hint="eastAsia"/>
                      <w:b w:val="0"/>
                      <w:bCs w:val="0"/>
                      <w:color w:val="auto"/>
                      <w:kern w:val="0"/>
                      <w:vertAlign w:val="baseline"/>
                      <w:lang w:val="en-US" w:eastAsia="zh-CN" w:bidi="ar"/>
                    </w:rPr>
                    <w:t>燃煤热电联产</w:t>
                  </w:r>
                </w:p>
              </w:tc>
              <w:tc>
                <w:tcPr>
                  <w:tcW w:w="1802" w:type="dxa"/>
                  <w:tcBorders>
                    <w:tl2br w:val="nil"/>
                    <w:tr2bl w:val="nil"/>
                  </w:tcBorders>
                  <w:vAlign w:val="center"/>
                </w:tcPr>
                <w:p w14:paraId="0EE85601">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w:t>
                  </w:r>
                </w:p>
              </w:tc>
              <w:tc>
                <w:tcPr>
                  <w:tcW w:w="1287" w:type="dxa"/>
                  <w:vMerge w:val="continue"/>
                  <w:tcBorders>
                    <w:tl2br w:val="nil"/>
                    <w:tr2bl w:val="nil"/>
                  </w:tcBorders>
                  <w:vAlign w:val="center"/>
                </w:tcPr>
                <w:p w14:paraId="145CFA3E">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44747A1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630" w:type="dxa"/>
                  <w:tcBorders>
                    <w:tl2br w:val="nil"/>
                    <w:tr2bl w:val="nil"/>
                  </w:tcBorders>
                  <w:vAlign w:val="center"/>
                </w:tcPr>
                <w:p w14:paraId="44F25FB8">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r>
                    <w:rPr>
                      <w:rFonts w:hint="eastAsia"/>
                      <w:b w:val="0"/>
                      <w:bCs w:val="0"/>
                      <w:color w:val="auto"/>
                      <w:kern w:val="0"/>
                      <w:sz w:val="21"/>
                      <w:szCs w:val="21"/>
                      <w:vertAlign w:val="baseline"/>
                      <w:lang w:bidi="ar"/>
                    </w:rPr>
                    <w:t>软件和信息技术服务业（65）</w:t>
                  </w:r>
                </w:p>
              </w:tc>
              <w:tc>
                <w:tcPr>
                  <w:tcW w:w="1630" w:type="dxa"/>
                  <w:tcBorders>
                    <w:tl2br w:val="nil"/>
                    <w:tr2bl w:val="nil"/>
                  </w:tcBorders>
                  <w:vAlign w:val="center"/>
                </w:tcPr>
                <w:p w14:paraId="1BFD44E0">
                  <w:pPr>
                    <w:widowControl/>
                    <w:adjustRightInd w:val="0"/>
                    <w:snapToGrid w:val="0"/>
                    <w:jc w:val="center"/>
                    <w:rPr>
                      <w:rFonts w:hint="eastAsia"/>
                      <w:b w:val="0"/>
                      <w:bCs w:val="0"/>
                      <w:color w:val="auto"/>
                      <w:kern w:val="0"/>
                      <w:vertAlign w:val="baseline"/>
                      <w:lang w:val="en-US" w:eastAsia="zh-CN" w:bidi="ar"/>
                    </w:rPr>
                  </w:pPr>
                  <w:r>
                    <w:rPr>
                      <w:rFonts w:hint="eastAsia"/>
                      <w:b w:val="0"/>
                      <w:bCs w:val="0"/>
                      <w:color w:val="auto"/>
                      <w:kern w:val="0"/>
                      <w:vertAlign w:val="baseline"/>
                      <w:lang w:val="en-US" w:eastAsia="zh-CN" w:bidi="ar"/>
                    </w:rPr>
                    <w:t>信息处理和存储支持服务（6550）</w:t>
                  </w:r>
                </w:p>
              </w:tc>
              <w:tc>
                <w:tcPr>
                  <w:tcW w:w="1802" w:type="dxa"/>
                  <w:tcBorders>
                    <w:tl2br w:val="nil"/>
                    <w:tr2bl w:val="nil"/>
                  </w:tcBorders>
                  <w:vAlign w:val="center"/>
                </w:tcPr>
                <w:p w14:paraId="406CC148">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数据中心（含智算中心）</w:t>
                  </w:r>
                </w:p>
              </w:tc>
              <w:tc>
                <w:tcPr>
                  <w:tcW w:w="1802" w:type="dxa"/>
                  <w:tcBorders>
                    <w:tl2br w:val="nil"/>
                    <w:tr2bl w:val="nil"/>
                  </w:tcBorders>
                  <w:vAlign w:val="center"/>
                </w:tcPr>
                <w:p w14:paraId="5ADF795F">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w:t>
                  </w:r>
                </w:p>
              </w:tc>
              <w:tc>
                <w:tcPr>
                  <w:tcW w:w="1287" w:type="dxa"/>
                  <w:vMerge w:val="continue"/>
                  <w:tcBorders>
                    <w:tl2br w:val="nil"/>
                    <w:tr2bl w:val="nil"/>
                  </w:tcBorders>
                  <w:vAlign w:val="center"/>
                </w:tcPr>
                <w:p w14:paraId="3AA67607">
                  <w:pPr>
                    <w:pStyle w:val="2"/>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auto"/>
                      <w:kern w:val="0"/>
                      <w:sz w:val="21"/>
                      <w:szCs w:val="21"/>
                      <w:vertAlign w:val="baseline"/>
                      <w:lang w:bidi="ar"/>
                    </w:rPr>
                  </w:pPr>
                </w:p>
              </w:tc>
            </w:tr>
            <w:tr w14:paraId="24262AC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8151" w:type="dxa"/>
                  <w:gridSpan w:val="5"/>
                  <w:tcBorders>
                    <w:tl2br w:val="nil"/>
                    <w:tr2bl w:val="nil"/>
                  </w:tcBorders>
                  <w:vAlign w:val="center"/>
                </w:tcPr>
                <w:p w14:paraId="300DFBB2">
                  <w:pPr>
                    <w:pStyle w:val="2"/>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b w:val="0"/>
                      <w:bCs w:val="0"/>
                      <w:color w:val="auto"/>
                      <w:kern w:val="0"/>
                      <w:sz w:val="21"/>
                      <w:szCs w:val="21"/>
                      <w:vertAlign w:val="baseline"/>
                      <w:lang w:val="en-US" w:eastAsia="zh-CN" w:bidi="ar"/>
                    </w:rPr>
                  </w:pPr>
                  <w:r>
                    <w:rPr>
                      <w:rFonts w:hint="eastAsia"/>
                      <w:b w:val="0"/>
                      <w:bCs w:val="0"/>
                      <w:color w:val="auto"/>
                      <w:kern w:val="0"/>
                      <w:sz w:val="21"/>
                      <w:szCs w:val="21"/>
                      <w:vertAlign w:val="baseline"/>
                      <w:lang w:val="en-US" w:eastAsia="zh-CN" w:bidi="ar"/>
                    </w:rPr>
                    <w:t>备注：</w:t>
                  </w:r>
                </w:p>
                <w:p w14:paraId="1A85ABC3">
                  <w:pPr>
                    <w:keepNext w:val="0"/>
                    <w:keepLines w:val="0"/>
                    <w:pageBreakBefore w:val="0"/>
                    <w:numPr>
                      <w:ilvl w:val="0"/>
                      <w:numId w:val="0"/>
                    </w:numPr>
                    <w:kinsoku/>
                    <w:wordWrap/>
                    <w:overflowPunct/>
                    <w:topLinePunct w:val="0"/>
                    <w:autoSpaceDE/>
                    <w:autoSpaceDN/>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1.“两高”项目认定以主产品或相应行业小类的生产装置为准。新上“两高”项目能效要达到国际先进水平，用能设备要达到1级能效标准。</w:t>
                  </w:r>
                </w:p>
                <w:p w14:paraId="2EC0BD98">
                  <w:pPr>
                    <w:pStyle w:val="2"/>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both"/>
                    <w:textAlignment w:val="auto"/>
                    <w:outlineLvl w:val="0"/>
                    <w:rPr>
                      <w:rFonts w:hint="eastAsia"/>
                      <w:color w:val="auto"/>
                      <w:sz w:val="21"/>
                      <w:szCs w:val="21"/>
                      <w:lang w:val="en-US" w:eastAsia="zh-CN"/>
                    </w:rPr>
                  </w:pPr>
                  <w:r>
                    <w:rPr>
                      <w:rFonts w:hint="eastAsia"/>
                      <w:color w:val="auto"/>
                      <w:sz w:val="21"/>
                      <w:szCs w:val="21"/>
                      <w:lang w:val="en-US" w:eastAsia="zh-CN"/>
                    </w:rPr>
                    <w:t>2.上述“产品”注明产品（工艺）的，则仅涉及该产品（工艺）的项目为“两高”项目；“产品”注明“不包括”“除外”的，其所含能效水平、清洁生产水平达到国际先进国内领先的项目不按“两高”项目管理，其他项目均为“两高”项目；“装置”注明生产装置的，则相应行业小类中使用该生产装置的项目为“两高”项目。</w:t>
                  </w:r>
                </w:p>
                <w:p w14:paraId="1ABFC369">
                  <w:pPr>
                    <w:keepNext w:val="0"/>
                    <w:keepLines w:val="0"/>
                    <w:pageBreakBefore w:val="0"/>
                    <w:kinsoku/>
                    <w:wordWrap/>
                    <w:overflowPunct/>
                    <w:topLinePunct w:val="0"/>
                    <w:autoSpaceDE/>
                    <w:autoSpaceDN/>
                    <w:bidi w:val="0"/>
                    <w:adjustRightInd w:val="0"/>
                    <w:snapToGrid w:val="0"/>
                    <w:spacing w:line="240" w:lineRule="auto"/>
                    <w:textAlignment w:val="auto"/>
                    <w:rPr>
                      <w:rFonts w:hint="eastAsia"/>
                      <w:color w:val="auto"/>
                      <w:sz w:val="21"/>
                      <w:szCs w:val="21"/>
                      <w:lang w:val="en-US" w:eastAsia="zh-CN"/>
                    </w:rPr>
                  </w:pPr>
                  <w:r>
                    <w:rPr>
                      <w:rFonts w:hint="eastAsia"/>
                      <w:color w:val="auto"/>
                      <w:sz w:val="21"/>
                      <w:szCs w:val="21"/>
                      <w:lang w:val="en-US" w:eastAsia="zh-CN"/>
                    </w:rPr>
                    <w:t>3.纳入《产业结构调整指导目录（2024年本）》“鼓励类”且技术标准和相关条件符合《资源综合利用产品和劳务增值税优惠目录（2022年版）》指标要求的资源综合利用项目，不按“两高”项目管理；不新增产能和污染物排放的节能降碳、环保、节水、安全改造项目，不按“两高”项目管理。</w:t>
                  </w:r>
                </w:p>
                <w:p w14:paraId="114FDCC9">
                  <w:pPr>
                    <w:pStyle w:val="2"/>
                    <w:keepNext w:val="0"/>
                    <w:keepLines w:val="0"/>
                    <w:pageBreakBefore w:val="0"/>
                    <w:kinsoku/>
                    <w:wordWrap/>
                    <w:overflowPunct/>
                    <w:topLinePunct w:val="0"/>
                    <w:autoSpaceDE/>
                    <w:autoSpaceDN/>
                    <w:bidi w:val="0"/>
                    <w:adjustRightInd w:val="0"/>
                    <w:snapToGrid w:val="0"/>
                    <w:spacing w:line="240" w:lineRule="auto"/>
                    <w:textAlignment w:val="auto"/>
                    <w:rPr>
                      <w:rFonts w:hint="eastAsia"/>
                      <w:color w:val="auto"/>
                      <w:sz w:val="21"/>
                      <w:szCs w:val="21"/>
                      <w:lang w:val="en-US" w:eastAsia="zh-CN"/>
                    </w:rPr>
                  </w:pPr>
                  <w:r>
                    <w:rPr>
                      <w:rFonts w:hint="eastAsia"/>
                      <w:color w:val="auto"/>
                      <w:sz w:val="21"/>
                      <w:szCs w:val="21"/>
                      <w:lang w:val="en-US" w:eastAsia="zh-CN"/>
                    </w:rPr>
                    <w:t>4.行业代码为互联网数据服务（I6450）的数据中心（含智算中心）及相关以互联网技术为基础的大数据处理、云存储、云计算、云加工等服务项目，参照“两高”项目管理。</w:t>
                  </w:r>
                </w:p>
                <w:p w14:paraId="6A66664C">
                  <w:pPr>
                    <w:keepNext w:val="0"/>
                    <w:keepLines w:val="0"/>
                    <w:pageBreakBefore w:val="0"/>
                    <w:kinsoku/>
                    <w:wordWrap/>
                    <w:overflowPunct/>
                    <w:topLinePunct w:val="0"/>
                    <w:autoSpaceDE/>
                    <w:autoSpaceDN/>
                    <w:bidi w:val="0"/>
                    <w:adjustRightInd w:val="0"/>
                    <w:snapToGrid w:val="0"/>
                    <w:spacing w:line="240" w:lineRule="auto"/>
                    <w:textAlignment w:val="auto"/>
                    <w:rPr>
                      <w:rFonts w:hint="eastAsia"/>
                      <w:color w:val="auto"/>
                      <w:sz w:val="21"/>
                      <w:szCs w:val="21"/>
                      <w:lang w:val="en-US" w:eastAsia="zh-CN"/>
                    </w:rPr>
                  </w:pPr>
                  <w:r>
                    <w:rPr>
                      <w:rFonts w:hint="eastAsia"/>
                      <w:color w:val="auto"/>
                      <w:sz w:val="21"/>
                      <w:szCs w:val="21"/>
                      <w:lang w:val="en-US" w:eastAsia="zh-CN"/>
                    </w:rPr>
                    <w:t>5.截至本目录实施之日未批先建及未依法依规取得节能审查意见、环境影响评价批复等手续的项目仍需按“两高”项目要求落实。</w:t>
                  </w:r>
                </w:p>
                <w:p w14:paraId="27CE7F15">
                  <w:pPr>
                    <w:pStyle w:val="2"/>
                    <w:keepNext w:val="0"/>
                    <w:keepLines w:val="0"/>
                    <w:pageBreakBefore w:val="0"/>
                    <w:kinsoku/>
                    <w:wordWrap/>
                    <w:overflowPunct/>
                    <w:topLinePunct w:val="0"/>
                    <w:autoSpaceDE/>
                    <w:autoSpaceDN/>
                    <w:bidi w:val="0"/>
                    <w:adjustRightInd w:val="0"/>
                    <w:snapToGrid w:val="0"/>
                    <w:spacing w:line="240" w:lineRule="auto"/>
                    <w:textAlignment w:val="auto"/>
                    <w:rPr>
                      <w:rFonts w:hint="eastAsia"/>
                      <w:color w:val="auto"/>
                      <w:sz w:val="21"/>
                      <w:szCs w:val="21"/>
                      <w:lang w:val="en-US" w:eastAsia="zh-CN"/>
                    </w:rPr>
                  </w:pPr>
                  <w:r>
                    <w:rPr>
                      <w:rFonts w:hint="eastAsia"/>
                      <w:color w:val="auto"/>
                      <w:sz w:val="21"/>
                      <w:szCs w:val="21"/>
                      <w:lang w:val="en-US" w:eastAsia="zh-CN"/>
                    </w:rPr>
                    <w:t>6.年综合能源消费量5000吨标准煤及以上（当量值）的六大高耗能行业固定资产投资项目以及数据中心（含智算中心）节能审查由省发展改革委、省工业和信息化厅按分工负责。</w:t>
                  </w:r>
                </w:p>
                <w:p w14:paraId="340756E9">
                  <w:pPr>
                    <w:keepNext w:val="0"/>
                    <w:keepLines w:val="0"/>
                    <w:pageBreakBefore w:val="0"/>
                    <w:kinsoku/>
                    <w:wordWrap/>
                    <w:overflowPunct/>
                    <w:topLinePunct w:val="0"/>
                    <w:autoSpaceDE/>
                    <w:autoSpaceDN/>
                    <w:bidi w:val="0"/>
                    <w:adjustRightInd w:val="0"/>
                    <w:snapToGrid w:val="0"/>
                    <w:spacing w:line="240" w:lineRule="auto"/>
                    <w:textAlignment w:val="auto"/>
                    <w:rPr>
                      <w:rFonts w:hint="eastAsia"/>
                      <w:color w:val="auto"/>
                      <w:sz w:val="21"/>
                      <w:szCs w:val="21"/>
                      <w:lang w:val="en-US" w:eastAsia="zh-CN"/>
                    </w:rPr>
                  </w:pPr>
                  <w:r>
                    <w:rPr>
                      <w:rFonts w:hint="eastAsia"/>
                      <w:color w:val="auto"/>
                      <w:sz w:val="21"/>
                      <w:szCs w:val="21"/>
                      <w:lang w:val="en-US" w:eastAsia="zh-CN"/>
                    </w:rPr>
                    <w:t>7.本目录根据国家规定和我省实际动态调整更新，国家对“两高”项目产品（工艺）或装置有新规定的，从其规定。</w:t>
                  </w:r>
                </w:p>
                <w:p w14:paraId="37FA0818">
                  <w:pPr>
                    <w:pStyle w:val="2"/>
                    <w:keepNext w:val="0"/>
                    <w:keepLines w:val="0"/>
                    <w:pageBreakBefore w:val="0"/>
                    <w:kinsoku/>
                    <w:wordWrap/>
                    <w:overflowPunct/>
                    <w:topLinePunct w:val="0"/>
                    <w:autoSpaceDE/>
                    <w:autoSpaceDN/>
                    <w:bidi w:val="0"/>
                    <w:adjustRightInd w:val="0"/>
                    <w:snapToGrid w:val="0"/>
                    <w:spacing w:line="240" w:lineRule="auto"/>
                    <w:textAlignment w:val="auto"/>
                    <w:rPr>
                      <w:rFonts w:hint="eastAsia"/>
                      <w:color w:val="auto"/>
                      <w:lang w:val="en-US" w:eastAsia="zh-CN"/>
                    </w:rPr>
                  </w:pPr>
                  <w:r>
                    <w:rPr>
                      <w:rFonts w:hint="eastAsia"/>
                      <w:color w:val="auto"/>
                      <w:sz w:val="21"/>
                      <w:szCs w:val="21"/>
                      <w:lang w:val="en-US" w:eastAsia="zh-CN"/>
                    </w:rPr>
                    <w:t>8.本目录由省发展改革委会同省工业和信息化厅、省生态环境厅负责解释。</w:t>
                  </w:r>
                </w:p>
              </w:tc>
            </w:tr>
          </w:tbl>
          <w:p w14:paraId="5525871D">
            <w:pPr>
              <w:overflowPunct w:val="0"/>
              <w:adjustRightInd w:val="0"/>
              <w:snapToGrid w:val="0"/>
              <w:spacing w:line="360" w:lineRule="auto"/>
              <w:ind w:firstLine="422" w:firstLineChars="200"/>
              <w:rPr>
                <w:b/>
                <w:color w:val="auto"/>
              </w:rPr>
            </w:pPr>
            <w:r>
              <w:rPr>
                <w:rFonts w:hint="eastAsia"/>
                <w:b/>
                <w:color w:val="auto"/>
              </w:rPr>
              <w:t>2、“三线一单”符合性分析</w:t>
            </w:r>
          </w:p>
          <w:p w14:paraId="7607F6EA">
            <w:pPr>
              <w:overflowPunct w:val="0"/>
              <w:adjustRightInd w:val="0"/>
              <w:snapToGrid w:val="0"/>
              <w:spacing w:line="360" w:lineRule="auto"/>
              <w:ind w:firstLine="422" w:firstLineChars="200"/>
              <w:rPr>
                <w:b/>
                <w:color w:val="auto"/>
              </w:rPr>
            </w:pPr>
            <w:r>
              <w:rPr>
                <w:rFonts w:hint="eastAsia"/>
                <w:b/>
                <w:color w:val="auto"/>
              </w:rPr>
              <w:t>（1）“生态保护红线”符合性分析</w:t>
            </w:r>
          </w:p>
          <w:p w14:paraId="5650DCE4">
            <w:pPr>
              <w:pStyle w:val="2"/>
              <w:ind w:firstLine="420" w:firstLineChars="200"/>
              <w:rPr>
                <w:bCs/>
                <w:color w:val="auto"/>
                <w:sz w:val="21"/>
                <w:szCs w:val="21"/>
              </w:rPr>
            </w:pPr>
            <w:r>
              <w:rPr>
                <w:rFonts w:hint="eastAsia"/>
                <w:bCs/>
                <w:color w:val="auto"/>
                <w:sz w:val="21"/>
                <w:szCs w:val="21"/>
              </w:rPr>
              <w:t>根据《省政府关于印发江苏省生态空间管控区域规划的通知》（苏政发[2020]1号）和《江苏省国家级生态保护红线规划》（苏政发[2018]74号），对照江苏省生态空间保护区域分布图，项目建设区域与国家级生态保护红线范围及江苏省生态空间管控区域范围均无交集，不涉及金坛区内的生态红线区域，不会导致金坛区辖区内生态红线区域服务功能下降，故本项目的建设符合《江苏省生态空间管控区域规划》（苏政发[2020]1号）和《江苏省国家级生态保护红线规划》（苏政发[2018]74号）相关要求。</w:t>
            </w:r>
          </w:p>
          <w:p w14:paraId="2B0DC31D">
            <w:pPr>
              <w:pStyle w:val="2"/>
              <w:ind w:firstLine="422" w:firstLineChars="200"/>
              <w:rPr>
                <w:b/>
                <w:bCs/>
                <w:color w:val="auto"/>
                <w:sz w:val="21"/>
                <w:szCs w:val="21"/>
              </w:rPr>
            </w:pPr>
            <w:r>
              <w:rPr>
                <w:rFonts w:hint="eastAsia"/>
                <w:b/>
                <w:bCs/>
                <w:color w:val="auto"/>
                <w:sz w:val="21"/>
                <w:szCs w:val="21"/>
              </w:rPr>
              <w:t>（2）“环境质量底线”符合性分析</w:t>
            </w:r>
          </w:p>
          <w:p w14:paraId="5461479E">
            <w:pPr>
              <w:adjustRightInd w:val="0"/>
              <w:snapToGrid w:val="0"/>
              <w:spacing w:line="360" w:lineRule="auto"/>
              <w:ind w:firstLine="420" w:firstLineChars="200"/>
              <w:rPr>
                <w:color w:val="auto"/>
                <w:kern w:val="0"/>
              </w:rPr>
            </w:pPr>
            <w:r>
              <w:rPr>
                <w:color w:val="auto"/>
                <w:kern w:val="0"/>
              </w:rPr>
              <w:t>环境空气：根据《202</w:t>
            </w:r>
            <w:r>
              <w:rPr>
                <w:rFonts w:hint="eastAsia"/>
                <w:color w:val="auto"/>
                <w:kern w:val="0"/>
                <w:lang w:val="en-US" w:eastAsia="zh-CN"/>
              </w:rPr>
              <w:t>4</w:t>
            </w:r>
            <w:r>
              <w:rPr>
                <w:color w:val="auto"/>
                <w:kern w:val="0"/>
              </w:rPr>
              <w:t>年常州市生态环境状况公报》，202</w:t>
            </w:r>
            <w:r>
              <w:rPr>
                <w:rFonts w:hint="eastAsia"/>
                <w:color w:val="auto"/>
                <w:kern w:val="0"/>
                <w:lang w:val="en-US" w:eastAsia="zh-CN"/>
              </w:rPr>
              <w:t>4</w:t>
            </w:r>
            <w:r>
              <w:rPr>
                <w:color w:val="auto"/>
                <w:kern w:val="0"/>
                <w:lang w:val="zh-TW"/>
              </w:rPr>
              <w:t>年，全市空气质量优良天数2</w:t>
            </w:r>
            <w:r>
              <w:rPr>
                <w:rFonts w:hint="eastAsia"/>
                <w:color w:val="auto"/>
                <w:kern w:val="0"/>
                <w:lang w:val="en-US" w:eastAsia="zh-CN"/>
              </w:rPr>
              <w:t>93</w:t>
            </w:r>
            <w:r>
              <w:rPr>
                <w:color w:val="auto"/>
                <w:kern w:val="0"/>
                <w:lang w:val="zh-TW"/>
              </w:rPr>
              <w:t>天</w:t>
            </w:r>
            <w:r>
              <w:rPr>
                <w:rFonts w:hint="eastAsia"/>
                <w:color w:val="auto"/>
                <w:kern w:val="0"/>
                <w:lang w:val="zh-TW"/>
              </w:rPr>
              <w:t>，</w:t>
            </w:r>
            <w:r>
              <w:rPr>
                <w:color w:val="auto"/>
                <w:kern w:val="0"/>
                <w:lang w:val="zh-TW"/>
              </w:rPr>
              <w:t>优良率</w:t>
            </w:r>
            <w:r>
              <w:rPr>
                <w:rFonts w:hint="eastAsia"/>
                <w:color w:val="auto"/>
                <w:kern w:val="0"/>
                <w:lang w:val="en-US" w:eastAsia="zh-CN"/>
              </w:rPr>
              <w:t>80.1</w:t>
            </w:r>
            <w:r>
              <w:rPr>
                <w:color w:val="auto"/>
                <w:kern w:val="0"/>
                <w:lang w:val="zh-TW"/>
              </w:rPr>
              <w:t>%</w:t>
            </w:r>
            <w:r>
              <w:rPr>
                <w:rFonts w:hint="eastAsia"/>
                <w:color w:val="auto"/>
                <w:kern w:val="0"/>
                <w:lang w:val="zh-TW"/>
              </w:rPr>
              <w:t>；</w:t>
            </w:r>
            <w:r>
              <w:rPr>
                <w:color w:val="auto"/>
                <w:kern w:val="0"/>
                <w:lang w:val="zh-TW"/>
              </w:rPr>
              <w:t>其中市区空气质量优良天数2</w:t>
            </w:r>
            <w:r>
              <w:rPr>
                <w:rFonts w:hint="eastAsia"/>
                <w:color w:val="auto"/>
                <w:kern w:val="0"/>
                <w:lang w:val="en-US" w:eastAsia="zh-CN"/>
              </w:rPr>
              <w:t>92</w:t>
            </w:r>
            <w:r>
              <w:rPr>
                <w:color w:val="auto"/>
                <w:kern w:val="0"/>
                <w:lang w:val="zh-TW"/>
              </w:rPr>
              <w:t>天</w:t>
            </w:r>
            <w:r>
              <w:rPr>
                <w:rFonts w:hint="eastAsia"/>
                <w:color w:val="auto"/>
                <w:kern w:val="0"/>
                <w:lang w:val="zh-TW"/>
              </w:rPr>
              <w:t>，</w:t>
            </w:r>
            <w:r>
              <w:rPr>
                <w:color w:val="auto"/>
                <w:kern w:val="0"/>
                <w:lang w:val="zh-TW"/>
              </w:rPr>
              <w:t>同比增加</w:t>
            </w:r>
            <w:r>
              <w:rPr>
                <w:rFonts w:hint="eastAsia"/>
                <w:color w:val="auto"/>
                <w:kern w:val="0"/>
                <w:lang w:val="en-US" w:eastAsia="zh-CN"/>
              </w:rPr>
              <w:t>9</w:t>
            </w:r>
            <w:r>
              <w:rPr>
                <w:color w:val="auto"/>
                <w:kern w:val="0"/>
                <w:lang w:val="zh-TW"/>
              </w:rPr>
              <w:t>天</w:t>
            </w:r>
            <w:r>
              <w:rPr>
                <w:rFonts w:hint="eastAsia"/>
                <w:color w:val="auto"/>
                <w:kern w:val="0"/>
                <w:lang w:val="zh-TW"/>
              </w:rPr>
              <w:t>，</w:t>
            </w:r>
            <w:r>
              <w:rPr>
                <w:color w:val="auto"/>
                <w:kern w:val="0"/>
                <w:lang w:val="zh-TW"/>
              </w:rPr>
              <w:t>优良率为7</w:t>
            </w:r>
            <w:r>
              <w:rPr>
                <w:rFonts w:hint="eastAsia"/>
                <w:color w:val="auto"/>
                <w:kern w:val="0"/>
                <w:lang w:val="en-US" w:eastAsia="zh-CN"/>
              </w:rPr>
              <w:t>9.8</w:t>
            </w:r>
            <w:r>
              <w:rPr>
                <w:color w:val="auto"/>
                <w:kern w:val="0"/>
                <w:lang w:val="zh-TW"/>
              </w:rPr>
              <w:t>%</w:t>
            </w:r>
            <w:r>
              <w:rPr>
                <w:rFonts w:hint="eastAsia"/>
                <w:color w:val="auto"/>
                <w:kern w:val="0"/>
                <w:lang w:val="zh-TW"/>
              </w:rPr>
              <w:t>，</w:t>
            </w:r>
            <w:r>
              <w:rPr>
                <w:color w:val="auto"/>
                <w:kern w:val="0"/>
                <w:lang w:val="zh-TW"/>
              </w:rPr>
              <w:t>同比</w:t>
            </w:r>
            <w:r>
              <w:rPr>
                <w:rFonts w:hint="eastAsia"/>
                <w:color w:val="auto"/>
                <w:kern w:val="0"/>
                <w:lang w:val="en-US" w:eastAsia="zh-CN"/>
              </w:rPr>
              <w:t>改善</w:t>
            </w:r>
            <w:r>
              <w:rPr>
                <w:color w:val="auto"/>
                <w:kern w:val="0"/>
                <w:lang w:val="zh-TW"/>
              </w:rPr>
              <w:t>2.</w:t>
            </w:r>
            <w:r>
              <w:rPr>
                <w:rFonts w:hint="eastAsia"/>
                <w:color w:val="auto"/>
                <w:kern w:val="0"/>
                <w:lang w:val="en-US" w:eastAsia="zh-CN"/>
              </w:rPr>
              <w:t>3</w:t>
            </w:r>
            <w:r>
              <w:rPr>
                <w:color w:val="auto"/>
                <w:kern w:val="0"/>
                <w:lang w:val="zh-TW"/>
              </w:rPr>
              <w:t>个百分点。全市环境空气中细颗粒物</w:t>
            </w:r>
            <w:r>
              <w:rPr>
                <w:rFonts w:hint="eastAsia"/>
                <w:color w:val="auto"/>
                <w:kern w:val="0"/>
                <w:lang w:val="zh-TW"/>
              </w:rPr>
              <w:t>（</w:t>
            </w:r>
            <w:r>
              <w:rPr>
                <w:color w:val="auto"/>
                <w:kern w:val="0"/>
                <w:lang w:val="zh-TW"/>
              </w:rPr>
              <w:t>PM</w:t>
            </w:r>
            <w:r>
              <w:rPr>
                <w:rFonts w:hint="eastAsia"/>
                <w:color w:val="auto"/>
                <w:kern w:val="0"/>
                <w:vertAlign w:val="subscript"/>
              </w:rPr>
              <w:t>2.5</w:t>
            </w:r>
            <w:r>
              <w:rPr>
                <w:rFonts w:hint="eastAsia"/>
                <w:color w:val="auto"/>
                <w:kern w:val="0"/>
                <w:lang w:val="zh-TW"/>
              </w:rPr>
              <w:t>）</w:t>
            </w:r>
            <w:r>
              <w:rPr>
                <w:color w:val="auto"/>
                <w:kern w:val="0"/>
                <w:lang w:val="zh-TW"/>
              </w:rPr>
              <w:t>、可吸入颗粒物</w:t>
            </w:r>
            <w:r>
              <w:rPr>
                <w:rFonts w:hint="eastAsia"/>
                <w:color w:val="auto"/>
                <w:kern w:val="0"/>
                <w:lang w:val="zh-TW"/>
              </w:rPr>
              <w:t>（</w:t>
            </w:r>
            <w:r>
              <w:rPr>
                <w:color w:val="auto"/>
                <w:kern w:val="0"/>
                <w:lang w:val="zh-TW"/>
              </w:rPr>
              <w:t>PM</w:t>
            </w:r>
            <w:r>
              <w:rPr>
                <w:rFonts w:hint="eastAsia"/>
                <w:color w:val="auto"/>
                <w:kern w:val="0"/>
                <w:vertAlign w:val="subscript"/>
              </w:rPr>
              <w:t>10</w:t>
            </w:r>
            <w:r>
              <w:rPr>
                <w:rFonts w:hint="eastAsia"/>
                <w:color w:val="auto"/>
                <w:kern w:val="0"/>
                <w:lang w:val="zh-TW"/>
              </w:rPr>
              <w:t>）</w:t>
            </w:r>
            <w:r>
              <w:rPr>
                <w:color w:val="auto"/>
                <w:kern w:val="0"/>
                <w:lang w:val="zh-TW"/>
              </w:rPr>
              <w:t>、二氧化硫</w:t>
            </w:r>
            <w:r>
              <w:rPr>
                <w:rFonts w:hint="eastAsia"/>
                <w:color w:val="auto"/>
                <w:kern w:val="0"/>
                <w:lang w:val="zh-TW"/>
              </w:rPr>
              <w:t>（</w:t>
            </w:r>
            <w:r>
              <w:rPr>
                <w:color w:val="auto"/>
                <w:kern w:val="0"/>
                <w:lang w:val="zh-TW"/>
              </w:rPr>
              <w:t>SO</w:t>
            </w:r>
            <w:r>
              <w:rPr>
                <w:rFonts w:hint="eastAsia"/>
                <w:color w:val="auto"/>
                <w:kern w:val="0"/>
                <w:vertAlign w:val="subscript"/>
              </w:rPr>
              <w:t>2</w:t>
            </w:r>
            <w:r>
              <w:rPr>
                <w:rFonts w:hint="eastAsia"/>
                <w:color w:val="auto"/>
                <w:kern w:val="0"/>
                <w:lang w:val="zh-TW"/>
              </w:rPr>
              <w:t>）</w:t>
            </w:r>
            <w:r>
              <w:rPr>
                <w:color w:val="auto"/>
                <w:kern w:val="0"/>
                <w:lang w:val="zh-TW"/>
              </w:rPr>
              <w:t>、二氧化氮</w:t>
            </w:r>
            <w:r>
              <w:rPr>
                <w:rFonts w:hint="eastAsia"/>
                <w:color w:val="auto"/>
                <w:kern w:val="0"/>
                <w:lang w:val="zh-TW"/>
              </w:rPr>
              <w:t>（</w:t>
            </w:r>
            <w:r>
              <w:rPr>
                <w:color w:val="auto"/>
                <w:kern w:val="0"/>
                <w:lang w:val="zh-TW"/>
              </w:rPr>
              <w:t>NO</w:t>
            </w:r>
            <w:r>
              <w:rPr>
                <w:rFonts w:hint="eastAsia"/>
                <w:color w:val="auto"/>
                <w:kern w:val="0"/>
                <w:vertAlign w:val="subscript"/>
              </w:rPr>
              <w:t>2</w:t>
            </w:r>
            <w:r>
              <w:rPr>
                <w:rFonts w:hint="eastAsia"/>
                <w:color w:val="auto"/>
                <w:kern w:val="0"/>
                <w:lang w:val="zh-TW"/>
              </w:rPr>
              <w:t>）</w:t>
            </w:r>
            <w:r>
              <w:rPr>
                <w:color w:val="auto"/>
                <w:kern w:val="0"/>
                <w:lang w:val="zh-TW"/>
              </w:rPr>
              <w:t>年均浓度分别为</w:t>
            </w:r>
            <w:r>
              <w:rPr>
                <w:rFonts w:hint="eastAsia"/>
                <w:color w:val="auto"/>
                <w:kern w:val="0"/>
                <w:lang w:val="en-US" w:eastAsia="zh-CN"/>
              </w:rPr>
              <w:t>32</w:t>
            </w:r>
            <w:r>
              <w:rPr>
                <w:color w:val="auto"/>
                <w:kern w:val="0"/>
                <w:lang w:val="zh-TW"/>
              </w:rPr>
              <w:t>微克/立方米、5</w:t>
            </w:r>
            <w:r>
              <w:rPr>
                <w:rFonts w:hint="eastAsia"/>
                <w:color w:val="auto"/>
                <w:kern w:val="0"/>
                <w:lang w:val="en-US" w:eastAsia="zh-CN"/>
              </w:rPr>
              <w:t>2</w:t>
            </w:r>
            <w:r>
              <w:rPr>
                <w:color w:val="auto"/>
                <w:kern w:val="0"/>
                <w:lang w:val="zh-TW"/>
              </w:rPr>
              <w:t>微克/立方米、8微克/立方米、</w:t>
            </w:r>
            <w:r>
              <w:rPr>
                <w:rFonts w:hint="eastAsia"/>
                <w:color w:val="auto"/>
                <w:kern w:val="0"/>
                <w:lang w:val="en-US" w:eastAsia="zh-CN"/>
              </w:rPr>
              <w:t>26</w:t>
            </w:r>
            <w:r>
              <w:rPr>
                <w:color w:val="auto"/>
                <w:kern w:val="0"/>
                <w:lang w:val="zh-TW"/>
              </w:rPr>
              <w:t>微克/立方米</w:t>
            </w:r>
            <w:r>
              <w:rPr>
                <w:rFonts w:hint="eastAsia"/>
                <w:color w:val="auto"/>
                <w:kern w:val="0"/>
                <w:lang w:val="zh-TW"/>
              </w:rPr>
              <w:t>；</w:t>
            </w:r>
            <w:r>
              <w:rPr>
                <w:color w:val="auto"/>
                <w:kern w:val="0"/>
                <w:lang w:val="zh-TW"/>
              </w:rPr>
              <w:t>一氧化碳</w:t>
            </w:r>
            <w:r>
              <w:rPr>
                <w:rFonts w:hint="eastAsia"/>
                <w:color w:val="auto"/>
                <w:kern w:val="0"/>
                <w:lang w:val="zh-TW"/>
              </w:rPr>
              <w:t>（</w:t>
            </w:r>
            <w:r>
              <w:rPr>
                <w:color w:val="auto"/>
                <w:kern w:val="0"/>
                <w:lang w:val="zh-TW"/>
              </w:rPr>
              <w:t>CO</w:t>
            </w:r>
            <w:r>
              <w:rPr>
                <w:rFonts w:hint="eastAsia"/>
                <w:color w:val="auto"/>
                <w:kern w:val="0"/>
                <w:lang w:val="zh-TW"/>
              </w:rPr>
              <w:t>）</w:t>
            </w:r>
            <w:r>
              <w:rPr>
                <w:color w:val="auto"/>
                <w:kern w:val="0"/>
                <w:lang w:val="zh-TW"/>
              </w:rPr>
              <w:t>和臭氧</w:t>
            </w:r>
            <w:r>
              <w:rPr>
                <w:rFonts w:hint="eastAsia"/>
                <w:color w:val="auto"/>
                <w:kern w:val="0"/>
                <w:lang w:val="zh-TW"/>
              </w:rPr>
              <w:t>（</w:t>
            </w:r>
            <w:r>
              <w:rPr>
                <w:rFonts w:hint="eastAsia"/>
                <w:color w:val="auto"/>
                <w:kern w:val="0"/>
              </w:rPr>
              <w:t>O</w:t>
            </w:r>
            <w:r>
              <w:rPr>
                <w:rFonts w:hint="eastAsia"/>
                <w:color w:val="auto"/>
                <w:kern w:val="0"/>
                <w:vertAlign w:val="subscript"/>
              </w:rPr>
              <w:t>3</w:t>
            </w:r>
            <w:r>
              <w:rPr>
                <w:rFonts w:hint="eastAsia"/>
                <w:color w:val="auto"/>
                <w:kern w:val="0"/>
                <w:lang w:val="zh-TW"/>
              </w:rPr>
              <w:t>）</w:t>
            </w:r>
            <w:r>
              <w:rPr>
                <w:color w:val="auto"/>
                <w:kern w:val="0"/>
                <w:lang w:val="zh-TW"/>
              </w:rPr>
              <w:t>浓度分别为1.1毫克/立方米和1</w:t>
            </w:r>
            <w:r>
              <w:rPr>
                <w:rFonts w:hint="eastAsia"/>
                <w:color w:val="auto"/>
                <w:kern w:val="0"/>
                <w:lang w:val="en-US" w:eastAsia="zh-CN"/>
              </w:rPr>
              <w:t>68</w:t>
            </w:r>
            <w:r>
              <w:rPr>
                <w:color w:val="auto"/>
                <w:kern w:val="0"/>
                <w:lang w:val="zh-TW"/>
              </w:rPr>
              <w:t>微克/立方米。与202</w:t>
            </w:r>
            <w:r>
              <w:rPr>
                <w:rFonts w:hint="eastAsia"/>
                <w:color w:val="auto"/>
                <w:kern w:val="0"/>
                <w:lang w:val="en-US" w:eastAsia="zh-CN"/>
              </w:rPr>
              <w:t>3</w:t>
            </w:r>
            <w:r>
              <w:rPr>
                <w:color w:val="auto"/>
                <w:kern w:val="0"/>
                <w:lang w:val="zh-TW"/>
              </w:rPr>
              <w:t>年相比</w:t>
            </w:r>
            <w:r>
              <w:rPr>
                <w:rFonts w:hint="eastAsia"/>
                <w:color w:val="auto"/>
                <w:kern w:val="0"/>
                <w:lang w:val="zh-TW"/>
              </w:rPr>
              <w:t>，</w:t>
            </w:r>
            <w:r>
              <w:rPr>
                <w:color w:val="auto"/>
                <w:kern w:val="0"/>
                <w:lang w:val="zh-TW"/>
              </w:rPr>
              <w:t>PM</w:t>
            </w:r>
            <w:r>
              <w:rPr>
                <w:rFonts w:hint="eastAsia"/>
                <w:color w:val="auto"/>
                <w:kern w:val="0"/>
                <w:vertAlign w:val="subscript"/>
              </w:rPr>
              <w:t>2.5</w:t>
            </w:r>
            <w:r>
              <w:rPr>
                <w:rFonts w:hint="eastAsia"/>
                <w:color w:val="auto"/>
                <w:kern w:val="0"/>
              </w:rPr>
              <w:t>、</w:t>
            </w:r>
            <w:r>
              <w:rPr>
                <w:color w:val="auto"/>
                <w:kern w:val="0"/>
                <w:lang w:val="zh-TW"/>
              </w:rPr>
              <w:t>PM</w:t>
            </w:r>
            <w:r>
              <w:rPr>
                <w:rFonts w:hint="eastAsia"/>
                <w:color w:val="auto"/>
                <w:kern w:val="0"/>
                <w:vertAlign w:val="subscript"/>
              </w:rPr>
              <w:t>10</w:t>
            </w:r>
            <w:r>
              <w:rPr>
                <w:rFonts w:hint="eastAsia"/>
                <w:color w:val="auto"/>
                <w:kern w:val="0"/>
              </w:rPr>
              <w:t>、</w:t>
            </w:r>
            <w:r>
              <w:rPr>
                <w:color w:val="auto"/>
                <w:kern w:val="0"/>
                <w:lang w:val="zh-TW"/>
              </w:rPr>
              <w:t>NO</w:t>
            </w:r>
            <w:r>
              <w:rPr>
                <w:rFonts w:hint="eastAsia"/>
                <w:color w:val="auto"/>
                <w:kern w:val="0"/>
                <w:vertAlign w:val="subscript"/>
              </w:rPr>
              <w:t>2</w:t>
            </w:r>
            <w:r>
              <w:rPr>
                <w:color w:val="auto"/>
                <w:kern w:val="0"/>
                <w:lang w:val="zh-TW"/>
              </w:rPr>
              <w:t>和</w:t>
            </w:r>
            <w:r>
              <w:rPr>
                <w:rFonts w:hint="eastAsia"/>
                <w:color w:val="auto"/>
                <w:kern w:val="0"/>
              </w:rPr>
              <w:t>O</w:t>
            </w:r>
            <w:r>
              <w:rPr>
                <w:rFonts w:hint="eastAsia"/>
                <w:color w:val="auto"/>
                <w:kern w:val="0"/>
                <w:vertAlign w:val="subscript"/>
              </w:rPr>
              <w:t>3</w:t>
            </w:r>
            <w:r>
              <w:rPr>
                <w:color w:val="auto"/>
                <w:kern w:val="0"/>
                <w:lang w:val="zh-TW"/>
              </w:rPr>
              <w:t>浓度分别</w:t>
            </w:r>
            <w:r>
              <w:rPr>
                <w:rFonts w:hint="eastAsia"/>
                <w:color w:val="auto"/>
                <w:kern w:val="0"/>
                <w:lang w:val="en-US" w:eastAsia="zh-CN"/>
              </w:rPr>
              <w:t>下降5.9</w:t>
            </w:r>
            <w:r>
              <w:rPr>
                <w:color w:val="auto"/>
                <w:kern w:val="0"/>
                <w:lang w:val="zh-TW"/>
              </w:rPr>
              <w:t>%、</w:t>
            </w:r>
            <w:r>
              <w:rPr>
                <w:rFonts w:hint="eastAsia"/>
                <w:color w:val="auto"/>
                <w:kern w:val="0"/>
                <w:lang w:val="en-US" w:eastAsia="zh-CN"/>
              </w:rPr>
              <w:t>8.8</w:t>
            </w:r>
            <w:r>
              <w:rPr>
                <w:color w:val="auto"/>
                <w:kern w:val="0"/>
                <w:lang w:val="zh-TW"/>
              </w:rPr>
              <w:t>%、</w:t>
            </w:r>
            <w:r>
              <w:rPr>
                <w:rFonts w:hint="eastAsia"/>
                <w:color w:val="auto"/>
                <w:kern w:val="0"/>
                <w:lang w:val="en-US" w:eastAsia="zh-CN"/>
              </w:rPr>
              <w:t>13.3</w:t>
            </w:r>
            <w:r>
              <w:rPr>
                <w:color w:val="auto"/>
                <w:kern w:val="0"/>
                <w:lang w:val="zh-TW"/>
              </w:rPr>
              <w:t>%、</w:t>
            </w:r>
            <w:r>
              <w:rPr>
                <w:rFonts w:hint="eastAsia"/>
                <w:color w:val="auto"/>
                <w:kern w:val="0"/>
                <w:lang w:val="en-US" w:eastAsia="zh-CN"/>
              </w:rPr>
              <w:t>3.4</w:t>
            </w:r>
            <w:r>
              <w:rPr>
                <w:color w:val="auto"/>
                <w:kern w:val="0"/>
                <w:lang w:val="zh-TW"/>
              </w:rPr>
              <w:t>%</w:t>
            </w:r>
            <w:r>
              <w:rPr>
                <w:rFonts w:hint="eastAsia"/>
                <w:color w:val="auto"/>
                <w:kern w:val="0"/>
                <w:lang w:val="zh-TW"/>
              </w:rPr>
              <w:t>，</w:t>
            </w:r>
            <w:r>
              <w:rPr>
                <w:color w:val="auto"/>
                <w:kern w:val="0"/>
                <w:lang w:val="zh-TW"/>
              </w:rPr>
              <w:t>SO</w:t>
            </w:r>
            <w:r>
              <w:rPr>
                <w:rFonts w:hint="eastAsia"/>
                <w:color w:val="auto"/>
                <w:kern w:val="0"/>
                <w:vertAlign w:val="subscript"/>
              </w:rPr>
              <w:t>2</w:t>
            </w:r>
            <w:r>
              <w:rPr>
                <w:rFonts w:hint="eastAsia"/>
                <w:color w:val="auto"/>
                <w:kern w:val="0"/>
                <w:vertAlign w:val="baseline"/>
                <w:lang w:val="en-US" w:eastAsia="zh-CN"/>
              </w:rPr>
              <w:t>和CO浓度同比持平</w:t>
            </w:r>
            <w:r>
              <w:rPr>
                <w:color w:val="auto"/>
                <w:kern w:val="0"/>
                <w:lang w:val="zh-TW"/>
              </w:rPr>
              <w:t>。</w:t>
            </w:r>
            <w:r>
              <w:rPr>
                <w:color w:val="auto"/>
                <w:kern w:val="0"/>
              </w:rPr>
              <w:t>项目所在区域202</w:t>
            </w:r>
            <w:r>
              <w:rPr>
                <w:rFonts w:hint="eastAsia"/>
                <w:color w:val="auto"/>
                <w:kern w:val="0"/>
                <w:lang w:val="en-US" w:eastAsia="zh-CN"/>
              </w:rPr>
              <w:t>4</w:t>
            </w:r>
            <w:r>
              <w:rPr>
                <w:color w:val="auto"/>
                <w:kern w:val="0"/>
              </w:rPr>
              <w:t>年环境空气质量不达标。</w:t>
            </w:r>
          </w:p>
          <w:p w14:paraId="1B33264F">
            <w:pPr>
              <w:spacing w:line="360" w:lineRule="auto"/>
              <w:ind w:firstLine="420" w:firstLineChars="200"/>
              <w:rPr>
                <w:rFonts w:hint="default" w:ascii="Times New Roman" w:hAnsi="Times New Roman" w:eastAsia="宋体" w:cs="Times New Roman"/>
                <w:b w:val="0"/>
                <w:bCs w:val="0"/>
                <w:color w:val="auto"/>
                <w:kern w:val="0"/>
                <w:sz w:val="21"/>
                <w:szCs w:val="21"/>
              </w:rPr>
            </w:pPr>
            <w:r>
              <w:rPr>
                <w:rFonts w:hint="eastAsia" w:cs="Times New Roman"/>
                <w:b w:val="0"/>
                <w:bCs w:val="0"/>
                <w:color w:val="auto"/>
                <w:sz w:val="21"/>
                <w:szCs w:val="21"/>
                <w:lang w:val="en-US" w:eastAsia="zh-CN"/>
              </w:rPr>
              <w:t>本</w:t>
            </w:r>
            <w:r>
              <w:rPr>
                <w:rFonts w:hint="default" w:ascii="Times New Roman" w:hAnsi="Times New Roman" w:eastAsia="宋体" w:cs="Times New Roman"/>
                <w:b w:val="0"/>
                <w:bCs w:val="0"/>
                <w:color w:val="auto"/>
                <w:sz w:val="21"/>
                <w:szCs w:val="21"/>
              </w:rPr>
              <w:t>项目</w:t>
            </w:r>
            <w:r>
              <w:rPr>
                <w:rFonts w:hint="eastAsia" w:cs="Times New Roman"/>
                <w:b w:val="0"/>
                <w:bCs w:val="0"/>
                <w:color w:val="auto"/>
                <w:sz w:val="21"/>
                <w:szCs w:val="21"/>
                <w:lang w:val="en-US" w:eastAsia="zh-CN"/>
              </w:rPr>
              <w:t>主要</w:t>
            </w:r>
            <w:r>
              <w:rPr>
                <w:rFonts w:hint="default" w:ascii="Times New Roman" w:hAnsi="Times New Roman" w:eastAsia="宋体" w:cs="Times New Roman"/>
                <w:b w:val="0"/>
                <w:bCs w:val="0"/>
                <w:color w:val="auto"/>
                <w:sz w:val="21"/>
                <w:szCs w:val="21"/>
              </w:rPr>
              <w:t>大气</w:t>
            </w:r>
            <w:r>
              <w:rPr>
                <w:rFonts w:hint="eastAsia" w:cs="Times New Roman"/>
                <w:b w:val="0"/>
                <w:bCs w:val="0"/>
                <w:color w:val="auto"/>
                <w:sz w:val="21"/>
                <w:szCs w:val="21"/>
                <w:lang w:val="en-US" w:eastAsia="zh-CN"/>
              </w:rPr>
              <w:t>特征污染物</w:t>
            </w:r>
            <w:r>
              <w:rPr>
                <w:rFonts w:hint="default" w:ascii="Times New Roman" w:hAnsi="Times New Roman" w:eastAsia="宋体" w:cs="Times New Roman"/>
                <w:b w:val="0"/>
                <w:bCs w:val="0"/>
                <w:color w:val="auto"/>
                <w:sz w:val="21"/>
                <w:szCs w:val="21"/>
              </w:rPr>
              <w:t>为非甲烷总烃</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根据江苏云居检测技术有限公司</w:t>
            </w:r>
            <w:r>
              <w:rPr>
                <w:rFonts w:hint="eastAsia" w:cs="Times New Roman"/>
                <w:b w:val="0"/>
                <w:bCs w:val="0"/>
                <w:color w:val="auto"/>
                <w:sz w:val="21"/>
                <w:szCs w:val="21"/>
                <w:lang w:val="en-US" w:eastAsia="zh-CN"/>
              </w:rPr>
              <w:t>提供的大气监测报告（YJH25091005），项目周边非甲烷总烃监测浓度范围为0.73~0.9mg/m</w:t>
            </w:r>
            <w:r>
              <w:rPr>
                <w:rFonts w:hint="eastAsia" w:cs="Times New Roman"/>
                <w:b w:val="0"/>
                <w:bCs w:val="0"/>
                <w:color w:val="auto"/>
                <w:sz w:val="21"/>
                <w:szCs w:val="21"/>
                <w:vertAlign w:val="superscript"/>
                <w:lang w:val="en-US" w:eastAsia="zh-CN"/>
              </w:rPr>
              <w:t>3</w:t>
            </w:r>
            <w:r>
              <w:rPr>
                <w:rFonts w:hint="eastAsia" w:cs="Times New Roman"/>
                <w:b w:val="0"/>
                <w:bCs w:val="0"/>
                <w:color w:val="auto"/>
                <w:sz w:val="21"/>
                <w:szCs w:val="21"/>
                <w:lang w:val="en-US" w:eastAsia="zh-CN"/>
              </w:rPr>
              <w:t>，</w:t>
            </w:r>
            <w:r>
              <w:rPr>
                <w:rFonts w:hint="eastAsia" w:cs="宋体"/>
                <w:color w:val="auto"/>
                <w:kern w:val="0"/>
                <w:lang w:bidi="ar"/>
              </w:rPr>
              <w:t>能达到《大气污染物综合排放标准详解》（中国环境科学出版社</w:t>
            </w:r>
            <w:r>
              <w:rPr>
                <w:color w:val="auto"/>
                <w:kern w:val="0"/>
                <w:lang w:bidi="ar"/>
              </w:rPr>
              <w:t>1996</w:t>
            </w:r>
            <w:r>
              <w:rPr>
                <w:rFonts w:hint="eastAsia" w:cs="宋体"/>
                <w:color w:val="auto"/>
                <w:kern w:val="0"/>
                <w:lang w:bidi="ar"/>
              </w:rPr>
              <w:t>年）中</w:t>
            </w:r>
            <w:r>
              <w:rPr>
                <w:color w:val="auto"/>
                <w:kern w:val="0"/>
                <w:lang w:bidi="ar"/>
              </w:rPr>
              <w:t>2.0</w:t>
            </w:r>
            <w:r>
              <w:rPr>
                <w:rFonts w:hint="eastAsia"/>
                <w:color w:val="auto"/>
                <w:kern w:val="0"/>
                <w:lang w:bidi="ar"/>
              </w:rPr>
              <w:t>mg/m</w:t>
            </w:r>
            <w:r>
              <w:rPr>
                <w:rFonts w:hint="eastAsia"/>
                <w:color w:val="auto"/>
                <w:kern w:val="0"/>
                <w:vertAlign w:val="superscript"/>
                <w:lang w:val="en-US" w:eastAsia="zh-CN" w:bidi="ar"/>
              </w:rPr>
              <w:t>3</w:t>
            </w:r>
            <w:r>
              <w:rPr>
                <w:rFonts w:hint="eastAsia" w:cs="宋体"/>
                <w:color w:val="auto"/>
                <w:kern w:val="0"/>
                <w:lang w:bidi="ar"/>
              </w:rPr>
              <w:t>标准限值</w:t>
            </w:r>
            <w:r>
              <w:rPr>
                <w:rFonts w:hint="default" w:ascii="Times New Roman" w:hAnsi="Times New Roman" w:eastAsia="宋体" w:cs="Times New Roman"/>
                <w:b w:val="0"/>
                <w:bCs w:val="0"/>
                <w:color w:val="auto"/>
                <w:kern w:val="0"/>
                <w:sz w:val="21"/>
                <w:szCs w:val="21"/>
              </w:rPr>
              <w:t>。</w:t>
            </w:r>
          </w:p>
          <w:p w14:paraId="6A5D88A4">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color w:val="auto"/>
                <w:kern w:val="0"/>
                <w:sz w:val="21"/>
              </w:rPr>
            </w:pPr>
            <w:r>
              <w:rPr>
                <w:rFonts w:ascii="Times New Roman" w:eastAsia="宋体" w:cs="Times New Roman"/>
                <w:b w:val="0"/>
                <w:bCs/>
                <w:color w:val="auto"/>
                <w:kern w:val="0"/>
                <w:sz w:val="21"/>
                <w:szCs w:val="21"/>
              </w:rPr>
              <w:t>水环境：</w:t>
            </w:r>
            <w:r>
              <w:rPr>
                <w:color w:val="auto"/>
                <w:kern w:val="0"/>
                <w:sz w:val="21"/>
              </w:rPr>
              <w:t>根据《</w:t>
            </w:r>
            <w:r>
              <w:rPr>
                <w:bCs/>
                <w:color w:val="auto"/>
                <w:kern w:val="0"/>
                <w:sz w:val="21"/>
              </w:rPr>
              <w:t>202</w:t>
            </w:r>
            <w:r>
              <w:rPr>
                <w:rFonts w:hint="eastAsia"/>
                <w:bCs/>
                <w:color w:val="auto"/>
                <w:kern w:val="0"/>
                <w:sz w:val="21"/>
                <w:lang w:val="en-US" w:eastAsia="zh-CN"/>
              </w:rPr>
              <w:t>4</w:t>
            </w:r>
            <w:r>
              <w:rPr>
                <w:bCs/>
                <w:color w:val="auto"/>
                <w:kern w:val="0"/>
                <w:sz w:val="21"/>
              </w:rPr>
              <w:t>年常州市生态环境状况公报</w:t>
            </w:r>
            <w:r>
              <w:rPr>
                <w:color w:val="auto"/>
                <w:kern w:val="0"/>
                <w:sz w:val="21"/>
              </w:rPr>
              <w:t>》，</w:t>
            </w:r>
            <w:r>
              <w:rPr>
                <w:rFonts w:hint="eastAsia"/>
                <w:color w:val="auto"/>
                <w:kern w:val="0"/>
                <w:sz w:val="21"/>
              </w:rPr>
              <w:t>2024年，常州市纳入“十四五”国家地表水环境质量考核的20个断面，年均水质达到或好于《地表水环境质量标准》</w:t>
            </w:r>
            <w:r>
              <w:rPr>
                <w:rFonts w:hint="eastAsia"/>
                <w:color w:val="auto"/>
                <w:kern w:val="0"/>
                <w:sz w:val="21"/>
                <w:lang w:eastAsia="zh-CN"/>
              </w:rPr>
              <w:t>（</w:t>
            </w:r>
            <w:r>
              <w:rPr>
                <w:rFonts w:hint="eastAsia"/>
                <w:color w:val="auto"/>
                <w:kern w:val="0"/>
                <w:sz w:val="21"/>
              </w:rPr>
              <w:t>GB3838-2002</w:t>
            </w:r>
            <w:r>
              <w:rPr>
                <w:rFonts w:hint="eastAsia"/>
                <w:color w:val="auto"/>
                <w:kern w:val="0"/>
                <w:sz w:val="21"/>
                <w:lang w:eastAsia="zh-CN"/>
              </w:rPr>
              <w:t>）</w:t>
            </w:r>
            <w:r>
              <w:rPr>
                <w:rFonts w:hint="eastAsia"/>
                <w:color w:val="auto"/>
                <w:kern w:val="0"/>
                <w:sz w:val="21"/>
                <w:lang w:val="en-US" w:eastAsia="zh-CN"/>
              </w:rPr>
              <w:t>III</w:t>
            </w:r>
            <w:r>
              <w:rPr>
                <w:rFonts w:hint="eastAsia"/>
                <w:color w:val="auto"/>
                <w:kern w:val="0"/>
                <w:sz w:val="21"/>
              </w:rPr>
              <w:t>类标准的断面比例为85%，无劣V类断面。纳入江苏省“十四五”水环境质量目标考核的51个断面，年均水质达到或好于</w:t>
            </w:r>
            <w:r>
              <w:rPr>
                <w:rFonts w:hint="eastAsia"/>
                <w:color w:val="auto"/>
                <w:kern w:val="0"/>
                <w:sz w:val="21"/>
                <w:lang w:val="en-US" w:eastAsia="zh-CN"/>
              </w:rPr>
              <w:t>III</w:t>
            </w:r>
            <w:r>
              <w:rPr>
                <w:rFonts w:hint="eastAsia"/>
                <w:color w:val="auto"/>
                <w:kern w:val="0"/>
                <w:sz w:val="21"/>
              </w:rPr>
              <w:t>类的比例为94.1%，无劣V类断面。</w:t>
            </w:r>
          </w:p>
          <w:p w14:paraId="580D4AA3">
            <w:pPr>
              <w:pStyle w:val="106"/>
              <w:spacing w:line="360" w:lineRule="auto"/>
              <w:ind w:firstLine="420" w:firstLineChars="200"/>
              <w:jc w:val="both"/>
              <w:rPr>
                <w:rFonts w:hint="eastAsia" w:ascii="Times New Roman" w:hAnsi="Times New Roman" w:eastAsia="宋体" w:cs="Times New Roman"/>
                <w:b w:val="0"/>
                <w:bCs w:val="0"/>
                <w:snapToGrid w:val="0"/>
                <w:color w:val="auto"/>
                <w:kern w:val="2"/>
                <w:sz w:val="21"/>
                <w:szCs w:val="21"/>
                <w:lang w:val="en-US" w:eastAsia="zh-CN" w:bidi="ar-SA"/>
              </w:rPr>
            </w:pPr>
            <w:r>
              <w:rPr>
                <w:rFonts w:hint="eastAsia" w:ascii="Times New Roman" w:hAnsi="Times New Roman" w:eastAsia="宋体" w:cs="Times New Roman"/>
                <w:b w:val="0"/>
                <w:bCs w:val="0"/>
                <w:snapToGrid w:val="0"/>
                <w:color w:val="auto"/>
                <w:kern w:val="2"/>
                <w:sz w:val="21"/>
                <w:szCs w:val="21"/>
                <w:lang w:val="en-US" w:eastAsia="zh-CN" w:bidi="ar-SA"/>
              </w:rPr>
              <w:t>国考、省考断面水质达到或好于III类比例完成省定考核要求，太湖水质自2007年蓝藻事件以来首次达III、重回“良好”湖泊，连续17年实现安全度夏。长江干流（常州段）水质连续8年稳II类水平，主要入湖河道、集中式饮用水源地水质稳定达到省定考核目标。</w:t>
            </w:r>
          </w:p>
          <w:p w14:paraId="7D6FA5AC">
            <w:pPr>
              <w:pStyle w:val="106"/>
              <w:spacing w:line="360" w:lineRule="auto"/>
              <w:ind w:firstLine="420" w:firstLineChars="200"/>
              <w:jc w:val="both"/>
              <w:rPr>
                <w:rFonts w:ascii="Times New Roman" w:eastAsia="宋体" w:cs="Times New Roman"/>
                <w:b w:val="0"/>
                <w:bCs/>
                <w:color w:val="auto"/>
                <w:kern w:val="0"/>
                <w:sz w:val="21"/>
                <w:szCs w:val="21"/>
              </w:rPr>
            </w:pPr>
            <w:r>
              <w:rPr>
                <w:rFonts w:hint="eastAsia" w:ascii="Times New Roman" w:eastAsia="宋体" w:cs="Times New Roman"/>
                <w:b w:val="0"/>
                <w:bCs/>
                <w:color w:val="auto"/>
                <w:kern w:val="0"/>
                <w:sz w:val="21"/>
                <w:szCs w:val="21"/>
              </w:rPr>
              <w:t>本项目建成后</w:t>
            </w:r>
            <w:r>
              <w:rPr>
                <w:rFonts w:ascii="Times New Roman" w:eastAsia="宋体" w:cs="Times New Roman"/>
                <w:b w:val="0"/>
                <w:bCs/>
                <w:color w:val="auto"/>
                <w:kern w:val="0"/>
                <w:sz w:val="21"/>
                <w:szCs w:val="21"/>
              </w:rPr>
              <w:t>污水受纳水体</w:t>
            </w:r>
            <w:r>
              <w:rPr>
                <w:rFonts w:hint="eastAsia" w:ascii="Times New Roman" w:eastAsia="宋体" w:cs="Times New Roman"/>
                <w:b w:val="0"/>
                <w:bCs/>
                <w:color w:val="auto"/>
                <w:kern w:val="0"/>
                <w:sz w:val="21"/>
                <w:szCs w:val="21"/>
              </w:rPr>
              <w:t>尧塘河</w:t>
            </w:r>
            <w:r>
              <w:rPr>
                <w:rFonts w:ascii="Times New Roman" w:eastAsia="宋体" w:cs="Times New Roman"/>
                <w:b w:val="0"/>
                <w:bCs/>
                <w:color w:val="auto"/>
                <w:kern w:val="0"/>
                <w:sz w:val="21"/>
                <w:szCs w:val="21"/>
              </w:rPr>
              <w:t>2个断面各监测因子均能满足《地表水环境质量标准》（GB3838-2002）III类水标准要求。</w:t>
            </w:r>
          </w:p>
          <w:p w14:paraId="3DB27C68">
            <w:pPr>
              <w:pStyle w:val="2"/>
              <w:widowControl w:val="0"/>
              <w:autoSpaceDE w:val="0"/>
              <w:autoSpaceDN w:val="0"/>
              <w:ind w:firstLine="420" w:firstLineChars="200"/>
              <w:rPr>
                <w:rFonts w:hint="default" w:eastAsia="宋体"/>
                <w:color w:val="auto"/>
                <w:kern w:val="2"/>
                <w:sz w:val="21"/>
                <w:lang w:val="en-US" w:eastAsia="zh-CN"/>
              </w:rPr>
            </w:pPr>
            <w:r>
              <w:rPr>
                <w:rFonts w:hint="eastAsia"/>
                <w:color w:val="auto"/>
                <w:kern w:val="2"/>
                <w:sz w:val="21"/>
                <w:lang w:val="en-US" w:eastAsia="zh-CN"/>
              </w:rPr>
              <w:t>声环境：</w:t>
            </w:r>
            <w:r>
              <w:rPr>
                <w:color w:val="auto"/>
                <w:sz w:val="21"/>
                <w:szCs w:val="21"/>
              </w:rPr>
              <w:t>根据《</w:t>
            </w:r>
            <w:r>
              <w:rPr>
                <w:bCs/>
                <w:color w:val="auto"/>
                <w:sz w:val="21"/>
                <w:szCs w:val="21"/>
              </w:rPr>
              <w:t>202</w:t>
            </w:r>
            <w:r>
              <w:rPr>
                <w:rFonts w:hint="eastAsia"/>
                <w:bCs/>
                <w:color w:val="auto"/>
                <w:sz w:val="21"/>
                <w:szCs w:val="21"/>
                <w:lang w:val="en-US" w:eastAsia="zh-CN"/>
              </w:rPr>
              <w:t>4</w:t>
            </w:r>
            <w:r>
              <w:rPr>
                <w:bCs/>
                <w:color w:val="auto"/>
                <w:sz w:val="21"/>
                <w:szCs w:val="21"/>
              </w:rPr>
              <w:t>年常州市生态环境状况公报</w:t>
            </w:r>
            <w:r>
              <w:rPr>
                <w:color w:val="auto"/>
                <w:sz w:val="21"/>
                <w:szCs w:val="21"/>
              </w:rPr>
              <w:t>》中相关内容，</w:t>
            </w:r>
            <w:r>
              <w:rPr>
                <w:rFonts w:hint="eastAsia"/>
                <w:color w:val="auto"/>
                <w:sz w:val="21"/>
                <w:szCs w:val="21"/>
              </w:rPr>
              <w:t>2024年，全市区域环境噪声昼间平均值为53.6dB</w:t>
            </w:r>
            <w:r>
              <w:rPr>
                <w:rFonts w:hint="eastAsia"/>
                <w:color w:val="auto"/>
                <w:sz w:val="21"/>
                <w:szCs w:val="21"/>
                <w:lang w:eastAsia="zh-CN"/>
              </w:rPr>
              <w:t>（</w:t>
            </w:r>
            <w:r>
              <w:rPr>
                <w:rFonts w:hint="eastAsia"/>
                <w:color w:val="auto"/>
                <w:sz w:val="21"/>
                <w:szCs w:val="21"/>
                <w:lang w:val="en-US" w:eastAsia="zh-CN"/>
              </w:rPr>
              <w:t>A</w:t>
            </w:r>
            <w:r>
              <w:rPr>
                <w:rFonts w:hint="eastAsia"/>
                <w:color w:val="auto"/>
                <w:sz w:val="21"/>
                <w:szCs w:val="21"/>
                <w:lang w:eastAsia="zh-CN"/>
              </w:rPr>
              <w:t>）</w:t>
            </w:r>
            <w:r>
              <w:rPr>
                <w:rFonts w:hint="eastAsia"/>
                <w:color w:val="auto"/>
                <w:sz w:val="21"/>
                <w:szCs w:val="21"/>
              </w:rPr>
              <w:t>，较上年下降0.1dB</w:t>
            </w:r>
            <w:r>
              <w:rPr>
                <w:rFonts w:hint="eastAsia"/>
                <w:color w:val="auto"/>
                <w:sz w:val="21"/>
                <w:szCs w:val="21"/>
                <w:lang w:eastAsia="zh-CN"/>
              </w:rPr>
              <w:t>（</w:t>
            </w:r>
            <w:r>
              <w:rPr>
                <w:rFonts w:hint="eastAsia"/>
                <w:color w:val="auto"/>
                <w:sz w:val="21"/>
                <w:szCs w:val="21"/>
                <w:lang w:val="en-US" w:eastAsia="zh-CN"/>
              </w:rPr>
              <w:t>A</w:t>
            </w:r>
            <w:r>
              <w:rPr>
                <w:rFonts w:hint="eastAsia"/>
                <w:color w:val="auto"/>
                <w:sz w:val="21"/>
                <w:szCs w:val="21"/>
                <w:lang w:eastAsia="zh-CN"/>
              </w:rPr>
              <w:t>）；</w:t>
            </w:r>
            <w:r>
              <w:rPr>
                <w:rFonts w:hint="eastAsia"/>
                <w:color w:val="auto"/>
                <w:sz w:val="21"/>
                <w:szCs w:val="21"/>
              </w:rPr>
              <w:t>按照《环境噪声监测技术规范 城市声环境常规监测》</w:t>
            </w:r>
            <w:r>
              <w:rPr>
                <w:rFonts w:hint="eastAsia"/>
                <w:color w:val="auto"/>
                <w:sz w:val="21"/>
                <w:szCs w:val="21"/>
                <w:lang w:eastAsia="zh-CN"/>
              </w:rPr>
              <w:t>（</w:t>
            </w:r>
            <w:r>
              <w:rPr>
                <w:rFonts w:hint="eastAsia"/>
                <w:color w:val="auto"/>
                <w:sz w:val="21"/>
                <w:szCs w:val="21"/>
              </w:rPr>
              <w:t>HJ640-2012</w:t>
            </w:r>
            <w:r>
              <w:rPr>
                <w:rFonts w:hint="eastAsia"/>
                <w:color w:val="auto"/>
                <w:sz w:val="21"/>
                <w:szCs w:val="21"/>
                <w:lang w:eastAsia="zh-CN"/>
              </w:rPr>
              <w:t>）</w:t>
            </w:r>
            <w:r>
              <w:rPr>
                <w:rFonts w:hint="eastAsia"/>
                <w:color w:val="auto"/>
                <w:sz w:val="21"/>
                <w:szCs w:val="21"/>
              </w:rPr>
              <w:t>，城市区域昼间环境噪声总体水平等级为“二级”，属于“较好”水平。</w:t>
            </w:r>
          </w:p>
          <w:p w14:paraId="2AF46DBD">
            <w:pPr>
              <w:pStyle w:val="705"/>
              <w:ind w:firstLine="420"/>
              <w:jc w:val="both"/>
              <w:rPr>
                <w:color w:val="auto"/>
                <w:kern w:val="0"/>
                <w:sz w:val="21"/>
              </w:rPr>
            </w:pPr>
            <w:r>
              <w:rPr>
                <w:color w:val="auto"/>
                <w:kern w:val="2"/>
                <w:sz w:val="21"/>
              </w:rPr>
              <w:t>该项目运营过程中会产生一定的污染物，如废气、污水、固废，采取相应的污染防治措施后，在达标的基础上选用处理效率和可靠性高的处理工艺。设备生产噪声在采取隔声、减振措施后厂界可达标；</w:t>
            </w:r>
            <w:r>
              <w:rPr>
                <w:rFonts w:hint="eastAsia"/>
                <w:color w:val="auto"/>
                <w:sz w:val="21"/>
                <w:lang w:eastAsia="zh-CN"/>
              </w:rPr>
              <w:t>擦色、调漆、喷漆、刷漆、晾干、喷枪清洗产生的有机废气经调漆房、底漆房、面漆房、晾干房负压收集；喷漆产生的颗粒物经底漆房、面漆房负压收集，颗粒物经水帘装置处理后和有机废气一起经吸雾毡去除水分后进入1套“二级活性炭装置”处理后通过1根20m高的排气筒DA001排放</w:t>
            </w:r>
            <w:r>
              <w:rPr>
                <w:rFonts w:hint="eastAsia"/>
                <w:color w:val="auto"/>
                <w:sz w:val="21"/>
              </w:rPr>
              <w:t>。</w:t>
            </w:r>
            <w:r>
              <w:rPr>
                <w:color w:val="auto"/>
                <w:kern w:val="2"/>
                <w:sz w:val="21"/>
              </w:rPr>
              <w:t>污染物排放量较低，对大气环境影响较小；</w:t>
            </w:r>
            <w:r>
              <w:rPr>
                <w:rFonts w:hint="eastAsia"/>
                <w:color w:val="auto"/>
                <w:kern w:val="2"/>
                <w:sz w:val="21"/>
                <w:lang w:eastAsia="zh-CN"/>
              </w:rPr>
              <w:t>生活污水</w:t>
            </w:r>
            <w:r>
              <w:rPr>
                <w:rFonts w:hint="eastAsia"/>
                <w:color w:val="auto"/>
                <w:kern w:val="2"/>
                <w:sz w:val="21"/>
                <w:lang w:val="en-US" w:eastAsia="zh-CN"/>
              </w:rPr>
              <w:t>接管</w:t>
            </w:r>
            <w:r>
              <w:rPr>
                <w:rFonts w:hint="eastAsia"/>
                <w:color w:val="auto"/>
                <w:kern w:val="2"/>
                <w:sz w:val="21"/>
                <w:lang w:eastAsia="zh-CN"/>
              </w:rPr>
              <w:t>至常州金坛区第二污水处理有限公司</w:t>
            </w:r>
            <w:r>
              <w:rPr>
                <w:color w:val="auto"/>
                <w:kern w:val="2"/>
                <w:sz w:val="21"/>
              </w:rPr>
              <w:t>；固体废物均按照要求委托相关单位进行妥善处置。上述措施确保拟建项目污染物排放对环境的影响降到最低，不会突破环境质量底线，改变区域环境功能区。</w:t>
            </w:r>
          </w:p>
          <w:p w14:paraId="11BB0634">
            <w:pPr>
              <w:overflowPunct w:val="0"/>
              <w:spacing w:line="360" w:lineRule="auto"/>
              <w:ind w:firstLine="422" w:firstLineChars="200"/>
              <w:rPr>
                <w:b/>
                <w:bCs/>
                <w:color w:val="auto"/>
              </w:rPr>
            </w:pPr>
            <w:r>
              <w:rPr>
                <w:rFonts w:hint="eastAsia"/>
                <w:b/>
                <w:bCs/>
                <w:color w:val="auto"/>
              </w:rPr>
              <w:t>（3）“资源利用上线”符合性分析</w:t>
            </w:r>
          </w:p>
          <w:p w14:paraId="1BCF473D">
            <w:pPr>
              <w:overflowPunct w:val="0"/>
              <w:spacing w:line="360" w:lineRule="auto"/>
              <w:ind w:firstLine="420" w:firstLineChars="200"/>
              <w:rPr>
                <w:color w:val="auto"/>
              </w:rPr>
            </w:pPr>
            <w:r>
              <w:rPr>
                <w:color w:val="auto"/>
                <w:kern w:val="0"/>
              </w:rPr>
              <w:t>本项目</w:t>
            </w:r>
            <w:r>
              <w:rPr>
                <w:rFonts w:hint="eastAsia"/>
                <w:color w:val="auto"/>
                <w:kern w:val="0"/>
              </w:rPr>
              <w:t>利用现有厂房</w:t>
            </w:r>
            <w:r>
              <w:rPr>
                <w:color w:val="auto"/>
                <w:kern w:val="0"/>
              </w:rPr>
              <w:t>进行生产</w:t>
            </w:r>
            <w:r>
              <w:rPr>
                <w:rFonts w:hint="eastAsia"/>
                <w:color w:val="auto"/>
              </w:rPr>
              <w:t>，所用的资源主要为水资源和电能，项目所在地水资源丰富，耗电量不大，不会达到资源利用上线；项目占地符合当地规划要求，亦不会达到资源利用上线。</w:t>
            </w:r>
          </w:p>
          <w:p w14:paraId="03BBB0CD">
            <w:pPr>
              <w:overflowPunct w:val="0"/>
              <w:spacing w:line="360" w:lineRule="auto"/>
              <w:ind w:firstLine="422" w:firstLineChars="200"/>
              <w:rPr>
                <w:b/>
                <w:bCs/>
                <w:color w:val="auto"/>
              </w:rPr>
            </w:pPr>
            <w:r>
              <w:rPr>
                <w:rFonts w:hint="eastAsia"/>
                <w:b/>
                <w:bCs/>
                <w:color w:val="auto"/>
              </w:rPr>
              <w:t>（4）“负面清单”符合性分析</w:t>
            </w:r>
          </w:p>
          <w:p w14:paraId="7085B235">
            <w:pPr>
              <w:adjustRightInd w:val="0"/>
              <w:snapToGrid w:val="0"/>
              <w:spacing w:line="360" w:lineRule="auto"/>
              <w:ind w:firstLine="420" w:firstLineChars="200"/>
              <w:jc w:val="left"/>
              <w:rPr>
                <w:color w:val="auto"/>
              </w:rPr>
            </w:pPr>
            <w:r>
              <w:rPr>
                <w:rFonts w:hint="eastAsia"/>
                <w:color w:val="auto"/>
              </w:rPr>
              <w:t>金坛区尚未颁布环境准入负面清单，本次环评对照国家、地方相关产业政策文件分析。</w:t>
            </w:r>
          </w:p>
          <w:p w14:paraId="6AD4FD9A">
            <w:pPr>
              <w:adjustRightInd w:val="0"/>
              <w:snapToGrid w:val="0"/>
              <w:spacing w:line="360" w:lineRule="auto"/>
              <w:ind w:firstLine="420" w:firstLineChars="200"/>
              <w:jc w:val="left"/>
              <w:rPr>
                <w:b/>
                <w:bCs/>
                <w:color w:val="auto"/>
              </w:rPr>
            </w:pPr>
            <w:r>
              <w:rPr>
                <w:rFonts w:hint="eastAsia"/>
                <w:color w:val="auto"/>
              </w:rPr>
              <w:t>①对照《市场准入负面清单（20</w:t>
            </w:r>
            <w:r>
              <w:rPr>
                <w:color w:val="auto"/>
              </w:rPr>
              <w:t>2</w:t>
            </w:r>
            <w:r>
              <w:rPr>
                <w:rFonts w:hint="eastAsia"/>
                <w:color w:val="auto"/>
                <w:lang w:val="en-US" w:eastAsia="zh-CN"/>
              </w:rPr>
              <w:t>5</w:t>
            </w:r>
            <w:r>
              <w:rPr>
                <w:rFonts w:hint="eastAsia"/>
                <w:color w:val="auto"/>
              </w:rPr>
              <w:t>年版）》，本项目不属于负面清单中所列项目。</w:t>
            </w:r>
          </w:p>
          <w:p w14:paraId="46943DCA">
            <w:pPr>
              <w:overflowPunct w:val="0"/>
              <w:adjustRightInd w:val="0"/>
              <w:snapToGrid w:val="0"/>
              <w:spacing w:line="360" w:lineRule="auto"/>
              <w:ind w:firstLine="420" w:firstLineChars="200"/>
              <w:rPr>
                <w:rFonts w:hint="eastAsia" w:eastAsia="宋体"/>
                <w:b/>
                <w:bCs/>
                <w:color w:val="auto"/>
                <w:lang w:eastAsia="zh-CN"/>
              </w:rPr>
            </w:pPr>
            <w:r>
              <w:rPr>
                <w:rFonts w:hint="eastAsia"/>
                <w:color w:val="auto"/>
              </w:rPr>
              <w:t>②与《&lt;长江经济带发展负面清单指南（试行，2022年版）&gt;江苏省实施细则的通知》（苏长江办发[2022]55号）相符性分析</w:t>
            </w:r>
            <w:r>
              <w:rPr>
                <w:rFonts w:hint="eastAsia"/>
                <w:color w:val="auto"/>
                <w:lang w:eastAsia="zh-CN"/>
              </w:rPr>
              <w:t>。</w:t>
            </w:r>
          </w:p>
          <w:p w14:paraId="7D1F385C">
            <w:pPr>
              <w:widowControl/>
              <w:overflowPunct w:val="0"/>
              <w:adjustRightInd w:val="0"/>
              <w:snapToGrid w:val="0"/>
              <w:jc w:val="center"/>
              <w:rPr>
                <w:b/>
                <w:bCs/>
                <w:color w:val="auto"/>
              </w:rPr>
            </w:pPr>
            <w:r>
              <w:rPr>
                <w:b/>
                <w:bCs/>
                <w:color w:val="auto"/>
              </w:rPr>
              <w:t>表1-</w:t>
            </w:r>
            <w:r>
              <w:rPr>
                <w:rFonts w:hint="eastAsia"/>
                <w:b/>
                <w:bCs/>
                <w:color w:val="auto"/>
                <w:lang w:val="en-US" w:eastAsia="zh-CN"/>
              </w:rPr>
              <w:t>5</w:t>
            </w:r>
            <w:r>
              <w:rPr>
                <w:rFonts w:hint="eastAsia"/>
                <w:b/>
                <w:bCs/>
                <w:color w:val="auto"/>
              </w:rPr>
              <w:t xml:space="preserve">   《&lt;长江经济带发展负面清单指南（试行，2022年版）&gt;江苏省实施细则的通知》（苏长江办发[2022]55号）</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72"/>
              <w:gridCol w:w="4331"/>
              <w:gridCol w:w="2274"/>
              <w:gridCol w:w="874"/>
            </w:tblGrid>
            <w:tr w14:paraId="3088B7A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tcBorders>
                    <w:tl2br w:val="nil"/>
                    <w:tr2bl w:val="nil"/>
                  </w:tcBorders>
                  <w:vAlign w:val="center"/>
                </w:tcPr>
                <w:p w14:paraId="23DDF73D">
                  <w:pPr>
                    <w:widowControl/>
                    <w:autoSpaceDE w:val="0"/>
                    <w:autoSpaceDN w:val="0"/>
                    <w:adjustRightInd w:val="0"/>
                    <w:snapToGrid w:val="0"/>
                    <w:jc w:val="center"/>
                    <w:textAlignment w:val="center"/>
                    <w:rPr>
                      <w:b/>
                      <w:bCs/>
                      <w:color w:val="auto"/>
                      <w:kern w:val="0"/>
                    </w:rPr>
                  </w:pPr>
                  <w:r>
                    <w:rPr>
                      <w:rFonts w:hint="eastAsia"/>
                      <w:b/>
                      <w:bCs/>
                      <w:color w:val="auto"/>
                      <w:kern w:val="0"/>
                    </w:rPr>
                    <w:t>条款</w:t>
                  </w:r>
                </w:p>
              </w:tc>
              <w:tc>
                <w:tcPr>
                  <w:tcW w:w="2656" w:type="pct"/>
                  <w:tcBorders>
                    <w:tl2br w:val="nil"/>
                    <w:tr2bl w:val="nil"/>
                  </w:tcBorders>
                  <w:vAlign w:val="center"/>
                </w:tcPr>
                <w:p w14:paraId="0F7683F0">
                  <w:pPr>
                    <w:widowControl/>
                    <w:autoSpaceDE w:val="0"/>
                    <w:autoSpaceDN w:val="0"/>
                    <w:adjustRightInd w:val="0"/>
                    <w:snapToGrid w:val="0"/>
                    <w:jc w:val="center"/>
                    <w:textAlignment w:val="center"/>
                    <w:rPr>
                      <w:b/>
                      <w:bCs/>
                      <w:color w:val="auto"/>
                      <w:kern w:val="0"/>
                    </w:rPr>
                  </w:pPr>
                  <w:r>
                    <w:rPr>
                      <w:b/>
                      <w:bCs/>
                      <w:color w:val="auto"/>
                      <w:kern w:val="0"/>
                    </w:rPr>
                    <w:t>相关要求</w:t>
                  </w:r>
                </w:p>
              </w:tc>
              <w:tc>
                <w:tcPr>
                  <w:tcW w:w="1394" w:type="pct"/>
                  <w:tcBorders>
                    <w:tl2br w:val="nil"/>
                    <w:tr2bl w:val="nil"/>
                  </w:tcBorders>
                  <w:vAlign w:val="center"/>
                </w:tcPr>
                <w:p w14:paraId="321E9A4B">
                  <w:pPr>
                    <w:widowControl/>
                    <w:autoSpaceDE w:val="0"/>
                    <w:autoSpaceDN w:val="0"/>
                    <w:adjustRightInd w:val="0"/>
                    <w:snapToGrid w:val="0"/>
                    <w:jc w:val="center"/>
                    <w:textAlignment w:val="center"/>
                    <w:rPr>
                      <w:b/>
                      <w:bCs/>
                      <w:color w:val="auto"/>
                      <w:kern w:val="0"/>
                    </w:rPr>
                  </w:pPr>
                  <w:r>
                    <w:rPr>
                      <w:b/>
                      <w:bCs/>
                      <w:color w:val="auto"/>
                      <w:kern w:val="0"/>
                    </w:rPr>
                    <w:t>企业情况</w:t>
                  </w:r>
                </w:p>
              </w:tc>
              <w:tc>
                <w:tcPr>
                  <w:tcW w:w="536" w:type="pct"/>
                  <w:tcBorders>
                    <w:tl2br w:val="nil"/>
                    <w:tr2bl w:val="nil"/>
                  </w:tcBorders>
                  <w:vAlign w:val="center"/>
                </w:tcPr>
                <w:p w14:paraId="11B2A91C">
                  <w:pPr>
                    <w:widowControl/>
                    <w:autoSpaceDE w:val="0"/>
                    <w:autoSpaceDN w:val="0"/>
                    <w:adjustRightInd w:val="0"/>
                    <w:snapToGrid w:val="0"/>
                    <w:jc w:val="center"/>
                    <w:textAlignment w:val="center"/>
                    <w:rPr>
                      <w:b/>
                      <w:bCs/>
                      <w:color w:val="auto"/>
                      <w:kern w:val="0"/>
                    </w:rPr>
                  </w:pPr>
                  <w:r>
                    <w:rPr>
                      <w:b/>
                      <w:bCs/>
                      <w:color w:val="auto"/>
                      <w:kern w:val="0"/>
                    </w:rPr>
                    <w:t>相符性</w:t>
                  </w:r>
                </w:p>
              </w:tc>
            </w:tr>
            <w:tr w14:paraId="1CA2853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restart"/>
                  <w:tcBorders>
                    <w:tl2br w:val="nil"/>
                    <w:tr2bl w:val="nil"/>
                  </w:tcBorders>
                  <w:vAlign w:val="center"/>
                </w:tcPr>
                <w:p w14:paraId="4C4BD4F9">
                  <w:pPr>
                    <w:widowControl/>
                    <w:autoSpaceDE w:val="0"/>
                    <w:autoSpaceDN w:val="0"/>
                    <w:adjustRightInd w:val="0"/>
                    <w:snapToGrid w:val="0"/>
                    <w:jc w:val="center"/>
                    <w:textAlignment w:val="center"/>
                    <w:rPr>
                      <w:color w:val="auto"/>
                      <w:kern w:val="0"/>
                    </w:rPr>
                  </w:pPr>
                  <w:r>
                    <w:rPr>
                      <w:rFonts w:hint="eastAsia"/>
                      <w:color w:val="auto"/>
                      <w:kern w:val="0"/>
                    </w:rPr>
                    <w:t>一、河段利用和岸线开发</w:t>
                  </w:r>
                </w:p>
              </w:tc>
              <w:tc>
                <w:tcPr>
                  <w:tcW w:w="2656" w:type="pct"/>
                  <w:tcBorders>
                    <w:tl2br w:val="nil"/>
                    <w:tr2bl w:val="nil"/>
                  </w:tcBorders>
                  <w:vAlign w:val="center"/>
                </w:tcPr>
                <w:p w14:paraId="651C5810">
                  <w:pPr>
                    <w:widowControl/>
                    <w:autoSpaceDE w:val="0"/>
                    <w:autoSpaceDN w:val="0"/>
                    <w:adjustRightInd w:val="0"/>
                    <w:snapToGrid w:val="0"/>
                    <w:jc w:val="center"/>
                    <w:textAlignment w:val="center"/>
                    <w:rPr>
                      <w:color w:val="auto"/>
                      <w:kern w:val="0"/>
                    </w:rPr>
                  </w:pPr>
                  <w:r>
                    <w:rPr>
                      <w:rFonts w:hint="eastAsia"/>
                      <w:color w:val="auto"/>
                      <w:kern w:val="0"/>
                    </w:rPr>
                    <w:t>1.禁止建设不符合国家港口布局规划和《江苏省沿江沿海港口布局规划（2015-2030年）》《江苏省内河港口布局规划（2017-2035年）》以及我省有关港口总体规划的码头项目，禁止建设未纳入《长江干线过江通道布局规划》的过长江通道项目。</w:t>
                  </w:r>
                </w:p>
              </w:tc>
              <w:tc>
                <w:tcPr>
                  <w:tcW w:w="1394" w:type="pct"/>
                  <w:tcBorders>
                    <w:tl2br w:val="nil"/>
                    <w:tr2bl w:val="nil"/>
                  </w:tcBorders>
                  <w:vAlign w:val="center"/>
                </w:tcPr>
                <w:p w14:paraId="7B58ACA6">
                  <w:pPr>
                    <w:widowControl/>
                    <w:autoSpaceDE w:val="0"/>
                    <w:autoSpaceDN w:val="0"/>
                    <w:adjustRightInd w:val="0"/>
                    <w:snapToGrid w:val="0"/>
                    <w:jc w:val="center"/>
                    <w:textAlignment w:val="center"/>
                    <w:rPr>
                      <w:rFonts w:hint="eastAsia" w:eastAsia="宋体"/>
                      <w:color w:val="auto"/>
                      <w:kern w:val="0"/>
                      <w:lang w:val="en-US" w:eastAsia="zh-CN"/>
                    </w:rPr>
                  </w:pPr>
                  <w:r>
                    <w:rPr>
                      <w:color w:val="auto"/>
                      <w:kern w:val="0"/>
                    </w:rPr>
                    <w:t>本项目不属于码头项目，也不属于过长江通道项目</w:t>
                  </w:r>
                </w:p>
              </w:tc>
              <w:tc>
                <w:tcPr>
                  <w:tcW w:w="536" w:type="pct"/>
                  <w:tcBorders>
                    <w:tl2br w:val="nil"/>
                    <w:tr2bl w:val="nil"/>
                  </w:tcBorders>
                  <w:vAlign w:val="center"/>
                </w:tcPr>
                <w:p w14:paraId="75C5354D">
                  <w:pPr>
                    <w:widowControl/>
                    <w:autoSpaceDE w:val="0"/>
                    <w:autoSpaceDN w:val="0"/>
                    <w:adjustRightInd w:val="0"/>
                    <w:snapToGrid w:val="0"/>
                    <w:jc w:val="center"/>
                    <w:textAlignment w:val="center"/>
                    <w:rPr>
                      <w:color w:val="auto"/>
                      <w:kern w:val="0"/>
                    </w:rPr>
                  </w:pPr>
                  <w:r>
                    <w:rPr>
                      <w:color w:val="auto"/>
                      <w:kern w:val="0"/>
                    </w:rPr>
                    <w:t>相符</w:t>
                  </w:r>
                </w:p>
              </w:tc>
            </w:tr>
            <w:tr w14:paraId="3E4877C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continue"/>
                  <w:tcBorders>
                    <w:tl2br w:val="nil"/>
                    <w:tr2bl w:val="nil"/>
                  </w:tcBorders>
                  <w:vAlign w:val="center"/>
                </w:tcPr>
                <w:p w14:paraId="6D797284">
                  <w:pPr>
                    <w:widowControl/>
                    <w:autoSpaceDE w:val="0"/>
                    <w:autoSpaceDN w:val="0"/>
                    <w:adjustRightInd w:val="0"/>
                    <w:snapToGrid w:val="0"/>
                    <w:jc w:val="center"/>
                    <w:textAlignment w:val="center"/>
                    <w:rPr>
                      <w:color w:val="auto"/>
                      <w:kern w:val="0"/>
                    </w:rPr>
                  </w:pPr>
                </w:p>
              </w:tc>
              <w:tc>
                <w:tcPr>
                  <w:tcW w:w="2656" w:type="pct"/>
                  <w:tcBorders>
                    <w:tl2br w:val="nil"/>
                    <w:tr2bl w:val="nil"/>
                  </w:tcBorders>
                  <w:vAlign w:val="center"/>
                </w:tcPr>
                <w:p w14:paraId="64A5833F">
                  <w:pPr>
                    <w:widowControl/>
                    <w:autoSpaceDE w:val="0"/>
                    <w:autoSpaceDN w:val="0"/>
                    <w:adjustRightInd w:val="0"/>
                    <w:snapToGrid w:val="0"/>
                    <w:jc w:val="center"/>
                    <w:textAlignment w:val="center"/>
                    <w:rPr>
                      <w:color w:val="auto"/>
                      <w:kern w:val="0"/>
                    </w:rPr>
                  </w:pPr>
                  <w:r>
                    <w:rPr>
                      <w:rFonts w:hint="eastAsia"/>
                      <w:color w:val="auto"/>
                      <w:kern w:val="0"/>
                    </w:rPr>
                    <w:t>2.严格执行《中华人民共和国自然保护区条例》，禁止在自然保护区核心区、缓冲区的岸线和河段范围内投资.建设旅游和生产经营项目。严格执行《风景名胜区条例》《江苏省风景名胜区管理条例》，禁止在国家级和省级风景名胜区核心景区的岸线和河段范围内投资建设与风景名胜资源保护无关的项目。</w:t>
                  </w:r>
                </w:p>
              </w:tc>
              <w:tc>
                <w:tcPr>
                  <w:tcW w:w="1394" w:type="pct"/>
                  <w:tcBorders>
                    <w:tl2br w:val="nil"/>
                    <w:tr2bl w:val="nil"/>
                  </w:tcBorders>
                  <w:vAlign w:val="center"/>
                </w:tcPr>
                <w:p w14:paraId="02771D15">
                  <w:pPr>
                    <w:widowControl/>
                    <w:autoSpaceDE w:val="0"/>
                    <w:autoSpaceDN w:val="0"/>
                    <w:adjustRightInd w:val="0"/>
                    <w:snapToGrid w:val="0"/>
                    <w:jc w:val="center"/>
                    <w:textAlignment w:val="center"/>
                    <w:rPr>
                      <w:color w:val="auto"/>
                      <w:kern w:val="0"/>
                    </w:rPr>
                  </w:pPr>
                  <w:r>
                    <w:rPr>
                      <w:rFonts w:hint="eastAsia"/>
                      <w:color w:val="auto"/>
                      <w:kern w:val="0"/>
                    </w:rPr>
                    <w:t>本项目不在自然保护区核心区、缓冲区的岸线和河段范围内，亦不在风景名胜区核心景区的岸线和河段范围内</w:t>
                  </w:r>
                </w:p>
              </w:tc>
              <w:tc>
                <w:tcPr>
                  <w:tcW w:w="536" w:type="pct"/>
                  <w:tcBorders>
                    <w:tl2br w:val="nil"/>
                    <w:tr2bl w:val="nil"/>
                  </w:tcBorders>
                  <w:vAlign w:val="center"/>
                </w:tcPr>
                <w:p w14:paraId="60000454">
                  <w:pPr>
                    <w:widowControl/>
                    <w:autoSpaceDE w:val="0"/>
                    <w:autoSpaceDN w:val="0"/>
                    <w:adjustRightInd w:val="0"/>
                    <w:snapToGrid w:val="0"/>
                    <w:jc w:val="center"/>
                    <w:textAlignment w:val="center"/>
                    <w:rPr>
                      <w:color w:val="auto"/>
                      <w:kern w:val="0"/>
                    </w:rPr>
                  </w:pPr>
                  <w:r>
                    <w:rPr>
                      <w:color w:val="auto"/>
                      <w:kern w:val="0"/>
                    </w:rPr>
                    <w:t>相符</w:t>
                  </w:r>
                </w:p>
              </w:tc>
            </w:tr>
            <w:tr w14:paraId="00D4603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continue"/>
                  <w:tcBorders>
                    <w:tl2br w:val="nil"/>
                    <w:tr2bl w:val="nil"/>
                  </w:tcBorders>
                  <w:vAlign w:val="center"/>
                </w:tcPr>
                <w:p w14:paraId="3A7E5D12">
                  <w:pPr>
                    <w:widowControl/>
                    <w:autoSpaceDE w:val="0"/>
                    <w:autoSpaceDN w:val="0"/>
                    <w:adjustRightInd w:val="0"/>
                    <w:snapToGrid w:val="0"/>
                    <w:jc w:val="center"/>
                    <w:textAlignment w:val="center"/>
                    <w:rPr>
                      <w:color w:val="auto"/>
                      <w:kern w:val="0"/>
                    </w:rPr>
                  </w:pPr>
                </w:p>
              </w:tc>
              <w:tc>
                <w:tcPr>
                  <w:tcW w:w="2656" w:type="pct"/>
                  <w:tcBorders>
                    <w:tl2br w:val="nil"/>
                    <w:tr2bl w:val="nil"/>
                  </w:tcBorders>
                  <w:vAlign w:val="center"/>
                </w:tcPr>
                <w:p w14:paraId="5EF19A46">
                  <w:pPr>
                    <w:widowControl/>
                    <w:autoSpaceDE w:val="0"/>
                    <w:autoSpaceDN w:val="0"/>
                    <w:adjustRightInd w:val="0"/>
                    <w:snapToGrid w:val="0"/>
                    <w:jc w:val="center"/>
                    <w:textAlignment w:val="center"/>
                    <w:rPr>
                      <w:color w:val="auto"/>
                      <w:kern w:val="0"/>
                    </w:rPr>
                  </w:pPr>
                  <w:r>
                    <w:rPr>
                      <w:rFonts w:hint="eastAsia"/>
                      <w:color w:val="auto"/>
                      <w:kern w:val="0"/>
                    </w:rPr>
                    <w:t>3.严格执行《中华人民共和国水污染防治法》《江苏省人民代表大会常务委员会关于加强饮用水源地保护的决定》《江苏省水污染防治条例》，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禁止在饮用水水源准保护区的岸线和河段范围内新建、扩建对水体污染严重的投资建设项目，改建项目应当消减排污量。饮用水水源一级保护区、二级保护区、准保护区由省生态环境厅会同水利等有关方面界定并落实管控责任。</w:t>
                  </w:r>
                </w:p>
              </w:tc>
              <w:tc>
                <w:tcPr>
                  <w:tcW w:w="1394" w:type="pct"/>
                  <w:tcBorders>
                    <w:tl2br w:val="nil"/>
                    <w:tr2bl w:val="nil"/>
                  </w:tcBorders>
                  <w:vAlign w:val="center"/>
                </w:tcPr>
                <w:p w14:paraId="6BFF2631">
                  <w:pPr>
                    <w:widowControl/>
                    <w:autoSpaceDE w:val="0"/>
                    <w:autoSpaceDN w:val="0"/>
                    <w:adjustRightInd w:val="0"/>
                    <w:snapToGrid w:val="0"/>
                    <w:jc w:val="center"/>
                    <w:textAlignment w:val="center"/>
                    <w:rPr>
                      <w:color w:val="auto"/>
                      <w:kern w:val="0"/>
                    </w:rPr>
                  </w:pPr>
                  <w:r>
                    <w:rPr>
                      <w:rFonts w:hint="eastAsia"/>
                      <w:color w:val="auto"/>
                      <w:kern w:val="0"/>
                    </w:rPr>
                    <w:t>本项目不在饮用水水源一级保护区、二级保护区和准保护区范围内</w:t>
                  </w:r>
                </w:p>
              </w:tc>
              <w:tc>
                <w:tcPr>
                  <w:tcW w:w="536" w:type="pct"/>
                  <w:tcBorders>
                    <w:tl2br w:val="nil"/>
                    <w:tr2bl w:val="nil"/>
                  </w:tcBorders>
                  <w:vAlign w:val="center"/>
                </w:tcPr>
                <w:p w14:paraId="43E52F40">
                  <w:pPr>
                    <w:widowControl/>
                    <w:autoSpaceDE w:val="0"/>
                    <w:autoSpaceDN w:val="0"/>
                    <w:adjustRightInd w:val="0"/>
                    <w:snapToGrid w:val="0"/>
                    <w:jc w:val="center"/>
                    <w:textAlignment w:val="center"/>
                    <w:rPr>
                      <w:color w:val="auto"/>
                      <w:kern w:val="0"/>
                    </w:rPr>
                  </w:pPr>
                  <w:r>
                    <w:rPr>
                      <w:color w:val="auto"/>
                      <w:kern w:val="0"/>
                    </w:rPr>
                    <w:t>相符</w:t>
                  </w:r>
                </w:p>
              </w:tc>
            </w:tr>
            <w:tr w14:paraId="4C7FA41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continue"/>
                  <w:tcBorders>
                    <w:tl2br w:val="nil"/>
                    <w:tr2bl w:val="nil"/>
                  </w:tcBorders>
                  <w:vAlign w:val="center"/>
                </w:tcPr>
                <w:p w14:paraId="0EBF313C">
                  <w:pPr>
                    <w:widowControl/>
                    <w:autoSpaceDE w:val="0"/>
                    <w:autoSpaceDN w:val="0"/>
                    <w:adjustRightInd w:val="0"/>
                    <w:snapToGrid w:val="0"/>
                    <w:jc w:val="center"/>
                    <w:textAlignment w:val="center"/>
                    <w:rPr>
                      <w:color w:val="auto"/>
                      <w:kern w:val="0"/>
                    </w:rPr>
                  </w:pPr>
                </w:p>
              </w:tc>
              <w:tc>
                <w:tcPr>
                  <w:tcW w:w="2656" w:type="pct"/>
                  <w:tcBorders>
                    <w:tl2br w:val="nil"/>
                    <w:tr2bl w:val="nil"/>
                  </w:tcBorders>
                  <w:vAlign w:val="center"/>
                </w:tcPr>
                <w:p w14:paraId="1E950755">
                  <w:pPr>
                    <w:widowControl/>
                    <w:autoSpaceDE w:val="0"/>
                    <w:autoSpaceDN w:val="0"/>
                    <w:adjustRightInd w:val="0"/>
                    <w:snapToGrid w:val="0"/>
                    <w:jc w:val="center"/>
                    <w:textAlignment w:val="center"/>
                    <w:rPr>
                      <w:color w:val="auto"/>
                      <w:kern w:val="0"/>
                    </w:rPr>
                  </w:pPr>
                  <w:r>
                    <w:rPr>
                      <w:rFonts w:hint="eastAsia"/>
                      <w:color w:val="auto"/>
                      <w:kern w:val="0"/>
                    </w:rPr>
                    <w:t>4.严格执行《水产种质资源保护区管理暂行办法》，禁止在国家级和省级水产种质资源保护区的岸线和河段范围内新建围湖造田、围海造地或围填海等投资建设项目。严格执行《中华人民共和国湿地保护法》《江苏省湿地保护条例》，禁止在国家湿地公园的岸线和河段范围内挖沙、采矿，以及任何不符合主体功能定位的投资建设项目。</w:t>
                  </w:r>
                </w:p>
              </w:tc>
              <w:tc>
                <w:tcPr>
                  <w:tcW w:w="1394" w:type="pct"/>
                  <w:tcBorders>
                    <w:tl2br w:val="nil"/>
                    <w:tr2bl w:val="nil"/>
                  </w:tcBorders>
                  <w:vAlign w:val="center"/>
                </w:tcPr>
                <w:p w14:paraId="6D09662B">
                  <w:pPr>
                    <w:widowControl/>
                    <w:autoSpaceDE w:val="0"/>
                    <w:autoSpaceDN w:val="0"/>
                    <w:adjustRightInd w:val="0"/>
                    <w:snapToGrid w:val="0"/>
                    <w:jc w:val="center"/>
                    <w:textAlignment w:val="center"/>
                    <w:rPr>
                      <w:color w:val="auto"/>
                      <w:kern w:val="0"/>
                    </w:rPr>
                  </w:pPr>
                  <w:r>
                    <w:rPr>
                      <w:color w:val="auto"/>
                      <w:kern w:val="0"/>
                    </w:rPr>
                    <w:t>本项目未在水产种</w:t>
                  </w:r>
                  <w:r>
                    <w:rPr>
                      <w:rFonts w:hint="eastAsia"/>
                      <w:color w:val="auto"/>
                      <w:kern w:val="0"/>
                    </w:rPr>
                    <w:t>质</w:t>
                  </w:r>
                  <w:r>
                    <w:rPr>
                      <w:color w:val="auto"/>
                      <w:kern w:val="0"/>
                    </w:rPr>
                    <w:t>资源保护区的岸线和河段范围内新建排污口，未有围湖造田、围海造地或围填海，不在国家湿地公园的岸线和河段范围内</w:t>
                  </w:r>
                </w:p>
              </w:tc>
              <w:tc>
                <w:tcPr>
                  <w:tcW w:w="536" w:type="pct"/>
                  <w:tcBorders>
                    <w:tl2br w:val="nil"/>
                    <w:tr2bl w:val="nil"/>
                  </w:tcBorders>
                  <w:vAlign w:val="center"/>
                </w:tcPr>
                <w:p w14:paraId="5851EA85">
                  <w:pPr>
                    <w:widowControl/>
                    <w:autoSpaceDE w:val="0"/>
                    <w:autoSpaceDN w:val="0"/>
                    <w:adjustRightInd w:val="0"/>
                    <w:snapToGrid w:val="0"/>
                    <w:jc w:val="center"/>
                    <w:textAlignment w:val="center"/>
                    <w:rPr>
                      <w:color w:val="auto"/>
                      <w:kern w:val="0"/>
                    </w:rPr>
                  </w:pPr>
                  <w:r>
                    <w:rPr>
                      <w:color w:val="auto"/>
                      <w:kern w:val="0"/>
                    </w:rPr>
                    <w:t>相符</w:t>
                  </w:r>
                </w:p>
              </w:tc>
            </w:tr>
            <w:tr w14:paraId="343A851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continue"/>
                  <w:tcBorders>
                    <w:tl2br w:val="nil"/>
                    <w:tr2bl w:val="nil"/>
                  </w:tcBorders>
                  <w:vAlign w:val="center"/>
                </w:tcPr>
                <w:p w14:paraId="47D2086C">
                  <w:pPr>
                    <w:widowControl/>
                    <w:autoSpaceDE w:val="0"/>
                    <w:autoSpaceDN w:val="0"/>
                    <w:adjustRightInd w:val="0"/>
                    <w:snapToGrid w:val="0"/>
                    <w:jc w:val="center"/>
                    <w:textAlignment w:val="center"/>
                    <w:rPr>
                      <w:color w:val="auto"/>
                      <w:kern w:val="0"/>
                    </w:rPr>
                  </w:pPr>
                </w:p>
              </w:tc>
              <w:tc>
                <w:tcPr>
                  <w:tcW w:w="2656" w:type="pct"/>
                  <w:tcBorders>
                    <w:tl2br w:val="nil"/>
                    <w:tr2bl w:val="nil"/>
                  </w:tcBorders>
                  <w:vAlign w:val="center"/>
                </w:tcPr>
                <w:p w14:paraId="4B3A2FBF">
                  <w:pPr>
                    <w:widowControl/>
                    <w:autoSpaceDE w:val="0"/>
                    <w:autoSpaceDN w:val="0"/>
                    <w:adjustRightInd w:val="0"/>
                    <w:snapToGrid w:val="0"/>
                    <w:jc w:val="center"/>
                    <w:textAlignment w:val="center"/>
                    <w:rPr>
                      <w:color w:val="auto"/>
                      <w:kern w:val="0"/>
                    </w:rPr>
                  </w:pPr>
                  <w:r>
                    <w:rPr>
                      <w:rFonts w:hint="eastAsia"/>
                      <w:color w:val="auto"/>
                      <w:kern w:val="0"/>
                    </w:rPr>
                    <w:t>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长江干支流基础设施项目应按照《长江岸线保护和开发利用总体规划》和生态环境保护、岸线保护等要求，按规定开展项目前期论证并办理相关手续。禁止在《全国重要江河湖泊水功能区划》划定的河段及湖泊保护区、保留区内投资建设不利于水资源及自然生态保护的项目。</w:t>
                  </w:r>
                </w:p>
              </w:tc>
              <w:tc>
                <w:tcPr>
                  <w:tcW w:w="1394" w:type="pct"/>
                  <w:tcBorders>
                    <w:tl2br w:val="nil"/>
                    <w:tr2bl w:val="nil"/>
                  </w:tcBorders>
                  <w:vAlign w:val="center"/>
                </w:tcPr>
                <w:p w14:paraId="0F0DBA49">
                  <w:pPr>
                    <w:widowControl/>
                    <w:autoSpaceDE w:val="0"/>
                    <w:autoSpaceDN w:val="0"/>
                    <w:adjustRightInd w:val="0"/>
                    <w:snapToGrid w:val="0"/>
                    <w:jc w:val="center"/>
                    <w:textAlignment w:val="center"/>
                    <w:rPr>
                      <w:color w:val="auto"/>
                      <w:kern w:val="0"/>
                    </w:rPr>
                  </w:pPr>
                  <w:r>
                    <w:rPr>
                      <w:rFonts w:hint="eastAsia"/>
                      <w:color w:val="auto"/>
                      <w:kern w:val="0"/>
                    </w:rPr>
                    <w:t>本</w:t>
                  </w:r>
                  <w:r>
                    <w:rPr>
                      <w:color w:val="auto"/>
                      <w:kern w:val="0"/>
                    </w:rPr>
                    <w:t>项目不在《长江岸线保护和开发利用总体规划》划定的岸线保护区内，也不在岸线保留区；项目不在《全国重要江河湖泊水功能区划》划定的河段保护区、保留区内</w:t>
                  </w:r>
                </w:p>
              </w:tc>
              <w:tc>
                <w:tcPr>
                  <w:tcW w:w="536" w:type="pct"/>
                  <w:tcBorders>
                    <w:tl2br w:val="nil"/>
                    <w:tr2bl w:val="nil"/>
                  </w:tcBorders>
                  <w:vAlign w:val="center"/>
                </w:tcPr>
                <w:p w14:paraId="5810C415">
                  <w:pPr>
                    <w:widowControl/>
                    <w:autoSpaceDE w:val="0"/>
                    <w:autoSpaceDN w:val="0"/>
                    <w:adjustRightInd w:val="0"/>
                    <w:snapToGrid w:val="0"/>
                    <w:jc w:val="center"/>
                    <w:textAlignment w:val="center"/>
                    <w:rPr>
                      <w:color w:val="auto"/>
                      <w:kern w:val="0"/>
                    </w:rPr>
                  </w:pPr>
                  <w:r>
                    <w:rPr>
                      <w:color w:val="auto"/>
                      <w:kern w:val="0"/>
                    </w:rPr>
                    <w:t>相符</w:t>
                  </w:r>
                </w:p>
              </w:tc>
            </w:tr>
            <w:tr w14:paraId="53250EE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continue"/>
                  <w:tcBorders>
                    <w:tl2br w:val="nil"/>
                    <w:tr2bl w:val="nil"/>
                  </w:tcBorders>
                  <w:vAlign w:val="center"/>
                </w:tcPr>
                <w:p w14:paraId="5E0EF44E">
                  <w:pPr>
                    <w:widowControl/>
                    <w:autoSpaceDE w:val="0"/>
                    <w:autoSpaceDN w:val="0"/>
                    <w:adjustRightInd w:val="0"/>
                    <w:snapToGrid w:val="0"/>
                    <w:jc w:val="center"/>
                    <w:textAlignment w:val="center"/>
                    <w:rPr>
                      <w:color w:val="auto"/>
                      <w:kern w:val="0"/>
                    </w:rPr>
                  </w:pPr>
                </w:p>
              </w:tc>
              <w:tc>
                <w:tcPr>
                  <w:tcW w:w="2656" w:type="pct"/>
                  <w:tcBorders>
                    <w:tl2br w:val="nil"/>
                    <w:tr2bl w:val="nil"/>
                  </w:tcBorders>
                  <w:vAlign w:val="center"/>
                </w:tcPr>
                <w:p w14:paraId="0AAEC6CD">
                  <w:pPr>
                    <w:widowControl/>
                    <w:autoSpaceDE w:val="0"/>
                    <w:autoSpaceDN w:val="0"/>
                    <w:adjustRightInd w:val="0"/>
                    <w:snapToGrid w:val="0"/>
                    <w:jc w:val="center"/>
                    <w:textAlignment w:val="center"/>
                    <w:rPr>
                      <w:color w:val="auto"/>
                      <w:kern w:val="0"/>
                    </w:rPr>
                  </w:pPr>
                  <w:r>
                    <w:rPr>
                      <w:rFonts w:hint="eastAsia"/>
                      <w:color w:val="auto"/>
                      <w:kern w:val="0"/>
                    </w:rPr>
                    <w:t>6.禁止未经许可在长江干支流及湖泊新设、改设或扩大排污口。</w:t>
                  </w:r>
                </w:p>
              </w:tc>
              <w:tc>
                <w:tcPr>
                  <w:tcW w:w="1394" w:type="pct"/>
                  <w:tcBorders>
                    <w:tl2br w:val="nil"/>
                    <w:tr2bl w:val="nil"/>
                  </w:tcBorders>
                  <w:vAlign w:val="center"/>
                </w:tcPr>
                <w:p w14:paraId="7F43F929">
                  <w:pPr>
                    <w:widowControl/>
                    <w:autoSpaceDE w:val="0"/>
                    <w:autoSpaceDN w:val="0"/>
                    <w:adjustRightInd w:val="0"/>
                    <w:snapToGrid w:val="0"/>
                    <w:jc w:val="center"/>
                    <w:textAlignment w:val="center"/>
                    <w:rPr>
                      <w:color w:val="auto"/>
                      <w:kern w:val="0"/>
                    </w:rPr>
                  </w:pPr>
                  <w:r>
                    <w:rPr>
                      <w:rFonts w:hint="eastAsia"/>
                      <w:color w:val="auto"/>
                      <w:kern w:val="0"/>
                    </w:rPr>
                    <w:t>本</w:t>
                  </w:r>
                  <w:r>
                    <w:rPr>
                      <w:color w:val="auto"/>
                      <w:kern w:val="0"/>
                    </w:rPr>
                    <w:t>项目不</w:t>
                  </w:r>
                  <w:r>
                    <w:rPr>
                      <w:rFonts w:hint="eastAsia"/>
                      <w:color w:val="auto"/>
                      <w:kern w:val="0"/>
                    </w:rPr>
                    <w:t>在长江干支流及湖泊新设、改设或扩大排污口</w:t>
                  </w:r>
                </w:p>
              </w:tc>
              <w:tc>
                <w:tcPr>
                  <w:tcW w:w="536" w:type="pct"/>
                  <w:tcBorders>
                    <w:tl2br w:val="nil"/>
                    <w:tr2bl w:val="nil"/>
                  </w:tcBorders>
                  <w:vAlign w:val="center"/>
                </w:tcPr>
                <w:p w14:paraId="3E614ABB">
                  <w:pPr>
                    <w:widowControl/>
                    <w:autoSpaceDE w:val="0"/>
                    <w:autoSpaceDN w:val="0"/>
                    <w:adjustRightInd w:val="0"/>
                    <w:snapToGrid w:val="0"/>
                    <w:jc w:val="center"/>
                    <w:textAlignment w:val="center"/>
                    <w:rPr>
                      <w:color w:val="auto"/>
                      <w:kern w:val="0"/>
                    </w:rPr>
                  </w:pPr>
                  <w:r>
                    <w:rPr>
                      <w:color w:val="auto"/>
                      <w:kern w:val="0"/>
                    </w:rPr>
                    <w:t>相符</w:t>
                  </w:r>
                </w:p>
              </w:tc>
            </w:tr>
            <w:tr w14:paraId="11386CC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restart"/>
                  <w:tcBorders>
                    <w:tl2br w:val="nil"/>
                    <w:tr2bl w:val="nil"/>
                  </w:tcBorders>
                  <w:vAlign w:val="center"/>
                </w:tcPr>
                <w:p w14:paraId="12F067DB">
                  <w:pPr>
                    <w:widowControl/>
                    <w:autoSpaceDE w:val="0"/>
                    <w:autoSpaceDN w:val="0"/>
                    <w:adjustRightInd w:val="0"/>
                    <w:snapToGrid w:val="0"/>
                    <w:jc w:val="center"/>
                    <w:textAlignment w:val="center"/>
                    <w:rPr>
                      <w:color w:val="auto"/>
                      <w:kern w:val="0"/>
                    </w:rPr>
                  </w:pPr>
                  <w:r>
                    <w:rPr>
                      <w:rFonts w:hint="eastAsia"/>
                      <w:color w:val="auto"/>
                      <w:kern w:val="0"/>
                    </w:rPr>
                    <w:t>二、区域活动</w:t>
                  </w:r>
                </w:p>
              </w:tc>
              <w:tc>
                <w:tcPr>
                  <w:tcW w:w="2656" w:type="pct"/>
                  <w:tcBorders>
                    <w:tl2br w:val="nil"/>
                    <w:tr2bl w:val="nil"/>
                  </w:tcBorders>
                  <w:vAlign w:val="center"/>
                </w:tcPr>
                <w:p w14:paraId="5F970A0A">
                  <w:pPr>
                    <w:widowControl/>
                    <w:autoSpaceDE w:val="0"/>
                    <w:autoSpaceDN w:val="0"/>
                    <w:adjustRightInd w:val="0"/>
                    <w:snapToGrid w:val="0"/>
                    <w:jc w:val="center"/>
                    <w:textAlignment w:val="center"/>
                    <w:rPr>
                      <w:color w:val="auto"/>
                      <w:kern w:val="0"/>
                    </w:rPr>
                  </w:pPr>
                  <w:r>
                    <w:rPr>
                      <w:rFonts w:hint="eastAsia"/>
                      <w:color w:val="auto"/>
                      <w:kern w:val="0"/>
                    </w:rPr>
                    <w:t>7.禁止长江干流、长江口、34个列入《率先全面禁捕的长江流域水生生物保护区名录》的水生生物保护区以及省规定的其它禁渔水域开展生产性捕捞。</w:t>
                  </w:r>
                </w:p>
              </w:tc>
              <w:tc>
                <w:tcPr>
                  <w:tcW w:w="1394" w:type="pct"/>
                  <w:tcBorders>
                    <w:tl2br w:val="nil"/>
                    <w:tr2bl w:val="nil"/>
                  </w:tcBorders>
                  <w:vAlign w:val="center"/>
                </w:tcPr>
                <w:p w14:paraId="56373E35">
                  <w:pPr>
                    <w:widowControl/>
                    <w:autoSpaceDE w:val="0"/>
                    <w:autoSpaceDN w:val="0"/>
                    <w:adjustRightInd w:val="0"/>
                    <w:snapToGrid w:val="0"/>
                    <w:jc w:val="center"/>
                    <w:textAlignment w:val="center"/>
                    <w:rPr>
                      <w:color w:val="auto"/>
                      <w:kern w:val="0"/>
                    </w:rPr>
                  </w:pPr>
                  <w:r>
                    <w:rPr>
                      <w:rFonts w:hint="eastAsia"/>
                      <w:color w:val="auto"/>
                      <w:kern w:val="0"/>
                    </w:rPr>
                    <w:t>本项目不开展生产性捕捞活动</w:t>
                  </w:r>
                </w:p>
              </w:tc>
              <w:tc>
                <w:tcPr>
                  <w:tcW w:w="536" w:type="pct"/>
                  <w:tcBorders>
                    <w:tl2br w:val="nil"/>
                    <w:tr2bl w:val="nil"/>
                  </w:tcBorders>
                  <w:vAlign w:val="center"/>
                </w:tcPr>
                <w:p w14:paraId="4C02B7B1">
                  <w:pPr>
                    <w:widowControl/>
                    <w:autoSpaceDE w:val="0"/>
                    <w:autoSpaceDN w:val="0"/>
                    <w:adjustRightInd w:val="0"/>
                    <w:snapToGrid w:val="0"/>
                    <w:jc w:val="center"/>
                    <w:textAlignment w:val="center"/>
                    <w:rPr>
                      <w:color w:val="auto"/>
                      <w:kern w:val="0"/>
                    </w:rPr>
                  </w:pPr>
                  <w:r>
                    <w:rPr>
                      <w:color w:val="auto"/>
                      <w:kern w:val="0"/>
                    </w:rPr>
                    <w:t>相符</w:t>
                  </w:r>
                </w:p>
              </w:tc>
            </w:tr>
            <w:tr w14:paraId="11997A3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continue"/>
                  <w:tcBorders>
                    <w:tl2br w:val="nil"/>
                    <w:tr2bl w:val="nil"/>
                  </w:tcBorders>
                  <w:vAlign w:val="center"/>
                </w:tcPr>
                <w:p w14:paraId="1A27D4DC">
                  <w:pPr>
                    <w:widowControl/>
                    <w:autoSpaceDE w:val="0"/>
                    <w:autoSpaceDN w:val="0"/>
                    <w:adjustRightInd w:val="0"/>
                    <w:snapToGrid w:val="0"/>
                    <w:jc w:val="center"/>
                    <w:textAlignment w:val="center"/>
                    <w:rPr>
                      <w:color w:val="auto"/>
                      <w:kern w:val="0"/>
                    </w:rPr>
                  </w:pPr>
                </w:p>
              </w:tc>
              <w:tc>
                <w:tcPr>
                  <w:tcW w:w="2656" w:type="pct"/>
                  <w:tcBorders>
                    <w:tl2br w:val="nil"/>
                    <w:tr2bl w:val="nil"/>
                  </w:tcBorders>
                  <w:vAlign w:val="center"/>
                </w:tcPr>
                <w:p w14:paraId="4A9E9F9C">
                  <w:pPr>
                    <w:widowControl/>
                    <w:autoSpaceDE w:val="0"/>
                    <w:autoSpaceDN w:val="0"/>
                    <w:adjustRightInd w:val="0"/>
                    <w:snapToGrid w:val="0"/>
                    <w:jc w:val="center"/>
                    <w:textAlignment w:val="center"/>
                    <w:rPr>
                      <w:color w:val="auto"/>
                      <w:kern w:val="0"/>
                    </w:rPr>
                  </w:pPr>
                  <w:r>
                    <w:rPr>
                      <w:rFonts w:hint="eastAsia"/>
                      <w:color w:val="auto"/>
                      <w:kern w:val="0"/>
                    </w:rPr>
                    <w:t>8.禁止在距离长江干支流岸线一公里范围内新建、扩建化工园区和化工项目。长江干支流一公里按照长江干支流岸线边界（即水利部门河道管理范围边界）向陆域纵深一公里执行。</w:t>
                  </w:r>
                </w:p>
              </w:tc>
              <w:tc>
                <w:tcPr>
                  <w:tcW w:w="1394" w:type="pct"/>
                  <w:tcBorders>
                    <w:tl2br w:val="nil"/>
                    <w:tr2bl w:val="nil"/>
                  </w:tcBorders>
                  <w:vAlign w:val="center"/>
                </w:tcPr>
                <w:p w14:paraId="2237DEDB">
                  <w:pPr>
                    <w:widowControl/>
                    <w:autoSpaceDE w:val="0"/>
                    <w:autoSpaceDN w:val="0"/>
                    <w:adjustRightInd w:val="0"/>
                    <w:snapToGrid w:val="0"/>
                    <w:jc w:val="center"/>
                    <w:textAlignment w:val="center"/>
                    <w:rPr>
                      <w:color w:val="auto"/>
                      <w:kern w:val="0"/>
                    </w:rPr>
                  </w:pPr>
                  <w:r>
                    <w:rPr>
                      <w:rFonts w:hint="eastAsia"/>
                      <w:color w:val="auto"/>
                      <w:kern w:val="0"/>
                    </w:rPr>
                    <w:t>本项目不在长江干支流岸线一公里范围内</w:t>
                  </w:r>
                </w:p>
              </w:tc>
              <w:tc>
                <w:tcPr>
                  <w:tcW w:w="536" w:type="pct"/>
                  <w:tcBorders>
                    <w:tl2br w:val="nil"/>
                    <w:tr2bl w:val="nil"/>
                  </w:tcBorders>
                  <w:vAlign w:val="center"/>
                </w:tcPr>
                <w:p w14:paraId="6DE11AF9">
                  <w:pPr>
                    <w:widowControl/>
                    <w:autoSpaceDE w:val="0"/>
                    <w:autoSpaceDN w:val="0"/>
                    <w:adjustRightInd w:val="0"/>
                    <w:snapToGrid w:val="0"/>
                    <w:jc w:val="center"/>
                    <w:textAlignment w:val="center"/>
                    <w:rPr>
                      <w:color w:val="auto"/>
                      <w:kern w:val="0"/>
                    </w:rPr>
                  </w:pPr>
                  <w:r>
                    <w:rPr>
                      <w:color w:val="auto"/>
                      <w:kern w:val="0"/>
                    </w:rPr>
                    <w:t>相符</w:t>
                  </w:r>
                </w:p>
              </w:tc>
            </w:tr>
            <w:tr w14:paraId="7C31026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continue"/>
                  <w:tcBorders>
                    <w:tl2br w:val="nil"/>
                    <w:tr2bl w:val="nil"/>
                  </w:tcBorders>
                  <w:vAlign w:val="center"/>
                </w:tcPr>
                <w:p w14:paraId="33315A4A">
                  <w:pPr>
                    <w:widowControl/>
                    <w:autoSpaceDE w:val="0"/>
                    <w:autoSpaceDN w:val="0"/>
                    <w:adjustRightInd w:val="0"/>
                    <w:snapToGrid w:val="0"/>
                    <w:jc w:val="center"/>
                    <w:textAlignment w:val="center"/>
                    <w:rPr>
                      <w:color w:val="auto"/>
                      <w:kern w:val="0"/>
                    </w:rPr>
                  </w:pPr>
                </w:p>
              </w:tc>
              <w:tc>
                <w:tcPr>
                  <w:tcW w:w="2656" w:type="pct"/>
                  <w:tcBorders>
                    <w:tl2br w:val="nil"/>
                    <w:tr2bl w:val="nil"/>
                  </w:tcBorders>
                  <w:vAlign w:val="center"/>
                </w:tcPr>
                <w:p w14:paraId="15377715">
                  <w:pPr>
                    <w:widowControl/>
                    <w:autoSpaceDE w:val="0"/>
                    <w:autoSpaceDN w:val="0"/>
                    <w:adjustRightInd w:val="0"/>
                    <w:snapToGrid w:val="0"/>
                    <w:jc w:val="center"/>
                    <w:textAlignment w:val="center"/>
                    <w:rPr>
                      <w:color w:val="auto"/>
                      <w:kern w:val="0"/>
                    </w:rPr>
                  </w:pPr>
                  <w:r>
                    <w:rPr>
                      <w:rFonts w:hint="eastAsia"/>
                      <w:color w:val="auto"/>
                      <w:kern w:val="0"/>
                    </w:rPr>
                    <w:t>9.禁止在长江干流岸线三公里范围内新建、改建、扩建尾矿库、冶炼渣库和磷石膏库，以提升安全、生态环境保护水平为目的的改建除外。</w:t>
                  </w:r>
                </w:p>
              </w:tc>
              <w:tc>
                <w:tcPr>
                  <w:tcW w:w="1394" w:type="pct"/>
                  <w:tcBorders>
                    <w:tl2br w:val="nil"/>
                    <w:tr2bl w:val="nil"/>
                  </w:tcBorders>
                  <w:vAlign w:val="center"/>
                </w:tcPr>
                <w:p w14:paraId="48C71D58">
                  <w:pPr>
                    <w:widowControl/>
                    <w:autoSpaceDE w:val="0"/>
                    <w:autoSpaceDN w:val="0"/>
                    <w:adjustRightInd w:val="0"/>
                    <w:snapToGrid w:val="0"/>
                    <w:jc w:val="center"/>
                    <w:textAlignment w:val="center"/>
                    <w:rPr>
                      <w:color w:val="auto"/>
                      <w:kern w:val="0"/>
                    </w:rPr>
                  </w:pPr>
                  <w:r>
                    <w:rPr>
                      <w:rFonts w:hint="eastAsia"/>
                      <w:color w:val="auto"/>
                      <w:kern w:val="0"/>
                    </w:rPr>
                    <w:t>本项目不在长江干流岸线三公里范围内</w:t>
                  </w:r>
                </w:p>
              </w:tc>
              <w:tc>
                <w:tcPr>
                  <w:tcW w:w="536" w:type="pct"/>
                  <w:tcBorders>
                    <w:tl2br w:val="nil"/>
                    <w:tr2bl w:val="nil"/>
                  </w:tcBorders>
                  <w:vAlign w:val="center"/>
                </w:tcPr>
                <w:p w14:paraId="384D8BB0">
                  <w:pPr>
                    <w:widowControl/>
                    <w:autoSpaceDE w:val="0"/>
                    <w:autoSpaceDN w:val="0"/>
                    <w:adjustRightInd w:val="0"/>
                    <w:snapToGrid w:val="0"/>
                    <w:jc w:val="center"/>
                    <w:textAlignment w:val="center"/>
                    <w:rPr>
                      <w:color w:val="auto"/>
                      <w:kern w:val="0"/>
                    </w:rPr>
                  </w:pPr>
                  <w:r>
                    <w:rPr>
                      <w:color w:val="auto"/>
                      <w:kern w:val="0"/>
                    </w:rPr>
                    <w:t>相符</w:t>
                  </w:r>
                </w:p>
              </w:tc>
            </w:tr>
            <w:tr w14:paraId="1E982B5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continue"/>
                  <w:tcBorders>
                    <w:tl2br w:val="nil"/>
                    <w:tr2bl w:val="nil"/>
                  </w:tcBorders>
                  <w:vAlign w:val="center"/>
                </w:tcPr>
                <w:p w14:paraId="4A115621">
                  <w:pPr>
                    <w:widowControl/>
                    <w:autoSpaceDE w:val="0"/>
                    <w:autoSpaceDN w:val="0"/>
                    <w:adjustRightInd w:val="0"/>
                    <w:snapToGrid w:val="0"/>
                    <w:jc w:val="center"/>
                    <w:textAlignment w:val="center"/>
                    <w:rPr>
                      <w:color w:val="auto"/>
                      <w:kern w:val="0"/>
                    </w:rPr>
                  </w:pPr>
                </w:p>
              </w:tc>
              <w:tc>
                <w:tcPr>
                  <w:tcW w:w="2656" w:type="pct"/>
                  <w:tcBorders>
                    <w:tl2br w:val="nil"/>
                    <w:tr2bl w:val="nil"/>
                  </w:tcBorders>
                  <w:vAlign w:val="center"/>
                </w:tcPr>
                <w:p w14:paraId="7605CC6D">
                  <w:pPr>
                    <w:widowControl/>
                    <w:autoSpaceDE w:val="0"/>
                    <w:autoSpaceDN w:val="0"/>
                    <w:adjustRightInd w:val="0"/>
                    <w:snapToGrid w:val="0"/>
                    <w:jc w:val="center"/>
                    <w:textAlignment w:val="center"/>
                    <w:rPr>
                      <w:color w:val="auto"/>
                      <w:kern w:val="0"/>
                    </w:rPr>
                  </w:pPr>
                  <w:r>
                    <w:rPr>
                      <w:rFonts w:hint="eastAsia"/>
                      <w:color w:val="auto"/>
                      <w:kern w:val="0"/>
                    </w:rPr>
                    <w:t>10.禁止在太湖流域一、二、三级保护区内开展《江苏省太湖水污染防治条例》禁止的投资建设活动。</w:t>
                  </w:r>
                </w:p>
              </w:tc>
              <w:tc>
                <w:tcPr>
                  <w:tcW w:w="1394" w:type="pct"/>
                  <w:tcBorders>
                    <w:tl2br w:val="nil"/>
                    <w:tr2bl w:val="nil"/>
                  </w:tcBorders>
                  <w:vAlign w:val="center"/>
                </w:tcPr>
                <w:p w14:paraId="49C7A21B">
                  <w:pPr>
                    <w:widowControl/>
                    <w:autoSpaceDE w:val="0"/>
                    <w:autoSpaceDN w:val="0"/>
                    <w:adjustRightInd w:val="0"/>
                    <w:snapToGrid w:val="0"/>
                    <w:jc w:val="center"/>
                    <w:textAlignment w:val="center"/>
                    <w:rPr>
                      <w:color w:val="auto"/>
                      <w:kern w:val="0"/>
                    </w:rPr>
                  </w:pPr>
                  <w:r>
                    <w:rPr>
                      <w:rFonts w:hint="eastAsia"/>
                      <w:color w:val="auto"/>
                      <w:kern w:val="0"/>
                    </w:rPr>
                    <w:t>本项目不属于太湖流域保护区范围</w:t>
                  </w:r>
                </w:p>
              </w:tc>
              <w:tc>
                <w:tcPr>
                  <w:tcW w:w="536" w:type="pct"/>
                  <w:tcBorders>
                    <w:tl2br w:val="nil"/>
                    <w:tr2bl w:val="nil"/>
                  </w:tcBorders>
                  <w:vAlign w:val="center"/>
                </w:tcPr>
                <w:p w14:paraId="24FF2CB1">
                  <w:pPr>
                    <w:widowControl/>
                    <w:autoSpaceDE w:val="0"/>
                    <w:autoSpaceDN w:val="0"/>
                    <w:adjustRightInd w:val="0"/>
                    <w:snapToGrid w:val="0"/>
                    <w:jc w:val="center"/>
                    <w:textAlignment w:val="center"/>
                    <w:rPr>
                      <w:color w:val="auto"/>
                      <w:kern w:val="0"/>
                    </w:rPr>
                  </w:pPr>
                  <w:r>
                    <w:rPr>
                      <w:color w:val="auto"/>
                      <w:kern w:val="0"/>
                    </w:rPr>
                    <w:t>相符</w:t>
                  </w:r>
                </w:p>
              </w:tc>
            </w:tr>
            <w:tr w14:paraId="767BC72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continue"/>
                  <w:tcBorders>
                    <w:tl2br w:val="nil"/>
                    <w:tr2bl w:val="nil"/>
                  </w:tcBorders>
                  <w:vAlign w:val="center"/>
                </w:tcPr>
                <w:p w14:paraId="073A7893">
                  <w:pPr>
                    <w:widowControl/>
                    <w:autoSpaceDE w:val="0"/>
                    <w:autoSpaceDN w:val="0"/>
                    <w:adjustRightInd w:val="0"/>
                    <w:snapToGrid w:val="0"/>
                    <w:jc w:val="center"/>
                    <w:textAlignment w:val="center"/>
                    <w:rPr>
                      <w:color w:val="auto"/>
                      <w:kern w:val="0"/>
                    </w:rPr>
                  </w:pPr>
                </w:p>
              </w:tc>
              <w:tc>
                <w:tcPr>
                  <w:tcW w:w="2656" w:type="pct"/>
                  <w:tcBorders>
                    <w:tl2br w:val="nil"/>
                    <w:tr2bl w:val="nil"/>
                  </w:tcBorders>
                  <w:vAlign w:val="center"/>
                </w:tcPr>
                <w:p w14:paraId="4FA13BDE">
                  <w:pPr>
                    <w:widowControl/>
                    <w:autoSpaceDE w:val="0"/>
                    <w:autoSpaceDN w:val="0"/>
                    <w:adjustRightInd w:val="0"/>
                    <w:snapToGrid w:val="0"/>
                    <w:jc w:val="center"/>
                    <w:textAlignment w:val="center"/>
                    <w:rPr>
                      <w:color w:val="auto"/>
                      <w:kern w:val="0"/>
                    </w:rPr>
                  </w:pPr>
                  <w:r>
                    <w:rPr>
                      <w:rFonts w:hint="eastAsia"/>
                      <w:color w:val="auto"/>
                      <w:kern w:val="0"/>
                    </w:rPr>
                    <w:t>11.禁止在沿江地区新建、扩建未纳入国家和省布局规划的燃煤发电项目。</w:t>
                  </w:r>
                </w:p>
              </w:tc>
              <w:tc>
                <w:tcPr>
                  <w:tcW w:w="1394" w:type="pct"/>
                  <w:tcBorders>
                    <w:tl2br w:val="nil"/>
                    <w:tr2bl w:val="nil"/>
                  </w:tcBorders>
                  <w:vAlign w:val="center"/>
                </w:tcPr>
                <w:p w14:paraId="5EFF8813">
                  <w:pPr>
                    <w:widowControl/>
                    <w:autoSpaceDE w:val="0"/>
                    <w:autoSpaceDN w:val="0"/>
                    <w:adjustRightInd w:val="0"/>
                    <w:snapToGrid w:val="0"/>
                    <w:jc w:val="center"/>
                    <w:textAlignment w:val="center"/>
                    <w:rPr>
                      <w:color w:val="auto"/>
                      <w:kern w:val="0"/>
                    </w:rPr>
                  </w:pPr>
                  <w:r>
                    <w:rPr>
                      <w:rFonts w:hint="eastAsia"/>
                      <w:color w:val="auto"/>
                      <w:kern w:val="0"/>
                    </w:rPr>
                    <w:t>本项目不属于燃煤发电项目</w:t>
                  </w:r>
                </w:p>
              </w:tc>
              <w:tc>
                <w:tcPr>
                  <w:tcW w:w="536" w:type="pct"/>
                  <w:tcBorders>
                    <w:tl2br w:val="nil"/>
                    <w:tr2bl w:val="nil"/>
                  </w:tcBorders>
                  <w:vAlign w:val="center"/>
                </w:tcPr>
                <w:p w14:paraId="6F7F7060">
                  <w:pPr>
                    <w:widowControl/>
                    <w:autoSpaceDE w:val="0"/>
                    <w:autoSpaceDN w:val="0"/>
                    <w:adjustRightInd w:val="0"/>
                    <w:snapToGrid w:val="0"/>
                    <w:jc w:val="center"/>
                    <w:textAlignment w:val="center"/>
                    <w:rPr>
                      <w:color w:val="auto"/>
                      <w:kern w:val="0"/>
                    </w:rPr>
                  </w:pPr>
                  <w:r>
                    <w:rPr>
                      <w:color w:val="auto"/>
                      <w:kern w:val="0"/>
                    </w:rPr>
                    <w:t>相符</w:t>
                  </w:r>
                </w:p>
              </w:tc>
            </w:tr>
            <w:tr w14:paraId="30064B8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continue"/>
                  <w:tcBorders>
                    <w:tl2br w:val="nil"/>
                    <w:tr2bl w:val="nil"/>
                  </w:tcBorders>
                  <w:vAlign w:val="center"/>
                </w:tcPr>
                <w:p w14:paraId="2037A641">
                  <w:pPr>
                    <w:widowControl/>
                    <w:autoSpaceDE w:val="0"/>
                    <w:autoSpaceDN w:val="0"/>
                    <w:adjustRightInd w:val="0"/>
                    <w:snapToGrid w:val="0"/>
                    <w:jc w:val="center"/>
                    <w:textAlignment w:val="center"/>
                    <w:rPr>
                      <w:color w:val="auto"/>
                      <w:kern w:val="0"/>
                    </w:rPr>
                  </w:pPr>
                </w:p>
              </w:tc>
              <w:tc>
                <w:tcPr>
                  <w:tcW w:w="2656" w:type="pct"/>
                  <w:tcBorders>
                    <w:tl2br w:val="nil"/>
                    <w:tr2bl w:val="nil"/>
                  </w:tcBorders>
                  <w:vAlign w:val="center"/>
                </w:tcPr>
                <w:p w14:paraId="3B801FBD">
                  <w:pPr>
                    <w:widowControl/>
                    <w:autoSpaceDE w:val="0"/>
                    <w:autoSpaceDN w:val="0"/>
                    <w:adjustRightInd w:val="0"/>
                    <w:snapToGrid w:val="0"/>
                    <w:jc w:val="center"/>
                    <w:textAlignment w:val="center"/>
                    <w:rPr>
                      <w:color w:val="auto"/>
                      <w:kern w:val="0"/>
                    </w:rPr>
                  </w:pPr>
                  <w:r>
                    <w:rPr>
                      <w:rFonts w:hint="eastAsia"/>
                      <w:color w:val="auto"/>
                      <w:kern w:val="0"/>
                    </w:rPr>
                    <w:t>12.禁止在合规园区外新建、扩建钢铁、石化、化工、焦化、建材、有色、制浆造纸等高污染项目。合规园区名录按照《〈长江经济带发展负面清单指南（试行，2022年版）&gt;江苏省实施细则合规园区名录》执行。</w:t>
                  </w:r>
                </w:p>
              </w:tc>
              <w:tc>
                <w:tcPr>
                  <w:tcW w:w="1394" w:type="pct"/>
                  <w:tcBorders>
                    <w:tl2br w:val="nil"/>
                    <w:tr2bl w:val="nil"/>
                  </w:tcBorders>
                  <w:vAlign w:val="center"/>
                </w:tcPr>
                <w:p w14:paraId="48FF89C1">
                  <w:pPr>
                    <w:widowControl/>
                    <w:autoSpaceDE w:val="0"/>
                    <w:autoSpaceDN w:val="0"/>
                    <w:adjustRightInd w:val="0"/>
                    <w:snapToGrid w:val="0"/>
                    <w:jc w:val="center"/>
                    <w:textAlignment w:val="center"/>
                    <w:rPr>
                      <w:color w:val="auto"/>
                      <w:kern w:val="0"/>
                    </w:rPr>
                  </w:pPr>
                  <w:r>
                    <w:rPr>
                      <w:rFonts w:hint="eastAsia"/>
                      <w:color w:val="auto"/>
                      <w:kern w:val="0"/>
                    </w:rPr>
                    <w:t>本项目不属于钢铁、石化、化工、焦化、建材、有色、制浆造纸等高污染项目</w:t>
                  </w:r>
                </w:p>
              </w:tc>
              <w:tc>
                <w:tcPr>
                  <w:tcW w:w="536" w:type="pct"/>
                  <w:tcBorders>
                    <w:tl2br w:val="nil"/>
                    <w:tr2bl w:val="nil"/>
                  </w:tcBorders>
                  <w:vAlign w:val="center"/>
                </w:tcPr>
                <w:p w14:paraId="75B046DE">
                  <w:pPr>
                    <w:widowControl/>
                    <w:autoSpaceDE w:val="0"/>
                    <w:autoSpaceDN w:val="0"/>
                    <w:adjustRightInd w:val="0"/>
                    <w:snapToGrid w:val="0"/>
                    <w:jc w:val="center"/>
                    <w:textAlignment w:val="center"/>
                    <w:rPr>
                      <w:color w:val="auto"/>
                      <w:kern w:val="0"/>
                    </w:rPr>
                  </w:pPr>
                  <w:r>
                    <w:rPr>
                      <w:color w:val="auto"/>
                      <w:kern w:val="0"/>
                    </w:rPr>
                    <w:t>相符</w:t>
                  </w:r>
                </w:p>
              </w:tc>
            </w:tr>
            <w:tr w14:paraId="2A402E5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continue"/>
                  <w:tcBorders>
                    <w:tl2br w:val="nil"/>
                    <w:tr2bl w:val="nil"/>
                  </w:tcBorders>
                  <w:vAlign w:val="center"/>
                </w:tcPr>
                <w:p w14:paraId="2600734B">
                  <w:pPr>
                    <w:widowControl/>
                    <w:autoSpaceDE w:val="0"/>
                    <w:autoSpaceDN w:val="0"/>
                    <w:adjustRightInd w:val="0"/>
                    <w:snapToGrid w:val="0"/>
                    <w:jc w:val="center"/>
                    <w:textAlignment w:val="center"/>
                    <w:rPr>
                      <w:color w:val="auto"/>
                      <w:kern w:val="0"/>
                    </w:rPr>
                  </w:pPr>
                </w:p>
              </w:tc>
              <w:tc>
                <w:tcPr>
                  <w:tcW w:w="2656" w:type="pct"/>
                  <w:tcBorders>
                    <w:tl2br w:val="nil"/>
                    <w:tr2bl w:val="nil"/>
                  </w:tcBorders>
                  <w:vAlign w:val="center"/>
                </w:tcPr>
                <w:p w14:paraId="23E9B6D9">
                  <w:pPr>
                    <w:widowControl/>
                    <w:autoSpaceDE w:val="0"/>
                    <w:autoSpaceDN w:val="0"/>
                    <w:adjustRightInd w:val="0"/>
                    <w:snapToGrid w:val="0"/>
                    <w:jc w:val="center"/>
                    <w:textAlignment w:val="center"/>
                    <w:rPr>
                      <w:color w:val="auto"/>
                      <w:kern w:val="0"/>
                    </w:rPr>
                  </w:pPr>
                  <w:r>
                    <w:rPr>
                      <w:rFonts w:hint="eastAsia"/>
                      <w:color w:val="auto"/>
                      <w:kern w:val="0"/>
                    </w:rPr>
                    <w:t>13.禁止在取消化工定位的园区（集中区）内新建化工项目。</w:t>
                  </w:r>
                </w:p>
              </w:tc>
              <w:tc>
                <w:tcPr>
                  <w:tcW w:w="1394" w:type="pct"/>
                  <w:tcBorders>
                    <w:tl2br w:val="nil"/>
                    <w:tr2bl w:val="nil"/>
                  </w:tcBorders>
                  <w:vAlign w:val="center"/>
                </w:tcPr>
                <w:p w14:paraId="4A16EE2A">
                  <w:pPr>
                    <w:widowControl/>
                    <w:autoSpaceDE w:val="0"/>
                    <w:autoSpaceDN w:val="0"/>
                    <w:adjustRightInd w:val="0"/>
                    <w:snapToGrid w:val="0"/>
                    <w:jc w:val="center"/>
                    <w:textAlignment w:val="center"/>
                    <w:rPr>
                      <w:color w:val="auto"/>
                      <w:kern w:val="0"/>
                    </w:rPr>
                  </w:pPr>
                  <w:r>
                    <w:rPr>
                      <w:rFonts w:hint="eastAsia"/>
                      <w:color w:val="auto"/>
                      <w:kern w:val="0"/>
                    </w:rPr>
                    <w:t>本项目不属于化工项目</w:t>
                  </w:r>
                </w:p>
              </w:tc>
              <w:tc>
                <w:tcPr>
                  <w:tcW w:w="536" w:type="pct"/>
                  <w:tcBorders>
                    <w:tl2br w:val="nil"/>
                    <w:tr2bl w:val="nil"/>
                  </w:tcBorders>
                  <w:vAlign w:val="center"/>
                </w:tcPr>
                <w:p w14:paraId="2E0775F7">
                  <w:pPr>
                    <w:widowControl/>
                    <w:autoSpaceDE w:val="0"/>
                    <w:autoSpaceDN w:val="0"/>
                    <w:adjustRightInd w:val="0"/>
                    <w:snapToGrid w:val="0"/>
                    <w:jc w:val="center"/>
                    <w:textAlignment w:val="center"/>
                    <w:rPr>
                      <w:color w:val="auto"/>
                      <w:kern w:val="0"/>
                    </w:rPr>
                  </w:pPr>
                  <w:r>
                    <w:rPr>
                      <w:color w:val="auto"/>
                      <w:kern w:val="0"/>
                    </w:rPr>
                    <w:t>相符</w:t>
                  </w:r>
                </w:p>
              </w:tc>
            </w:tr>
            <w:tr w14:paraId="0945D28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continue"/>
                  <w:tcBorders>
                    <w:tl2br w:val="nil"/>
                    <w:tr2bl w:val="nil"/>
                  </w:tcBorders>
                  <w:vAlign w:val="center"/>
                </w:tcPr>
                <w:p w14:paraId="5E8BFBB2">
                  <w:pPr>
                    <w:widowControl/>
                    <w:autoSpaceDE w:val="0"/>
                    <w:autoSpaceDN w:val="0"/>
                    <w:adjustRightInd w:val="0"/>
                    <w:snapToGrid w:val="0"/>
                    <w:jc w:val="center"/>
                    <w:textAlignment w:val="center"/>
                    <w:rPr>
                      <w:color w:val="auto"/>
                      <w:kern w:val="0"/>
                    </w:rPr>
                  </w:pPr>
                </w:p>
              </w:tc>
              <w:tc>
                <w:tcPr>
                  <w:tcW w:w="2656" w:type="pct"/>
                  <w:tcBorders>
                    <w:tl2br w:val="nil"/>
                    <w:tr2bl w:val="nil"/>
                  </w:tcBorders>
                  <w:vAlign w:val="center"/>
                </w:tcPr>
                <w:p w14:paraId="0841F1E5">
                  <w:pPr>
                    <w:widowControl/>
                    <w:autoSpaceDE w:val="0"/>
                    <w:autoSpaceDN w:val="0"/>
                    <w:adjustRightInd w:val="0"/>
                    <w:snapToGrid w:val="0"/>
                    <w:jc w:val="center"/>
                    <w:textAlignment w:val="center"/>
                    <w:rPr>
                      <w:color w:val="auto"/>
                      <w:kern w:val="0"/>
                    </w:rPr>
                  </w:pPr>
                  <w:r>
                    <w:rPr>
                      <w:rFonts w:hint="eastAsia"/>
                      <w:color w:val="auto"/>
                      <w:kern w:val="0"/>
                    </w:rPr>
                    <w:t>14.禁止在化工企业周边建设不符合安全距离规定的劳动密集型的非化工项目和其他人员密集的公共设施项目。</w:t>
                  </w:r>
                </w:p>
              </w:tc>
              <w:tc>
                <w:tcPr>
                  <w:tcW w:w="1394" w:type="pct"/>
                  <w:tcBorders>
                    <w:tl2br w:val="nil"/>
                    <w:tr2bl w:val="nil"/>
                  </w:tcBorders>
                  <w:vAlign w:val="center"/>
                </w:tcPr>
                <w:p w14:paraId="6767C848">
                  <w:pPr>
                    <w:widowControl/>
                    <w:autoSpaceDE w:val="0"/>
                    <w:autoSpaceDN w:val="0"/>
                    <w:adjustRightInd w:val="0"/>
                    <w:snapToGrid w:val="0"/>
                    <w:jc w:val="center"/>
                    <w:textAlignment w:val="center"/>
                    <w:rPr>
                      <w:color w:val="auto"/>
                      <w:kern w:val="0"/>
                    </w:rPr>
                  </w:pPr>
                  <w:r>
                    <w:rPr>
                      <w:rFonts w:hint="eastAsia"/>
                      <w:color w:val="auto"/>
                      <w:kern w:val="0"/>
                    </w:rPr>
                    <w:t>本项目周边数百米范围内无劳动密集型的非化工项目和其他人员密集的公共设施项目</w:t>
                  </w:r>
                </w:p>
              </w:tc>
              <w:tc>
                <w:tcPr>
                  <w:tcW w:w="536" w:type="pct"/>
                  <w:tcBorders>
                    <w:tl2br w:val="nil"/>
                    <w:tr2bl w:val="nil"/>
                  </w:tcBorders>
                  <w:vAlign w:val="center"/>
                </w:tcPr>
                <w:p w14:paraId="71991182">
                  <w:pPr>
                    <w:widowControl/>
                    <w:autoSpaceDE w:val="0"/>
                    <w:autoSpaceDN w:val="0"/>
                    <w:adjustRightInd w:val="0"/>
                    <w:snapToGrid w:val="0"/>
                    <w:jc w:val="center"/>
                    <w:textAlignment w:val="center"/>
                    <w:rPr>
                      <w:color w:val="auto"/>
                      <w:kern w:val="0"/>
                    </w:rPr>
                  </w:pPr>
                  <w:r>
                    <w:rPr>
                      <w:color w:val="auto"/>
                      <w:kern w:val="0"/>
                    </w:rPr>
                    <w:t>相符</w:t>
                  </w:r>
                </w:p>
              </w:tc>
            </w:tr>
            <w:tr w14:paraId="7E398F9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restart"/>
                  <w:tcBorders>
                    <w:tl2br w:val="nil"/>
                    <w:tr2bl w:val="nil"/>
                  </w:tcBorders>
                  <w:vAlign w:val="center"/>
                </w:tcPr>
                <w:p w14:paraId="0725607A">
                  <w:pPr>
                    <w:widowControl/>
                    <w:autoSpaceDE w:val="0"/>
                    <w:autoSpaceDN w:val="0"/>
                    <w:adjustRightInd w:val="0"/>
                    <w:snapToGrid w:val="0"/>
                    <w:jc w:val="center"/>
                    <w:textAlignment w:val="center"/>
                    <w:rPr>
                      <w:color w:val="auto"/>
                      <w:kern w:val="0"/>
                    </w:rPr>
                  </w:pPr>
                  <w:r>
                    <w:rPr>
                      <w:rFonts w:hint="eastAsia"/>
                      <w:color w:val="auto"/>
                      <w:kern w:val="0"/>
                    </w:rPr>
                    <w:t>三、产业发展</w:t>
                  </w:r>
                </w:p>
              </w:tc>
              <w:tc>
                <w:tcPr>
                  <w:tcW w:w="2656" w:type="pct"/>
                  <w:tcBorders>
                    <w:tl2br w:val="nil"/>
                    <w:tr2bl w:val="nil"/>
                  </w:tcBorders>
                  <w:vAlign w:val="center"/>
                </w:tcPr>
                <w:p w14:paraId="3A65CD63">
                  <w:pPr>
                    <w:widowControl/>
                    <w:autoSpaceDE w:val="0"/>
                    <w:autoSpaceDN w:val="0"/>
                    <w:adjustRightInd w:val="0"/>
                    <w:snapToGrid w:val="0"/>
                    <w:jc w:val="center"/>
                    <w:textAlignment w:val="center"/>
                    <w:rPr>
                      <w:color w:val="auto"/>
                      <w:kern w:val="0"/>
                    </w:rPr>
                  </w:pPr>
                  <w:r>
                    <w:rPr>
                      <w:rFonts w:hint="eastAsia"/>
                      <w:color w:val="auto"/>
                      <w:kern w:val="0"/>
                    </w:rPr>
                    <w:t>15.禁止新建、扩建不符合国家和省产业政策的尿素、磷铵、电石、烧碱、聚氯乙烯、纯碱等行业新增产能项目。</w:t>
                  </w:r>
                </w:p>
              </w:tc>
              <w:tc>
                <w:tcPr>
                  <w:tcW w:w="1394" w:type="pct"/>
                  <w:tcBorders>
                    <w:tl2br w:val="nil"/>
                    <w:tr2bl w:val="nil"/>
                  </w:tcBorders>
                  <w:vAlign w:val="center"/>
                </w:tcPr>
                <w:p w14:paraId="302305E5">
                  <w:pPr>
                    <w:widowControl/>
                    <w:autoSpaceDE w:val="0"/>
                    <w:autoSpaceDN w:val="0"/>
                    <w:adjustRightInd w:val="0"/>
                    <w:snapToGrid w:val="0"/>
                    <w:jc w:val="center"/>
                    <w:textAlignment w:val="center"/>
                    <w:rPr>
                      <w:color w:val="auto"/>
                      <w:kern w:val="0"/>
                    </w:rPr>
                  </w:pPr>
                  <w:r>
                    <w:rPr>
                      <w:rFonts w:hint="eastAsia"/>
                      <w:color w:val="auto"/>
                      <w:kern w:val="0"/>
                    </w:rPr>
                    <w:t>本项目不属于尿素、磷铵、电石、烧碱、聚氯乙烯、纯碱等行业</w:t>
                  </w:r>
                </w:p>
              </w:tc>
              <w:tc>
                <w:tcPr>
                  <w:tcW w:w="536" w:type="pct"/>
                  <w:tcBorders>
                    <w:tl2br w:val="nil"/>
                    <w:tr2bl w:val="nil"/>
                  </w:tcBorders>
                  <w:vAlign w:val="center"/>
                </w:tcPr>
                <w:p w14:paraId="054B8AA1">
                  <w:pPr>
                    <w:widowControl/>
                    <w:autoSpaceDE w:val="0"/>
                    <w:autoSpaceDN w:val="0"/>
                    <w:adjustRightInd w:val="0"/>
                    <w:snapToGrid w:val="0"/>
                    <w:jc w:val="center"/>
                    <w:textAlignment w:val="center"/>
                    <w:rPr>
                      <w:color w:val="auto"/>
                      <w:kern w:val="0"/>
                    </w:rPr>
                  </w:pPr>
                  <w:r>
                    <w:rPr>
                      <w:color w:val="auto"/>
                      <w:kern w:val="0"/>
                    </w:rPr>
                    <w:t>相符</w:t>
                  </w:r>
                </w:p>
              </w:tc>
            </w:tr>
            <w:tr w14:paraId="4759F9E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continue"/>
                  <w:tcBorders>
                    <w:tl2br w:val="nil"/>
                    <w:tr2bl w:val="nil"/>
                  </w:tcBorders>
                  <w:vAlign w:val="center"/>
                </w:tcPr>
                <w:p w14:paraId="4C8E943A">
                  <w:pPr>
                    <w:widowControl/>
                    <w:autoSpaceDE w:val="0"/>
                    <w:autoSpaceDN w:val="0"/>
                    <w:adjustRightInd w:val="0"/>
                    <w:snapToGrid w:val="0"/>
                    <w:jc w:val="center"/>
                    <w:textAlignment w:val="center"/>
                    <w:rPr>
                      <w:color w:val="auto"/>
                      <w:kern w:val="0"/>
                    </w:rPr>
                  </w:pPr>
                </w:p>
              </w:tc>
              <w:tc>
                <w:tcPr>
                  <w:tcW w:w="2656" w:type="pct"/>
                  <w:tcBorders>
                    <w:tl2br w:val="nil"/>
                    <w:tr2bl w:val="nil"/>
                  </w:tcBorders>
                  <w:vAlign w:val="center"/>
                </w:tcPr>
                <w:p w14:paraId="2A83E925">
                  <w:pPr>
                    <w:widowControl/>
                    <w:autoSpaceDE w:val="0"/>
                    <w:autoSpaceDN w:val="0"/>
                    <w:adjustRightInd w:val="0"/>
                    <w:snapToGrid w:val="0"/>
                    <w:jc w:val="center"/>
                    <w:textAlignment w:val="center"/>
                    <w:rPr>
                      <w:color w:val="auto"/>
                      <w:kern w:val="0"/>
                    </w:rPr>
                  </w:pPr>
                  <w:r>
                    <w:rPr>
                      <w:rFonts w:hint="eastAsia"/>
                      <w:color w:val="auto"/>
                      <w:kern w:val="0"/>
                    </w:rPr>
                    <w:t>16.禁止新建、改建、扩建高毒、高残留以及对环境影响大的农药原药（化学合成类）项目，禁止新建、扩建不符合国家和省产业政策的农药、医药和染料中间体化工项目。</w:t>
                  </w:r>
                </w:p>
              </w:tc>
              <w:tc>
                <w:tcPr>
                  <w:tcW w:w="1394" w:type="pct"/>
                  <w:tcBorders>
                    <w:tl2br w:val="nil"/>
                    <w:tr2bl w:val="nil"/>
                  </w:tcBorders>
                  <w:vAlign w:val="center"/>
                </w:tcPr>
                <w:p w14:paraId="64F6E1FA">
                  <w:pPr>
                    <w:widowControl/>
                    <w:autoSpaceDE w:val="0"/>
                    <w:autoSpaceDN w:val="0"/>
                    <w:adjustRightInd w:val="0"/>
                    <w:snapToGrid w:val="0"/>
                    <w:jc w:val="center"/>
                    <w:textAlignment w:val="center"/>
                    <w:rPr>
                      <w:color w:val="auto"/>
                      <w:kern w:val="0"/>
                    </w:rPr>
                  </w:pPr>
                  <w:r>
                    <w:rPr>
                      <w:rFonts w:hint="eastAsia"/>
                      <w:color w:val="auto"/>
                      <w:kern w:val="0"/>
                    </w:rPr>
                    <w:t>本项目不属于农药原药（化学合成类）项目，不属于农药、医药和染料中间体化工项目</w:t>
                  </w:r>
                </w:p>
              </w:tc>
              <w:tc>
                <w:tcPr>
                  <w:tcW w:w="536" w:type="pct"/>
                  <w:tcBorders>
                    <w:tl2br w:val="nil"/>
                    <w:tr2bl w:val="nil"/>
                  </w:tcBorders>
                  <w:vAlign w:val="center"/>
                </w:tcPr>
                <w:p w14:paraId="39CD4E14">
                  <w:pPr>
                    <w:widowControl/>
                    <w:autoSpaceDE w:val="0"/>
                    <w:autoSpaceDN w:val="0"/>
                    <w:adjustRightInd w:val="0"/>
                    <w:snapToGrid w:val="0"/>
                    <w:jc w:val="center"/>
                    <w:textAlignment w:val="center"/>
                    <w:rPr>
                      <w:color w:val="auto"/>
                      <w:kern w:val="0"/>
                    </w:rPr>
                  </w:pPr>
                  <w:r>
                    <w:rPr>
                      <w:color w:val="auto"/>
                      <w:kern w:val="0"/>
                    </w:rPr>
                    <w:t>相符</w:t>
                  </w:r>
                </w:p>
              </w:tc>
            </w:tr>
            <w:tr w14:paraId="4AC81AE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continue"/>
                  <w:tcBorders>
                    <w:tl2br w:val="nil"/>
                    <w:tr2bl w:val="nil"/>
                  </w:tcBorders>
                  <w:vAlign w:val="center"/>
                </w:tcPr>
                <w:p w14:paraId="0CFCE56E">
                  <w:pPr>
                    <w:widowControl/>
                    <w:autoSpaceDE w:val="0"/>
                    <w:autoSpaceDN w:val="0"/>
                    <w:adjustRightInd w:val="0"/>
                    <w:snapToGrid w:val="0"/>
                    <w:jc w:val="center"/>
                    <w:textAlignment w:val="center"/>
                    <w:rPr>
                      <w:color w:val="auto"/>
                      <w:kern w:val="0"/>
                    </w:rPr>
                  </w:pPr>
                </w:p>
              </w:tc>
              <w:tc>
                <w:tcPr>
                  <w:tcW w:w="2656" w:type="pct"/>
                  <w:tcBorders>
                    <w:tl2br w:val="nil"/>
                    <w:tr2bl w:val="nil"/>
                  </w:tcBorders>
                  <w:vAlign w:val="center"/>
                </w:tcPr>
                <w:p w14:paraId="5168588B">
                  <w:pPr>
                    <w:widowControl/>
                    <w:autoSpaceDE w:val="0"/>
                    <w:autoSpaceDN w:val="0"/>
                    <w:adjustRightInd w:val="0"/>
                    <w:snapToGrid w:val="0"/>
                    <w:jc w:val="center"/>
                    <w:textAlignment w:val="center"/>
                    <w:rPr>
                      <w:color w:val="auto"/>
                      <w:kern w:val="0"/>
                    </w:rPr>
                  </w:pPr>
                  <w:r>
                    <w:rPr>
                      <w:rFonts w:hint="eastAsia"/>
                      <w:color w:val="auto"/>
                      <w:kern w:val="0"/>
                    </w:rPr>
                    <w:t>17.禁止新建、扩建不符合国家石化、现代煤化工等产业布局规划的项目，禁止新建独立焦化项目。</w:t>
                  </w:r>
                </w:p>
              </w:tc>
              <w:tc>
                <w:tcPr>
                  <w:tcW w:w="1394" w:type="pct"/>
                  <w:tcBorders>
                    <w:tl2br w:val="nil"/>
                    <w:tr2bl w:val="nil"/>
                  </w:tcBorders>
                  <w:vAlign w:val="center"/>
                </w:tcPr>
                <w:p w14:paraId="18BC3969">
                  <w:pPr>
                    <w:widowControl/>
                    <w:autoSpaceDE w:val="0"/>
                    <w:autoSpaceDN w:val="0"/>
                    <w:adjustRightInd w:val="0"/>
                    <w:snapToGrid w:val="0"/>
                    <w:jc w:val="center"/>
                    <w:textAlignment w:val="center"/>
                    <w:rPr>
                      <w:color w:val="auto"/>
                      <w:kern w:val="0"/>
                    </w:rPr>
                  </w:pPr>
                  <w:r>
                    <w:rPr>
                      <w:rFonts w:hint="eastAsia"/>
                      <w:color w:val="auto"/>
                      <w:kern w:val="0"/>
                    </w:rPr>
                    <w:t>本项目不属于石化、现代煤化工、独立焦化项目</w:t>
                  </w:r>
                </w:p>
              </w:tc>
              <w:tc>
                <w:tcPr>
                  <w:tcW w:w="536" w:type="pct"/>
                  <w:tcBorders>
                    <w:tl2br w:val="nil"/>
                    <w:tr2bl w:val="nil"/>
                  </w:tcBorders>
                  <w:vAlign w:val="center"/>
                </w:tcPr>
                <w:p w14:paraId="4D97779E">
                  <w:pPr>
                    <w:widowControl/>
                    <w:autoSpaceDE w:val="0"/>
                    <w:autoSpaceDN w:val="0"/>
                    <w:adjustRightInd w:val="0"/>
                    <w:snapToGrid w:val="0"/>
                    <w:jc w:val="center"/>
                    <w:textAlignment w:val="center"/>
                    <w:rPr>
                      <w:color w:val="auto"/>
                      <w:kern w:val="0"/>
                    </w:rPr>
                  </w:pPr>
                  <w:r>
                    <w:rPr>
                      <w:color w:val="auto"/>
                      <w:kern w:val="0"/>
                    </w:rPr>
                    <w:t>相符</w:t>
                  </w:r>
                </w:p>
              </w:tc>
            </w:tr>
            <w:tr w14:paraId="656C742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continue"/>
                  <w:tcBorders>
                    <w:tl2br w:val="nil"/>
                    <w:tr2bl w:val="nil"/>
                  </w:tcBorders>
                  <w:vAlign w:val="center"/>
                </w:tcPr>
                <w:p w14:paraId="1356C21A">
                  <w:pPr>
                    <w:widowControl/>
                    <w:autoSpaceDE w:val="0"/>
                    <w:autoSpaceDN w:val="0"/>
                    <w:adjustRightInd w:val="0"/>
                    <w:snapToGrid w:val="0"/>
                    <w:jc w:val="center"/>
                    <w:textAlignment w:val="center"/>
                    <w:rPr>
                      <w:color w:val="auto"/>
                      <w:kern w:val="0"/>
                    </w:rPr>
                  </w:pPr>
                </w:p>
              </w:tc>
              <w:tc>
                <w:tcPr>
                  <w:tcW w:w="2656" w:type="pct"/>
                  <w:tcBorders>
                    <w:tl2br w:val="nil"/>
                    <w:tr2bl w:val="nil"/>
                  </w:tcBorders>
                  <w:vAlign w:val="center"/>
                </w:tcPr>
                <w:p w14:paraId="3733D38D">
                  <w:pPr>
                    <w:widowControl/>
                    <w:autoSpaceDE w:val="0"/>
                    <w:autoSpaceDN w:val="0"/>
                    <w:adjustRightInd w:val="0"/>
                    <w:snapToGrid w:val="0"/>
                    <w:jc w:val="center"/>
                    <w:textAlignment w:val="center"/>
                    <w:rPr>
                      <w:color w:val="auto"/>
                      <w:kern w:val="0"/>
                    </w:rPr>
                  </w:pPr>
                  <w:r>
                    <w:rPr>
                      <w:rFonts w:hint="eastAsia"/>
                      <w:color w:val="auto"/>
                      <w:kern w:val="0"/>
                    </w:rPr>
                    <w:t>18.禁止新建、扩建不符合国家《产业结构调整指导目录》《江苏省产业结构调整限制、淘汰和禁止目录》明确的限制类、淘汰类、禁止类项目，法律法规和相关政策明令禁止的落后产能项目，以及明令淘汰的安全生产落后工艺及装备项目。</w:t>
                  </w:r>
                </w:p>
              </w:tc>
              <w:tc>
                <w:tcPr>
                  <w:tcW w:w="1394" w:type="pct"/>
                  <w:tcBorders>
                    <w:tl2br w:val="nil"/>
                    <w:tr2bl w:val="nil"/>
                  </w:tcBorders>
                  <w:vAlign w:val="center"/>
                </w:tcPr>
                <w:p w14:paraId="257F33D3">
                  <w:pPr>
                    <w:widowControl/>
                    <w:autoSpaceDE w:val="0"/>
                    <w:autoSpaceDN w:val="0"/>
                    <w:adjustRightInd w:val="0"/>
                    <w:snapToGrid w:val="0"/>
                    <w:jc w:val="center"/>
                    <w:textAlignment w:val="center"/>
                    <w:rPr>
                      <w:color w:val="auto"/>
                      <w:kern w:val="0"/>
                    </w:rPr>
                  </w:pPr>
                  <w:r>
                    <w:rPr>
                      <w:rFonts w:hint="eastAsia"/>
                      <w:color w:val="auto"/>
                      <w:kern w:val="0"/>
                    </w:rPr>
                    <w:t>本项目不属于《产业结构调整指导目录》《江苏省产业结构调整限制、淘汰和禁止目录》明确的限制类、淘汰类、禁止类项目；不属于法律法规和相关政策明令禁止的落后产能项目，不属于明令淘汰的安全生产落后工艺及装备项目</w:t>
                  </w:r>
                </w:p>
              </w:tc>
              <w:tc>
                <w:tcPr>
                  <w:tcW w:w="536" w:type="pct"/>
                  <w:tcBorders>
                    <w:tl2br w:val="nil"/>
                    <w:tr2bl w:val="nil"/>
                  </w:tcBorders>
                  <w:vAlign w:val="center"/>
                </w:tcPr>
                <w:p w14:paraId="1CD04690">
                  <w:pPr>
                    <w:widowControl/>
                    <w:autoSpaceDE w:val="0"/>
                    <w:autoSpaceDN w:val="0"/>
                    <w:adjustRightInd w:val="0"/>
                    <w:snapToGrid w:val="0"/>
                    <w:jc w:val="center"/>
                    <w:textAlignment w:val="center"/>
                    <w:rPr>
                      <w:color w:val="auto"/>
                      <w:kern w:val="0"/>
                    </w:rPr>
                  </w:pPr>
                  <w:r>
                    <w:rPr>
                      <w:color w:val="auto"/>
                      <w:kern w:val="0"/>
                    </w:rPr>
                    <w:t>相符</w:t>
                  </w:r>
                </w:p>
              </w:tc>
            </w:tr>
            <w:tr w14:paraId="37D3ACB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continue"/>
                  <w:tcBorders>
                    <w:tl2br w:val="nil"/>
                    <w:tr2bl w:val="nil"/>
                  </w:tcBorders>
                  <w:vAlign w:val="center"/>
                </w:tcPr>
                <w:p w14:paraId="03B6C992">
                  <w:pPr>
                    <w:widowControl/>
                    <w:autoSpaceDE w:val="0"/>
                    <w:autoSpaceDN w:val="0"/>
                    <w:adjustRightInd w:val="0"/>
                    <w:snapToGrid w:val="0"/>
                    <w:jc w:val="center"/>
                    <w:textAlignment w:val="center"/>
                    <w:rPr>
                      <w:color w:val="auto"/>
                      <w:kern w:val="0"/>
                    </w:rPr>
                  </w:pPr>
                </w:p>
              </w:tc>
              <w:tc>
                <w:tcPr>
                  <w:tcW w:w="2656" w:type="pct"/>
                  <w:tcBorders>
                    <w:tl2br w:val="nil"/>
                    <w:tr2bl w:val="nil"/>
                  </w:tcBorders>
                  <w:vAlign w:val="center"/>
                </w:tcPr>
                <w:p w14:paraId="4FA18E18">
                  <w:pPr>
                    <w:widowControl/>
                    <w:autoSpaceDE w:val="0"/>
                    <w:autoSpaceDN w:val="0"/>
                    <w:adjustRightInd w:val="0"/>
                    <w:snapToGrid w:val="0"/>
                    <w:jc w:val="center"/>
                    <w:textAlignment w:val="center"/>
                    <w:rPr>
                      <w:color w:val="auto"/>
                      <w:kern w:val="0"/>
                    </w:rPr>
                  </w:pPr>
                  <w:r>
                    <w:rPr>
                      <w:rFonts w:hint="eastAsia"/>
                      <w:color w:val="auto"/>
                      <w:kern w:val="0"/>
                    </w:rPr>
                    <w:t>19.禁止新建、扩建不符合国家产能置换要求的严重过剩产能行业的项目。禁止新建、扩建不符合要求的高耗能高排放项目。</w:t>
                  </w:r>
                </w:p>
              </w:tc>
              <w:tc>
                <w:tcPr>
                  <w:tcW w:w="1394" w:type="pct"/>
                  <w:tcBorders>
                    <w:tl2br w:val="nil"/>
                    <w:tr2bl w:val="nil"/>
                  </w:tcBorders>
                  <w:vAlign w:val="center"/>
                </w:tcPr>
                <w:p w14:paraId="428DD1FC">
                  <w:pPr>
                    <w:widowControl/>
                    <w:autoSpaceDE w:val="0"/>
                    <w:autoSpaceDN w:val="0"/>
                    <w:adjustRightInd w:val="0"/>
                    <w:snapToGrid w:val="0"/>
                    <w:jc w:val="center"/>
                    <w:textAlignment w:val="center"/>
                    <w:rPr>
                      <w:color w:val="auto"/>
                      <w:kern w:val="0"/>
                    </w:rPr>
                  </w:pPr>
                  <w:r>
                    <w:rPr>
                      <w:rFonts w:hint="eastAsia"/>
                      <w:color w:val="auto"/>
                      <w:kern w:val="0"/>
                    </w:rPr>
                    <w:t>本项目不属于严重产能过剩行业，不属于高耗能高排放项目</w:t>
                  </w:r>
                </w:p>
              </w:tc>
              <w:tc>
                <w:tcPr>
                  <w:tcW w:w="536" w:type="pct"/>
                  <w:tcBorders>
                    <w:tl2br w:val="nil"/>
                    <w:tr2bl w:val="nil"/>
                  </w:tcBorders>
                  <w:vAlign w:val="center"/>
                </w:tcPr>
                <w:p w14:paraId="2C3F9D08">
                  <w:pPr>
                    <w:widowControl/>
                    <w:autoSpaceDE w:val="0"/>
                    <w:autoSpaceDN w:val="0"/>
                    <w:adjustRightInd w:val="0"/>
                    <w:snapToGrid w:val="0"/>
                    <w:jc w:val="center"/>
                    <w:textAlignment w:val="center"/>
                    <w:rPr>
                      <w:color w:val="auto"/>
                      <w:kern w:val="0"/>
                    </w:rPr>
                  </w:pPr>
                  <w:r>
                    <w:rPr>
                      <w:color w:val="auto"/>
                      <w:kern w:val="0"/>
                    </w:rPr>
                    <w:t>相符</w:t>
                  </w:r>
                </w:p>
              </w:tc>
            </w:tr>
            <w:tr w14:paraId="16031C3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continue"/>
                  <w:tcBorders>
                    <w:tl2br w:val="nil"/>
                    <w:tr2bl w:val="nil"/>
                  </w:tcBorders>
                  <w:vAlign w:val="center"/>
                </w:tcPr>
                <w:p w14:paraId="7F6A7A74">
                  <w:pPr>
                    <w:widowControl/>
                    <w:autoSpaceDE w:val="0"/>
                    <w:autoSpaceDN w:val="0"/>
                    <w:adjustRightInd w:val="0"/>
                    <w:snapToGrid w:val="0"/>
                    <w:jc w:val="center"/>
                    <w:textAlignment w:val="center"/>
                    <w:rPr>
                      <w:color w:val="auto"/>
                      <w:kern w:val="0"/>
                    </w:rPr>
                  </w:pPr>
                </w:p>
              </w:tc>
              <w:tc>
                <w:tcPr>
                  <w:tcW w:w="2656" w:type="pct"/>
                  <w:tcBorders>
                    <w:tl2br w:val="nil"/>
                    <w:tr2bl w:val="nil"/>
                  </w:tcBorders>
                  <w:vAlign w:val="center"/>
                </w:tcPr>
                <w:p w14:paraId="5FEF0DC8">
                  <w:pPr>
                    <w:widowControl/>
                    <w:autoSpaceDE w:val="0"/>
                    <w:autoSpaceDN w:val="0"/>
                    <w:adjustRightInd w:val="0"/>
                    <w:snapToGrid w:val="0"/>
                    <w:jc w:val="center"/>
                    <w:textAlignment w:val="center"/>
                    <w:rPr>
                      <w:color w:val="auto"/>
                      <w:kern w:val="0"/>
                    </w:rPr>
                  </w:pPr>
                  <w:r>
                    <w:rPr>
                      <w:rFonts w:hint="eastAsia"/>
                      <w:color w:val="auto"/>
                      <w:kern w:val="0"/>
                    </w:rPr>
                    <w:t>20.法律法规及相关政策文件有更加严格规定的从其规定。</w:t>
                  </w:r>
                </w:p>
              </w:tc>
              <w:tc>
                <w:tcPr>
                  <w:tcW w:w="1394" w:type="pct"/>
                  <w:tcBorders>
                    <w:tl2br w:val="nil"/>
                    <w:tr2bl w:val="nil"/>
                  </w:tcBorders>
                  <w:vAlign w:val="center"/>
                </w:tcPr>
                <w:p w14:paraId="6E6EA988">
                  <w:pPr>
                    <w:widowControl/>
                    <w:autoSpaceDE w:val="0"/>
                    <w:autoSpaceDN w:val="0"/>
                    <w:adjustRightInd w:val="0"/>
                    <w:snapToGrid w:val="0"/>
                    <w:jc w:val="center"/>
                    <w:textAlignment w:val="center"/>
                    <w:rPr>
                      <w:color w:val="auto"/>
                      <w:kern w:val="0"/>
                    </w:rPr>
                  </w:pPr>
                  <w:r>
                    <w:rPr>
                      <w:rFonts w:hint="eastAsia"/>
                      <w:color w:val="auto"/>
                      <w:kern w:val="0"/>
                    </w:rPr>
                    <w:t>本项目从新、从严执行</w:t>
                  </w:r>
                </w:p>
              </w:tc>
              <w:tc>
                <w:tcPr>
                  <w:tcW w:w="536" w:type="pct"/>
                  <w:tcBorders>
                    <w:tl2br w:val="nil"/>
                    <w:tr2bl w:val="nil"/>
                  </w:tcBorders>
                  <w:vAlign w:val="center"/>
                </w:tcPr>
                <w:p w14:paraId="5751A293">
                  <w:pPr>
                    <w:widowControl/>
                    <w:autoSpaceDE w:val="0"/>
                    <w:autoSpaceDN w:val="0"/>
                    <w:adjustRightInd w:val="0"/>
                    <w:snapToGrid w:val="0"/>
                    <w:jc w:val="center"/>
                    <w:textAlignment w:val="center"/>
                    <w:rPr>
                      <w:color w:val="auto"/>
                      <w:kern w:val="0"/>
                    </w:rPr>
                  </w:pPr>
                  <w:r>
                    <w:rPr>
                      <w:color w:val="auto"/>
                      <w:kern w:val="0"/>
                    </w:rPr>
                    <w:t>相符</w:t>
                  </w:r>
                </w:p>
              </w:tc>
            </w:tr>
          </w:tbl>
          <w:p w14:paraId="6425BEC8">
            <w:pPr>
              <w:overflowPunct w:val="0"/>
              <w:adjustRightInd w:val="0"/>
              <w:snapToGrid w:val="0"/>
              <w:spacing w:line="360" w:lineRule="auto"/>
              <w:ind w:firstLine="420" w:firstLineChars="200"/>
              <w:rPr>
                <w:color w:val="auto"/>
              </w:rPr>
            </w:pPr>
            <w:r>
              <w:rPr>
                <w:color w:val="auto"/>
              </w:rPr>
              <w:t>综上所述，本项目与</w:t>
            </w:r>
            <w:r>
              <w:rPr>
                <w:rFonts w:hint="eastAsia"/>
                <w:color w:val="auto"/>
              </w:rPr>
              <w:t>《&lt;长江经济带发展负面清单指南（试行，2022年版）&gt;江苏省实施细则的通知》（苏长江办发[2022]55号）</w:t>
            </w:r>
            <w:r>
              <w:rPr>
                <w:color w:val="auto"/>
              </w:rPr>
              <w:t>相符。</w:t>
            </w:r>
          </w:p>
          <w:p w14:paraId="6CA5E500">
            <w:pPr>
              <w:pStyle w:val="2"/>
              <w:ind w:firstLine="420" w:firstLineChars="200"/>
              <w:rPr>
                <w:color w:val="auto"/>
                <w:kern w:val="2"/>
                <w:sz w:val="21"/>
                <w:szCs w:val="21"/>
              </w:rPr>
            </w:pPr>
            <w:r>
              <w:rPr>
                <w:rFonts w:hint="eastAsia"/>
                <w:color w:val="auto"/>
                <w:kern w:val="2"/>
                <w:sz w:val="21"/>
                <w:szCs w:val="21"/>
              </w:rPr>
              <w:t>综上所述，本项目的建设符合“三线一单”中的相关要求。</w:t>
            </w:r>
          </w:p>
          <w:p w14:paraId="50257557">
            <w:pPr>
              <w:overflowPunct w:val="0"/>
              <w:adjustRightInd w:val="0"/>
              <w:snapToGrid w:val="0"/>
              <w:spacing w:line="360" w:lineRule="auto"/>
              <w:ind w:firstLine="422" w:firstLineChars="200"/>
              <w:rPr>
                <w:b/>
                <w:color w:val="auto"/>
              </w:rPr>
            </w:pPr>
            <w:r>
              <w:rPr>
                <w:rFonts w:hint="eastAsia"/>
                <w:b/>
                <w:color w:val="auto"/>
              </w:rPr>
              <w:t>3、技术政策相符性</w:t>
            </w:r>
          </w:p>
          <w:p w14:paraId="33F1F818">
            <w:pPr>
              <w:adjustRightInd w:val="0"/>
              <w:snapToGrid w:val="0"/>
              <w:spacing w:line="360" w:lineRule="auto"/>
              <w:ind w:firstLine="422" w:firstLineChars="200"/>
              <w:rPr>
                <w:b/>
                <w:bCs/>
                <w:color w:val="auto"/>
              </w:rPr>
            </w:pPr>
            <w:r>
              <w:rPr>
                <w:b/>
                <w:bCs/>
                <w:color w:val="auto"/>
              </w:rPr>
              <w:t>（1）与地方文件相符性</w:t>
            </w:r>
          </w:p>
          <w:p w14:paraId="5EA18066">
            <w:pPr>
              <w:adjustRightInd w:val="0"/>
              <w:snapToGrid w:val="0"/>
              <w:spacing w:line="360" w:lineRule="auto"/>
              <w:ind w:firstLine="420" w:firstLineChars="200"/>
              <w:rPr>
                <w:b/>
                <w:bCs/>
                <w:color w:val="auto"/>
              </w:rPr>
            </w:pPr>
            <w:r>
              <w:rPr>
                <w:color w:val="auto"/>
              </w:rPr>
              <w:t>本项目建设与地方文件相符性分析见</w:t>
            </w:r>
            <w:r>
              <w:rPr>
                <w:rFonts w:hint="eastAsia"/>
                <w:color w:val="auto"/>
              </w:rPr>
              <w:t>下表</w:t>
            </w:r>
            <w:r>
              <w:rPr>
                <w:color w:val="auto"/>
              </w:rPr>
              <w:t>。</w:t>
            </w:r>
          </w:p>
          <w:p w14:paraId="0BB326B0">
            <w:pPr>
              <w:adjustRightInd w:val="0"/>
              <w:snapToGrid w:val="0"/>
              <w:jc w:val="center"/>
              <w:rPr>
                <w:b/>
                <w:bCs/>
                <w:color w:val="auto"/>
              </w:rPr>
            </w:pPr>
            <w:r>
              <w:rPr>
                <w:b/>
                <w:bCs/>
                <w:color w:val="auto"/>
              </w:rPr>
              <w:t>表1-</w:t>
            </w:r>
            <w:r>
              <w:rPr>
                <w:rFonts w:hint="eastAsia"/>
                <w:b/>
                <w:bCs/>
                <w:color w:val="auto"/>
                <w:lang w:val="en-US" w:eastAsia="zh-CN"/>
              </w:rPr>
              <w:t>6</w:t>
            </w:r>
            <w:r>
              <w:rPr>
                <w:rFonts w:hint="eastAsia"/>
                <w:b/>
                <w:bCs/>
                <w:color w:val="auto"/>
              </w:rPr>
              <w:t xml:space="preserve">   </w:t>
            </w:r>
            <w:r>
              <w:rPr>
                <w:b/>
                <w:bCs/>
                <w:color w:val="auto"/>
              </w:rPr>
              <w:t>项目与地方文件相符性分析</w:t>
            </w:r>
          </w:p>
          <w:tbl>
            <w:tblPr>
              <w:tblStyle w:val="59"/>
              <w:tblW w:w="4999"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1252"/>
              <w:gridCol w:w="962"/>
              <w:gridCol w:w="2108"/>
              <w:gridCol w:w="3038"/>
              <w:gridCol w:w="790"/>
            </w:tblGrid>
            <w:tr w14:paraId="2C3A46E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8" w:type="pct"/>
                  <w:tcBorders>
                    <w:tl2br w:val="nil"/>
                    <w:tr2bl w:val="nil"/>
                  </w:tcBorders>
                  <w:vAlign w:val="center"/>
                </w:tcPr>
                <w:p w14:paraId="2E69CC04">
                  <w:pPr>
                    <w:pStyle w:val="558"/>
                    <w:adjustRightInd w:val="0"/>
                    <w:rPr>
                      <w:b/>
                      <w:color w:val="auto"/>
                      <w:spacing w:val="0"/>
                      <w:kern w:val="0"/>
                    </w:rPr>
                  </w:pPr>
                  <w:r>
                    <w:rPr>
                      <w:b/>
                      <w:color w:val="auto"/>
                      <w:spacing w:val="0"/>
                      <w:kern w:val="0"/>
                    </w:rPr>
                    <w:t>文件</w:t>
                  </w:r>
                </w:p>
              </w:tc>
              <w:tc>
                <w:tcPr>
                  <w:tcW w:w="1883" w:type="pct"/>
                  <w:gridSpan w:val="2"/>
                  <w:tcBorders>
                    <w:tl2br w:val="nil"/>
                    <w:tr2bl w:val="nil"/>
                  </w:tcBorders>
                  <w:vAlign w:val="center"/>
                </w:tcPr>
                <w:p w14:paraId="6A537641">
                  <w:pPr>
                    <w:pStyle w:val="558"/>
                    <w:adjustRightInd w:val="0"/>
                    <w:rPr>
                      <w:b/>
                      <w:color w:val="auto"/>
                      <w:spacing w:val="0"/>
                      <w:kern w:val="0"/>
                    </w:rPr>
                  </w:pPr>
                  <w:r>
                    <w:rPr>
                      <w:b/>
                      <w:color w:val="auto"/>
                      <w:spacing w:val="0"/>
                      <w:kern w:val="0"/>
                    </w:rPr>
                    <w:t>与项目相关要求</w:t>
                  </w:r>
                </w:p>
              </w:tc>
              <w:tc>
                <w:tcPr>
                  <w:tcW w:w="1863" w:type="pct"/>
                  <w:tcBorders>
                    <w:tl2br w:val="nil"/>
                    <w:tr2bl w:val="nil"/>
                  </w:tcBorders>
                  <w:vAlign w:val="center"/>
                </w:tcPr>
                <w:p w14:paraId="00E80261">
                  <w:pPr>
                    <w:pStyle w:val="558"/>
                    <w:adjustRightInd w:val="0"/>
                    <w:rPr>
                      <w:b/>
                      <w:color w:val="auto"/>
                      <w:spacing w:val="0"/>
                      <w:kern w:val="0"/>
                    </w:rPr>
                  </w:pPr>
                  <w:r>
                    <w:rPr>
                      <w:b/>
                      <w:color w:val="auto"/>
                      <w:spacing w:val="0"/>
                      <w:kern w:val="0"/>
                    </w:rPr>
                    <w:t>本项目相符性分析</w:t>
                  </w:r>
                </w:p>
              </w:tc>
              <w:tc>
                <w:tcPr>
                  <w:tcW w:w="484" w:type="pct"/>
                  <w:tcBorders>
                    <w:tl2br w:val="nil"/>
                    <w:tr2bl w:val="nil"/>
                  </w:tcBorders>
                  <w:vAlign w:val="center"/>
                </w:tcPr>
                <w:p w14:paraId="2944B55C">
                  <w:pPr>
                    <w:pStyle w:val="558"/>
                    <w:adjustRightInd w:val="0"/>
                    <w:rPr>
                      <w:b/>
                      <w:color w:val="auto"/>
                      <w:spacing w:val="0"/>
                      <w:kern w:val="0"/>
                    </w:rPr>
                  </w:pPr>
                  <w:r>
                    <w:rPr>
                      <w:b/>
                      <w:color w:val="auto"/>
                      <w:spacing w:val="0"/>
                      <w:kern w:val="0"/>
                    </w:rPr>
                    <w:t>是否相符</w:t>
                  </w:r>
                </w:p>
              </w:tc>
            </w:tr>
            <w:tr w14:paraId="2615882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8" w:type="pct"/>
                  <w:vMerge w:val="restart"/>
                  <w:tcBorders>
                    <w:tl2br w:val="nil"/>
                    <w:tr2bl w:val="nil"/>
                  </w:tcBorders>
                  <w:vAlign w:val="center"/>
                </w:tcPr>
                <w:p w14:paraId="71DACBE2">
                  <w:pPr>
                    <w:pStyle w:val="558"/>
                    <w:adjustRightInd w:val="0"/>
                    <w:rPr>
                      <w:b/>
                      <w:color w:val="auto"/>
                      <w:spacing w:val="0"/>
                      <w:kern w:val="0"/>
                    </w:rPr>
                  </w:pPr>
                  <w:r>
                    <w:rPr>
                      <w:b/>
                      <w:color w:val="auto"/>
                      <w:spacing w:val="0"/>
                      <w:kern w:val="0"/>
                    </w:rPr>
                    <w:t>《江苏省大气污染物防治条例》</w:t>
                  </w:r>
                </w:p>
              </w:tc>
              <w:tc>
                <w:tcPr>
                  <w:tcW w:w="1883" w:type="pct"/>
                  <w:gridSpan w:val="2"/>
                  <w:tcBorders>
                    <w:tl2br w:val="nil"/>
                    <w:tr2bl w:val="nil"/>
                  </w:tcBorders>
                  <w:vAlign w:val="center"/>
                </w:tcPr>
                <w:p w14:paraId="34330BFD">
                  <w:pPr>
                    <w:pStyle w:val="558"/>
                    <w:adjustRightInd w:val="0"/>
                    <w:rPr>
                      <w:color w:val="auto"/>
                      <w:spacing w:val="0"/>
                      <w:kern w:val="0"/>
                    </w:rPr>
                  </w:pPr>
                  <w:r>
                    <w:rPr>
                      <w:color w:val="auto"/>
                      <w:spacing w:val="0"/>
                      <w:kern w:val="0"/>
                    </w:rPr>
                    <w:t>禁止使用列入淘汰名录的高污染工艺设备。淘汰的高污染工艺设备，企业不得转让给他人使用。</w:t>
                  </w:r>
                </w:p>
              </w:tc>
              <w:tc>
                <w:tcPr>
                  <w:tcW w:w="1863" w:type="pct"/>
                  <w:tcBorders>
                    <w:tl2br w:val="nil"/>
                    <w:tr2bl w:val="nil"/>
                  </w:tcBorders>
                  <w:vAlign w:val="center"/>
                </w:tcPr>
                <w:p w14:paraId="0BE8B214">
                  <w:pPr>
                    <w:pStyle w:val="558"/>
                    <w:adjustRightInd w:val="0"/>
                    <w:rPr>
                      <w:color w:val="auto"/>
                      <w:spacing w:val="0"/>
                      <w:kern w:val="0"/>
                    </w:rPr>
                  </w:pPr>
                  <w:r>
                    <w:rPr>
                      <w:color w:val="auto"/>
                      <w:spacing w:val="0"/>
                      <w:kern w:val="0"/>
                    </w:rPr>
                    <w:t>项目不使用淘汰的高污染工艺设备</w:t>
                  </w:r>
                </w:p>
              </w:tc>
              <w:tc>
                <w:tcPr>
                  <w:tcW w:w="484" w:type="pct"/>
                  <w:tcBorders>
                    <w:tl2br w:val="nil"/>
                    <w:tr2bl w:val="nil"/>
                  </w:tcBorders>
                  <w:vAlign w:val="center"/>
                </w:tcPr>
                <w:p w14:paraId="169D3E9A">
                  <w:pPr>
                    <w:pStyle w:val="558"/>
                    <w:adjustRightInd w:val="0"/>
                    <w:rPr>
                      <w:color w:val="auto"/>
                      <w:spacing w:val="0"/>
                      <w:kern w:val="0"/>
                    </w:rPr>
                  </w:pPr>
                  <w:r>
                    <w:rPr>
                      <w:color w:val="auto"/>
                      <w:spacing w:val="0"/>
                      <w:kern w:val="0"/>
                    </w:rPr>
                    <w:t>相符</w:t>
                  </w:r>
                </w:p>
              </w:tc>
            </w:tr>
            <w:tr w14:paraId="5497418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8" w:type="pct"/>
                  <w:vMerge w:val="continue"/>
                  <w:tcBorders>
                    <w:tl2br w:val="nil"/>
                    <w:tr2bl w:val="nil"/>
                  </w:tcBorders>
                  <w:vAlign w:val="center"/>
                </w:tcPr>
                <w:p w14:paraId="366CE17E">
                  <w:pPr>
                    <w:pStyle w:val="558"/>
                    <w:adjustRightInd w:val="0"/>
                    <w:rPr>
                      <w:b/>
                      <w:color w:val="auto"/>
                      <w:spacing w:val="0"/>
                      <w:kern w:val="0"/>
                    </w:rPr>
                  </w:pPr>
                </w:p>
              </w:tc>
              <w:tc>
                <w:tcPr>
                  <w:tcW w:w="1883" w:type="pct"/>
                  <w:gridSpan w:val="2"/>
                  <w:tcBorders>
                    <w:tl2br w:val="nil"/>
                    <w:tr2bl w:val="nil"/>
                  </w:tcBorders>
                  <w:vAlign w:val="center"/>
                </w:tcPr>
                <w:p w14:paraId="60635E2C">
                  <w:pPr>
                    <w:pStyle w:val="558"/>
                    <w:adjustRightInd w:val="0"/>
                    <w:rPr>
                      <w:color w:val="auto"/>
                      <w:spacing w:val="0"/>
                      <w:kern w:val="0"/>
                    </w:rPr>
                  </w:pPr>
                  <w:r>
                    <w:rPr>
                      <w:color w:val="auto"/>
                      <w:spacing w:val="0"/>
                      <w:kern w:val="0"/>
                    </w:rPr>
                    <w:t>企业应当使用资源利用率高、污染物排放量少的工艺、设备，采用最佳实用大气污染控制技术，减少大气污染物的产生。</w:t>
                  </w:r>
                </w:p>
              </w:tc>
              <w:tc>
                <w:tcPr>
                  <w:tcW w:w="1863" w:type="pct"/>
                  <w:tcBorders>
                    <w:tl2br w:val="nil"/>
                    <w:tr2bl w:val="nil"/>
                  </w:tcBorders>
                  <w:vAlign w:val="center"/>
                </w:tcPr>
                <w:p w14:paraId="2F70C801">
                  <w:pPr>
                    <w:pStyle w:val="558"/>
                    <w:adjustRightInd w:val="0"/>
                    <w:rPr>
                      <w:color w:val="auto"/>
                      <w:spacing w:val="0"/>
                      <w:kern w:val="0"/>
                    </w:rPr>
                  </w:pPr>
                  <w:r>
                    <w:rPr>
                      <w:rFonts w:hint="eastAsia"/>
                      <w:bCs/>
                      <w:color w:val="auto"/>
                      <w:spacing w:val="0"/>
                      <w:kern w:val="0"/>
                      <w:lang w:eastAsia="zh-CN"/>
                    </w:rPr>
                    <w:t>项目擦色、调漆、喷漆、刷漆、晾干、喷枪清洗产生的有机废气经调漆房、底漆房、面漆房、晾干房负压收集；</w:t>
                  </w:r>
                  <w:r>
                    <w:rPr>
                      <w:rFonts w:hint="eastAsia"/>
                      <w:bCs/>
                      <w:color w:val="auto"/>
                      <w:spacing w:val="0"/>
                      <w:kern w:val="0"/>
                      <w:lang w:val="en-US" w:eastAsia="zh-CN"/>
                    </w:rPr>
                    <w:t>喷漆产生的</w:t>
                  </w:r>
                  <w:r>
                    <w:rPr>
                      <w:rFonts w:hint="eastAsia"/>
                      <w:bCs/>
                      <w:color w:val="auto"/>
                      <w:spacing w:val="0"/>
                      <w:kern w:val="0"/>
                      <w:lang w:eastAsia="zh-CN"/>
                    </w:rPr>
                    <w:t>颗粒物</w:t>
                  </w:r>
                  <w:r>
                    <w:rPr>
                      <w:rFonts w:hint="eastAsia"/>
                      <w:bCs/>
                      <w:color w:val="auto"/>
                      <w:spacing w:val="0"/>
                      <w:kern w:val="0"/>
                      <w:lang w:val="en-US" w:eastAsia="zh-CN"/>
                    </w:rPr>
                    <w:t>经底漆房、面漆房负压收集</w:t>
                  </w:r>
                  <w:r>
                    <w:rPr>
                      <w:rFonts w:hint="eastAsia"/>
                      <w:bCs/>
                      <w:color w:val="auto"/>
                      <w:spacing w:val="0"/>
                      <w:kern w:val="0"/>
                      <w:lang w:eastAsia="zh-CN"/>
                    </w:rPr>
                    <w:t>，颗粒物经水帘装置处理后和有机废气一起经吸雾毡去除水分后进入1套“二级活性炭装置”处理后通过1根20m高的排气筒DA001排放</w:t>
                  </w:r>
                  <w:r>
                    <w:rPr>
                      <w:color w:val="auto"/>
                      <w:spacing w:val="0"/>
                      <w:kern w:val="0"/>
                    </w:rPr>
                    <w:t>。处理后的废气污染物排放量较少</w:t>
                  </w:r>
                </w:p>
              </w:tc>
              <w:tc>
                <w:tcPr>
                  <w:tcW w:w="484" w:type="pct"/>
                  <w:tcBorders>
                    <w:tl2br w:val="nil"/>
                    <w:tr2bl w:val="nil"/>
                  </w:tcBorders>
                  <w:vAlign w:val="center"/>
                </w:tcPr>
                <w:p w14:paraId="40D7E43A">
                  <w:pPr>
                    <w:adjustRightInd w:val="0"/>
                    <w:snapToGrid w:val="0"/>
                    <w:jc w:val="center"/>
                    <w:rPr>
                      <w:color w:val="auto"/>
                      <w:spacing w:val="0"/>
                      <w:kern w:val="0"/>
                    </w:rPr>
                  </w:pPr>
                  <w:r>
                    <w:rPr>
                      <w:color w:val="auto"/>
                      <w:spacing w:val="0"/>
                      <w:kern w:val="0"/>
                    </w:rPr>
                    <w:t>相符</w:t>
                  </w:r>
                </w:p>
              </w:tc>
            </w:tr>
            <w:tr w14:paraId="29CD77C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8" w:type="pct"/>
                  <w:vMerge w:val="continue"/>
                  <w:tcBorders>
                    <w:tl2br w:val="nil"/>
                    <w:tr2bl w:val="nil"/>
                  </w:tcBorders>
                  <w:vAlign w:val="center"/>
                </w:tcPr>
                <w:p w14:paraId="5CD2E1C0">
                  <w:pPr>
                    <w:pStyle w:val="558"/>
                    <w:adjustRightInd w:val="0"/>
                    <w:rPr>
                      <w:b/>
                      <w:color w:val="auto"/>
                      <w:spacing w:val="0"/>
                      <w:kern w:val="0"/>
                    </w:rPr>
                  </w:pPr>
                </w:p>
              </w:tc>
              <w:tc>
                <w:tcPr>
                  <w:tcW w:w="1883" w:type="pct"/>
                  <w:gridSpan w:val="2"/>
                  <w:tcBorders>
                    <w:tl2br w:val="nil"/>
                    <w:tr2bl w:val="nil"/>
                  </w:tcBorders>
                  <w:vAlign w:val="center"/>
                </w:tcPr>
                <w:p w14:paraId="3DF8FB14">
                  <w:pPr>
                    <w:pStyle w:val="558"/>
                    <w:adjustRightInd w:val="0"/>
                    <w:rPr>
                      <w:color w:val="auto"/>
                      <w:spacing w:val="0"/>
                      <w:kern w:val="0"/>
                    </w:rPr>
                  </w:pPr>
                  <w:r>
                    <w:rPr>
                      <w:color w:val="auto"/>
                      <w:spacing w:val="0"/>
                      <w:kern w:val="0"/>
                    </w:rPr>
                    <w:t>产生挥发性有机物废气的生产经营活动，应当在密闭空间或者设备中进行，并设置废气收集和处理系统等污染防治设施，保持其正常使用。</w:t>
                  </w:r>
                </w:p>
              </w:tc>
              <w:tc>
                <w:tcPr>
                  <w:tcW w:w="1863" w:type="pct"/>
                  <w:tcBorders>
                    <w:tl2br w:val="nil"/>
                    <w:tr2bl w:val="nil"/>
                  </w:tcBorders>
                  <w:vAlign w:val="center"/>
                </w:tcPr>
                <w:p w14:paraId="173B66C3">
                  <w:pPr>
                    <w:pStyle w:val="558"/>
                    <w:adjustRightInd w:val="0"/>
                    <w:rPr>
                      <w:color w:val="auto"/>
                      <w:spacing w:val="0"/>
                      <w:kern w:val="0"/>
                    </w:rPr>
                  </w:pPr>
                  <w:r>
                    <w:rPr>
                      <w:rFonts w:hint="eastAsia"/>
                      <w:bCs/>
                      <w:color w:val="auto"/>
                      <w:spacing w:val="0"/>
                      <w:kern w:val="0"/>
                      <w:lang w:eastAsia="zh-CN"/>
                    </w:rPr>
                    <w:t>项目擦色、调漆、喷漆、刷漆、晾干、喷枪清洗产生的有机废气经调漆房、底漆房、面漆房、晾干房负压收集；</w:t>
                  </w:r>
                  <w:r>
                    <w:rPr>
                      <w:rFonts w:hint="eastAsia"/>
                      <w:bCs/>
                      <w:color w:val="auto"/>
                      <w:spacing w:val="0"/>
                      <w:kern w:val="0"/>
                      <w:lang w:val="en-US" w:eastAsia="zh-CN"/>
                    </w:rPr>
                    <w:t>喷漆产生的</w:t>
                  </w:r>
                  <w:r>
                    <w:rPr>
                      <w:rFonts w:hint="eastAsia"/>
                      <w:bCs/>
                      <w:color w:val="auto"/>
                      <w:spacing w:val="0"/>
                      <w:kern w:val="0"/>
                      <w:lang w:eastAsia="zh-CN"/>
                    </w:rPr>
                    <w:t>颗粒物</w:t>
                  </w:r>
                  <w:r>
                    <w:rPr>
                      <w:rFonts w:hint="eastAsia"/>
                      <w:bCs/>
                      <w:color w:val="auto"/>
                      <w:spacing w:val="0"/>
                      <w:kern w:val="0"/>
                      <w:lang w:val="en-US" w:eastAsia="zh-CN"/>
                    </w:rPr>
                    <w:t>经底漆房、面漆房负压收集</w:t>
                  </w:r>
                  <w:r>
                    <w:rPr>
                      <w:rFonts w:hint="eastAsia"/>
                      <w:bCs/>
                      <w:color w:val="auto"/>
                      <w:spacing w:val="0"/>
                      <w:kern w:val="0"/>
                      <w:lang w:eastAsia="zh-CN"/>
                    </w:rPr>
                    <w:t>，颗粒物经水帘装置处理后和有机废气一起经吸雾毡去除水分后进入1套“二级活性炭装置”处理后通过1根20m高的排气筒DA001排放</w:t>
                  </w:r>
                  <w:r>
                    <w:rPr>
                      <w:color w:val="auto"/>
                      <w:spacing w:val="0"/>
                      <w:kern w:val="0"/>
                    </w:rPr>
                    <w:t>。项目在运行过程中确保废气处理装置正常使用</w:t>
                  </w:r>
                </w:p>
              </w:tc>
              <w:tc>
                <w:tcPr>
                  <w:tcW w:w="484" w:type="pct"/>
                  <w:tcBorders>
                    <w:tl2br w:val="nil"/>
                    <w:tr2bl w:val="nil"/>
                  </w:tcBorders>
                  <w:vAlign w:val="center"/>
                </w:tcPr>
                <w:p w14:paraId="245A134B">
                  <w:pPr>
                    <w:adjustRightInd w:val="0"/>
                    <w:snapToGrid w:val="0"/>
                    <w:jc w:val="center"/>
                    <w:rPr>
                      <w:color w:val="auto"/>
                      <w:spacing w:val="0"/>
                      <w:kern w:val="0"/>
                    </w:rPr>
                  </w:pPr>
                  <w:r>
                    <w:rPr>
                      <w:color w:val="auto"/>
                      <w:spacing w:val="0"/>
                      <w:kern w:val="0"/>
                    </w:rPr>
                    <w:t>相符</w:t>
                  </w:r>
                </w:p>
              </w:tc>
            </w:tr>
            <w:tr w14:paraId="6F4F851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8" w:type="pct"/>
                  <w:tcBorders>
                    <w:tl2br w:val="nil"/>
                    <w:tr2bl w:val="nil"/>
                  </w:tcBorders>
                  <w:vAlign w:val="center"/>
                </w:tcPr>
                <w:p w14:paraId="3146B18C">
                  <w:pPr>
                    <w:pStyle w:val="558"/>
                    <w:adjustRightInd w:val="0"/>
                    <w:rPr>
                      <w:b/>
                      <w:color w:val="auto"/>
                      <w:spacing w:val="0"/>
                      <w:kern w:val="0"/>
                    </w:rPr>
                  </w:pPr>
                  <w:r>
                    <w:rPr>
                      <w:b/>
                      <w:color w:val="auto"/>
                      <w:spacing w:val="0"/>
                      <w:kern w:val="0"/>
                    </w:rPr>
                    <w:t>《江苏省重点行业挥发性有机物污染控制指南》</w:t>
                  </w:r>
                </w:p>
              </w:tc>
              <w:tc>
                <w:tcPr>
                  <w:tcW w:w="1883" w:type="pct"/>
                  <w:gridSpan w:val="2"/>
                  <w:tcBorders>
                    <w:tl2br w:val="nil"/>
                    <w:tr2bl w:val="nil"/>
                  </w:tcBorders>
                  <w:vAlign w:val="center"/>
                </w:tcPr>
                <w:p w14:paraId="657B3BB9">
                  <w:pPr>
                    <w:pStyle w:val="558"/>
                    <w:adjustRightInd w:val="0"/>
                    <w:rPr>
                      <w:color w:val="auto"/>
                      <w:spacing w:val="0"/>
                      <w:kern w:val="0"/>
                    </w:rPr>
                  </w:pPr>
                  <w:r>
                    <w:rPr>
                      <w:color w:val="auto"/>
                      <w:spacing w:val="0"/>
                      <w:kern w:val="0"/>
                    </w:rPr>
                    <w:t>对浓度、性状差异较大的废气应分类收集，并采用适宜的方式进行有效处理，确保VOCs总去除效率满足管理要求，其中有机化工、医药化工、橡胶和塑料制品（有溶剂浸胶工艺）、溶剂型涂料表面涂装、包装印刷业的VOCs总收集、净化处理率均不低于90%，其他行业原则上不低于75%。</w:t>
                  </w:r>
                </w:p>
              </w:tc>
              <w:tc>
                <w:tcPr>
                  <w:tcW w:w="1863" w:type="pct"/>
                  <w:tcBorders>
                    <w:tl2br w:val="nil"/>
                    <w:tr2bl w:val="nil"/>
                  </w:tcBorders>
                  <w:vAlign w:val="center"/>
                </w:tcPr>
                <w:p w14:paraId="3627E287">
                  <w:pPr>
                    <w:pStyle w:val="558"/>
                    <w:adjustRightInd w:val="0"/>
                    <w:rPr>
                      <w:color w:val="auto"/>
                      <w:spacing w:val="0"/>
                      <w:kern w:val="0"/>
                    </w:rPr>
                  </w:pPr>
                  <w:r>
                    <w:rPr>
                      <w:bCs/>
                      <w:color w:val="auto"/>
                      <w:spacing w:val="0"/>
                      <w:kern w:val="0"/>
                    </w:rPr>
                    <w:t>项目</w:t>
                  </w:r>
                  <w:r>
                    <w:rPr>
                      <w:rFonts w:hint="eastAsia"/>
                      <w:bCs/>
                      <w:color w:val="auto"/>
                      <w:spacing w:val="0"/>
                      <w:kern w:val="0"/>
                      <w:lang w:val="en-US" w:eastAsia="zh-CN"/>
                    </w:rPr>
                    <w:t>擦色、调漆、刷漆、喷漆、晾干</w:t>
                  </w:r>
                  <w:r>
                    <w:rPr>
                      <w:rFonts w:hint="eastAsia"/>
                      <w:bCs/>
                      <w:color w:val="auto"/>
                      <w:spacing w:val="0"/>
                      <w:kern w:val="0"/>
                    </w:rPr>
                    <w:t>有机废气经</w:t>
                  </w:r>
                  <w:r>
                    <w:rPr>
                      <w:rFonts w:hint="eastAsia"/>
                      <w:bCs/>
                      <w:color w:val="auto"/>
                      <w:spacing w:val="0"/>
                      <w:kern w:val="0"/>
                      <w:lang w:val="en-US" w:eastAsia="zh-CN"/>
                    </w:rPr>
                    <w:t>负压</w:t>
                  </w:r>
                  <w:r>
                    <w:rPr>
                      <w:rFonts w:hint="eastAsia"/>
                      <w:bCs/>
                      <w:color w:val="auto"/>
                      <w:spacing w:val="0"/>
                      <w:kern w:val="0"/>
                      <w:lang w:eastAsia="zh-CN"/>
                    </w:rPr>
                    <w:t>收集</w:t>
                  </w:r>
                  <w:r>
                    <w:rPr>
                      <w:rFonts w:hint="eastAsia"/>
                      <w:bCs/>
                      <w:color w:val="auto"/>
                      <w:spacing w:val="0"/>
                      <w:kern w:val="0"/>
                    </w:rPr>
                    <w:t>（收集效率9</w:t>
                  </w:r>
                  <w:r>
                    <w:rPr>
                      <w:rFonts w:hint="eastAsia"/>
                      <w:bCs/>
                      <w:color w:val="auto"/>
                      <w:spacing w:val="0"/>
                      <w:kern w:val="0"/>
                      <w:lang w:val="en-US" w:eastAsia="zh-CN"/>
                    </w:rPr>
                    <w:t>8</w:t>
                  </w:r>
                  <w:r>
                    <w:rPr>
                      <w:rFonts w:hint="eastAsia"/>
                      <w:bCs/>
                      <w:color w:val="auto"/>
                      <w:spacing w:val="0"/>
                      <w:kern w:val="0"/>
                    </w:rPr>
                    <w:t>%）</w:t>
                  </w:r>
                  <w:r>
                    <w:rPr>
                      <w:rFonts w:hint="eastAsia"/>
                      <w:bCs/>
                      <w:color w:val="auto"/>
                      <w:spacing w:val="0"/>
                      <w:kern w:val="0"/>
                      <w:lang w:eastAsia="zh-CN"/>
                    </w:rPr>
                    <w:t>；</w:t>
                  </w:r>
                  <w:r>
                    <w:rPr>
                      <w:rFonts w:hint="eastAsia"/>
                      <w:bCs/>
                      <w:color w:val="auto"/>
                      <w:spacing w:val="0"/>
                      <w:kern w:val="0"/>
                      <w:lang w:val="en-US" w:eastAsia="zh-CN"/>
                    </w:rPr>
                    <w:t>喷漆颗粒物经负压收集（收集效率98%）</w:t>
                  </w:r>
                  <w:r>
                    <w:rPr>
                      <w:rFonts w:hint="eastAsia"/>
                      <w:color w:val="auto"/>
                      <w:spacing w:val="0"/>
                      <w:kern w:val="0"/>
                    </w:rPr>
                    <w:t>，收集后的废气进入</w:t>
                  </w:r>
                  <w:r>
                    <w:rPr>
                      <w:rFonts w:hint="eastAsia"/>
                      <w:color w:val="auto"/>
                      <w:spacing w:val="0"/>
                      <w:kern w:val="0"/>
                      <w:lang w:val="en-US" w:eastAsia="zh-CN"/>
                    </w:rPr>
                    <w:t>1</w:t>
                  </w:r>
                  <w:r>
                    <w:rPr>
                      <w:rFonts w:hint="eastAsia"/>
                      <w:color w:val="auto"/>
                      <w:spacing w:val="0"/>
                      <w:kern w:val="0"/>
                    </w:rPr>
                    <w:t>套“</w:t>
                  </w:r>
                  <w:r>
                    <w:rPr>
                      <w:rFonts w:hint="eastAsia"/>
                      <w:color w:val="auto"/>
                      <w:spacing w:val="0"/>
                      <w:kern w:val="0"/>
                      <w:lang w:val="en-US" w:eastAsia="zh-CN"/>
                    </w:rPr>
                    <w:t>水帘+吸雾毡+二级活性炭</w:t>
                  </w:r>
                  <w:r>
                    <w:rPr>
                      <w:rFonts w:hint="eastAsia"/>
                      <w:color w:val="auto"/>
                      <w:spacing w:val="0"/>
                      <w:kern w:val="0"/>
                    </w:rPr>
                    <w:t>”装置处理（处理效率9</w:t>
                  </w:r>
                  <w:r>
                    <w:rPr>
                      <w:rFonts w:hint="eastAsia"/>
                      <w:color w:val="auto"/>
                      <w:spacing w:val="0"/>
                      <w:kern w:val="0"/>
                      <w:lang w:val="en-US" w:eastAsia="zh-CN"/>
                    </w:rPr>
                    <w:t>0</w:t>
                  </w:r>
                  <w:r>
                    <w:rPr>
                      <w:rFonts w:hint="eastAsia"/>
                      <w:color w:val="auto"/>
                      <w:spacing w:val="0"/>
                      <w:kern w:val="0"/>
                    </w:rPr>
                    <w:t>%）</w:t>
                  </w:r>
                  <w:r>
                    <w:rPr>
                      <w:color w:val="auto"/>
                      <w:spacing w:val="0"/>
                      <w:kern w:val="0"/>
                    </w:rPr>
                    <w:t>，满足不低于75%要求。</w:t>
                  </w:r>
                </w:p>
              </w:tc>
              <w:tc>
                <w:tcPr>
                  <w:tcW w:w="484" w:type="pct"/>
                  <w:tcBorders>
                    <w:tl2br w:val="nil"/>
                    <w:tr2bl w:val="nil"/>
                  </w:tcBorders>
                  <w:vAlign w:val="center"/>
                </w:tcPr>
                <w:p w14:paraId="62FABD7C">
                  <w:pPr>
                    <w:pStyle w:val="558"/>
                    <w:adjustRightInd w:val="0"/>
                    <w:rPr>
                      <w:color w:val="auto"/>
                      <w:spacing w:val="0"/>
                      <w:kern w:val="0"/>
                    </w:rPr>
                  </w:pPr>
                  <w:r>
                    <w:rPr>
                      <w:color w:val="auto"/>
                      <w:spacing w:val="0"/>
                      <w:kern w:val="0"/>
                    </w:rPr>
                    <w:t>相符</w:t>
                  </w:r>
                </w:p>
              </w:tc>
            </w:tr>
            <w:tr w14:paraId="6C1A154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8" w:type="pct"/>
                  <w:tcBorders>
                    <w:tl2br w:val="nil"/>
                    <w:tr2bl w:val="nil"/>
                  </w:tcBorders>
                  <w:vAlign w:val="center"/>
                </w:tcPr>
                <w:p w14:paraId="7E72CB70">
                  <w:pPr>
                    <w:pStyle w:val="558"/>
                    <w:adjustRightInd w:val="0"/>
                    <w:rPr>
                      <w:b/>
                      <w:color w:val="auto"/>
                      <w:spacing w:val="0"/>
                      <w:kern w:val="0"/>
                    </w:rPr>
                  </w:pPr>
                  <w:r>
                    <w:rPr>
                      <w:b/>
                      <w:bCs/>
                      <w:color w:val="auto"/>
                      <w:spacing w:val="0"/>
                      <w:kern w:val="0"/>
                    </w:rPr>
                    <w:t>《重点行业挥发性有机物综合治理方案》</w:t>
                  </w:r>
                </w:p>
              </w:tc>
              <w:tc>
                <w:tcPr>
                  <w:tcW w:w="1883" w:type="pct"/>
                  <w:gridSpan w:val="2"/>
                  <w:tcBorders>
                    <w:tl2br w:val="nil"/>
                    <w:tr2bl w:val="nil"/>
                  </w:tcBorders>
                  <w:vAlign w:val="center"/>
                </w:tcPr>
                <w:p w14:paraId="62AA0E54">
                  <w:pPr>
                    <w:pStyle w:val="558"/>
                    <w:adjustRightInd w:val="0"/>
                    <w:rPr>
                      <w:color w:val="auto"/>
                      <w:spacing w:val="0"/>
                      <w:kern w:val="0"/>
                    </w:rPr>
                  </w:pPr>
                  <w:r>
                    <w:rPr>
                      <w:color w:val="auto"/>
                      <w:spacing w:val="0"/>
                      <w:kern w:val="0"/>
                    </w:rPr>
                    <w:t>通过采用全密闭、连续化、自动化等生产技术，以及高效工艺与设备等，减少工艺过程无组织排放。遵循</w:t>
                  </w:r>
                  <w:r>
                    <w:rPr>
                      <w:rFonts w:hint="eastAsia"/>
                      <w:color w:val="auto"/>
                      <w:spacing w:val="0"/>
                      <w:kern w:val="0"/>
                    </w:rPr>
                    <w:t>“</w:t>
                  </w:r>
                  <w:r>
                    <w:rPr>
                      <w:color w:val="auto"/>
                      <w:spacing w:val="0"/>
                      <w:kern w:val="0"/>
                    </w:rPr>
                    <w:t>应收尽收、分质收集</w:t>
                  </w:r>
                  <w:r>
                    <w:rPr>
                      <w:rFonts w:hint="eastAsia"/>
                      <w:color w:val="auto"/>
                      <w:spacing w:val="0"/>
                      <w:kern w:val="0"/>
                    </w:rPr>
                    <w:t>”</w:t>
                  </w:r>
                  <w:r>
                    <w:rPr>
                      <w:color w:val="auto"/>
                      <w:spacing w:val="0"/>
                      <w:kern w:val="0"/>
                    </w:rPr>
                    <w:t>的原则，科学设计废气收集系统，将无组织排放转变为有组织排放进行控制。</w:t>
                  </w:r>
                </w:p>
              </w:tc>
              <w:tc>
                <w:tcPr>
                  <w:tcW w:w="1863" w:type="pct"/>
                  <w:tcBorders>
                    <w:tl2br w:val="nil"/>
                    <w:tr2bl w:val="nil"/>
                  </w:tcBorders>
                  <w:vAlign w:val="center"/>
                </w:tcPr>
                <w:p w14:paraId="46C886C3">
                  <w:pPr>
                    <w:pStyle w:val="558"/>
                    <w:adjustRightInd w:val="0"/>
                    <w:rPr>
                      <w:color w:val="auto"/>
                      <w:spacing w:val="0"/>
                      <w:kern w:val="0"/>
                    </w:rPr>
                  </w:pPr>
                  <w:r>
                    <w:rPr>
                      <w:rFonts w:hint="eastAsia"/>
                      <w:bCs/>
                      <w:color w:val="auto"/>
                      <w:spacing w:val="0"/>
                      <w:kern w:val="0"/>
                      <w:lang w:eastAsia="zh-CN"/>
                    </w:rPr>
                    <w:t>项目擦色、调漆、喷漆、刷漆、晾干、喷枪清洗产生的有机废气经调漆房、底漆房、面漆房、晾干房负压收集；</w:t>
                  </w:r>
                  <w:r>
                    <w:rPr>
                      <w:rFonts w:hint="eastAsia"/>
                      <w:bCs/>
                      <w:color w:val="auto"/>
                      <w:spacing w:val="0"/>
                      <w:kern w:val="0"/>
                      <w:lang w:val="en-US" w:eastAsia="zh-CN"/>
                    </w:rPr>
                    <w:t>喷漆产生的</w:t>
                  </w:r>
                  <w:r>
                    <w:rPr>
                      <w:rFonts w:hint="eastAsia"/>
                      <w:bCs/>
                      <w:color w:val="auto"/>
                      <w:spacing w:val="0"/>
                      <w:kern w:val="0"/>
                      <w:lang w:eastAsia="zh-CN"/>
                    </w:rPr>
                    <w:t>颗粒物</w:t>
                  </w:r>
                  <w:r>
                    <w:rPr>
                      <w:rFonts w:hint="eastAsia"/>
                      <w:bCs/>
                      <w:color w:val="auto"/>
                      <w:spacing w:val="0"/>
                      <w:kern w:val="0"/>
                      <w:lang w:val="en-US" w:eastAsia="zh-CN"/>
                    </w:rPr>
                    <w:t>经底漆房、面漆房负压收集</w:t>
                  </w:r>
                  <w:r>
                    <w:rPr>
                      <w:rFonts w:hint="eastAsia"/>
                      <w:bCs/>
                      <w:color w:val="auto"/>
                      <w:spacing w:val="0"/>
                      <w:kern w:val="0"/>
                      <w:lang w:eastAsia="zh-CN"/>
                    </w:rPr>
                    <w:t>，颗粒物经水帘装置处理后和有机废气一起经吸雾毡去除水分后进入1套“二级活性炭装置”处理后通过1根20m高的排气筒DA001排放</w:t>
                  </w:r>
                  <w:r>
                    <w:rPr>
                      <w:color w:val="auto"/>
                      <w:spacing w:val="0"/>
                      <w:kern w:val="0"/>
                    </w:rPr>
                    <w:t>。能够有效减少废气无组织排放量</w:t>
                  </w:r>
                </w:p>
              </w:tc>
              <w:tc>
                <w:tcPr>
                  <w:tcW w:w="484" w:type="pct"/>
                  <w:tcBorders>
                    <w:tl2br w:val="nil"/>
                    <w:tr2bl w:val="nil"/>
                  </w:tcBorders>
                  <w:vAlign w:val="center"/>
                </w:tcPr>
                <w:p w14:paraId="6EAA8E82">
                  <w:pPr>
                    <w:pStyle w:val="558"/>
                    <w:adjustRightInd w:val="0"/>
                    <w:rPr>
                      <w:color w:val="auto"/>
                      <w:spacing w:val="0"/>
                      <w:kern w:val="0"/>
                    </w:rPr>
                  </w:pPr>
                  <w:r>
                    <w:rPr>
                      <w:color w:val="auto"/>
                      <w:spacing w:val="0"/>
                      <w:kern w:val="0"/>
                    </w:rPr>
                    <w:t>相符</w:t>
                  </w:r>
                </w:p>
              </w:tc>
            </w:tr>
            <w:tr w14:paraId="211421E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8" w:type="pct"/>
                  <w:tcBorders>
                    <w:tl2br w:val="nil"/>
                    <w:tr2bl w:val="nil"/>
                  </w:tcBorders>
                  <w:vAlign w:val="center"/>
                </w:tcPr>
                <w:p w14:paraId="5D65F344">
                  <w:pPr>
                    <w:pStyle w:val="558"/>
                    <w:adjustRightInd w:val="0"/>
                    <w:rPr>
                      <w:color w:val="auto"/>
                      <w:spacing w:val="0"/>
                      <w:kern w:val="0"/>
                    </w:rPr>
                  </w:pPr>
                  <w:r>
                    <w:rPr>
                      <w:rFonts w:hint="eastAsia" w:cs="宋体"/>
                      <w:b/>
                      <w:bCs/>
                      <w:color w:val="auto"/>
                      <w:spacing w:val="0"/>
                      <w:kern w:val="0"/>
                    </w:rPr>
                    <w:t>《低挥发性有机化合物含量涂料产品技术要求》（GB/T 38597-2020）</w:t>
                  </w:r>
                </w:p>
              </w:tc>
              <w:tc>
                <w:tcPr>
                  <w:tcW w:w="1883" w:type="pct"/>
                  <w:gridSpan w:val="2"/>
                  <w:tcBorders>
                    <w:tl2br w:val="nil"/>
                    <w:tr2bl w:val="nil"/>
                  </w:tcBorders>
                  <w:vAlign w:val="center"/>
                </w:tcPr>
                <w:p w14:paraId="739F57C4">
                  <w:pPr>
                    <w:pStyle w:val="558"/>
                    <w:adjustRightInd w:val="0"/>
                    <w:rPr>
                      <w:rFonts w:hint="eastAsia" w:eastAsia="宋体"/>
                      <w:color w:val="auto"/>
                      <w:spacing w:val="0"/>
                      <w:kern w:val="0"/>
                      <w:lang w:eastAsia="zh-CN"/>
                    </w:rPr>
                  </w:pPr>
                  <w:r>
                    <w:rPr>
                      <w:rFonts w:hint="eastAsia" w:cs="宋体"/>
                      <w:b w:val="0"/>
                      <w:bCs w:val="0"/>
                      <w:color w:val="auto"/>
                      <w:spacing w:val="0"/>
                      <w:kern w:val="0"/>
                      <w:lang w:eastAsia="zh-CN"/>
                    </w:rPr>
                    <w:t>“</w:t>
                  </w:r>
                  <w:r>
                    <w:rPr>
                      <w:rFonts w:hint="eastAsia" w:cs="宋体"/>
                      <w:b w:val="0"/>
                      <w:bCs w:val="0"/>
                      <w:color w:val="auto"/>
                      <w:spacing w:val="0"/>
                      <w:kern w:val="0"/>
                      <w:lang w:val="en-US" w:eastAsia="zh-CN"/>
                    </w:rPr>
                    <w:t>表1 水性涂料中VOC含量的限量值要求</w:t>
                  </w:r>
                  <w:r>
                    <w:rPr>
                      <w:rFonts w:hint="eastAsia" w:cs="宋体"/>
                      <w:b w:val="0"/>
                      <w:bCs w:val="0"/>
                      <w:color w:val="auto"/>
                      <w:spacing w:val="0"/>
                      <w:kern w:val="0"/>
                      <w:lang w:eastAsia="zh-CN"/>
                    </w:rPr>
                    <w:t>”</w:t>
                  </w:r>
                  <w:r>
                    <w:rPr>
                      <w:rFonts w:hint="eastAsia" w:cs="宋体"/>
                      <w:b w:val="0"/>
                      <w:bCs w:val="0"/>
                      <w:color w:val="auto"/>
                      <w:spacing w:val="0"/>
                      <w:kern w:val="0"/>
                      <w:lang w:val="en-US" w:eastAsia="zh-CN"/>
                    </w:rPr>
                    <w:t>中“木器涂料”（色漆限量值</w:t>
                  </w:r>
                  <w:r>
                    <w:rPr>
                      <w:rFonts w:hint="default" w:ascii="Times New Roman" w:hAnsi="Times New Roman" w:cs="Times New Roman"/>
                      <w:b w:val="0"/>
                      <w:bCs w:val="0"/>
                      <w:color w:val="auto"/>
                      <w:spacing w:val="0"/>
                      <w:kern w:val="0"/>
                      <w:lang w:val="en-US" w:eastAsia="zh-CN"/>
                    </w:rPr>
                    <w:t>≤</w:t>
                  </w:r>
                  <w:r>
                    <w:rPr>
                      <w:rFonts w:hint="eastAsia" w:cs="宋体"/>
                      <w:b w:val="0"/>
                      <w:bCs w:val="0"/>
                      <w:color w:val="auto"/>
                      <w:spacing w:val="0"/>
                      <w:kern w:val="0"/>
                      <w:lang w:val="en-US" w:eastAsia="zh-CN"/>
                    </w:rPr>
                    <w:t>250g/L，清漆限量值</w:t>
                  </w:r>
                  <w:r>
                    <w:rPr>
                      <w:rFonts w:hint="default" w:ascii="Times New Roman" w:hAnsi="Times New Roman" w:cs="Times New Roman"/>
                      <w:b w:val="0"/>
                      <w:bCs w:val="0"/>
                      <w:color w:val="auto"/>
                      <w:spacing w:val="0"/>
                      <w:kern w:val="0"/>
                      <w:lang w:val="en-US" w:eastAsia="zh-CN"/>
                    </w:rPr>
                    <w:t>≤</w:t>
                  </w:r>
                  <w:r>
                    <w:rPr>
                      <w:rFonts w:hint="eastAsia" w:cs="宋体"/>
                      <w:b w:val="0"/>
                      <w:bCs w:val="0"/>
                      <w:color w:val="auto"/>
                      <w:spacing w:val="0"/>
                      <w:kern w:val="0"/>
                      <w:lang w:val="en-US" w:eastAsia="zh-CN"/>
                    </w:rPr>
                    <w:t>270g/L）</w:t>
                  </w:r>
                  <w:r>
                    <w:rPr>
                      <w:rFonts w:hint="eastAsia" w:cs="宋体"/>
                      <w:color w:val="auto"/>
                      <w:spacing w:val="0"/>
                      <w:kern w:val="0"/>
                      <w:lang w:eastAsia="zh-CN"/>
                    </w:rPr>
                    <w:t>、</w:t>
                  </w:r>
                  <w:r>
                    <w:rPr>
                      <w:rFonts w:hint="eastAsia" w:cs="宋体"/>
                      <w:b w:val="0"/>
                      <w:bCs w:val="0"/>
                      <w:color w:val="auto"/>
                      <w:spacing w:val="0"/>
                      <w:kern w:val="0"/>
                      <w:lang w:eastAsia="zh-CN"/>
                    </w:rPr>
                    <w:t>“表2 溶剂型涂料中VOC含量的要求”中“木器涂料（限工厂化涂装用）”（</w:t>
                  </w:r>
                  <w:r>
                    <w:rPr>
                      <w:rFonts w:hint="default" w:ascii="Times New Roman" w:hAnsi="Times New Roman" w:cs="Times New Roman"/>
                      <w:b w:val="0"/>
                      <w:bCs w:val="0"/>
                      <w:color w:val="auto"/>
                      <w:spacing w:val="0"/>
                      <w:kern w:val="0"/>
                      <w:lang w:eastAsia="zh-CN"/>
                    </w:rPr>
                    <w:t>≤</w:t>
                  </w:r>
                  <w:r>
                    <w:rPr>
                      <w:rFonts w:hint="eastAsia" w:cs="宋体"/>
                      <w:b w:val="0"/>
                      <w:bCs w:val="0"/>
                      <w:color w:val="auto"/>
                      <w:spacing w:val="0"/>
                      <w:kern w:val="0"/>
                      <w:lang w:eastAsia="zh-CN"/>
                    </w:rPr>
                    <w:t>420g/L）</w:t>
                  </w:r>
                  <w:r>
                    <w:rPr>
                      <w:rFonts w:hint="eastAsia" w:cs="宋体"/>
                      <w:b w:val="0"/>
                      <w:bCs w:val="0"/>
                      <w:color w:val="auto"/>
                      <w:spacing w:val="0"/>
                      <w:kern w:val="0"/>
                      <w:lang w:val="en-US" w:eastAsia="zh-CN"/>
                    </w:rPr>
                    <w:t>。</w:t>
                  </w:r>
                </w:p>
              </w:tc>
              <w:tc>
                <w:tcPr>
                  <w:tcW w:w="1863" w:type="pct"/>
                  <w:tcBorders>
                    <w:tl2br w:val="nil"/>
                    <w:tr2bl w:val="nil"/>
                  </w:tcBorders>
                  <w:vAlign w:val="center"/>
                </w:tcPr>
                <w:p w14:paraId="76B177DA">
                  <w:pPr>
                    <w:pStyle w:val="558"/>
                    <w:adjustRightInd w:val="0"/>
                    <w:rPr>
                      <w:color w:val="auto"/>
                      <w:spacing w:val="0"/>
                      <w:kern w:val="0"/>
                    </w:rPr>
                  </w:pPr>
                  <w:r>
                    <w:rPr>
                      <w:rFonts w:hint="eastAsia"/>
                      <w:color w:val="auto"/>
                      <w:spacing w:val="0"/>
                      <w:kern w:val="0"/>
                      <w:lang w:val="en-US" w:eastAsia="zh-CN"/>
                    </w:rPr>
                    <w:t>项目</w:t>
                  </w:r>
                  <w:r>
                    <w:rPr>
                      <w:rFonts w:hint="eastAsia"/>
                      <w:color w:val="auto"/>
                      <w:spacing w:val="0"/>
                      <w:kern w:val="0"/>
                    </w:rPr>
                    <w:t>水性</w:t>
                  </w:r>
                  <w:r>
                    <w:rPr>
                      <w:rFonts w:hint="eastAsia"/>
                      <w:color w:val="auto"/>
                      <w:spacing w:val="0"/>
                      <w:kern w:val="0"/>
                      <w:lang w:val="en-US" w:eastAsia="zh-CN"/>
                    </w:rPr>
                    <w:t>漆</w:t>
                  </w:r>
                  <w:r>
                    <w:rPr>
                      <w:rFonts w:hint="eastAsia"/>
                      <w:color w:val="auto"/>
                      <w:spacing w:val="0"/>
                      <w:kern w:val="0"/>
                    </w:rPr>
                    <w:t>VOC含量为</w:t>
                  </w:r>
                  <w:r>
                    <w:rPr>
                      <w:rFonts w:hint="eastAsia"/>
                      <w:color w:val="auto"/>
                      <w:spacing w:val="0"/>
                      <w:kern w:val="0"/>
                      <w:lang w:val="en-US" w:eastAsia="zh-CN"/>
                    </w:rPr>
                    <w:t>125g/L、161</w:t>
                  </w:r>
                  <w:r>
                    <w:rPr>
                      <w:rFonts w:hint="eastAsia"/>
                      <w:color w:val="auto"/>
                      <w:spacing w:val="0"/>
                      <w:kern w:val="0"/>
                    </w:rPr>
                    <w:t>g/L</w:t>
                  </w:r>
                  <w:r>
                    <w:rPr>
                      <w:rFonts w:hint="eastAsia"/>
                      <w:color w:val="auto"/>
                      <w:spacing w:val="0"/>
                      <w:kern w:val="0"/>
                      <w:lang w:eastAsia="zh-CN"/>
                    </w:rPr>
                    <w:t>、</w:t>
                  </w:r>
                  <w:r>
                    <w:rPr>
                      <w:rFonts w:hint="eastAsia"/>
                      <w:color w:val="auto"/>
                      <w:spacing w:val="0"/>
                      <w:kern w:val="0"/>
                      <w:lang w:val="en-US" w:eastAsia="zh-CN"/>
                    </w:rPr>
                    <w:t>266g/L、131g/L、152g/L，油性漆</w:t>
                  </w:r>
                  <w:r>
                    <w:rPr>
                      <w:rFonts w:hint="eastAsia"/>
                      <w:color w:val="auto"/>
                      <w:spacing w:val="0"/>
                      <w:kern w:val="0"/>
                    </w:rPr>
                    <w:t>VOC含量为</w:t>
                  </w:r>
                  <w:r>
                    <w:rPr>
                      <w:rFonts w:hint="eastAsia"/>
                      <w:color w:val="auto"/>
                      <w:spacing w:val="0"/>
                      <w:kern w:val="0"/>
                      <w:lang w:val="en-US" w:eastAsia="zh-CN"/>
                    </w:rPr>
                    <w:t>381</w:t>
                  </w:r>
                  <w:r>
                    <w:rPr>
                      <w:rFonts w:hint="eastAsia"/>
                      <w:color w:val="auto"/>
                      <w:spacing w:val="0"/>
                      <w:kern w:val="0"/>
                    </w:rPr>
                    <w:t>g/L</w:t>
                  </w:r>
                  <w:r>
                    <w:rPr>
                      <w:rFonts w:hint="eastAsia"/>
                      <w:color w:val="auto"/>
                      <w:spacing w:val="0"/>
                      <w:kern w:val="0"/>
                      <w:lang w:val="en-US" w:eastAsia="zh-CN"/>
                    </w:rPr>
                    <w:t>、412g/L、358g/L</w:t>
                  </w:r>
                  <w:r>
                    <w:rPr>
                      <w:rFonts w:hint="eastAsia"/>
                      <w:color w:val="auto"/>
                      <w:spacing w:val="0"/>
                      <w:kern w:val="0"/>
                    </w:rPr>
                    <w:t>，符合《低挥发性有机化合物含量涂料产品技术要求》（GB/T 38597-2020）中限值要求</w:t>
                  </w:r>
                </w:p>
              </w:tc>
              <w:tc>
                <w:tcPr>
                  <w:tcW w:w="484" w:type="pct"/>
                  <w:tcBorders>
                    <w:tl2br w:val="nil"/>
                    <w:tr2bl w:val="nil"/>
                  </w:tcBorders>
                  <w:vAlign w:val="center"/>
                </w:tcPr>
                <w:p w14:paraId="646C20AC">
                  <w:pPr>
                    <w:pStyle w:val="558"/>
                    <w:adjustRightInd w:val="0"/>
                    <w:rPr>
                      <w:color w:val="auto"/>
                      <w:spacing w:val="0"/>
                      <w:kern w:val="0"/>
                    </w:rPr>
                  </w:pPr>
                  <w:r>
                    <w:rPr>
                      <w:rFonts w:hint="eastAsia"/>
                      <w:color w:val="auto"/>
                      <w:spacing w:val="0"/>
                      <w:kern w:val="0"/>
                    </w:rPr>
                    <w:t>相符</w:t>
                  </w:r>
                </w:p>
              </w:tc>
            </w:tr>
            <w:tr w14:paraId="5D782D5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8" w:type="pct"/>
                  <w:tcBorders>
                    <w:tl2br w:val="nil"/>
                    <w:tr2bl w:val="nil"/>
                  </w:tcBorders>
                  <w:vAlign w:val="center"/>
                </w:tcPr>
                <w:p w14:paraId="54546F4E">
                  <w:pPr>
                    <w:pStyle w:val="558"/>
                    <w:adjustRightInd w:val="0"/>
                    <w:rPr>
                      <w:rFonts w:hint="eastAsia" w:cs="宋体"/>
                      <w:b/>
                      <w:bCs/>
                      <w:color w:val="auto"/>
                      <w:spacing w:val="0"/>
                      <w:kern w:val="0"/>
                    </w:rPr>
                  </w:pPr>
                  <w:r>
                    <w:rPr>
                      <w:rFonts w:hint="eastAsia"/>
                      <w:b/>
                      <w:bCs/>
                      <w:color w:val="auto"/>
                      <w:spacing w:val="0"/>
                      <w:kern w:val="0"/>
                      <w:sz w:val="21"/>
                      <w:szCs w:val="21"/>
                      <w:highlight w:val="none"/>
                    </w:rPr>
                    <w:t>《胶粘剂挥发性有机化合物限量》（GB33372-2020）</w:t>
                  </w:r>
                </w:p>
              </w:tc>
              <w:tc>
                <w:tcPr>
                  <w:tcW w:w="1883" w:type="pct"/>
                  <w:gridSpan w:val="2"/>
                  <w:tcBorders>
                    <w:tl2br w:val="nil"/>
                    <w:tr2bl w:val="nil"/>
                  </w:tcBorders>
                  <w:vAlign w:val="center"/>
                </w:tcPr>
                <w:p w14:paraId="49AA7EE8">
                  <w:pPr>
                    <w:pStyle w:val="558"/>
                    <w:adjustRightInd w:val="0"/>
                    <w:rPr>
                      <w:rFonts w:hint="default" w:cs="宋体"/>
                      <w:b w:val="0"/>
                      <w:bCs w:val="0"/>
                      <w:color w:val="auto"/>
                      <w:spacing w:val="0"/>
                      <w:kern w:val="0"/>
                      <w:lang w:val="en-US" w:eastAsia="zh-CN"/>
                    </w:rPr>
                  </w:pPr>
                  <w:r>
                    <w:rPr>
                      <w:rFonts w:hint="eastAsia" w:cs="宋体"/>
                      <w:b w:val="0"/>
                      <w:bCs w:val="0"/>
                      <w:color w:val="auto"/>
                      <w:spacing w:val="0"/>
                      <w:kern w:val="0"/>
                      <w:lang w:eastAsia="zh-CN"/>
                    </w:rPr>
                    <w:t>“</w:t>
                  </w:r>
                  <w:r>
                    <w:rPr>
                      <w:rFonts w:hint="eastAsia" w:cs="宋体"/>
                      <w:b w:val="0"/>
                      <w:bCs w:val="0"/>
                      <w:color w:val="auto"/>
                      <w:spacing w:val="0"/>
                      <w:kern w:val="0"/>
                      <w:lang w:val="en-US" w:eastAsia="zh-CN"/>
                    </w:rPr>
                    <w:t>表2 水基型胶粘剂VOC含量限量</w:t>
                  </w:r>
                  <w:r>
                    <w:rPr>
                      <w:rFonts w:hint="eastAsia" w:cs="宋体"/>
                      <w:b w:val="0"/>
                      <w:bCs w:val="0"/>
                      <w:color w:val="auto"/>
                      <w:spacing w:val="0"/>
                      <w:kern w:val="0"/>
                      <w:lang w:eastAsia="zh-CN"/>
                    </w:rPr>
                    <w:t>”</w:t>
                  </w:r>
                  <w:r>
                    <w:rPr>
                      <w:rFonts w:hint="eastAsia" w:cs="宋体"/>
                      <w:b w:val="0"/>
                      <w:bCs w:val="0"/>
                      <w:color w:val="auto"/>
                      <w:spacing w:val="0"/>
                      <w:kern w:val="0"/>
                      <w:lang w:val="en-US" w:eastAsia="zh-CN"/>
                    </w:rPr>
                    <w:t>中“木工与家具”中“聚乙酸乙烯酯类”（限量值</w:t>
                  </w:r>
                  <w:r>
                    <w:rPr>
                      <w:rFonts w:hint="default" w:ascii="Times New Roman" w:hAnsi="Times New Roman" w:cs="Times New Roman"/>
                      <w:b w:val="0"/>
                      <w:bCs w:val="0"/>
                      <w:color w:val="auto"/>
                      <w:spacing w:val="0"/>
                      <w:kern w:val="0"/>
                      <w:lang w:val="en-US" w:eastAsia="zh-CN"/>
                    </w:rPr>
                    <w:t>≤</w:t>
                  </w:r>
                  <w:r>
                    <w:rPr>
                      <w:rFonts w:hint="eastAsia" w:cs="宋体"/>
                      <w:b w:val="0"/>
                      <w:bCs w:val="0"/>
                      <w:color w:val="auto"/>
                      <w:spacing w:val="0"/>
                      <w:kern w:val="0"/>
                      <w:lang w:val="en-US" w:eastAsia="zh-CN"/>
                    </w:rPr>
                    <w:t>100g/L）、“表3 本体型胶粘剂VOC含量限量”中“室内装饰装修”中“热塑类”（限量值</w:t>
                  </w:r>
                  <w:r>
                    <w:rPr>
                      <w:rFonts w:hint="default" w:ascii="Times New Roman" w:hAnsi="Times New Roman" w:cs="Times New Roman"/>
                      <w:b w:val="0"/>
                      <w:bCs w:val="0"/>
                      <w:color w:val="auto"/>
                      <w:spacing w:val="0"/>
                      <w:kern w:val="0"/>
                      <w:lang w:val="en-US" w:eastAsia="zh-CN"/>
                    </w:rPr>
                    <w:t>≤</w:t>
                  </w:r>
                  <w:r>
                    <w:rPr>
                      <w:rFonts w:hint="eastAsia" w:cs="宋体"/>
                      <w:b w:val="0"/>
                      <w:bCs w:val="0"/>
                      <w:color w:val="auto"/>
                      <w:spacing w:val="0"/>
                      <w:kern w:val="0"/>
                      <w:lang w:val="en-US" w:eastAsia="zh-CN"/>
                    </w:rPr>
                    <w:t>100g/L）</w:t>
                  </w:r>
                </w:p>
              </w:tc>
              <w:tc>
                <w:tcPr>
                  <w:tcW w:w="1863" w:type="pct"/>
                  <w:tcBorders>
                    <w:tl2br w:val="nil"/>
                    <w:tr2bl w:val="nil"/>
                  </w:tcBorders>
                  <w:vAlign w:val="center"/>
                </w:tcPr>
                <w:p w14:paraId="73E8AA7C">
                  <w:pPr>
                    <w:pStyle w:val="558"/>
                    <w:adjustRightInd w:val="0"/>
                    <w:rPr>
                      <w:rFonts w:hint="default"/>
                      <w:color w:val="auto"/>
                      <w:spacing w:val="0"/>
                      <w:kern w:val="0"/>
                      <w:lang w:val="en-US" w:eastAsia="zh-CN"/>
                    </w:rPr>
                  </w:pPr>
                  <w:r>
                    <w:rPr>
                      <w:rFonts w:hint="eastAsia"/>
                      <w:color w:val="auto"/>
                      <w:spacing w:val="0"/>
                      <w:kern w:val="0"/>
                      <w:lang w:val="en-US" w:eastAsia="zh-CN"/>
                    </w:rPr>
                    <w:t>项目白乳胶VOC含量为2.2g/L、热熔胶VOC含量未检出，按检出限2g/L计，符合《胶粘剂挥发性有机化合物限量》（GB33372-2020）中限值要求</w:t>
                  </w:r>
                </w:p>
              </w:tc>
              <w:tc>
                <w:tcPr>
                  <w:tcW w:w="484" w:type="pct"/>
                  <w:tcBorders>
                    <w:tl2br w:val="nil"/>
                    <w:tr2bl w:val="nil"/>
                  </w:tcBorders>
                  <w:vAlign w:val="center"/>
                </w:tcPr>
                <w:p w14:paraId="14DB7A20">
                  <w:pPr>
                    <w:pStyle w:val="558"/>
                    <w:adjustRightInd w:val="0"/>
                    <w:rPr>
                      <w:rFonts w:hint="eastAsia" w:eastAsia="宋体"/>
                      <w:color w:val="auto"/>
                      <w:spacing w:val="0"/>
                      <w:kern w:val="0"/>
                      <w:lang w:val="en-US" w:eastAsia="zh-CN"/>
                    </w:rPr>
                  </w:pPr>
                  <w:r>
                    <w:rPr>
                      <w:rFonts w:hint="eastAsia"/>
                      <w:color w:val="auto"/>
                      <w:spacing w:val="0"/>
                      <w:kern w:val="0"/>
                      <w:lang w:val="en-US" w:eastAsia="zh-CN"/>
                    </w:rPr>
                    <w:t>相符</w:t>
                  </w:r>
                </w:p>
              </w:tc>
            </w:tr>
            <w:tr w14:paraId="159B2B0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8" w:type="pct"/>
                  <w:vMerge w:val="restart"/>
                  <w:tcBorders>
                    <w:tl2br w:val="nil"/>
                    <w:tr2bl w:val="nil"/>
                  </w:tcBorders>
                  <w:vAlign w:val="center"/>
                </w:tcPr>
                <w:p w14:paraId="4AE84F45">
                  <w:pPr>
                    <w:pStyle w:val="558"/>
                    <w:adjustRightInd w:val="0"/>
                    <w:rPr>
                      <w:b/>
                      <w:bCs/>
                      <w:color w:val="auto"/>
                      <w:spacing w:val="0"/>
                      <w:kern w:val="0"/>
                    </w:rPr>
                  </w:pPr>
                  <w:r>
                    <w:rPr>
                      <w:b/>
                      <w:bCs/>
                      <w:color w:val="auto"/>
                      <w:spacing w:val="0"/>
                      <w:kern w:val="0"/>
                    </w:rPr>
                    <w:t>《江苏省挥发性有机物清洁原料替代工作方案》</w:t>
                  </w:r>
                </w:p>
              </w:tc>
              <w:tc>
                <w:tcPr>
                  <w:tcW w:w="1883" w:type="pct"/>
                  <w:gridSpan w:val="2"/>
                  <w:tcBorders>
                    <w:tl2br w:val="nil"/>
                    <w:tr2bl w:val="nil"/>
                  </w:tcBorders>
                  <w:vAlign w:val="center"/>
                </w:tcPr>
                <w:p w14:paraId="36FB85E2">
                  <w:pPr>
                    <w:pStyle w:val="558"/>
                    <w:adjustRightInd w:val="0"/>
                    <w:rPr>
                      <w:color w:val="auto"/>
                      <w:spacing w:val="0"/>
                      <w:kern w:val="0"/>
                    </w:rPr>
                  </w:pPr>
                  <w:r>
                    <w:rPr>
                      <w:color w:val="auto"/>
                      <w:spacing w:val="0"/>
                      <w:kern w:val="0"/>
                    </w:rPr>
                    <w:t>企业使用涂料、油墨、清洗剂、胶黏剂等产品应符合相关标准中VOCs含量的限值要求。</w:t>
                  </w:r>
                </w:p>
              </w:tc>
              <w:tc>
                <w:tcPr>
                  <w:tcW w:w="1863" w:type="pct"/>
                  <w:vMerge w:val="restart"/>
                  <w:tcBorders>
                    <w:tl2br w:val="nil"/>
                    <w:tr2bl w:val="nil"/>
                  </w:tcBorders>
                  <w:vAlign w:val="center"/>
                </w:tcPr>
                <w:p w14:paraId="406EAB7B">
                  <w:pPr>
                    <w:pStyle w:val="558"/>
                    <w:adjustRightInd w:val="0"/>
                    <w:rPr>
                      <w:color w:val="auto"/>
                      <w:spacing w:val="0"/>
                      <w:kern w:val="0"/>
                    </w:rPr>
                  </w:pPr>
                  <w:r>
                    <w:rPr>
                      <w:rFonts w:hint="eastAsia"/>
                      <w:color w:val="auto"/>
                      <w:spacing w:val="0"/>
                      <w:kern w:val="0"/>
                      <w:lang w:val="en-US" w:eastAsia="zh-CN"/>
                    </w:rPr>
                    <w:t>项目</w:t>
                  </w:r>
                  <w:r>
                    <w:rPr>
                      <w:rFonts w:hint="eastAsia"/>
                      <w:color w:val="auto"/>
                      <w:spacing w:val="0"/>
                      <w:kern w:val="0"/>
                    </w:rPr>
                    <w:t>水性</w:t>
                  </w:r>
                  <w:r>
                    <w:rPr>
                      <w:rFonts w:hint="eastAsia"/>
                      <w:color w:val="auto"/>
                      <w:spacing w:val="0"/>
                      <w:kern w:val="0"/>
                      <w:lang w:val="en-US" w:eastAsia="zh-CN"/>
                    </w:rPr>
                    <w:t>漆</w:t>
                  </w:r>
                  <w:r>
                    <w:rPr>
                      <w:rFonts w:hint="eastAsia"/>
                      <w:color w:val="auto"/>
                      <w:spacing w:val="0"/>
                      <w:kern w:val="0"/>
                    </w:rPr>
                    <w:t>VOC含量为</w:t>
                  </w:r>
                  <w:r>
                    <w:rPr>
                      <w:rFonts w:hint="eastAsia"/>
                      <w:color w:val="auto"/>
                      <w:spacing w:val="0"/>
                      <w:kern w:val="0"/>
                      <w:lang w:val="en-US" w:eastAsia="zh-CN"/>
                    </w:rPr>
                    <w:t>125g/L、161</w:t>
                  </w:r>
                  <w:r>
                    <w:rPr>
                      <w:rFonts w:hint="eastAsia"/>
                      <w:color w:val="auto"/>
                      <w:spacing w:val="0"/>
                      <w:kern w:val="0"/>
                    </w:rPr>
                    <w:t>g/L</w:t>
                  </w:r>
                  <w:r>
                    <w:rPr>
                      <w:rFonts w:hint="eastAsia"/>
                      <w:color w:val="auto"/>
                      <w:spacing w:val="0"/>
                      <w:kern w:val="0"/>
                      <w:lang w:eastAsia="zh-CN"/>
                    </w:rPr>
                    <w:t>、</w:t>
                  </w:r>
                  <w:r>
                    <w:rPr>
                      <w:rFonts w:hint="eastAsia"/>
                      <w:color w:val="auto"/>
                      <w:spacing w:val="0"/>
                      <w:kern w:val="0"/>
                      <w:lang w:val="en-US" w:eastAsia="zh-CN"/>
                    </w:rPr>
                    <w:t>266g/L、131g/L、152g/L，油性漆</w:t>
                  </w:r>
                  <w:r>
                    <w:rPr>
                      <w:rFonts w:hint="eastAsia"/>
                      <w:color w:val="auto"/>
                      <w:spacing w:val="0"/>
                      <w:kern w:val="0"/>
                    </w:rPr>
                    <w:t>VOC含量为</w:t>
                  </w:r>
                  <w:r>
                    <w:rPr>
                      <w:rFonts w:hint="eastAsia"/>
                      <w:color w:val="auto"/>
                      <w:spacing w:val="0"/>
                      <w:kern w:val="0"/>
                      <w:lang w:val="en-US" w:eastAsia="zh-CN"/>
                    </w:rPr>
                    <w:t>381</w:t>
                  </w:r>
                  <w:r>
                    <w:rPr>
                      <w:rFonts w:hint="eastAsia"/>
                      <w:color w:val="auto"/>
                      <w:spacing w:val="0"/>
                      <w:kern w:val="0"/>
                    </w:rPr>
                    <w:t>g/L</w:t>
                  </w:r>
                  <w:r>
                    <w:rPr>
                      <w:rFonts w:hint="eastAsia"/>
                      <w:color w:val="auto"/>
                      <w:spacing w:val="0"/>
                      <w:kern w:val="0"/>
                      <w:lang w:val="en-US" w:eastAsia="zh-CN"/>
                    </w:rPr>
                    <w:t>、412g/L、358g/L，项目白乳胶VOC含量为2.2g/L、热熔胶VOC含量未检出，按检出限2g/L计，</w:t>
                  </w:r>
                  <w:r>
                    <w:rPr>
                      <w:rFonts w:hint="eastAsia"/>
                      <w:color w:val="auto"/>
                      <w:spacing w:val="0"/>
                      <w:kern w:val="0"/>
                    </w:rPr>
                    <w:t>符合《低挥发性有机化合物含量涂料产品技术要求》（GB/T 38597-2020）</w:t>
                  </w:r>
                  <w:r>
                    <w:rPr>
                      <w:rFonts w:hint="eastAsia"/>
                      <w:color w:val="auto"/>
                      <w:spacing w:val="0"/>
                      <w:kern w:val="0"/>
                      <w:lang w:eastAsia="zh-CN"/>
                    </w:rPr>
                    <w:t>、</w:t>
                  </w:r>
                  <w:r>
                    <w:rPr>
                      <w:rFonts w:hint="eastAsia"/>
                      <w:color w:val="auto"/>
                      <w:spacing w:val="0"/>
                      <w:kern w:val="0"/>
                      <w:lang w:val="en-US" w:eastAsia="zh-CN"/>
                    </w:rPr>
                    <w:t>《胶粘剂挥发性有机化合物限量》（GB33372-2020）</w:t>
                  </w:r>
                  <w:r>
                    <w:rPr>
                      <w:rFonts w:hint="eastAsia"/>
                      <w:color w:val="auto"/>
                      <w:spacing w:val="0"/>
                      <w:kern w:val="0"/>
                    </w:rPr>
                    <w:t>中限值要求</w:t>
                  </w:r>
                </w:p>
              </w:tc>
              <w:tc>
                <w:tcPr>
                  <w:tcW w:w="484" w:type="pct"/>
                  <w:tcBorders>
                    <w:tl2br w:val="nil"/>
                    <w:tr2bl w:val="nil"/>
                  </w:tcBorders>
                  <w:vAlign w:val="center"/>
                </w:tcPr>
                <w:p w14:paraId="6E9998AF">
                  <w:pPr>
                    <w:pStyle w:val="558"/>
                    <w:adjustRightInd w:val="0"/>
                    <w:rPr>
                      <w:color w:val="auto"/>
                      <w:spacing w:val="0"/>
                      <w:kern w:val="0"/>
                    </w:rPr>
                  </w:pPr>
                  <w:r>
                    <w:rPr>
                      <w:color w:val="auto"/>
                      <w:spacing w:val="0"/>
                      <w:kern w:val="0"/>
                    </w:rPr>
                    <w:t>相符</w:t>
                  </w:r>
                </w:p>
              </w:tc>
            </w:tr>
            <w:tr w14:paraId="48471A0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8" w:type="pct"/>
                  <w:vMerge w:val="continue"/>
                  <w:tcBorders>
                    <w:tl2br w:val="nil"/>
                    <w:tr2bl w:val="nil"/>
                  </w:tcBorders>
                  <w:vAlign w:val="center"/>
                </w:tcPr>
                <w:p w14:paraId="6C932F36">
                  <w:pPr>
                    <w:pStyle w:val="558"/>
                    <w:adjustRightInd w:val="0"/>
                    <w:rPr>
                      <w:b/>
                      <w:bCs/>
                      <w:color w:val="auto"/>
                      <w:spacing w:val="0"/>
                      <w:kern w:val="0"/>
                    </w:rPr>
                  </w:pPr>
                </w:p>
              </w:tc>
              <w:tc>
                <w:tcPr>
                  <w:tcW w:w="1883" w:type="pct"/>
                  <w:gridSpan w:val="2"/>
                  <w:tcBorders>
                    <w:tl2br w:val="nil"/>
                    <w:tr2bl w:val="nil"/>
                  </w:tcBorders>
                  <w:vAlign w:val="center"/>
                </w:tcPr>
                <w:p w14:paraId="514A9802">
                  <w:pPr>
                    <w:pStyle w:val="558"/>
                    <w:adjustRightInd w:val="0"/>
                    <w:rPr>
                      <w:color w:val="auto"/>
                      <w:spacing w:val="0"/>
                      <w:kern w:val="0"/>
                    </w:rPr>
                  </w:pPr>
                  <w:r>
                    <w:rPr>
                      <w:color w:val="auto"/>
                      <w:spacing w:val="0"/>
                      <w:kern w:val="0"/>
                    </w:rPr>
                    <w:t>禁止建设生产和使用高VOCs含量的涂料、油墨、胶黏剂等项目。</w:t>
                  </w:r>
                </w:p>
              </w:tc>
              <w:tc>
                <w:tcPr>
                  <w:tcW w:w="1863" w:type="pct"/>
                  <w:vMerge w:val="continue"/>
                  <w:tcBorders>
                    <w:tl2br w:val="nil"/>
                    <w:tr2bl w:val="nil"/>
                  </w:tcBorders>
                  <w:vAlign w:val="center"/>
                </w:tcPr>
                <w:p w14:paraId="4B01C909">
                  <w:pPr>
                    <w:pStyle w:val="558"/>
                    <w:adjustRightInd w:val="0"/>
                    <w:rPr>
                      <w:color w:val="auto"/>
                      <w:spacing w:val="0"/>
                      <w:kern w:val="0"/>
                    </w:rPr>
                  </w:pPr>
                </w:p>
              </w:tc>
              <w:tc>
                <w:tcPr>
                  <w:tcW w:w="484" w:type="pct"/>
                  <w:tcBorders>
                    <w:tl2br w:val="nil"/>
                    <w:tr2bl w:val="nil"/>
                  </w:tcBorders>
                  <w:vAlign w:val="center"/>
                </w:tcPr>
                <w:p w14:paraId="5D6B60E6">
                  <w:pPr>
                    <w:adjustRightInd w:val="0"/>
                    <w:snapToGrid w:val="0"/>
                    <w:jc w:val="center"/>
                    <w:rPr>
                      <w:color w:val="auto"/>
                      <w:spacing w:val="0"/>
                      <w:kern w:val="0"/>
                    </w:rPr>
                  </w:pPr>
                  <w:r>
                    <w:rPr>
                      <w:color w:val="auto"/>
                      <w:spacing w:val="0"/>
                      <w:kern w:val="0"/>
                    </w:rPr>
                    <w:t>相符</w:t>
                  </w:r>
                </w:p>
              </w:tc>
            </w:tr>
            <w:tr w14:paraId="0AD87E9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8" w:type="pct"/>
                  <w:vMerge w:val="restart"/>
                  <w:tcBorders>
                    <w:tl2br w:val="nil"/>
                    <w:tr2bl w:val="nil"/>
                  </w:tcBorders>
                  <w:vAlign w:val="center"/>
                </w:tcPr>
                <w:p w14:paraId="19D4622B">
                  <w:pPr>
                    <w:pStyle w:val="558"/>
                    <w:adjustRightInd w:val="0"/>
                    <w:rPr>
                      <w:b/>
                      <w:bCs/>
                      <w:color w:val="auto"/>
                      <w:spacing w:val="0"/>
                      <w:kern w:val="0"/>
                    </w:rPr>
                  </w:pPr>
                  <w:r>
                    <w:rPr>
                      <w:b/>
                      <w:bCs/>
                      <w:color w:val="auto"/>
                      <w:spacing w:val="0"/>
                      <w:kern w:val="0"/>
                    </w:rPr>
                    <w:t>《关于印发常州市挥发性有机物清洁原料替代工作方案的通知》（常污防攻坚指办〔2021〕32号）</w:t>
                  </w:r>
                </w:p>
              </w:tc>
              <w:tc>
                <w:tcPr>
                  <w:tcW w:w="1883" w:type="pct"/>
                  <w:gridSpan w:val="2"/>
                  <w:tcBorders>
                    <w:tl2br w:val="nil"/>
                    <w:tr2bl w:val="nil"/>
                  </w:tcBorders>
                  <w:vAlign w:val="center"/>
                </w:tcPr>
                <w:p w14:paraId="62819104">
                  <w:pPr>
                    <w:pStyle w:val="558"/>
                    <w:adjustRightInd w:val="0"/>
                    <w:rPr>
                      <w:color w:val="auto"/>
                      <w:spacing w:val="0"/>
                      <w:kern w:val="0"/>
                    </w:rPr>
                  </w:pPr>
                  <w:r>
                    <w:rPr>
                      <w:color w:val="auto"/>
                      <w:spacing w:val="0"/>
                      <w:kern w:val="0"/>
                    </w:rPr>
                    <w:t>企业使用涂料、油墨、清洗剂、胶黏剂等产品应符合相关标准中VOCs含量的限值要求。</w:t>
                  </w:r>
                </w:p>
              </w:tc>
              <w:tc>
                <w:tcPr>
                  <w:tcW w:w="1863" w:type="pct"/>
                  <w:vMerge w:val="continue"/>
                  <w:tcBorders>
                    <w:tl2br w:val="nil"/>
                    <w:tr2bl w:val="nil"/>
                  </w:tcBorders>
                  <w:vAlign w:val="center"/>
                </w:tcPr>
                <w:p w14:paraId="04B27AAC">
                  <w:pPr>
                    <w:pStyle w:val="558"/>
                    <w:adjustRightInd w:val="0"/>
                    <w:rPr>
                      <w:color w:val="auto"/>
                      <w:spacing w:val="0"/>
                      <w:kern w:val="0"/>
                    </w:rPr>
                  </w:pPr>
                </w:p>
              </w:tc>
              <w:tc>
                <w:tcPr>
                  <w:tcW w:w="484" w:type="pct"/>
                  <w:tcBorders>
                    <w:tl2br w:val="nil"/>
                    <w:tr2bl w:val="nil"/>
                  </w:tcBorders>
                  <w:vAlign w:val="center"/>
                </w:tcPr>
                <w:p w14:paraId="35A676DA">
                  <w:pPr>
                    <w:adjustRightInd w:val="0"/>
                    <w:snapToGrid w:val="0"/>
                    <w:jc w:val="center"/>
                    <w:rPr>
                      <w:color w:val="auto"/>
                      <w:spacing w:val="0"/>
                      <w:kern w:val="0"/>
                    </w:rPr>
                  </w:pPr>
                  <w:r>
                    <w:rPr>
                      <w:color w:val="auto"/>
                      <w:spacing w:val="0"/>
                      <w:kern w:val="0"/>
                    </w:rPr>
                    <w:t>相符</w:t>
                  </w:r>
                </w:p>
              </w:tc>
            </w:tr>
            <w:tr w14:paraId="0A60301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8" w:type="pct"/>
                  <w:vMerge w:val="continue"/>
                  <w:tcBorders>
                    <w:tl2br w:val="nil"/>
                    <w:tr2bl w:val="nil"/>
                  </w:tcBorders>
                  <w:vAlign w:val="center"/>
                </w:tcPr>
                <w:p w14:paraId="6DB8223D">
                  <w:pPr>
                    <w:pStyle w:val="558"/>
                    <w:adjustRightInd w:val="0"/>
                    <w:rPr>
                      <w:b/>
                      <w:bCs/>
                      <w:color w:val="auto"/>
                      <w:spacing w:val="0"/>
                      <w:kern w:val="0"/>
                    </w:rPr>
                  </w:pPr>
                </w:p>
              </w:tc>
              <w:tc>
                <w:tcPr>
                  <w:tcW w:w="1883" w:type="pct"/>
                  <w:gridSpan w:val="2"/>
                  <w:tcBorders>
                    <w:tl2br w:val="nil"/>
                    <w:tr2bl w:val="nil"/>
                  </w:tcBorders>
                  <w:vAlign w:val="center"/>
                </w:tcPr>
                <w:p w14:paraId="30218E6C">
                  <w:pPr>
                    <w:pStyle w:val="558"/>
                    <w:adjustRightInd w:val="0"/>
                    <w:rPr>
                      <w:color w:val="auto"/>
                      <w:spacing w:val="0"/>
                      <w:kern w:val="0"/>
                    </w:rPr>
                  </w:pPr>
                  <w:r>
                    <w:rPr>
                      <w:color w:val="auto"/>
                      <w:spacing w:val="0"/>
                      <w:kern w:val="0"/>
                    </w:rPr>
                    <w:t>禁止建设生产和使用高VOCs含量的涂料、油墨、胶黏剂等项目。</w:t>
                  </w:r>
                </w:p>
              </w:tc>
              <w:tc>
                <w:tcPr>
                  <w:tcW w:w="1863" w:type="pct"/>
                  <w:vMerge w:val="continue"/>
                  <w:tcBorders>
                    <w:tl2br w:val="nil"/>
                    <w:tr2bl w:val="nil"/>
                  </w:tcBorders>
                  <w:vAlign w:val="center"/>
                </w:tcPr>
                <w:p w14:paraId="60707FDC">
                  <w:pPr>
                    <w:pStyle w:val="558"/>
                    <w:adjustRightInd w:val="0"/>
                    <w:rPr>
                      <w:color w:val="auto"/>
                      <w:spacing w:val="0"/>
                      <w:kern w:val="0"/>
                    </w:rPr>
                  </w:pPr>
                </w:p>
              </w:tc>
              <w:tc>
                <w:tcPr>
                  <w:tcW w:w="484" w:type="pct"/>
                  <w:tcBorders>
                    <w:tl2br w:val="nil"/>
                    <w:tr2bl w:val="nil"/>
                  </w:tcBorders>
                  <w:vAlign w:val="center"/>
                </w:tcPr>
                <w:p w14:paraId="4DAF1B95">
                  <w:pPr>
                    <w:adjustRightInd w:val="0"/>
                    <w:snapToGrid w:val="0"/>
                    <w:jc w:val="center"/>
                    <w:rPr>
                      <w:color w:val="auto"/>
                      <w:spacing w:val="0"/>
                      <w:kern w:val="0"/>
                    </w:rPr>
                  </w:pPr>
                  <w:r>
                    <w:rPr>
                      <w:color w:val="auto"/>
                      <w:spacing w:val="0"/>
                      <w:kern w:val="0"/>
                    </w:rPr>
                    <w:t>相符</w:t>
                  </w:r>
                </w:p>
              </w:tc>
            </w:tr>
            <w:tr w14:paraId="07C1AE4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8" w:type="pct"/>
                  <w:vMerge w:val="restart"/>
                  <w:tcBorders>
                    <w:tl2br w:val="nil"/>
                    <w:tr2bl w:val="nil"/>
                  </w:tcBorders>
                  <w:vAlign w:val="center"/>
                </w:tcPr>
                <w:p w14:paraId="60B00030">
                  <w:pPr>
                    <w:pStyle w:val="558"/>
                    <w:adjustRightInd w:val="0"/>
                    <w:rPr>
                      <w:b/>
                      <w:color w:val="auto"/>
                      <w:spacing w:val="0"/>
                      <w:kern w:val="0"/>
                    </w:rPr>
                  </w:pPr>
                  <w:r>
                    <w:rPr>
                      <w:b/>
                      <w:color w:val="auto"/>
                      <w:spacing w:val="0"/>
                      <w:kern w:val="0"/>
                    </w:rPr>
                    <w:t>《太湖流域管理条例》</w:t>
                  </w:r>
                </w:p>
              </w:tc>
              <w:tc>
                <w:tcPr>
                  <w:tcW w:w="1883" w:type="pct"/>
                  <w:gridSpan w:val="2"/>
                  <w:tcBorders>
                    <w:tl2br w:val="nil"/>
                    <w:tr2bl w:val="nil"/>
                  </w:tcBorders>
                  <w:vAlign w:val="center"/>
                </w:tcPr>
                <w:p w14:paraId="38980796">
                  <w:pPr>
                    <w:adjustRightInd w:val="0"/>
                    <w:snapToGrid w:val="0"/>
                    <w:jc w:val="center"/>
                    <w:rPr>
                      <w:color w:val="auto"/>
                      <w:spacing w:val="0"/>
                      <w:kern w:val="0"/>
                    </w:rPr>
                  </w:pPr>
                  <w:r>
                    <w:rPr>
                      <w:color w:val="auto"/>
                      <w:spacing w:val="0"/>
                      <w:kern w:val="0"/>
                    </w:rPr>
                    <w:t>排污单位排放水污染物，不得超过经核定的水污染物排放总量，并应当按照规定设置便于检查、采样的规范化排污口，悬挂标志牌；不得私设暗管或者采取其他规避监管的方式排放水污染物。</w:t>
                  </w:r>
                </w:p>
              </w:tc>
              <w:tc>
                <w:tcPr>
                  <w:tcW w:w="1863" w:type="pct"/>
                  <w:tcBorders>
                    <w:tl2br w:val="nil"/>
                    <w:tr2bl w:val="nil"/>
                  </w:tcBorders>
                  <w:vAlign w:val="center"/>
                </w:tcPr>
                <w:p w14:paraId="607287D1">
                  <w:pPr>
                    <w:adjustRightInd w:val="0"/>
                    <w:snapToGrid w:val="0"/>
                    <w:jc w:val="center"/>
                    <w:rPr>
                      <w:color w:val="auto"/>
                      <w:spacing w:val="0"/>
                      <w:kern w:val="0"/>
                    </w:rPr>
                  </w:pPr>
                  <w:r>
                    <w:rPr>
                      <w:color w:val="auto"/>
                      <w:spacing w:val="0"/>
                      <w:kern w:val="0"/>
                    </w:rPr>
                    <w:t>本次环评要求建设单位申请水污染物排放总量，按照规定设置便于检查、采样的规范化排放口，悬挂标志牌；建设单位不得私设暗管或者采取其他规范监管的方式排放水污染物</w:t>
                  </w:r>
                </w:p>
              </w:tc>
              <w:tc>
                <w:tcPr>
                  <w:tcW w:w="484" w:type="pct"/>
                  <w:tcBorders>
                    <w:tl2br w:val="nil"/>
                    <w:tr2bl w:val="nil"/>
                  </w:tcBorders>
                  <w:vAlign w:val="center"/>
                </w:tcPr>
                <w:p w14:paraId="2488409E">
                  <w:pPr>
                    <w:pStyle w:val="558"/>
                    <w:adjustRightInd w:val="0"/>
                    <w:rPr>
                      <w:color w:val="auto"/>
                      <w:spacing w:val="0"/>
                      <w:kern w:val="0"/>
                    </w:rPr>
                  </w:pPr>
                  <w:r>
                    <w:rPr>
                      <w:color w:val="auto"/>
                      <w:spacing w:val="0"/>
                      <w:kern w:val="0"/>
                    </w:rPr>
                    <w:t>相符</w:t>
                  </w:r>
                </w:p>
              </w:tc>
            </w:tr>
            <w:tr w14:paraId="1BCDA79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8" w:type="pct"/>
                  <w:vMerge w:val="continue"/>
                  <w:tcBorders>
                    <w:tl2br w:val="nil"/>
                    <w:tr2bl w:val="nil"/>
                  </w:tcBorders>
                  <w:vAlign w:val="center"/>
                </w:tcPr>
                <w:p w14:paraId="0D60B2C1">
                  <w:pPr>
                    <w:adjustRightInd w:val="0"/>
                    <w:snapToGrid w:val="0"/>
                    <w:jc w:val="center"/>
                    <w:rPr>
                      <w:color w:val="auto"/>
                      <w:spacing w:val="0"/>
                      <w:kern w:val="0"/>
                    </w:rPr>
                  </w:pPr>
                </w:p>
              </w:tc>
              <w:tc>
                <w:tcPr>
                  <w:tcW w:w="1883" w:type="pct"/>
                  <w:gridSpan w:val="2"/>
                  <w:tcBorders>
                    <w:tl2br w:val="nil"/>
                    <w:tr2bl w:val="nil"/>
                  </w:tcBorders>
                  <w:vAlign w:val="center"/>
                </w:tcPr>
                <w:p w14:paraId="67DBB1C6">
                  <w:pPr>
                    <w:adjustRightInd w:val="0"/>
                    <w:snapToGrid w:val="0"/>
                    <w:jc w:val="center"/>
                    <w:rPr>
                      <w:color w:val="auto"/>
                      <w:spacing w:val="0"/>
                      <w:kern w:val="0"/>
                    </w:rPr>
                  </w:pPr>
                  <w:r>
                    <w:rPr>
                      <w:color w:val="auto"/>
                      <w:spacing w:val="0"/>
                      <w:kern w:val="0"/>
                    </w:rPr>
                    <w:t>禁止在太湖流域设置不符合国家产业政策和水环境综合治理要求的造纸、制革、酒精、淀粉、冶金、酿造、印染、电镀等排放水污染物的生产项目，现有生产项目不能实现达标排放的，应当依法关闭。</w:t>
                  </w:r>
                </w:p>
              </w:tc>
              <w:tc>
                <w:tcPr>
                  <w:tcW w:w="1863" w:type="pct"/>
                  <w:tcBorders>
                    <w:tl2br w:val="nil"/>
                    <w:tr2bl w:val="nil"/>
                  </w:tcBorders>
                  <w:vAlign w:val="center"/>
                </w:tcPr>
                <w:p w14:paraId="4FAEDCD1">
                  <w:pPr>
                    <w:adjustRightInd w:val="0"/>
                    <w:snapToGrid w:val="0"/>
                    <w:jc w:val="center"/>
                    <w:rPr>
                      <w:color w:val="auto"/>
                      <w:spacing w:val="0"/>
                      <w:kern w:val="0"/>
                    </w:rPr>
                  </w:pPr>
                  <w:r>
                    <w:rPr>
                      <w:color w:val="auto"/>
                      <w:spacing w:val="0"/>
                      <w:kern w:val="0"/>
                    </w:rPr>
                    <w:t>本项目</w:t>
                  </w:r>
                  <w:r>
                    <w:rPr>
                      <w:rFonts w:hint="eastAsia"/>
                      <w:color w:val="auto"/>
                      <w:spacing w:val="0"/>
                      <w:kern w:val="0"/>
                    </w:rPr>
                    <w:t>属于</w:t>
                  </w:r>
                  <w:r>
                    <w:rPr>
                      <w:rFonts w:hint="eastAsia"/>
                      <w:bCs/>
                      <w:color w:val="auto"/>
                      <w:spacing w:val="0"/>
                      <w:kern w:val="0"/>
                      <w:lang w:eastAsia="zh-CN"/>
                    </w:rPr>
                    <w:t>C2110木质家具制造</w:t>
                  </w:r>
                  <w:r>
                    <w:rPr>
                      <w:color w:val="auto"/>
                      <w:spacing w:val="0"/>
                      <w:kern w:val="0"/>
                    </w:rPr>
                    <w:t>，不属于禁止类项目，无生产废水排放</w:t>
                  </w:r>
                </w:p>
              </w:tc>
              <w:tc>
                <w:tcPr>
                  <w:tcW w:w="484" w:type="pct"/>
                  <w:tcBorders>
                    <w:tl2br w:val="nil"/>
                    <w:tr2bl w:val="nil"/>
                  </w:tcBorders>
                  <w:vAlign w:val="center"/>
                </w:tcPr>
                <w:p w14:paraId="365BA56A">
                  <w:pPr>
                    <w:pStyle w:val="558"/>
                    <w:adjustRightInd w:val="0"/>
                    <w:rPr>
                      <w:color w:val="auto"/>
                      <w:spacing w:val="0"/>
                      <w:kern w:val="0"/>
                    </w:rPr>
                  </w:pPr>
                  <w:r>
                    <w:rPr>
                      <w:color w:val="auto"/>
                      <w:spacing w:val="0"/>
                      <w:kern w:val="0"/>
                    </w:rPr>
                    <w:t>相符</w:t>
                  </w:r>
                </w:p>
              </w:tc>
            </w:tr>
            <w:tr w14:paraId="37FCBE8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8" w:type="pct"/>
                  <w:vMerge w:val="continue"/>
                  <w:tcBorders>
                    <w:tl2br w:val="nil"/>
                    <w:tr2bl w:val="nil"/>
                  </w:tcBorders>
                  <w:vAlign w:val="center"/>
                </w:tcPr>
                <w:p w14:paraId="42109335">
                  <w:pPr>
                    <w:adjustRightInd w:val="0"/>
                    <w:snapToGrid w:val="0"/>
                    <w:jc w:val="center"/>
                    <w:rPr>
                      <w:color w:val="auto"/>
                      <w:spacing w:val="0"/>
                      <w:kern w:val="0"/>
                    </w:rPr>
                  </w:pPr>
                </w:p>
              </w:tc>
              <w:tc>
                <w:tcPr>
                  <w:tcW w:w="1883" w:type="pct"/>
                  <w:gridSpan w:val="2"/>
                  <w:tcBorders>
                    <w:tl2br w:val="nil"/>
                    <w:tr2bl w:val="nil"/>
                  </w:tcBorders>
                  <w:vAlign w:val="center"/>
                </w:tcPr>
                <w:p w14:paraId="6BB89713">
                  <w:pPr>
                    <w:adjustRightInd w:val="0"/>
                    <w:snapToGrid w:val="0"/>
                    <w:jc w:val="center"/>
                    <w:rPr>
                      <w:color w:val="auto"/>
                      <w:spacing w:val="0"/>
                      <w:kern w:val="0"/>
                    </w:rPr>
                  </w:pPr>
                  <w:r>
                    <w:rPr>
                      <w:color w:val="auto"/>
                      <w:spacing w:val="0"/>
                      <w:kern w:val="0"/>
                    </w:rPr>
                    <w:t>在太湖流域新设企业应当符合国家规定的清洁生产要求，现有的企业尚未达到清洁生产要求的，应当按照清洁生产规划要求进行技术改造，两省一市人民政府应当加强监督检查。</w:t>
                  </w:r>
                </w:p>
              </w:tc>
              <w:tc>
                <w:tcPr>
                  <w:tcW w:w="1863" w:type="pct"/>
                  <w:tcBorders>
                    <w:tl2br w:val="nil"/>
                    <w:tr2bl w:val="nil"/>
                  </w:tcBorders>
                  <w:vAlign w:val="center"/>
                </w:tcPr>
                <w:p w14:paraId="2CD3A4F0">
                  <w:pPr>
                    <w:adjustRightInd w:val="0"/>
                    <w:snapToGrid w:val="0"/>
                    <w:jc w:val="center"/>
                    <w:rPr>
                      <w:color w:val="auto"/>
                      <w:spacing w:val="0"/>
                      <w:kern w:val="0"/>
                    </w:rPr>
                  </w:pPr>
                  <w:r>
                    <w:rPr>
                      <w:color w:val="auto"/>
                      <w:spacing w:val="0"/>
                      <w:kern w:val="0"/>
                    </w:rPr>
                    <w:t>项目为</w:t>
                  </w:r>
                  <w:r>
                    <w:rPr>
                      <w:rFonts w:hint="eastAsia"/>
                      <w:color w:val="auto"/>
                      <w:spacing w:val="0"/>
                      <w:kern w:val="0"/>
                      <w:lang w:val="en-US" w:eastAsia="zh-CN"/>
                    </w:rPr>
                    <w:t>新建</w:t>
                  </w:r>
                  <w:r>
                    <w:rPr>
                      <w:color w:val="auto"/>
                      <w:spacing w:val="0"/>
                      <w:kern w:val="0"/>
                    </w:rPr>
                    <w:t>项目，将使用符合国家规定的清洁生产要求的生产工艺和设备</w:t>
                  </w:r>
                </w:p>
              </w:tc>
              <w:tc>
                <w:tcPr>
                  <w:tcW w:w="484" w:type="pct"/>
                  <w:tcBorders>
                    <w:tl2br w:val="nil"/>
                    <w:tr2bl w:val="nil"/>
                  </w:tcBorders>
                  <w:vAlign w:val="center"/>
                </w:tcPr>
                <w:p w14:paraId="007F4989">
                  <w:pPr>
                    <w:pStyle w:val="558"/>
                    <w:adjustRightInd w:val="0"/>
                    <w:rPr>
                      <w:color w:val="auto"/>
                      <w:spacing w:val="0"/>
                      <w:kern w:val="0"/>
                    </w:rPr>
                  </w:pPr>
                  <w:r>
                    <w:rPr>
                      <w:color w:val="auto"/>
                      <w:spacing w:val="0"/>
                      <w:kern w:val="0"/>
                    </w:rPr>
                    <w:t>相符</w:t>
                  </w:r>
                </w:p>
              </w:tc>
            </w:tr>
            <w:tr w14:paraId="0F68150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8" w:type="pct"/>
                  <w:vMerge w:val="restart"/>
                  <w:tcBorders>
                    <w:tl2br w:val="nil"/>
                    <w:tr2bl w:val="nil"/>
                  </w:tcBorders>
                  <w:vAlign w:val="center"/>
                </w:tcPr>
                <w:p w14:paraId="5390A24C">
                  <w:pPr>
                    <w:pStyle w:val="558"/>
                    <w:adjustRightInd w:val="0"/>
                    <w:rPr>
                      <w:b/>
                      <w:color w:val="auto"/>
                      <w:spacing w:val="0"/>
                      <w:kern w:val="0"/>
                    </w:rPr>
                  </w:pPr>
                  <w:r>
                    <w:rPr>
                      <w:b/>
                      <w:color w:val="auto"/>
                      <w:spacing w:val="0"/>
                      <w:kern w:val="0"/>
                    </w:rPr>
                    <w:t>《江苏省太湖水污染防治条例》</w:t>
                  </w:r>
                </w:p>
              </w:tc>
              <w:tc>
                <w:tcPr>
                  <w:tcW w:w="1883" w:type="pct"/>
                  <w:gridSpan w:val="2"/>
                  <w:tcBorders>
                    <w:tl2br w:val="nil"/>
                    <w:tr2bl w:val="nil"/>
                  </w:tcBorders>
                  <w:vAlign w:val="center"/>
                </w:tcPr>
                <w:p w14:paraId="22B6A8B2">
                  <w:pPr>
                    <w:adjustRightInd w:val="0"/>
                    <w:snapToGrid w:val="0"/>
                    <w:jc w:val="center"/>
                    <w:rPr>
                      <w:color w:val="auto"/>
                      <w:spacing w:val="0"/>
                      <w:kern w:val="0"/>
                    </w:rPr>
                  </w:pPr>
                  <w:r>
                    <w:rPr>
                      <w:color w:val="auto"/>
                      <w:spacing w:val="0"/>
                      <w:kern w:val="0"/>
                    </w:rPr>
                    <w:t>在太湖流域新建、改建、扩建可能产生水污染的建设项目应当依法进行环境影响评价。</w:t>
                  </w:r>
                </w:p>
              </w:tc>
              <w:tc>
                <w:tcPr>
                  <w:tcW w:w="1863" w:type="pct"/>
                  <w:tcBorders>
                    <w:tl2br w:val="nil"/>
                    <w:tr2bl w:val="nil"/>
                  </w:tcBorders>
                  <w:vAlign w:val="center"/>
                </w:tcPr>
                <w:p w14:paraId="51CABAC7">
                  <w:pPr>
                    <w:adjustRightInd w:val="0"/>
                    <w:snapToGrid w:val="0"/>
                    <w:jc w:val="center"/>
                    <w:rPr>
                      <w:color w:val="auto"/>
                      <w:spacing w:val="0"/>
                      <w:kern w:val="0"/>
                    </w:rPr>
                  </w:pPr>
                  <w:r>
                    <w:rPr>
                      <w:color w:val="auto"/>
                      <w:spacing w:val="0"/>
                      <w:kern w:val="0"/>
                    </w:rPr>
                    <w:t>本项目目前正在进行环境影响评价</w:t>
                  </w:r>
                </w:p>
              </w:tc>
              <w:tc>
                <w:tcPr>
                  <w:tcW w:w="484" w:type="pct"/>
                  <w:tcBorders>
                    <w:tl2br w:val="nil"/>
                    <w:tr2bl w:val="nil"/>
                  </w:tcBorders>
                  <w:vAlign w:val="center"/>
                </w:tcPr>
                <w:p w14:paraId="7E188C87">
                  <w:pPr>
                    <w:pStyle w:val="558"/>
                    <w:adjustRightInd w:val="0"/>
                    <w:rPr>
                      <w:color w:val="auto"/>
                      <w:spacing w:val="0"/>
                      <w:kern w:val="0"/>
                    </w:rPr>
                  </w:pPr>
                  <w:r>
                    <w:rPr>
                      <w:color w:val="auto"/>
                      <w:spacing w:val="0"/>
                      <w:kern w:val="0"/>
                    </w:rPr>
                    <w:t>相符</w:t>
                  </w:r>
                </w:p>
              </w:tc>
            </w:tr>
            <w:tr w14:paraId="5BDC319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8" w:type="pct"/>
                  <w:vMerge w:val="continue"/>
                  <w:tcBorders>
                    <w:tl2br w:val="nil"/>
                    <w:tr2bl w:val="nil"/>
                  </w:tcBorders>
                  <w:vAlign w:val="center"/>
                </w:tcPr>
                <w:p w14:paraId="0F3741DF">
                  <w:pPr>
                    <w:adjustRightInd w:val="0"/>
                    <w:snapToGrid w:val="0"/>
                    <w:jc w:val="center"/>
                    <w:rPr>
                      <w:color w:val="auto"/>
                      <w:spacing w:val="0"/>
                      <w:kern w:val="0"/>
                    </w:rPr>
                  </w:pPr>
                </w:p>
              </w:tc>
              <w:tc>
                <w:tcPr>
                  <w:tcW w:w="1883" w:type="pct"/>
                  <w:gridSpan w:val="2"/>
                  <w:tcBorders>
                    <w:tl2br w:val="nil"/>
                    <w:tr2bl w:val="nil"/>
                  </w:tcBorders>
                  <w:vAlign w:val="center"/>
                </w:tcPr>
                <w:p w14:paraId="14542907">
                  <w:pPr>
                    <w:adjustRightInd w:val="0"/>
                    <w:snapToGrid w:val="0"/>
                    <w:jc w:val="center"/>
                    <w:rPr>
                      <w:color w:val="auto"/>
                      <w:spacing w:val="0"/>
                      <w:kern w:val="0"/>
                    </w:rPr>
                  </w:pPr>
                  <w:r>
                    <w:rPr>
                      <w:color w:val="auto"/>
                      <w:spacing w:val="0"/>
                      <w:kern w:val="0"/>
                    </w:rPr>
                    <w:t>建设项目中防治水污染的设施，应当与主体工程同时设计、同时</w:t>
                  </w:r>
                  <w:r>
                    <w:rPr>
                      <w:color w:val="auto"/>
                      <w:spacing w:val="0"/>
                      <w:kern w:val="0"/>
                    </w:rPr>
                    <w:cr/>
                  </w:r>
                  <w:r>
                    <w:rPr>
                      <w:color w:val="auto"/>
                      <w:spacing w:val="0"/>
                      <w:kern w:val="0"/>
                    </w:rPr>
                    <w:t>施工、同时投产使用。</w:t>
                  </w:r>
                </w:p>
              </w:tc>
              <w:tc>
                <w:tcPr>
                  <w:tcW w:w="1863" w:type="pct"/>
                  <w:tcBorders>
                    <w:tl2br w:val="nil"/>
                    <w:tr2bl w:val="nil"/>
                  </w:tcBorders>
                  <w:vAlign w:val="center"/>
                </w:tcPr>
                <w:p w14:paraId="4143C70F">
                  <w:pPr>
                    <w:adjustRightInd w:val="0"/>
                    <w:snapToGrid w:val="0"/>
                    <w:jc w:val="center"/>
                    <w:rPr>
                      <w:color w:val="auto"/>
                      <w:spacing w:val="0"/>
                      <w:kern w:val="0"/>
                    </w:rPr>
                  </w:pPr>
                  <w:r>
                    <w:rPr>
                      <w:color w:val="auto"/>
                      <w:spacing w:val="0"/>
                      <w:kern w:val="0"/>
                    </w:rPr>
                    <w:t>本次环评要求建设单位严格执行</w:t>
                  </w:r>
                  <w:r>
                    <w:rPr>
                      <w:rFonts w:hint="eastAsia"/>
                      <w:color w:val="auto"/>
                      <w:spacing w:val="0"/>
                      <w:kern w:val="0"/>
                    </w:rPr>
                    <w:t>“</w:t>
                  </w:r>
                  <w:r>
                    <w:rPr>
                      <w:color w:val="auto"/>
                      <w:spacing w:val="0"/>
                      <w:kern w:val="0"/>
                    </w:rPr>
                    <w:t>三同时制度</w:t>
                  </w:r>
                  <w:r>
                    <w:rPr>
                      <w:rFonts w:hint="eastAsia"/>
                      <w:color w:val="auto"/>
                      <w:spacing w:val="0"/>
                      <w:kern w:val="0"/>
                    </w:rPr>
                    <w:t>”</w:t>
                  </w:r>
                </w:p>
              </w:tc>
              <w:tc>
                <w:tcPr>
                  <w:tcW w:w="484" w:type="pct"/>
                  <w:tcBorders>
                    <w:tl2br w:val="nil"/>
                    <w:tr2bl w:val="nil"/>
                  </w:tcBorders>
                  <w:vAlign w:val="center"/>
                </w:tcPr>
                <w:p w14:paraId="64635B2D">
                  <w:pPr>
                    <w:pStyle w:val="558"/>
                    <w:adjustRightInd w:val="0"/>
                    <w:rPr>
                      <w:color w:val="auto"/>
                      <w:spacing w:val="0"/>
                      <w:kern w:val="0"/>
                    </w:rPr>
                  </w:pPr>
                  <w:r>
                    <w:rPr>
                      <w:color w:val="auto"/>
                      <w:spacing w:val="0"/>
                      <w:kern w:val="0"/>
                    </w:rPr>
                    <w:t>相符</w:t>
                  </w:r>
                </w:p>
              </w:tc>
            </w:tr>
            <w:tr w14:paraId="01C6C11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8" w:type="pct"/>
                  <w:vMerge w:val="continue"/>
                  <w:tcBorders>
                    <w:tl2br w:val="nil"/>
                    <w:tr2bl w:val="nil"/>
                  </w:tcBorders>
                  <w:vAlign w:val="center"/>
                </w:tcPr>
                <w:p w14:paraId="780E4BCF">
                  <w:pPr>
                    <w:adjustRightInd w:val="0"/>
                    <w:snapToGrid w:val="0"/>
                    <w:jc w:val="center"/>
                    <w:rPr>
                      <w:color w:val="auto"/>
                      <w:spacing w:val="0"/>
                      <w:kern w:val="0"/>
                    </w:rPr>
                  </w:pPr>
                </w:p>
              </w:tc>
              <w:tc>
                <w:tcPr>
                  <w:tcW w:w="1883" w:type="pct"/>
                  <w:gridSpan w:val="2"/>
                  <w:tcBorders>
                    <w:tl2br w:val="nil"/>
                    <w:tr2bl w:val="nil"/>
                  </w:tcBorders>
                  <w:vAlign w:val="center"/>
                </w:tcPr>
                <w:p w14:paraId="5E6D6060">
                  <w:pPr>
                    <w:adjustRightInd w:val="0"/>
                    <w:snapToGrid w:val="0"/>
                    <w:jc w:val="center"/>
                    <w:rPr>
                      <w:color w:val="auto"/>
                      <w:spacing w:val="0"/>
                      <w:kern w:val="0"/>
                    </w:rPr>
                  </w:pPr>
                  <w:r>
                    <w:rPr>
                      <w:color w:val="auto"/>
                      <w:spacing w:val="0"/>
                      <w:kern w:val="0"/>
                    </w:rPr>
                    <w:t>直接或者间接向水体排放污染物的企业事业单位和其他生产经营者应当按照国家和省有关规定设置排污口。禁止私设排污口。</w:t>
                  </w:r>
                </w:p>
              </w:tc>
              <w:tc>
                <w:tcPr>
                  <w:tcW w:w="1863" w:type="pct"/>
                  <w:tcBorders>
                    <w:tl2br w:val="nil"/>
                    <w:tr2bl w:val="nil"/>
                  </w:tcBorders>
                  <w:vAlign w:val="center"/>
                </w:tcPr>
                <w:p w14:paraId="11C286E7">
                  <w:pPr>
                    <w:adjustRightInd w:val="0"/>
                    <w:snapToGrid w:val="0"/>
                    <w:jc w:val="center"/>
                    <w:rPr>
                      <w:color w:val="auto"/>
                      <w:spacing w:val="0"/>
                      <w:kern w:val="0"/>
                    </w:rPr>
                  </w:pPr>
                  <w:r>
                    <w:rPr>
                      <w:color w:val="auto"/>
                      <w:spacing w:val="0"/>
                      <w:kern w:val="0"/>
                    </w:rPr>
                    <w:t>项目生活污水</w:t>
                  </w:r>
                  <w:r>
                    <w:rPr>
                      <w:rFonts w:hint="eastAsia"/>
                      <w:color w:val="auto"/>
                      <w:spacing w:val="0"/>
                      <w:kern w:val="0"/>
                      <w:lang w:val="en-US" w:eastAsia="zh-CN"/>
                    </w:rPr>
                    <w:t>接管至常州市金坛第二污水处理有限公司处理</w:t>
                  </w:r>
                  <w:r>
                    <w:rPr>
                      <w:color w:val="auto"/>
                      <w:spacing w:val="0"/>
                      <w:kern w:val="0"/>
                    </w:rPr>
                    <w:t>，</w:t>
                  </w:r>
                  <w:r>
                    <w:rPr>
                      <w:rFonts w:hint="eastAsia"/>
                      <w:color w:val="auto"/>
                      <w:spacing w:val="0"/>
                      <w:kern w:val="0"/>
                      <w:lang w:val="en-US" w:eastAsia="zh-CN"/>
                    </w:rPr>
                    <w:t>无生产废水排放，</w:t>
                  </w:r>
                  <w:r>
                    <w:rPr>
                      <w:color w:val="auto"/>
                      <w:spacing w:val="0"/>
                      <w:kern w:val="0"/>
                    </w:rPr>
                    <w:t>建设单位不私设排污口</w:t>
                  </w:r>
                </w:p>
              </w:tc>
              <w:tc>
                <w:tcPr>
                  <w:tcW w:w="484" w:type="pct"/>
                  <w:tcBorders>
                    <w:tl2br w:val="nil"/>
                    <w:tr2bl w:val="nil"/>
                  </w:tcBorders>
                  <w:vAlign w:val="center"/>
                </w:tcPr>
                <w:p w14:paraId="12744571">
                  <w:pPr>
                    <w:pStyle w:val="558"/>
                    <w:adjustRightInd w:val="0"/>
                    <w:rPr>
                      <w:color w:val="auto"/>
                      <w:spacing w:val="0"/>
                      <w:kern w:val="0"/>
                    </w:rPr>
                  </w:pPr>
                  <w:r>
                    <w:rPr>
                      <w:color w:val="auto"/>
                      <w:spacing w:val="0"/>
                      <w:kern w:val="0"/>
                    </w:rPr>
                    <w:t>相符</w:t>
                  </w:r>
                </w:p>
              </w:tc>
            </w:tr>
            <w:tr w14:paraId="4CCFE4C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8" w:type="pct"/>
                  <w:vMerge w:val="continue"/>
                  <w:tcBorders>
                    <w:tl2br w:val="nil"/>
                    <w:tr2bl w:val="nil"/>
                  </w:tcBorders>
                  <w:vAlign w:val="center"/>
                </w:tcPr>
                <w:p w14:paraId="13F76083">
                  <w:pPr>
                    <w:adjustRightInd w:val="0"/>
                    <w:snapToGrid w:val="0"/>
                    <w:jc w:val="center"/>
                    <w:rPr>
                      <w:color w:val="auto"/>
                      <w:spacing w:val="0"/>
                      <w:kern w:val="0"/>
                    </w:rPr>
                  </w:pPr>
                </w:p>
              </w:tc>
              <w:tc>
                <w:tcPr>
                  <w:tcW w:w="1883" w:type="pct"/>
                  <w:gridSpan w:val="2"/>
                  <w:tcBorders>
                    <w:tl2br w:val="nil"/>
                    <w:tr2bl w:val="nil"/>
                  </w:tcBorders>
                  <w:vAlign w:val="center"/>
                </w:tcPr>
                <w:p w14:paraId="79C0FE3B">
                  <w:pPr>
                    <w:adjustRightInd w:val="0"/>
                    <w:snapToGrid w:val="0"/>
                    <w:jc w:val="center"/>
                    <w:rPr>
                      <w:color w:val="auto"/>
                      <w:spacing w:val="0"/>
                      <w:kern w:val="0"/>
                    </w:rPr>
                  </w:pPr>
                  <w:r>
                    <w:rPr>
                      <w:color w:val="auto"/>
                      <w:spacing w:val="0"/>
                      <w:kern w:val="0"/>
                    </w:rPr>
                    <w:t>各类污水处理设施产生的污泥应当进行安全处置，不得随意堆放和弃置，不得排入水体；属于危险废物的，应当委托有资质的单位处置。污泥的收集、贮存应当符合国家相关规定和标准。</w:t>
                  </w:r>
                </w:p>
              </w:tc>
              <w:tc>
                <w:tcPr>
                  <w:tcW w:w="1863" w:type="pct"/>
                  <w:tcBorders>
                    <w:tl2br w:val="nil"/>
                    <w:tr2bl w:val="nil"/>
                  </w:tcBorders>
                  <w:vAlign w:val="center"/>
                </w:tcPr>
                <w:p w14:paraId="77887E55">
                  <w:pPr>
                    <w:adjustRightInd w:val="0"/>
                    <w:snapToGrid w:val="0"/>
                    <w:jc w:val="center"/>
                    <w:rPr>
                      <w:color w:val="auto"/>
                      <w:spacing w:val="0"/>
                      <w:kern w:val="0"/>
                    </w:rPr>
                  </w:pPr>
                  <w:r>
                    <w:rPr>
                      <w:color w:val="auto"/>
                      <w:spacing w:val="0"/>
                      <w:kern w:val="0"/>
                    </w:rPr>
                    <w:t>项目无污泥产生</w:t>
                  </w:r>
                </w:p>
              </w:tc>
              <w:tc>
                <w:tcPr>
                  <w:tcW w:w="484" w:type="pct"/>
                  <w:tcBorders>
                    <w:tl2br w:val="nil"/>
                    <w:tr2bl w:val="nil"/>
                  </w:tcBorders>
                  <w:vAlign w:val="center"/>
                </w:tcPr>
                <w:p w14:paraId="10AB359F">
                  <w:pPr>
                    <w:pStyle w:val="558"/>
                    <w:adjustRightInd w:val="0"/>
                    <w:rPr>
                      <w:color w:val="auto"/>
                      <w:spacing w:val="0"/>
                      <w:kern w:val="0"/>
                    </w:rPr>
                  </w:pPr>
                  <w:r>
                    <w:rPr>
                      <w:color w:val="auto"/>
                      <w:spacing w:val="0"/>
                      <w:kern w:val="0"/>
                    </w:rPr>
                    <w:t>相符</w:t>
                  </w:r>
                </w:p>
              </w:tc>
            </w:tr>
            <w:tr w14:paraId="7494200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8" w:type="pct"/>
                  <w:vMerge w:val="continue"/>
                  <w:tcBorders>
                    <w:tl2br w:val="nil"/>
                    <w:tr2bl w:val="nil"/>
                  </w:tcBorders>
                  <w:vAlign w:val="center"/>
                </w:tcPr>
                <w:p w14:paraId="01D6E787">
                  <w:pPr>
                    <w:adjustRightInd w:val="0"/>
                    <w:snapToGrid w:val="0"/>
                    <w:jc w:val="center"/>
                    <w:rPr>
                      <w:color w:val="auto"/>
                      <w:spacing w:val="0"/>
                      <w:kern w:val="0"/>
                    </w:rPr>
                  </w:pPr>
                </w:p>
              </w:tc>
              <w:tc>
                <w:tcPr>
                  <w:tcW w:w="1883" w:type="pct"/>
                  <w:gridSpan w:val="2"/>
                  <w:tcBorders>
                    <w:tl2br w:val="nil"/>
                    <w:tr2bl w:val="nil"/>
                  </w:tcBorders>
                  <w:vAlign w:val="center"/>
                </w:tcPr>
                <w:p w14:paraId="03944F87">
                  <w:pPr>
                    <w:adjustRightInd w:val="0"/>
                    <w:snapToGrid w:val="0"/>
                    <w:jc w:val="center"/>
                    <w:rPr>
                      <w:color w:val="auto"/>
                      <w:spacing w:val="0"/>
                      <w:kern w:val="0"/>
                    </w:rPr>
                  </w:pPr>
                  <w:r>
                    <w:rPr>
                      <w:color w:val="auto"/>
                      <w:spacing w:val="0"/>
                      <w:kern w:val="0"/>
                    </w:rPr>
                    <w:t>太湖流域一、二、三级保护区禁止下列行为：（一）新建、改建、扩建化学制浆造纸、制革、酿造、染料、印染、电镀以及其他排放含磷、氮等污染物的企业和项目，城镇污水集中处理等环境基础设施项目和第四十六条规定的情形除外；（二）销售、使用含磷洗涤用品；（三）向水体排放或者倾倒油类、酸液、碱液、剧毒废渣废液、含放射性废渣废液、含病原体污水、工业废渣以及其他废弃物。</w:t>
                  </w:r>
                </w:p>
              </w:tc>
              <w:tc>
                <w:tcPr>
                  <w:tcW w:w="1863" w:type="pct"/>
                  <w:tcBorders>
                    <w:tl2br w:val="nil"/>
                    <w:tr2bl w:val="nil"/>
                  </w:tcBorders>
                  <w:vAlign w:val="center"/>
                </w:tcPr>
                <w:p w14:paraId="7EA58A1A">
                  <w:pPr>
                    <w:adjustRightInd w:val="0"/>
                    <w:snapToGrid w:val="0"/>
                    <w:jc w:val="center"/>
                    <w:rPr>
                      <w:color w:val="auto"/>
                      <w:spacing w:val="0"/>
                      <w:kern w:val="0"/>
                    </w:rPr>
                  </w:pPr>
                  <w:r>
                    <w:rPr>
                      <w:color w:val="auto"/>
                      <w:spacing w:val="0"/>
                      <w:kern w:val="0"/>
                    </w:rPr>
                    <w:t>（一）本项目不属于禁止类项目；</w:t>
                  </w:r>
                </w:p>
                <w:p w14:paraId="045A770A">
                  <w:pPr>
                    <w:adjustRightInd w:val="0"/>
                    <w:snapToGrid w:val="0"/>
                    <w:jc w:val="center"/>
                    <w:rPr>
                      <w:color w:val="auto"/>
                      <w:spacing w:val="0"/>
                      <w:kern w:val="0"/>
                    </w:rPr>
                  </w:pPr>
                  <w:r>
                    <w:rPr>
                      <w:color w:val="auto"/>
                      <w:spacing w:val="0"/>
                      <w:kern w:val="0"/>
                    </w:rPr>
                    <w:t>（二）本项目不销售、使用含磷洗涤用品；</w:t>
                  </w:r>
                </w:p>
                <w:p w14:paraId="5B85D32F">
                  <w:pPr>
                    <w:adjustRightInd w:val="0"/>
                    <w:snapToGrid w:val="0"/>
                    <w:jc w:val="center"/>
                    <w:rPr>
                      <w:color w:val="auto"/>
                      <w:spacing w:val="0"/>
                      <w:kern w:val="0"/>
                    </w:rPr>
                  </w:pPr>
                  <w:r>
                    <w:rPr>
                      <w:color w:val="auto"/>
                      <w:spacing w:val="0"/>
                      <w:kern w:val="0"/>
                    </w:rPr>
                    <w:t>（三）项目不产生及排放生产废水，不向水体排放或倾倒废水、废渣及其他废弃物</w:t>
                  </w:r>
                </w:p>
              </w:tc>
              <w:tc>
                <w:tcPr>
                  <w:tcW w:w="484" w:type="pct"/>
                  <w:tcBorders>
                    <w:tl2br w:val="nil"/>
                    <w:tr2bl w:val="nil"/>
                  </w:tcBorders>
                  <w:vAlign w:val="center"/>
                </w:tcPr>
                <w:p w14:paraId="4EBE882D">
                  <w:pPr>
                    <w:pStyle w:val="558"/>
                    <w:adjustRightInd w:val="0"/>
                    <w:rPr>
                      <w:color w:val="auto"/>
                      <w:spacing w:val="0"/>
                      <w:kern w:val="0"/>
                    </w:rPr>
                  </w:pPr>
                  <w:r>
                    <w:rPr>
                      <w:color w:val="auto"/>
                      <w:spacing w:val="0"/>
                      <w:kern w:val="0"/>
                    </w:rPr>
                    <w:t>相符</w:t>
                  </w:r>
                </w:p>
              </w:tc>
            </w:tr>
            <w:tr w14:paraId="24E3681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8" w:type="pct"/>
                  <w:vMerge w:val="restart"/>
                  <w:tcBorders>
                    <w:tl2br w:val="nil"/>
                    <w:tr2bl w:val="nil"/>
                  </w:tcBorders>
                  <w:vAlign w:val="center"/>
                </w:tcPr>
                <w:p w14:paraId="26C3D3C8">
                  <w:pPr>
                    <w:adjustRightInd w:val="0"/>
                    <w:snapToGrid w:val="0"/>
                    <w:jc w:val="center"/>
                    <w:rPr>
                      <w:color w:val="auto"/>
                      <w:spacing w:val="0"/>
                      <w:kern w:val="0"/>
                    </w:rPr>
                  </w:pPr>
                  <w:r>
                    <w:rPr>
                      <w:rFonts w:hint="eastAsia"/>
                      <w:b/>
                      <w:bCs/>
                      <w:color w:val="auto"/>
                      <w:spacing w:val="0"/>
                      <w:kern w:val="0"/>
                      <w:lang w:eastAsia="zh-CN"/>
                    </w:rPr>
                    <w:t>《</w:t>
                  </w:r>
                  <w:r>
                    <w:rPr>
                      <w:rFonts w:hint="eastAsia"/>
                      <w:b/>
                      <w:bCs/>
                      <w:color w:val="auto"/>
                      <w:spacing w:val="0"/>
                      <w:kern w:val="0"/>
                    </w:rPr>
                    <w:t>国务院关于深入打好污染防治攻坚战的意见</w:t>
                  </w:r>
                  <w:r>
                    <w:rPr>
                      <w:rFonts w:hint="eastAsia"/>
                      <w:b/>
                      <w:bCs/>
                      <w:color w:val="auto"/>
                      <w:spacing w:val="0"/>
                      <w:kern w:val="0"/>
                      <w:lang w:eastAsia="zh-CN"/>
                    </w:rPr>
                    <w:t>》（</w:t>
                  </w:r>
                  <w:r>
                    <w:rPr>
                      <w:rFonts w:hint="eastAsia"/>
                      <w:b/>
                      <w:bCs/>
                      <w:color w:val="auto"/>
                      <w:spacing w:val="0"/>
                      <w:kern w:val="0"/>
                      <w:lang w:val="en-US" w:eastAsia="zh-CN"/>
                    </w:rPr>
                    <w:t>2021年11月2日</w:t>
                  </w:r>
                  <w:r>
                    <w:rPr>
                      <w:rFonts w:hint="eastAsia"/>
                      <w:b/>
                      <w:bCs/>
                      <w:color w:val="auto"/>
                      <w:spacing w:val="0"/>
                      <w:kern w:val="0"/>
                      <w:lang w:eastAsia="zh-CN"/>
                    </w:rPr>
                    <w:t>）</w:t>
                  </w:r>
                </w:p>
              </w:tc>
              <w:tc>
                <w:tcPr>
                  <w:tcW w:w="590" w:type="pct"/>
                  <w:tcBorders>
                    <w:tl2br w:val="nil"/>
                    <w:tr2bl w:val="nil"/>
                  </w:tcBorders>
                  <w:vAlign w:val="center"/>
                </w:tcPr>
                <w:p w14:paraId="0F30E2EA">
                  <w:pPr>
                    <w:adjustRightInd w:val="0"/>
                    <w:snapToGrid w:val="0"/>
                    <w:jc w:val="center"/>
                    <w:rPr>
                      <w:rFonts w:hint="eastAsia" w:eastAsia="宋体"/>
                      <w:color w:val="auto"/>
                      <w:spacing w:val="0"/>
                      <w:kern w:val="0"/>
                      <w:lang w:eastAsia="zh-CN"/>
                    </w:rPr>
                  </w:pPr>
                  <w:r>
                    <w:rPr>
                      <w:rFonts w:hint="eastAsia"/>
                      <w:color w:val="auto"/>
                      <w:spacing w:val="0"/>
                      <w:kern w:val="0"/>
                      <w:lang w:eastAsia="zh-CN"/>
                    </w:rPr>
                    <w:t>（</w:t>
                  </w:r>
                  <w:r>
                    <w:rPr>
                      <w:rFonts w:hint="eastAsia"/>
                      <w:color w:val="auto"/>
                      <w:spacing w:val="0"/>
                      <w:kern w:val="0"/>
                      <w:lang w:val="en-US" w:eastAsia="zh-CN"/>
                    </w:rPr>
                    <w:t>十一</w:t>
                  </w:r>
                  <w:r>
                    <w:rPr>
                      <w:rFonts w:hint="eastAsia"/>
                      <w:color w:val="auto"/>
                      <w:spacing w:val="0"/>
                      <w:kern w:val="0"/>
                      <w:lang w:eastAsia="zh-CN"/>
                    </w:rPr>
                    <w:t>）着力打好重污染天气消除攻坚战</w:t>
                  </w:r>
                </w:p>
              </w:tc>
              <w:tc>
                <w:tcPr>
                  <w:tcW w:w="1293" w:type="pct"/>
                  <w:tcBorders>
                    <w:tl2br w:val="nil"/>
                    <w:tr2bl w:val="nil"/>
                  </w:tcBorders>
                  <w:vAlign w:val="center"/>
                </w:tcPr>
                <w:p w14:paraId="24F89A66">
                  <w:pPr>
                    <w:adjustRightInd w:val="0"/>
                    <w:snapToGrid w:val="0"/>
                    <w:jc w:val="center"/>
                    <w:rPr>
                      <w:color w:val="auto"/>
                      <w:spacing w:val="0"/>
                      <w:kern w:val="0"/>
                    </w:rPr>
                  </w:pPr>
                  <w:r>
                    <w:rPr>
                      <w:rFonts w:hint="eastAsia"/>
                      <w:color w:val="auto"/>
                      <w:spacing w:val="0"/>
                      <w:kern w:val="0"/>
                    </w:rPr>
                    <w:t>聚焦秋冬季细颗粒物污染，加大重点区域、重点行业结构调整和污染治理力度。</w:t>
                  </w:r>
                </w:p>
              </w:tc>
              <w:tc>
                <w:tcPr>
                  <w:tcW w:w="1863" w:type="pct"/>
                  <w:tcBorders>
                    <w:tl2br w:val="nil"/>
                    <w:tr2bl w:val="nil"/>
                  </w:tcBorders>
                  <w:vAlign w:val="center"/>
                </w:tcPr>
                <w:p w14:paraId="4FF46902">
                  <w:pPr>
                    <w:adjustRightInd w:val="0"/>
                    <w:snapToGrid w:val="0"/>
                    <w:jc w:val="center"/>
                    <w:rPr>
                      <w:rFonts w:hint="default" w:eastAsia="宋体"/>
                      <w:color w:val="auto"/>
                      <w:spacing w:val="0"/>
                      <w:kern w:val="0"/>
                      <w:lang w:val="en-US" w:eastAsia="zh-CN"/>
                    </w:rPr>
                  </w:pPr>
                  <w:r>
                    <w:rPr>
                      <w:rFonts w:hint="eastAsia"/>
                      <w:color w:val="auto"/>
                      <w:spacing w:val="0"/>
                      <w:kern w:val="0"/>
                      <w:lang w:val="en-US" w:eastAsia="zh-CN"/>
                    </w:rPr>
                    <w:t>本项目不属于重点区域、重点行业</w:t>
                  </w:r>
                </w:p>
              </w:tc>
              <w:tc>
                <w:tcPr>
                  <w:tcW w:w="484" w:type="pct"/>
                  <w:tcBorders>
                    <w:tl2br w:val="nil"/>
                    <w:tr2bl w:val="nil"/>
                  </w:tcBorders>
                  <w:vAlign w:val="center"/>
                </w:tcPr>
                <w:p w14:paraId="6BE1E179">
                  <w:pPr>
                    <w:pStyle w:val="558"/>
                    <w:adjustRightInd w:val="0"/>
                    <w:rPr>
                      <w:rFonts w:hint="eastAsia" w:eastAsia="宋体"/>
                      <w:color w:val="auto"/>
                      <w:spacing w:val="0"/>
                      <w:kern w:val="0"/>
                      <w:lang w:val="en-US" w:eastAsia="zh-CN"/>
                    </w:rPr>
                  </w:pPr>
                  <w:r>
                    <w:rPr>
                      <w:rFonts w:hint="eastAsia"/>
                      <w:color w:val="auto"/>
                      <w:spacing w:val="0"/>
                      <w:kern w:val="0"/>
                      <w:lang w:val="en-US" w:eastAsia="zh-CN"/>
                    </w:rPr>
                    <w:t>相符</w:t>
                  </w:r>
                </w:p>
              </w:tc>
            </w:tr>
            <w:tr w14:paraId="3256F96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8" w:type="pct"/>
                  <w:vMerge w:val="continue"/>
                  <w:tcBorders>
                    <w:tl2br w:val="nil"/>
                    <w:tr2bl w:val="nil"/>
                  </w:tcBorders>
                  <w:vAlign w:val="center"/>
                </w:tcPr>
                <w:p w14:paraId="6692B448">
                  <w:pPr>
                    <w:adjustRightInd w:val="0"/>
                    <w:snapToGrid w:val="0"/>
                    <w:jc w:val="center"/>
                    <w:rPr>
                      <w:rFonts w:hint="eastAsia"/>
                      <w:b/>
                      <w:bCs/>
                      <w:color w:val="auto"/>
                      <w:spacing w:val="0"/>
                      <w:kern w:val="0"/>
                      <w:lang w:eastAsia="zh-CN"/>
                    </w:rPr>
                  </w:pPr>
                </w:p>
              </w:tc>
              <w:tc>
                <w:tcPr>
                  <w:tcW w:w="590" w:type="pct"/>
                  <w:tcBorders>
                    <w:tl2br w:val="nil"/>
                    <w:tr2bl w:val="nil"/>
                  </w:tcBorders>
                  <w:vAlign w:val="center"/>
                </w:tcPr>
                <w:p w14:paraId="4EFA4E16">
                  <w:pPr>
                    <w:adjustRightInd w:val="0"/>
                    <w:snapToGrid w:val="0"/>
                    <w:jc w:val="center"/>
                    <w:rPr>
                      <w:color w:val="auto"/>
                      <w:spacing w:val="0"/>
                      <w:kern w:val="0"/>
                    </w:rPr>
                  </w:pPr>
                  <w:r>
                    <w:rPr>
                      <w:rFonts w:hint="eastAsia"/>
                      <w:color w:val="auto"/>
                      <w:spacing w:val="0"/>
                      <w:kern w:val="0"/>
                      <w:lang w:eastAsia="zh-CN"/>
                    </w:rPr>
                    <w:t>（</w:t>
                  </w:r>
                  <w:r>
                    <w:rPr>
                      <w:rFonts w:hint="eastAsia"/>
                      <w:color w:val="auto"/>
                      <w:spacing w:val="0"/>
                      <w:kern w:val="0"/>
                      <w:lang w:val="en-US" w:eastAsia="zh-CN"/>
                    </w:rPr>
                    <w:t>十二</w:t>
                  </w:r>
                  <w:r>
                    <w:rPr>
                      <w:rFonts w:hint="eastAsia"/>
                      <w:color w:val="auto"/>
                      <w:spacing w:val="0"/>
                      <w:kern w:val="0"/>
                      <w:lang w:eastAsia="zh-CN"/>
                    </w:rPr>
                    <w:t>）</w:t>
                  </w:r>
                  <w:r>
                    <w:rPr>
                      <w:rFonts w:hint="eastAsia"/>
                      <w:color w:val="auto"/>
                      <w:spacing w:val="0"/>
                      <w:kern w:val="0"/>
                    </w:rPr>
                    <w:t>着力打好臭氧污染防治攻坚战</w:t>
                  </w:r>
                </w:p>
              </w:tc>
              <w:tc>
                <w:tcPr>
                  <w:tcW w:w="1293" w:type="pct"/>
                  <w:tcBorders>
                    <w:tl2br w:val="nil"/>
                    <w:tr2bl w:val="nil"/>
                  </w:tcBorders>
                  <w:vAlign w:val="center"/>
                </w:tcPr>
                <w:p w14:paraId="563473C0">
                  <w:pPr>
                    <w:adjustRightInd w:val="0"/>
                    <w:snapToGrid w:val="0"/>
                    <w:jc w:val="center"/>
                    <w:rPr>
                      <w:color w:val="auto"/>
                      <w:spacing w:val="0"/>
                      <w:kern w:val="0"/>
                    </w:rPr>
                  </w:pPr>
                  <w:r>
                    <w:rPr>
                      <w:rFonts w:hint="eastAsia"/>
                      <w:color w:val="auto"/>
                      <w:spacing w:val="0"/>
                      <w:kern w:val="0"/>
                    </w:rPr>
                    <w:t>以石化、化工、涂装、医药、包装印刷、油品储运销等行业领域为重点，安全高效推进挥发性有机物综合治理，实施原辅材料和产品源头替代工程。</w:t>
                  </w:r>
                </w:p>
              </w:tc>
              <w:tc>
                <w:tcPr>
                  <w:tcW w:w="1863" w:type="pct"/>
                  <w:tcBorders>
                    <w:tl2br w:val="nil"/>
                    <w:tr2bl w:val="nil"/>
                  </w:tcBorders>
                  <w:vAlign w:val="center"/>
                </w:tcPr>
                <w:p w14:paraId="4F7642B0">
                  <w:pPr>
                    <w:adjustRightInd w:val="0"/>
                    <w:snapToGrid w:val="0"/>
                    <w:jc w:val="center"/>
                    <w:rPr>
                      <w:rFonts w:hint="eastAsia" w:eastAsia="宋体"/>
                      <w:color w:val="auto"/>
                      <w:spacing w:val="0"/>
                      <w:kern w:val="0"/>
                      <w:lang w:val="en-US" w:eastAsia="zh-CN"/>
                    </w:rPr>
                  </w:pPr>
                  <w:r>
                    <w:rPr>
                      <w:rFonts w:hint="eastAsia"/>
                      <w:color w:val="auto"/>
                      <w:spacing w:val="0"/>
                      <w:kern w:val="0"/>
                      <w:lang w:val="en-US" w:eastAsia="zh-CN"/>
                    </w:rPr>
                    <w:t>本项目不属于</w:t>
                  </w:r>
                  <w:r>
                    <w:rPr>
                      <w:rFonts w:hint="eastAsia"/>
                      <w:color w:val="auto"/>
                      <w:spacing w:val="0"/>
                      <w:kern w:val="0"/>
                    </w:rPr>
                    <w:t>石化、化工、涂装、医药、包装印刷、油品储运销等</w:t>
                  </w:r>
                  <w:r>
                    <w:rPr>
                      <w:rFonts w:hint="eastAsia"/>
                      <w:color w:val="auto"/>
                      <w:spacing w:val="0"/>
                      <w:kern w:val="0"/>
                      <w:lang w:val="en-US" w:eastAsia="zh-CN"/>
                    </w:rPr>
                    <w:t>重点行业，项目</w:t>
                  </w:r>
                  <w:r>
                    <w:rPr>
                      <w:rFonts w:hint="eastAsia"/>
                      <w:bCs/>
                      <w:color w:val="auto"/>
                      <w:kern w:val="0"/>
                      <w:lang w:val="en-US" w:eastAsia="zh-CN"/>
                    </w:rPr>
                    <w:t>擦色、调漆、喷漆、刷漆、晾干、喷枪清洗产生的有机废气经调漆房、底漆房、面漆房、晾干房负压收集；喷漆产生的颗粒物经底漆房、面漆房负压收集，颗粒物经水帘装置处理后和</w:t>
                  </w:r>
                  <w:r>
                    <w:rPr>
                      <w:rFonts w:hint="eastAsia"/>
                      <w:bCs/>
                      <w:color w:val="auto"/>
                      <w:kern w:val="0"/>
                      <w:lang w:eastAsia="zh-CN"/>
                    </w:rPr>
                    <w:t>有机废气</w:t>
                  </w:r>
                  <w:r>
                    <w:rPr>
                      <w:rFonts w:hint="eastAsia"/>
                      <w:bCs/>
                      <w:color w:val="auto"/>
                      <w:kern w:val="0"/>
                      <w:lang w:val="en-US" w:eastAsia="zh-CN"/>
                    </w:rPr>
                    <w:t>一起经吸雾毡去除水分后</w:t>
                  </w:r>
                  <w:r>
                    <w:rPr>
                      <w:rFonts w:hint="eastAsia"/>
                      <w:bCs/>
                      <w:color w:val="auto"/>
                      <w:kern w:val="0"/>
                      <w:lang w:eastAsia="zh-CN"/>
                    </w:rPr>
                    <w:t>进入1套“二级活性炭装置”处理后通过1根</w:t>
                  </w:r>
                  <w:r>
                    <w:rPr>
                      <w:rFonts w:hint="eastAsia"/>
                      <w:bCs/>
                      <w:color w:val="auto"/>
                      <w:kern w:val="0"/>
                      <w:lang w:val="en-US" w:eastAsia="zh-CN"/>
                    </w:rPr>
                    <w:t>20</w:t>
                  </w:r>
                  <w:r>
                    <w:rPr>
                      <w:rFonts w:hint="eastAsia"/>
                      <w:bCs/>
                      <w:color w:val="auto"/>
                      <w:kern w:val="0"/>
                      <w:lang w:eastAsia="zh-CN"/>
                    </w:rPr>
                    <w:t>m高的排气筒DA001排放</w:t>
                  </w:r>
                </w:p>
              </w:tc>
              <w:tc>
                <w:tcPr>
                  <w:tcW w:w="484" w:type="pct"/>
                  <w:tcBorders>
                    <w:tl2br w:val="nil"/>
                    <w:tr2bl w:val="nil"/>
                  </w:tcBorders>
                  <w:vAlign w:val="center"/>
                </w:tcPr>
                <w:p w14:paraId="32E5DB8D">
                  <w:pPr>
                    <w:pStyle w:val="558"/>
                    <w:adjustRightInd w:val="0"/>
                    <w:rPr>
                      <w:rFonts w:hint="eastAsia" w:eastAsia="宋体"/>
                      <w:color w:val="auto"/>
                      <w:spacing w:val="0"/>
                      <w:kern w:val="0"/>
                      <w:lang w:val="en-US" w:eastAsia="zh-CN"/>
                    </w:rPr>
                  </w:pPr>
                  <w:r>
                    <w:rPr>
                      <w:rFonts w:hint="eastAsia"/>
                      <w:color w:val="auto"/>
                      <w:spacing w:val="0"/>
                      <w:kern w:val="0"/>
                      <w:lang w:val="en-US" w:eastAsia="zh-CN"/>
                    </w:rPr>
                    <w:t>相符</w:t>
                  </w:r>
                </w:p>
              </w:tc>
            </w:tr>
            <w:tr w14:paraId="130E225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8" w:type="pct"/>
                  <w:vMerge w:val="restart"/>
                  <w:tcBorders>
                    <w:tl2br w:val="nil"/>
                    <w:tr2bl w:val="nil"/>
                  </w:tcBorders>
                  <w:vAlign w:val="center"/>
                </w:tcPr>
                <w:p w14:paraId="6A176F90">
                  <w:pPr>
                    <w:adjustRightInd w:val="0"/>
                    <w:snapToGrid w:val="0"/>
                    <w:jc w:val="center"/>
                    <w:rPr>
                      <w:rFonts w:hint="eastAsia"/>
                      <w:b/>
                      <w:bCs/>
                      <w:color w:val="auto"/>
                      <w:spacing w:val="0"/>
                      <w:kern w:val="0"/>
                      <w:lang w:eastAsia="zh-CN"/>
                    </w:rPr>
                  </w:pPr>
                  <w:r>
                    <w:rPr>
                      <w:rFonts w:hint="eastAsia"/>
                      <w:b/>
                      <w:bCs/>
                      <w:color w:val="auto"/>
                      <w:spacing w:val="0"/>
                      <w:kern w:val="0"/>
                      <w:lang w:eastAsia="zh-CN"/>
                    </w:rPr>
                    <w:t>《关于印发常州市2022年大气污染防治工作计划的通知》（常大气办〔2022〕1号）</w:t>
                  </w:r>
                </w:p>
              </w:tc>
              <w:tc>
                <w:tcPr>
                  <w:tcW w:w="590" w:type="pct"/>
                  <w:tcBorders>
                    <w:tl2br w:val="nil"/>
                    <w:tr2bl w:val="nil"/>
                  </w:tcBorders>
                  <w:vAlign w:val="center"/>
                </w:tcPr>
                <w:p w14:paraId="354AC77D">
                  <w:pPr>
                    <w:adjustRightInd w:val="0"/>
                    <w:snapToGrid w:val="0"/>
                    <w:jc w:val="center"/>
                    <w:rPr>
                      <w:color w:val="auto"/>
                      <w:spacing w:val="0"/>
                      <w:kern w:val="0"/>
                    </w:rPr>
                  </w:pPr>
                  <w:r>
                    <w:rPr>
                      <w:rFonts w:hint="eastAsia"/>
                      <w:color w:val="auto"/>
                      <w:spacing w:val="0"/>
                      <w:kern w:val="0"/>
                    </w:rPr>
                    <w:t>（一）调整优化产业结构，推进产业绿色发展</w:t>
                  </w:r>
                </w:p>
              </w:tc>
              <w:tc>
                <w:tcPr>
                  <w:tcW w:w="1293" w:type="pct"/>
                  <w:tcBorders>
                    <w:tl2br w:val="nil"/>
                    <w:tr2bl w:val="nil"/>
                  </w:tcBorders>
                  <w:vAlign w:val="center"/>
                </w:tcPr>
                <w:p w14:paraId="0E618C28">
                  <w:pPr>
                    <w:adjustRightInd w:val="0"/>
                    <w:snapToGrid w:val="0"/>
                    <w:jc w:val="center"/>
                    <w:rPr>
                      <w:color w:val="auto"/>
                      <w:spacing w:val="0"/>
                      <w:kern w:val="0"/>
                    </w:rPr>
                  </w:pPr>
                  <w:r>
                    <w:rPr>
                      <w:rFonts w:hint="eastAsia"/>
                      <w:color w:val="auto"/>
                      <w:spacing w:val="0"/>
                      <w:kern w:val="0"/>
                    </w:rPr>
                    <w:t>1、坚决遏制“两高”项目盲目发展。……2、依法依规淘汰落后产能和化解过剩产能。……3、推进产业结构转型升级。……</w:t>
                  </w:r>
                </w:p>
              </w:tc>
              <w:tc>
                <w:tcPr>
                  <w:tcW w:w="1863" w:type="pct"/>
                  <w:tcBorders>
                    <w:tl2br w:val="nil"/>
                    <w:tr2bl w:val="nil"/>
                  </w:tcBorders>
                  <w:vAlign w:val="center"/>
                </w:tcPr>
                <w:p w14:paraId="5B9AB498">
                  <w:pPr>
                    <w:adjustRightInd w:val="0"/>
                    <w:snapToGrid w:val="0"/>
                    <w:jc w:val="center"/>
                    <w:rPr>
                      <w:color w:val="auto"/>
                      <w:spacing w:val="0"/>
                      <w:kern w:val="0"/>
                    </w:rPr>
                  </w:pPr>
                  <w:r>
                    <w:rPr>
                      <w:rFonts w:hint="eastAsia"/>
                      <w:color w:val="auto"/>
                      <w:spacing w:val="0"/>
                      <w:kern w:val="0"/>
                    </w:rPr>
                    <w:t>本项目不属于“两高”中限制的项目。</w:t>
                  </w:r>
                </w:p>
              </w:tc>
              <w:tc>
                <w:tcPr>
                  <w:tcW w:w="484" w:type="pct"/>
                  <w:tcBorders>
                    <w:tl2br w:val="nil"/>
                    <w:tr2bl w:val="nil"/>
                  </w:tcBorders>
                  <w:vAlign w:val="center"/>
                </w:tcPr>
                <w:p w14:paraId="2926FBAE">
                  <w:pPr>
                    <w:pStyle w:val="558"/>
                    <w:adjustRightInd w:val="0"/>
                    <w:rPr>
                      <w:rFonts w:hint="eastAsia" w:eastAsia="宋体"/>
                      <w:color w:val="auto"/>
                      <w:spacing w:val="0"/>
                      <w:kern w:val="0"/>
                      <w:lang w:val="en-US" w:eastAsia="zh-CN"/>
                    </w:rPr>
                  </w:pPr>
                  <w:r>
                    <w:rPr>
                      <w:rFonts w:hint="eastAsia"/>
                      <w:color w:val="auto"/>
                      <w:spacing w:val="0"/>
                      <w:kern w:val="0"/>
                      <w:lang w:val="en-US" w:eastAsia="zh-CN"/>
                    </w:rPr>
                    <w:t>相符</w:t>
                  </w:r>
                </w:p>
              </w:tc>
            </w:tr>
            <w:tr w14:paraId="2C701EE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8" w:type="pct"/>
                  <w:vMerge w:val="continue"/>
                  <w:tcBorders>
                    <w:tl2br w:val="nil"/>
                    <w:tr2bl w:val="nil"/>
                  </w:tcBorders>
                  <w:vAlign w:val="center"/>
                </w:tcPr>
                <w:p w14:paraId="041C0E10">
                  <w:pPr>
                    <w:adjustRightInd w:val="0"/>
                    <w:snapToGrid w:val="0"/>
                    <w:jc w:val="center"/>
                    <w:rPr>
                      <w:rFonts w:hint="eastAsia"/>
                      <w:b/>
                      <w:bCs/>
                      <w:color w:val="auto"/>
                      <w:spacing w:val="0"/>
                      <w:kern w:val="0"/>
                      <w:lang w:eastAsia="zh-CN"/>
                    </w:rPr>
                  </w:pPr>
                </w:p>
              </w:tc>
              <w:tc>
                <w:tcPr>
                  <w:tcW w:w="590" w:type="pct"/>
                  <w:tcBorders>
                    <w:tl2br w:val="nil"/>
                    <w:tr2bl w:val="nil"/>
                  </w:tcBorders>
                  <w:vAlign w:val="center"/>
                </w:tcPr>
                <w:p w14:paraId="686F5107">
                  <w:pPr>
                    <w:adjustRightInd w:val="0"/>
                    <w:snapToGrid w:val="0"/>
                    <w:jc w:val="center"/>
                    <w:rPr>
                      <w:color w:val="auto"/>
                      <w:spacing w:val="0"/>
                      <w:kern w:val="0"/>
                    </w:rPr>
                  </w:pPr>
                  <w:r>
                    <w:rPr>
                      <w:rFonts w:hint="eastAsia"/>
                      <w:color w:val="auto"/>
                      <w:spacing w:val="0"/>
                      <w:kern w:val="0"/>
                    </w:rPr>
                    <w:t>（二）优化能源结构，推进能源清洁低碳发展</w:t>
                  </w:r>
                </w:p>
              </w:tc>
              <w:tc>
                <w:tcPr>
                  <w:tcW w:w="1293" w:type="pct"/>
                  <w:tcBorders>
                    <w:tl2br w:val="nil"/>
                    <w:tr2bl w:val="nil"/>
                  </w:tcBorders>
                  <w:vAlign w:val="center"/>
                </w:tcPr>
                <w:p w14:paraId="33694BE2">
                  <w:pPr>
                    <w:adjustRightInd w:val="0"/>
                    <w:snapToGrid w:val="0"/>
                    <w:jc w:val="center"/>
                    <w:rPr>
                      <w:color w:val="auto"/>
                      <w:spacing w:val="0"/>
                      <w:kern w:val="0"/>
                    </w:rPr>
                  </w:pPr>
                  <w:r>
                    <w:rPr>
                      <w:rFonts w:hint="eastAsia"/>
                      <w:color w:val="auto"/>
                      <w:spacing w:val="0"/>
                      <w:kern w:val="0"/>
                    </w:rPr>
                    <w:t>4、优化能源结构。有序淘汰煤电行业落后产能……5、大力发展清洁能源。……</w:t>
                  </w:r>
                </w:p>
              </w:tc>
              <w:tc>
                <w:tcPr>
                  <w:tcW w:w="1863" w:type="pct"/>
                  <w:tcBorders>
                    <w:tl2br w:val="nil"/>
                    <w:tr2bl w:val="nil"/>
                  </w:tcBorders>
                  <w:vAlign w:val="center"/>
                </w:tcPr>
                <w:p w14:paraId="5A66087D">
                  <w:pPr>
                    <w:adjustRightInd w:val="0"/>
                    <w:snapToGrid w:val="0"/>
                    <w:jc w:val="center"/>
                    <w:rPr>
                      <w:color w:val="auto"/>
                      <w:spacing w:val="0"/>
                      <w:kern w:val="0"/>
                    </w:rPr>
                  </w:pPr>
                  <w:r>
                    <w:rPr>
                      <w:rFonts w:hint="eastAsia"/>
                      <w:color w:val="auto"/>
                      <w:spacing w:val="0"/>
                      <w:kern w:val="0"/>
                    </w:rPr>
                    <w:t>本项目不使用煤炭，仅使用电能。</w:t>
                  </w:r>
                </w:p>
              </w:tc>
              <w:tc>
                <w:tcPr>
                  <w:tcW w:w="484" w:type="pct"/>
                  <w:tcBorders>
                    <w:tl2br w:val="nil"/>
                    <w:tr2bl w:val="nil"/>
                  </w:tcBorders>
                  <w:vAlign w:val="center"/>
                </w:tcPr>
                <w:p w14:paraId="6058A49A">
                  <w:pPr>
                    <w:keepNext w:val="0"/>
                    <w:keepLines w:val="0"/>
                    <w:pageBreakBefore w:val="0"/>
                    <w:widowControl w:val="0"/>
                    <w:kinsoku/>
                    <w:wordWrap/>
                    <w:overflowPunct/>
                    <w:topLinePunct w:val="0"/>
                    <w:autoSpaceDE/>
                    <w:autoSpaceDN/>
                    <w:bidi w:val="0"/>
                    <w:adjustRightInd w:val="0"/>
                    <w:snapToGrid w:val="0"/>
                    <w:jc w:val="center"/>
                    <w:textAlignment w:val="auto"/>
                    <w:rPr>
                      <w:color w:val="auto"/>
                      <w:spacing w:val="0"/>
                      <w:kern w:val="0"/>
                    </w:rPr>
                  </w:pPr>
                  <w:r>
                    <w:rPr>
                      <w:rFonts w:hint="eastAsia"/>
                      <w:color w:val="auto"/>
                      <w:spacing w:val="0"/>
                      <w:kern w:val="0"/>
                      <w:lang w:val="en-US" w:eastAsia="zh-CN"/>
                    </w:rPr>
                    <w:t>相符</w:t>
                  </w:r>
                </w:p>
              </w:tc>
            </w:tr>
            <w:tr w14:paraId="31B4547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8" w:type="pct"/>
                  <w:vMerge w:val="continue"/>
                  <w:tcBorders>
                    <w:tl2br w:val="nil"/>
                    <w:tr2bl w:val="nil"/>
                  </w:tcBorders>
                  <w:vAlign w:val="center"/>
                </w:tcPr>
                <w:p w14:paraId="721377B3">
                  <w:pPr>
                    <w:adjustRightInd w:val="0"/>
                    <w:snapToGrid w:val="0"/>
                    <w:jc w:val="center"/>
                    <w:rPr>
                      <w:rFonts w:hint="eastAsia"/>
                      <w:b/>
                      <w:bCs/>
                      <w:color w:val="auto"/>
                      <w:spacing w:val="0"/>
                      <w:kern w:val="0"/>
                      <w:lang w:eastAsia="zh-CN"/>
                    </w:rPr>
                  </w:pPr>
                </w:p>
              </w:tc>
              <w:tc>
                <w:tcPr>
                  <w:tcW w:w="590" w:type="pct"/>
                  <w:tcBorders>
                    <w:tl2br w:val="nil"/>
                    <w:tr2bl w:val="nil"/>
                  </w:tcBorders>
                  <w:vAlign w:val="center"/>
                </w:tcPr>
                <w:p w14:paraId="3C096D1F">
                  <w:pPr>
                    <w:adjustRightInd w:val="0"/>
                    <w:snapToGrid w:val="0"/>
                    <w:jc w:val="center"/>
                    <w:rPr>
                      <w:color w:val="auto"/>
                      <w:spacing w:val="0"/>
                      <w:kern w:val="0"/>
                    </w:rPr>
                  </w:pPr>
                  <w:r>
                    <w:rPr>
                      <w:rFonts w:hint="eastAsia"/>
                      <w:color w:val="auto"/>
                      <w:spacing w:val="0"/>
                      <w:kern w:val="0"/>
                    </w:rPr>
                    <w:t>（四）强化协同减排，切实降低VOCs和氮氧化物排放水平</w:t>
                  </w:r>
                </w:p>
              </w:tc>
              <w:tc>
                <w:tcPr>
                  <w:tcW w:w="1293" w:type="pct"/>
                  <w:tcBorders>
                    <w:tl2br w:val="nil"/>
                    <w:tr2bl w:val="nil"/>
                  </w:tcBorders>
                  <w:vAlign w:val="center"/>
                </w:tcPr>
                <w:p w14:paraId="56C190F8">
                  <w:pPr>
                    <w:adjustRightInd w:val="0"/>
                    <w:snapToGrid w:val="0"/>
                    <w:jc w:val="center"/>
                    <w:rPr>
                      <w:color w:val="auto"/>
                      <w:spacing w:val="0"/>
                      <w:kern w:val="0"/>
                    </w:rPr>
                  </w:pPr>
                  <w:r>
                    <w:rPr>
                      <w:rFonts w:hint="eastAsia"/>
                      <w:color w:val="auto"/>
                      <w:spacing w:val="0"/>
                      <w:kern w:val="0"/>
                    </w:rPr>
                    <w:t>10、大力推进VOCs含量清洁原料替代。……11、强化VOCs全流程、全环节综合治理。……</w:t>
                  </w:r>
                </w:p>
              </w:tc>
              <w:tc>
                <w:tcPr>
                  <w:tcW w:w="1863" w:type="pct"/>
                  <w:tcBorders>
                    <w:tl2br w:val="nil"/>
                    <w:tr2bl w:val="nil"/>
                  </w:tcBorders>
                  <w:vAlign w:val="center"/>
                </w:tcPr>
                <w:p w14:paraId="07BE92FA">
                  <w:pPr>
                    <w:adjustRightInd w:val="0"/>
                    <w:snapToGrid w:val="0"/>
                    <w:jc w:val="center"/>
                    <w:rPr>
                      <w:color w:val="auto"/>
                      <w:spacing w:val="0"/>
                      <w:kern w:val="0"/>
                    </w:rPr>
                  </w:pPr>
                  <w:r>
                    <w:rPr>
                      <w:rFonts w:hint="eastAsia"/>
                      <w:color w:val="auto"/>
                      <w:spacing w:val="0"/>
                      <w:kern w:val="0"/>
                      <w:lang w:val="en-US" w:eastAsia="zh-CN"/>
                    </w:rPr>
                    <w:t>项目</w:t>
                  </w:r>
                  <w:r>
                    <w:rPr>
                      <w:rFonts w:hint="eastAsia"/>
                      <w:color w:val="auto"/>
                      <w:spacing w:val="0"/>
                      <w:kern w:val="0"/>
                    </w:rPr>
                    <w:t>水性</w:t>
                  </w:r>
                  <w:r>
                    <w:rPr>
                      <w:rFonts w:hint="eastAsia"/>
                      <w:color w:val="auto"/>
                      <w:spacing w:val="0"/>
                      <w:kern w:val="0"/>
                      <w:lang w:val="en-US" w:eastAsia="zh-CN"/>
                    </w:rPr>
                    <w:t>漆</w:t>
                  </w:r>
                  <w:r>
                    <w:rPr>
                      <w:rFonts w:hint="eastAsia"/>
                      <w:color w:val="auto"/>
                      <w:spacing w:val="0"/>
                      <w:kern w:val="0"/>
                    </w:rPr>
                    <w:t>VOC含量为</w:t>
                  </w:r>
                  <w:r>
                    <w:rPr>
                      <w:rFonts w:hint="eastAsia"/>
                      <w:color w:val="auto"/>
                      <w:spacing w:val="0"/>
                      <w:kern w:val="0"/>
                      <w:lang w:val="en-US" w:eastAsia="zh-CN"/>
                    </w:rPr>
                    <w:t>125g/L、161</w:t>
                  </w:r>
                  <w:r>
                    <w:rPr>
                      <w:rFonts w:hint="eastAsia"/>
                      <w:color w:val="auto"/>
                      <w:spacing w:val="0"/>
                      <w:kern w:val="0"/>
                    </w:rPr>
                    <w:t>g/L</w:t>
                  </w:r>
                  <w:r>
                    <w:rPr>
                      <w:rFonts w:hint="eastAsia"/>
                      <w:color w:val="auto"/>
                      <w:spacing w:val="0"/>
                      <w:kern w:val="0"/>
                      <w:lang w:eastAsia="zh-CN"/>
                    </w:rPr>
                    <w:t>、</w:t>
                  </w:r>
                  <w:r>
                    <w:rPr>
                      <w:rFonts w:hint="eastAsia"/>
                      <w:color w:val="auto"/>
                      <w:spacing w:val="0"/>
                      <w:kern w:val="0"/>
                      <w:lang w:val="en-US" w:eastAsia="zh-CN"/>
                    </w:rPr>
                    <w:t>266g/L、131g/L、152g/L，油性漆</w:t>
                  </w:r>
                  <w:r>
                    <w:rPr>
                      <w:rFonts w:hint="eastAsia"/>
                      <w:color w:val="auto"/>
                      <w:spacing w:val="0"/>
                      <w:kern w:val="0"/>
                    </w:rPr>
                    <w:t>VOC含量为</w:t>
                  </w:r>
                  <w:r>
                    <w:rPr>
                      <w:rFonts w:hint="eastAsia"/>
                      <w:color w:val="auto"/>
                      <w:spacing w:val="0"/>
                      <w:kern w:val="0"/>
                      <w:lang w:val="en-US" w:eastAsia="zh-CN"/>
                    </w:rPr>
                    <w:t>381</w:t>
                  </w:r>
                  <w:r>
                    <w:rPr>
                      <w:rFonts w:hint="eastAsia"/>
                      <w:color w:val="auto"/>
                      <w:spacing w:val="0"/>
                      <w:kern w:val="0"/>
                    </w:rPr>
                    <w:t>g/L</w:t>
                  </w:r>
                  <w:r>
                    <w:rPr>
                      <w:rFonts w:hint="eastAsia"/>
                      <w:color w:val="auto"/>
                      <w:spacing w:val="0"/>
                      <w:kern w:val="0"/>
                      <w:lang w:val="en-US" w:eastAsia="zh-CN"/>
                    </w:rPr>
                    <w:t>、412g/L、358g/L，项目白乳胶VOC含量为2.2g/L、热熔胶VOC含量未检出，按检出限2g/L计，</w:t>
                  </w:r>
                  <w:r>
                    <w:rPr>
                      <w:rFonts w:hint="eastAsia"/>
                      <w:color w:val="auto"/>
                      <w:spacing w:val="0"/>
                      <w:kern w:val="0"/>
                    </w:rPr>
                    <w:t>符合《低挥发性有机化合物含量涂料产品技术要求》（GB/T 38597-2020）</w:t>
                  </w:r>
                  <w:r>
                    <w:rPr>
                      <w:rFonts w:hint="eastAsia"/>
                      <w:color w:val="auto"/>
                      <w:spacing w:val="0"/>
                      <w:kern w:val="0"/>
                      <w:lang w:eastAsia="zh-CN"/>
                    </w:rPr>
                    <w:t>、</w:t>
                  </w:r>
                  <w:r>
                    <w:rPr>
                      <w:rFonts w:hint="eastAsia"/>
                      <w:color w:val="auto"/>
                      <w:spacing w:val="0"/>
                      <w:kern w:val="0"/>
                      <w:lang w:val="en-US" w:eastAsia="zh-CN"/>
                    </w:rPr>
                    <w:t>《胶粘剂挥发性有机化合物限量》（GB33372-2020）</w:t>
                  </w:r>
                  <w:r>
                    <w:rPr>
                      <w:rFonts w:hint="eastAsia"/>
                      <w:color w:val="auto"/>
                      <w:spacing w:val="0"/>
                      <w:kern w:val="0"/>
                    </w:rPr>
                    <w:t>中限值要求</w:t>
                  </w:r>
                </w:p>
              </w:tc>
              <w:tc>
                <w:tcPr>
                  <w:tcW w:w="484" w:type="pct"/>
                  <w:tcBorders>
                    <w:tl2br w:val="nil"/>
                    <w:tr2bl w:val="nil"/>
                  </w:tcBorders>
                  <w:vAlign w:val="center"/>
                </w:tcPr>
                <w:p w14:paraId="55A828E3">
                  <w:pPr>
                    <w:keepNext w:val="0"/>
                    <w:keepLines w:val="0"/>
                    <w:pageBreakBefore w:val="0"/>
                    <w:widowControl w:val="0"/>
                    <w:kinsoku/>
                    <w:wordWrap/>
                    <w:overflowPunct/>
                    <w:topLinePunct w:val="0"/>
                    <w:autoSpaceDE/>
                    <w:autoSpaceDN/>
                    <w:bidi w:val="0"/>
                    <w:adjustRightInd w:val="0"/>
                    <w:snapToGrid w:val="0"/>
                    <w:jc w:val="center"/>
                    <w:textAlignment w:val="auto"/>
                    <w:rPr>
                      <w:color w:val="auto"/>
                      <w:spacing w:val="0"/>
                      <w:kern w:val="0"/>
                    </w:rPr>
                  </w:pPr>
                  <w:r>
                    <w:rPr>
                      <w:rFonts w:hint="eastAsia"/>
                      <w:color w:val="auto"/>
                      <w:spacing w:val="0"/>
                      <w:kern w:val="0"/>
                      <w:lang w:val="en-US" w:eastAsia="zh-CN"/>
                    </w:rPr>
                    <w:t>相符</w:t>
                  </w:r>
                </w:p>
              </w:tc>
            </w:tr>
            <w:tr w14:paraId="0DC0F32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8" w:type="pct"/>
                  <w:tcBorders>
                    <w:tl2br w:val="nil"/>
                    <w:tr2bl w:val="nil"/>
                  </w:tcBorders>
                  <w:vAlign w:val="center"/>
                </w:tcPr>
                <w:p w14:paraId="78C085E9">
                  <w:pPr>
                    <w:adjustRightInd w:val="0"/>
                    <w:snapToGrid w:val="0"/>
                    <w:jc w:val="center"/>
                    <w:rPr>
                      <w:color w:val="auto"/>
                      <w:spacing w:val="0"/>
                      <w:kern w:val="0"/>
                    </w:rPr>
                  </w:pPr>
                  <w:r>
                    <w:rPr>
                      <w:b/>
                      <w:bCs/>
                      <w:color w:val="auto"/>
                      <w:spacing w:val="0"/>
                      <w:kern w:val="0"/>
                    </w:rPr>
                    <w:t>常州市金坛区人民政府关于印发《2022年常州市金坛区深入打好污染防治攻坚战工作方案》的通知</w:t>
                  </w:r>
                </w:p>
              </w:tc>
              <w:tc>
                <w:tcPr>
                  <w:tcW w:w="1883" w:type="pct"/>
                  <w:gridSpan w:val="2"/>
                  <w:tcBorders>
                    <w:tl2br w:val="nil"/>
                    <w:tr2bl w:val="nil"/>
                  </w:tcBorders>
                  <w:vAlign w:val="center"/>
                </w:tcPr>
                <w:p w14:paraId="55A47954">
                  <w:pPr>
                    <w:adjustRightInd w:val="0"/>
                    <w:snapToGrid w:val="0"/>
                    <w:jc w:val="center"/>
                    <w:rPr>
                      <w:color w:val="auto"/>
                      <w:spacing w:val="0"/>
                      <w:kern w:val="0"/>
                    </w:rPr>
                  </w:pPr>
                  <w:r>
                    <w:rPr>
                      <w:color w:val="auto"/>
                      <w:spacing w:val="0"/>
                      <w:kern w:val="0"/>
                    </w:rPr>
                    <w:t>大力推进低（无）VOCs含量原辅材料替代。对照国家产品质量标准，加大对各类涂料、油墨、胶黏剂、清洗剂等产品生产、销售、使用环节的监督管理。以化工、涂装、医药、包装印刷、油品储运销等行业领域为重点，实施原辅材料和产品源头替代工程。完成12家重点企业VOCs清洁原料替代，优先推动使用溶剂型原辅材料且治理设施低效的企业先行开展清洁原料替代；对替代技术尚不成熟的，推动开展论证核实，并加强现场监管，确保VOCs无组织排放有效控制，废气排放口达标排放。结合产业特点，培育2家以上源头替代示范型企业。推动钢结构、包装印刷行业实施低（无）VOCs含量的涂料、油墨、胶粘剂等原辅材料源头替代。</w:t>
                  </w:r>
                </w:p>
              </w:tc>
              <w:tc>
                <w:tcPr>
                  <w:tcW w:w="1863" w:type="pct"/>
                  <w:tcBorders>
                    <w:tl2br w:val="nil"/>
                    <w:tr2bl w:val="nil"/>
                  </w:tcBorders>
                  <w:vAlign w:val="center"/>
                </w:tcPr>
                <w:p w14:paraId="1F1EA160">
                  <w:pPr>
                    <w:adjustRightInd w:val="0"/>
                    <w:snapToGrid w:val="0"/>
                    <w:jc w:val="center"/>
                    <w:rPr>
                      <w:color w:val="auto"/>
                      <w:spacing w:val="0"/>
                      <w:kern w:val="0"/>
                    </w:rPr>
                  </w:pPr>
                  <w:r>
                    <w:rPr>
                      <w:rFonts w:hint="eastAsia"/>
                      <w:color w:val="auto"/>
                      <w:spacing w:val="0"/>
                      <w:kern w:val="0"/>
                      <w:lang w:val="en-US" w:eastAsia="zh-CN"/>
                    </w:rPr>
                    <w:t>项目</w:t>
                  </w:r>
                  <w:r>
                    <w:rPr>
                      <w:rFonts w:hint="eastAsia"/>
                      <w:color w:val="auto"/>
                      <w:spacing w:val="0"/>
                      <w:kern w:val="0"/>
                    </w:rPr>
                    <w:t>水性</w:t>
                  </w:r>
                  <w:r>
                    <w:rPr>
                      <w:rFonts w:hint="eastAsia"/>
                      <w:color w:val="auto"/>
                      <w:spacing w:val="0"/>
                      <w:kern w:val="0"/>
                      <w:lang w:val="en-US" w:eastAsia="zh-CN"/>
                    </w:rPr>
                    <w:t>漆</w:t>
                  </w:r>
                  <w:r>
                    <w:rPr>
                      <w:rFonts w:hint="eastAsia"/>
                      <w:color w:val="auto"/>
                      <w:spacing w:val="0"/>
                      <w:kern w:val="0"/>
                    </w:rPr>
                    <w:t>VOC含量为</w:t>
                  </w:r>
                  <w:r>
                    <w:rPr>
                      <w:rFonts w:hint="eastAsia"/>
                      <w:color w:val="auto"/>
                      <w:spacing w:val="0"/>
                      <w:kern w:val="0"/>
                      <w:lang w:val="en-US" w:eastAsia="zh-CN"/>
                    </w:rPr>
                    <w:t>125g/L、161</w:t>
                  </w:r>
                  <w:r>
                    <w:rPr>
                      <w:rFonts w:hint="eastAsia"/>
                      <w:color w:val="auto"/>
                      <w:spacing w:val="0"/>
                      <w:kern w:val="0"/>
                    </w:rPr>
                    <w:t>g/L</w:t>
                  </w:r>
                  <w:r>
                    <w:rPr>
                      <w:rFonts w:hint="eastAsia"/>
                      <w:color w:val="auto"/>
                      <w:spacing w:val="0"/>
                      <w:kern w:val="0"/>
                      <w:lang w:eastAsia="zh-CN"/>
                    </w:rPr>
                    <w:t>、</w:t>
                  </w:r>
                  <w:r>
                    <w:rPr>
                      <w:rFonts w:hint="eastAsia"/>
                      <w:color w:val="auto"/>
                      <w:spacing w:val="0"/>
                      <w:kern w:val="0"/>
                      <w:lang w:val="en-US" w:eastAsia="zh-CN"/>
                    </w:rPr>
                    <w:t>266g/L、131g/L、152g/L，油性漆</w:t>
                  </w:r>
                  <w:r>
                    <w:rPr>
                      <w:rFonts w:hint="eastAsia"/>
                      <w:color w:val="auto"/>
                      <w:spacing w:val="0"/>
                      <w:kern w:val="0"/>
                    </w:rPr>
                    <w:t>VOC含量为</w:t>
                  </w:r>
                  <w:r>
                    <w:rPr>
                      <w:rFonts w:hint="eastAsia"/>
                      <w:color w:val="auto"/>
                      <w:spacing w:val="0"/>
                      <w:kern w:val="0"/>
                      <w:lang w:val="en-US" w:eastAsia="zh-CN"/>
                    </w:rPr>
                    <w:t>381</w:t>
                  </w:r>
                  <w:r>
                    <w:rPr>
                      <w:rFonts w:hint="eastAsia"/>
                      <w:color w:val="auto"/>
                      <w:spacing w:val="0"/>
                      <w:kern w:val="0"/>
                    </w:rPr>
                    <w:t>g/L</w:t>
                  </w:r>
                  <w:r>
                    <w:rPr>
                      <w:rFonts w:hint="eastAsia"/>
                      <w:color w:val="auto"/>
                      <w:spacing w:val="0"/>
                      <w:kern w:val="0"/>
                      <w:lang w:val="en-US" w:eastAsia="zh-CN"/>
                    </w:rPr>
                    <w:t>、412g/L、358g/L，项目白乳胶VOC含量为2.2g/L、热熔胶VOC含量未检出，按检出限2g/L计，</w:t>
                  </w:r>
                  <w:r>
                    <w:rPr>
                      <w:rFonts w:hint="eastAsia"/>
                      <w:color w:val="auto"/>
                      <w:spacing w:val="0"/>
                      <w:kern w:val="0"/>
                    </w:rPr>
                    <w:t>符合《低挥发性有机化合物含量涂料产品技术要求》（GB/T 38597-2020）</w:t>
                  </w:r>
                  <w:r>
                    <w:rPr>
                      <w:rFonts w:hint="eastAsia"/>
                      <w:color w:val="auto"/>
                      <w:spacing w:val="0"/>
                      <w:kern w:val="0"/>
                      <w:lang w:eastAsia="zh-CN"/>
                    </w:rPr>
                    <w:t>、</w:t>
                  </w:r>
                  <w:r>
                    <w:rPr>
                      <w:rFonts w:hint="eastAsia"/>
                      <w:color w:val="auto"/>
                      <w:spacing w:val="0"/>
                      <w:kern w:val="0"/>
                      <w:lang w:val="en-US" w:eastAsia="zh-CN"/>
                    </w:rPr>
                    <w:t>《胶粘剂挥发性有机化合物限量》（GB33372-2020）</w:t>
                  </w:r>
                  <w:r>
                    <w:rPr>
                      <w:rFonts w:hint="eastAsia"/>
                      <w:color w:val="auto"/>
                      <w:spacing w:val="0"/>
                      <w:kern w:val="0"/>
                    </w:rPr>
                    <w:t>中限值要求</w:t>
                  </w:r>
                </w:p>
              </w:tc>
              <w:tc>
                <w:tcPr>
                  <w:tcW w:w="484" w:type="pct"/>
                  <w:tcBorders>
                    <w:tl2br w:val="nil"/>
                    <w:tr2bl w:val="nil"/>
                  </w:tcBorders>
                  <w:vAlign w:val="center"/>
                </w:tcPr>
                <w:p w14:paraId="55444AD4">
                  <w:pPr>
                    <w:pStyle w:val="558"/>
                    <w:adjustRightInd w:val="0"/>
                    <w:rPr>
                      <w:color w:val="auto"/>
                      <w:spacing w:val="0"/>
                      <w:kern w:val="0"/>
                    </w:rPr>
                  </w:pPr>
                  <w:r>
                    <w:rPr>
                      <w:color w:val="auto"/>
                      <w:spacing w:val="0"/>
                      <w:kern w:val="0"/>
                    </w:rPr>
                    <w:t>相符</w:t>
                  </w:r>
                </w:p>
              </w:tc>
            </w:tr>
            <w:tr w14:paraId="7BBCE87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8" w:type="pct"/>
                  <w:tcBorders>
                    <w:tl2br w:val="nil"/>
                    <w:tr2bl w:val="nil"/>
                  </w:tcBorders>
                  <w:vAlign w:val="center"/>
                </w:tcPr>
                <w:p w14:paraId="02969794">
                  <w:pPr>
                    <w:adjustRightInd w:val="0"/>
                    <w:snapToGrid w:val="0"/>
                    <w:jc w:val="center"/>
                    <w:rPr>
                      <w:rFonts w:hint="default" w:ascii="Times New Roman" w:hAnsi="Times New Roman" w:cs="Times New Roman"/>
                      <w:b/>
                      <w:bCs/>
                      <w:color w:val="auto"/>
                      <w:spacing w:val="0"/>
                      <w:kern w:val="0"/>
                    </w:rPr>
                  </w:pPr>
                  <w:r>
                    <w:rPr>
                      <w:rFonts w:hint="default" w:ascii="Times New Roman" w:hAnsi="Times New Roman" w:cs="Times New Roman"/>
                      <w:b/>
                      <w:bCs/>
                      <w:color w:val="auto"/>
                      <w:spacing w:val="0"/>
                      <w:kern w:val="0"/>
                    </w:rPr>
                    <w:t>《市大气污染防治联席会议办公室关于印发2022年常州市挥发性有机物减排攻坚方案的通知》（常大气办[2022]2号）</w:t>
                  </w:r>
                </w:p>
              </w:tc>
              <w:tc>
                <w:tcPr>
                  <w:tcW w:w="1883" w:type="pct"/>
                  <w:gridSpan w:val="2"/>
                  <w:tcBorders>
                    <w:tl2br w:val="nil"/>
                    <w:tr2bl w:val="nil"/>
                  </w:tcBorders>
                  <w:vAlign w:val="center"/>
                </w:tcPr>
                <w:p w14:paraId="06E7DF58">
                  <w:pPr>
                    <w:adjustRightInd w:val="0"/>
                    <w:snapToGrid w:val="0"/>
                    <w:jc w:val="center"/>
                    <w:rPr>
                      <w:rFonts w:hint="default" w:ascii="Times New Roman" w:hAnsi="Times New Roman" w:cs="Times New Roman"/>
                      <w:color w:val="auto"/>
                      <w:spacing w:val="0"/>
                      <w:kern w:val="0"/>
                    </w:rPr>
                  </w:pPr>
                  <w:r>
                    <w:rPr>
                      <w:rFonts w:hint="default" w:ascii="Times New Roman" w:hAnsi="Times New Roman" w:cs="Times New Roman"/>
                      <w:color w:val="auto"/>
                      <w:spacing w:val="0"/>
                      <w:kern w:val="0"/>
                    </w:rPr>
                    <w:t>（一）加快臭氧帮扶问题整改。</w:t>
                  </w:r>
                  <w:r>
                    <w:rPr>
                      <w:rFonts w:hint="default" w:ascii="Times New Roman" w:hAnsi="Times New Roman" w:cs="Times New Roman"/>
                      <w:color w:val="auto"/>
                      <w:spacing w:val="0"/>
                      <w:kern w:val="0"/>
                      <w:lang w:eastAsia="zh-CN"/>
                    </w:rPr>
                    <w:t>（</w:t>
                  </w:r>
                  <w:r>
                    <w:rPr>
                      <w:rFonts w:hint="default" w:ascii="Times New Roman" w:hAnsi="Times New Roman" w:cs="Times New Roman"/>
                      <w:color w:val="auto"/>
                      <w:spacing w:val="0"/>
                      <w:kern w:val="0"/>
                    </w:rPr>
                    <w:t>二</w:t>
                  </w:r>
                  <w:r>
                    <w:rPr>
                      <w:rFonts w:hint="default" w:ascii="Times New Roman" w:hAnsi="Times New Roman" w:cs="Times New Roman"/>
                      <w:color w:val="auto"/>
                      <w:spacing w:val="0"/>
                      <w:kern w:val="0"/>
                      <w:lang w:eastAsia="zh-CN"/>
                    </w:rPr>
                    <w:t>）</w:t>
                  </w:r>
                  <w:r>
                    <w:rPr>
                      <w:rFonts w:hint="default" w:ascii="Times New Roman" w:hAnsi="Times New Roman" w:cs="Times New Roman"/>
                      <w:color w:val="auto"/>
                      <w:spacing w:val="0"/>
                      <w:kern w:val="0"/>
                    </w:rPr>
                    <w:t>推进重点行业深度治理。汽车罐车推广采用密封式快速接头，铁路罐车推广使用锁紧式接头等；农药、医药企业废水应密闭输送，储存、处理设施应在曝气池及其之前加盖密封；其他行业敞开液面上方100mm处VOCs检测浓度≥200μmol/mol的需加盖密封；规范涂料、油墨等有机原辅材料的调配和使用环节无组织废气收集，采取车间环境负压改造、安装高效集气装置等措施，提高VOCs产生环节的废气收集率。</w:t>
                  </w:r>
                  <w:r>
                    <w:rPr>
                      <w:rFonts w:hint="default" w:ascii="Times New Roman" w:hAnsi="Times New Roman" w:cs="Times New Roman"/>
                      <w:color w:val="auto"/>
                      <w:spacing w:val="0"/>
                      <w:kern w:val="0"/>
                      <w:lang w:eastAsia="zh-CN"/>
                    </w:rPr>
                    <w:t>（</w:t>
                  </w:r>
                  <w:r>
                    <w:rPr>
                      <w:rFonts w:hint="default" w:ascii="Times New Roman" w:hAnsi="Times New Roman" w:cs="Times New Roman"/>
                      <w:color w:val="auto"/>
                      <w:spacing w:val="0"/>
                      <w:kern w:val="0"/>
                      <w:lang w:val="en-US" w:eastAsia="zh-CN"/>
                    </w:rPr>
                    <w:t>三</w:t>
                  </w:r>
                  <w:r>
                    <w:rPr>
                      <w:rFonts w:hint="default" w:ascii="Times New Roman" w:hAnsi="Times New Roman" w:cs="Times New Roman"/>
                      <w:color w:val="auto"/>
                      <w:spacing w:val="0"/>
                      <w:kern w:val="0"/>
                      <w:lang w:eastAsia="zh-CN"/>
                    </w:rPr>
                    <w:t>）</w:t>
                  </w:r>
                  <w:r>
                    <w:rPr>
                      <w:rFonts w:hint="default" w:ascii="Times New Roman" w:hAnsi="Times New Roman" w:cs="Times New Roman"/>
                      <w:color w:val="auto"/>
                      <w:spacing w:val="0"/>
                      <w:kern w:val="0"/>
                    </w:rPr>
                    <w:t>推进重点集群攻坚治理。.检查车间和设备密闭情况，废气收集是否符合标准要求，采用局部集气罩的，距集气罩开口面最远处的VOCs无组织排放位置控制风速应不低于0.3米/秒，并采用风速仪等设备开展现场抽测，废气收集系统输送管道是否有可见的破损等；</w:t>
                  </w:r>
                  <w:r>
                    <w:rPr>
                      <w:rFonts w:hint="default" w:ascii="Times New Roman" w:hAnsi="Times New Roman" w:cs="Times New Roman"/>
                      <w:color w:val="auto"/>
                      <w:spacing w:val="0"/>
                      <w:kern w:val="0"/>
                      <w:lang w:eastAsia="zh-CN"/>
                    </w:rPr>
                    <w:t>（</w:t>
                  </w:r>
                  <w:r>
                    <w:rPr>
                      <w:rFonts w:hint="default" w:ascii="Times New Roman" w:hAnsi="Times New Roman" w:cs="Times New Roman"/>
                      <w:color w:val="auto"/>
                      <w:spacing w:val="0"/>
                      <w:kern w:val="0"/>
                      <w:lang w:val="en-US" w:eastAsia="zh-CN"/>
                    </w:rPr>
                    <w:t>四</w:t>
                  </w:r>
                  <w:r>
                    <w:rPr>
                      <w:rFonts w:hint="default" w:ascii="Times New Roman" w:hAnsi="Times New Roman" w:cs="Times New Roman"/>
                      <w:color w:val="auto"/>
                      <w:spacing w:val="0"/>
                      <w:kern w:val="0"/>
                      <w:lang w:eastAsia="zh-CN"/>
                    </w:rPr>
                    <w:t>）</w:t>
                  </w:r>
                  <w:r>
                    <w:rPr>
                      <w:rFonts w:hint="default" w:ascii="Times New Roman" w:hAnsi="Times New Roman" w:cs="Times New Roman"/>
                      <w:color w:val="auto"/>
                      <w:spacing w:val="0"/>
                      <w:kern w:val="0"/>
                    </w:rPr>
                    <w:t>持续推进涉VOCs行业清洁原料替代。各地要对照《江苏省挥发性有机物清洁原料替代工作方案》</w:t>
                  </w:r>
                  <w:r>
                    <w:rPr>
                      <w:rFonts w:hint="default" w:ascii="Times New Roman" w:hAnsi="Times New Roman" w:cs="Times New Roman"/>
                      <w:color w:val="auto"/>
                      <w:spacing w:val="0"/>
                      <w:kern w:val="0"/>
                      <w:lang w:eastAsia="zh-CN"/>
                    </w:rPr>
                    <w:t>（</w:t>
                  </w:r>
                  <w:r>
                    <w:rPr>
                      <w:rFonts w:hint="default" w:ascii="Times New Roman" w:hAnsi="Times New Roman" w:cs="Times New Roman"/>
                      <w:color w:val="auto"/>
                      <w:spacing w:val="0"/>
                      <w:kern w:val="0"/>
                    </w:rPr>
                    <w:t>苏大气办[2021]2号</w:t>
                  </w:r>
                  <w:r>
                    <w:rPr>
                      <w:rFonts w:hint="default" w:ascii="Times New Roman" w:hAnsi="Times New Roman" w:cs="Times New Roman"/>
                      <w:color w:val="auto"/>
                      <w:spacing w:val="0"/>
                      <w:kern w:val="0"/>
                      <w:lang w:eastAsia="zh-CN"/>
                    </w:rPr>
                    <w:t>）</w:t>
                  </w:r>
                  <w:r>
                    <w:rPr>
                      <w:rFonts w:hint="default" w:ascii="Times New Roman" w:hAnsi="Times New Roman" w:cs="Times New Roman"/>
                      <w:color w:val="auto"/>
                      <w:spacing w:val="0"/>
                      <w:kern w:val="0"/>
                    </w:rPr>
                    <w:t>要求，持续推动182家企业实施源头替代，严把环评审批准入关，控增量、去存量。........实施替代的钢结构企业需使用符合GB/T38597中规定的粉末、水性、无溶剂、辐射固化涂料产品；实施替代的包装印刷企业需符合GB38507中规定的水性、能量固化、胶印油墨产品。无法替代的应开展论证，并采用适宜的高效末端治理技术。</w:t>
                  </w:r>
                  <w:r>
                    <w:rPr>
                      <w:rFonts w:hint="default" w:ascii="Times New Roman" w:hAnsi="Times New Roman" w:cs="Times New Roman"/>
                      <w:color w:val="auto"/>
                      <w:spacing w:val="0"/>
                      <w:kern w:val="0"/>
                      <w:lang w:eastAsia="zh-CN"/>
                    </w:rPr>
                    <w:t>（</w:t>
                  </w:r>
                  <w:r>
                    <w:rPr>
                      <w:rFonts w:hint="default" w:ascii="Times New Roman" w:hAnsi="Times New Roman" w:cs="Times New Roman"/>
                      <w:color w:val="auto"/>
                      <w:spacing w:val="0"/>
                      <w:kern w:val="0"/>
                      <w:lang w:val="en-US" w:eastAsia="zh-CN"/>
                    </w:rPr>
                    <w:t>五</w:t>
                  </w:r>
                  <w:r>
                    <w:rPr>
                      <w:rFonts w:hint="default" w:ascii="Times New Roman" w:hAnsi="Times New Roman" w:cs="Times New Roman"/>
                      <w:color w:val="auto"/>
                      <w:spacing w:val="0"/>
                      <w:kern w:val="0"/>
                      <w:lang w:eastAsia="zh-CN"/>
                    </w:rPr>
                    <w:t>）</w:t>
                  </w:r>
                  <w:r>
                    <w:rPr>
                      <w:rFonts w:hint="default" w:ascii="Times New Roman" w:hAnsi="Times New Roman" w:cs="Times New Roman"/>
                      <w:color w:val="auto"/>
                      <w:spacing w:val="0"/>
                      <w:kern w:val="0"/>
                    </w:rPr>
                    <w:t>强化工业源日常管理与监管。........对采用活性炭吸附技术的，按照《吸附法工业有机废气治理工程技术规范》</w:t>
                  </w:r>
                  <w:r>
                    <w:rPr>
                      <w:rFonts w:hint="default" w:ascii="Times New Roman" w:hAnsi="Times New Roman" w:cs="Times New Roman"/>
                      <w:color w:val="auto"/>
                      <w:spacing w:val="0"/>
                      <w:kern w:val="0"/>
                      <w:lang w:eastAsia="zh-CN"/>
                    </w:rPr>
                    <w:t>（</w:t>
                  </w:r>
                  <w:r>
                    <w:rPr>
                      <w:rFonts w:hint="default" w:ascii="Times New Roman" w:hAnsi="Times New Roman" w:cs="Times New Roman"/>
                      <w:color w:val="auto"/>
                      <w:spacing w:val="0"/>
                      <w:kern w:val="0"/>
                    </w:rPr>
                    <w:t>HJ2026-2013</w:t>
                  </w:r>
                  <w:r>
                    <w:rPr>
                      <w:rFonts w:hint="default" w:ascii="Times New Roman" w:hAnsi="Times New Roman" w:cs="Times New Roman"/>
                      <w:color w:val="auto"/>
                      <w:spacing w:val="0"/>
                      <w:kern w:val="0"/>
                      <w:lang w:eastAsia="zh-CN"/>
                    </w:rPr>
                    <w:t>）</w:t>
                  </w:r>
                  <w:r>
                    <w:rPr>
                      <w:rFonts w:hint="default" w:ascii="Times New Roman" w:hAnsi="Times New Roman" w:cs="Times New Roman"/>
                      <w:color w:val="auto"/>
                      <w:spacing w:val="0"/>
                      <w:kern w:val="0"/>
                    </w:rPr>
                    <w:t>进行管理，按要求足量添加、定期更换；一次性活性炭吸附工艺需使用柱状炭</w:t>
                  </w:r>
                  <w:r>
                    <w:rPr>
                      <w:rFonts w:hint="default" w:ascii="Times New Roman" w:hAnsi="Times New Roman" w:cs="Times New Roman"/>
                      <w:color w:val="auto"/>
                      <w:spacing w:val="0"/>
                      <w:kern w:val="0"/>
                      <w:lang w:eastAsia="zh-CN"/>
                    </w:rPr>
                    <w:t>（</w:t>
                  </w:r>
                  <w:r>
                    <w:rPr>
                      <w:rFonts w:hint="default" w:ascii="Times New Roman" w:hAnsi="Times New Roman" w:cs="Times New Roman"/>
                      <w:color w:val="auto"/>
                      <w:spacing w:val="0"/>
                      <w:kern w:val="0"/>
                    </w:rPr>
                    <w:t>颗粒炭</w:t>
                  </w:r>
                  <w:r>
                    <w:rPr>
                      <w:rFonts w:hint="default" w:ascii="Times New Roman" w:hAnsi="Times New Roman" w:cs="Times New Roman"/>
                      <w:color w:val="auto"/>
                      <w:spacing w:val="0"/>
                      <w:kern w:val="0"/>
                      <w:lang w:eastAsia="zh-CN"/>
                    </w:rPr>
                    <w:t>）</w:t>
                  </w:r>
                  <w:r>
                    <w:rPr>
                      <w:rFonts w:hint="default" w:ascii="Times New Roman" w:hAnsi="Times New Roman" w:cs="Times New Roman"/>
                      <w:color w:val="auto"/>
                      <w:spacing w:val="0"/>
                      <w:kern w:val="0"/>
                    </w:rPr>
                    <w:t>，碘吸附值不低于800毫克/克；VOCs初始排放速率大于2kg/h的重点源排气筒进口应设施采样平台，治理效率不低于80%。</w:t>
                  </w:r>
                </w:p>
                <w:p w14:paraId="4F55742B">
                  <w:pPr>
                    <w:adjustRightInd w:val="0"/>
                    <w:snapToGrid w:val="0"/>
                    <w:jc w:val="center"/>
                    <w:rPr>
                      <w:rFonts w:hint="default" w:ascii="Times New Roman" w:hAnsi="Times New Roman" w:cs="Times New Roman"/>
                      <w:color w:val="auto"/>
                      <w:spacing w:val="0"/>
                      <w:kern w:val="0"/>
                    </w:rPr>
                  </w:pPr>
                  <w:r>
                    <w:rPr>
                      <w:rFonts w:hint="default" w:ascii="Times New Roman" w:hAnsi="Times New Roman" w:cs="Times New Roman"/>
                      <w:color w:val="auto"/>
                      <w:spacing w:val="0"/>
                      <w:kern w:val="0"/>
                      <w:lang w:eastAsia="zh-CN"/>
                    </w:rPr>
                    <w:t>（</w:t>
                  </w:r>
                  <w:r>
                    <w:rPr>
                      <w:rFonts w:hint="default" w:ascii="Times New Roman" w:hAnsi="Times New Roman" w:cs="Times New Roman"/>
                      <w:color w:val="auto"/>
                      <w:spacing w:val="0"/>
                      <w:kern w:val="0"/>
                      <w:lang w:val="en-US" w:eastAsia="zh-CN"/>
                    </w:rPr>
                    <w:t>六</w:t>
                  </w:r>
                  <w:r>
                    <w:rPr>
                      <w:rFonts w:hint="default" w:ascii="Times New Roman" w:hAnsi="Times New Roman" w:cs="Times New Roman"/>
                      <w:color w:val="auto"/>
                      <w:spacing w:val="0"/>
                      <w:kern w:val="0"/>
                      <w:lang w:eastAsia="zh-CN"/>
                    </w:rPr>
                    <w:t>）</w:t>
                  </w:r>
                  <w:r>
                    <w:rPr>
                      <w:rFonts w:hint="default" w:ascii="Times New Roman" w:hAnsi="Times New Roman" w:cs="Times New Roman"/>
                      <w:color w:val="auto"/>
                      <w:spacing w:val="0"/>
                      <w:kern w:val="0"/>
                    </w:rPr>
                    <w:t>编制2021年大气污染源排放清单。</w:t>
                  </w:r>
                  <w:r>
                    <w:rPr>
                      <w:rFonts w:hint="default" w:ascii="Times New Roman" w:hAnsi="Times New Roman" w:cs="Times New Roman"/>
                      <w:color w:val="auto"/>
                      <w:spacing w:val="0"/>
                      <w:kern w:val="0"/>
                      <w:lang w:eastAsia="zh-CN"/>
                    </w:rPr>
                    <w:t>（</w:t>
                  </w:r>
                  <w:r>
                    <w:rPr>
                      <w:rFonts w:hint="default" w:ascii="Times New Roman" w:hAnsi="Times New Roman" w:cs="Times New Roman"/>
                      <w:color w:val="auto"/>
                      <w:spacing w:val="0"/>
                      <w:kern w:val="0"/>
                      <w:lang w:val="en-US" w:eastAsia="zh-CN"/>
                    </w:rPr>
                    <w:t>七</w:t>
                  </w:r>
                  <w:r>
                    <w:rPr>
                      <w:rFonts w:hint="default" w:ascii="Times New Roman" w:hAnsi="Times New Roman" w:cs="Times New Roman"/>
                      <w:color w:val="auto"/>
                      <w:spacing w:val="0"/>
                      <w:kern w:val="0"/>
                      <w:lang w:eastAsia="zh-CN"/>
                    </w:rPr>
                    <w:t>）</w:t>
                  </w:r>
                  <w:r>
                    <w:rPr>
                      <w:rFonts w:hint="default" w:ascii="Times New Roman" w:hAnsi="Times New Roman" w:cs="Times New Roman"/>
                      <w:color w:val="auto"/>
                      <w:spacing w:val="0"/>
                      <w:kern w:val="0"/>
                    </w:rPr>
                    <w:t>推进VOCs在线监控安装、验收与联网。各地要按照《江苏省污染源自动监控管理办法</w:t>
                  </w:r>
                  <w:r>
                    <w:rPr>
                      <w:rFonts w:hint="default" w:ascii="Times New Roman" w:hAnsi="Times New Roman" w:cs="Times New Roman"/>
                      <w:color w:val="auto"/>
                      <w:spacing w:val="0"/>
                      <w:kern w:val="0"/>
                      <w:lang w:eastAsia="zh-CN"/>
                    </w:rPr>
                    <w:t>（</w:t>
                  </w:r>
                  <w:r>
                    <w:rPr>
                      <w:rFonts w:hint="default" w:ascii="Times New Roman" w:hAnsi="Times New Roman" w:cs="Times New Roman"/>
                      <w:color w:val="auto"/>
                      <w:spacing w:val="0"/>
                      <w:kern w:val="0"/>
                    </w:rPr>
                    <w:t>试行</w:t>
                  </w:r>
                  <w:r>
                    <w:rPr>
                      <w:rFonts w:hint="default" w:ascii="Times New Roman" w:hAnsi="Times New Roman" w:cs="Times New Roman"/>
                      <w:color w:val="auto"/>
                      <w:spacing w:val="0"/>
                      <w:kern w:val="0"/>
                      <w:lang w:eastAsia="zh-CN"/>
                    </w:rPr>
                    <w:t>）</w:t>
                  </w:r>
                  <w:r>
                    <w:rPr>
                      <w:rFonts w:hint="default" w:ascii="Times New Roman" w:hAnsi="Times New Roman" w:cs="Times New Roman"/>
                      <w:color w:val="auto"/>
                      <w:spacing w:val="0"/>
                      <w:kern w:val="0"/>
                    </w:rPr>
                    <w:t>》</w:t>
                  </w:r>
                  <w:r>
                    <w:rPr>
                      <w:rFonts w:hint="default" w:ascii="Times New Roman" w:hAnsi="Times New Roman" w:cs="Times New Roman"/>
                      <w:color w:val="auto"/>
                      <w:spacing w:val="0"/>
                      <w:kern w:val="0"/>
                      <w:lang w:eastAsia="zh-CN"/>
                    </w:rPr>
                    <w:t>（</w:t>
                  </w:r>
                  <w:r>
                    <w:rPr>
                      <w:rFonts w:hint="default" w:ascii="Times New Roman" w:hAnsi="Times New Roman" w:cs="Times New Roman"/>
                      <w:color w:val="auto"/>
                      <w:spacing w:val="0"/>
                      <w:kern w:val="0"/>
                    </w:rPr>
                    <w:t>苏环发[2021]3号</w:t>
                  </w:r>
                  <w:r>
                    <w:rPr>
                      <w:rFonts w:hint="default" w:ascii="Times New Roman" w:hAnsi="Times New Roman" w:cs="Times New Roman"/>
                      <w:color w:val="auto"/>
                      <w:spacing w:val="0"/>
                      <w:kern w:val="0"/>
                      <w:lang w:eastAsia="zh-CN"/>
                    </w:rPr>
                    <w:t>）</w:t>
                  </w:r>
                  <w:r>
                    <w:rPr>
                      <w:rFonts w:hint="default" w:ascii="Times New Roman" w:hAnsi="Times New Roman" w:cs="Times New Roman"/>
                      <w:color w:val="auto"/>
                      <w:spacing w:val="0"/>
                      <w:kern w:val="0"/>
                    </w:rPr>
                    <w:t>要求，全面梳理企业废气排放量信息，推动单排放口VOCs排放设计小时废气排放量1万立方米及以上的化工行业、3万立方米及以上的其他行业安装VOCs自动监测设备，9月底前基本完成。对已安装自动监控设备的，7月底前要完成验收并联网；</w:t>
                  </w:r>
                  <w:r>
                    <w:rPr>
                      <w:rFonts w:hint="default" w:ascii="Times New Roman" w:hAnsi="Times New Roman" w:cs="Times New Roman"/>
                      <w:color w:val="auto"/>
                      <w:spacing w:val="0"/>
                      <w:kern w:val="0"/>
                      <w:lang w:eastAsia="zh-CN"/>
                    </w:rPr>
                    <w:t>（</w:t>
                  </w:r>
                  <w:r>
                    <w:rPr>
                      <w:rFonts w:hint="default" w:ascii="Times New Roman" w:hAnsi="Times New Roman" w:cs="Times New Roman"/>
                      <w:color w:val="auto"/>
                      <w:spacing w:val="0"/>
                      <w:kern w:val="0"/>
                      <w:lang w:val="en-US" w:eastAsia="zh-CN"/>
                    </w:rPr>
                    <w:t>八</w:t>
                  </w:r>
                  <w:r>
                    <w:rPr>
                      <w:rFonts w:hint="default" w:ascii="Times New Roman" w:hAnsi="Times New Roman" w:cs="Times New Roman"/>
                      <w:color w:val="auto"/>
                      <w:spacing w:val="0"/>
                      <w:kern w:val="0"/>
                      <w:lang w:eastAsia="zh-CN"/>
                    </w:rPr>
                    <w:t>）</w:t>
                  </w:r>
                  <w:r>
                    <w:rPr>
                      <w:rFonts w:hint="default" w:ascii="Times New Roman" w:hAnsi="Times New Roman" w:cs="Times New Roman"/>
                      <w:color w:val="auto"/>
                      <w:spacing w:val="0"/>
                      <w:kern w:val="0"/>
                    </w:rPr>
                    <w:t>开展重点区域微环境整治专项行动。一是对采用简易低效VOCs治理设施企业专项执法行动，以末端治理设施仅采用低温等离子、光催化、光氧化、一次性活性炭吸附等技术的企业为重点，检查企业治理设施是否正常运行、活性炭等耗材是否及时更换等；二是开展汽修企业专项执法行动，检查企业末端治理设施是否正常运行，调漆、喷涂作业是否在密闭空间进行等；三是开展餐饮油烟企业专项执法行动，检查企业是否安装油烟净化设施，处理设备是否按要求进行清洗、维护等。各地要对违法问题依法查处，形成震慑。</w:t>
                  </w:r>
                  <w:r>
                    <w:rPr>
                      <w:rFonts w:hint="default" w:ascii="Times New Roman" w:hAnsi="Times New Roman" w:cs="Times New Roman"/>
                      <w:color w:val="auto"/>
                      <w:spacing w:val="0"/>
                      <w:kern w:val="0"/>
                      <w:lang w:eastAsia="zh-CN"/>
                    </w:rPr>
                    <w:t>（</w:t>
                  </w:r>
                  <w:r>
                    <w:rPr>
                      <w:rFonts w:hint="default" w:ascii="Times New Roman" w:hAnsi="Times New Roman" w:cs="Times New Roman"/>
                      <w:color w:val="auto"/>
                      <w:spacing w:val="0"/>
                      <w:kern w:val="0"/>
                      <w:lang w:val="en-US" w:eastAsia="zh-CN"/>
                    </w:rPr>
                    <w:t>九</w:t>
                  </w:r>
                  <w:r>
                    <w:rPr>
                      <w:rFonts w:hint="default" w:ascii="Times New Roman" w:hAnsi="Times New Roman" w:cs="Times New Roman"/>
                      <w:color w:val="auto"/>
                      <w:spacing w:val="0"/>
                      <w:kern w:val="0"/>
                      <w:lang w:eastAsia="zh-CN"/>
                    </w:rPr>
                    <w:t>）</w:t>
                  </w:r>
                  <w:r>
                    <w:rPr>
                      <w:rFonts w:hint="default" w:ascii="Times New Roman" w:hAnsi="Times New Roman" w:cs="Times New Roman"/>
                      <w:color w:val="auto"/>
                      <w:spacing w:val="0"/>
                      <w:kern w:val="0"/>
                    </w:rPr>
                    <w:t>推进氮氧化物协同减排。</w:t>
                  </w:r>
                  <w:r>
                    <w:rPr>
                      <w:rFonts w:hint="default" w:ascii="Times New Roman" w:hAnsi="Times New Roman" w:cs="Times New Roman"/>
                      <w:color w:val="auto"/>
                      <w:spacing w:val="0"/>
                      <w:kern w:val="0"/>
                      <w:lang w:eastAsia="zh-CN"/>
                    </w:rPr>
                    <w:t>（</w:t>
                  </w:r>
                  <w:r>
                    <w:rPr>
                      <w:rFonts w:hint="default" w:ascii="Times New Roman" w:hAnsi="Times New Roman" w:cs="Times New Roman"/>
                      <w:color w:val="auto"/>
                      <w:spacing w:val="0"/>
                      <w:kern w:val="0"/>
                      <w:lang w:val="en-US" w:eastAsia="zh-CN"/>
                    </w:rPr>
                    <w:t>十</w:t>
                  </w:r>
                  <w:r>
                    <w:rPr>
                      <w:rFonts w:hint="default" w:ascii="Times New Roman" w:hAnsi="Times New Roman" w:cs="Times New Roman"/>
                      <w:color w:val="auto"/>
                      <w:spacing w:val="0"/>
                      <w:kern w:val="0"/>
                      <w:lang w:eastAsia="zh-CN"/>
                    </w:rPr>
                    <w:t>）</w:t>
                  </w:r>
                  <w:r>
                    <w:rPr>
                      <w:rFonts w:hint="default" w:ascii="Times New Roman" w:hAnsi="Times New Roman" w:cs="Times New Roman"/>
                      <w:color w:val="auto"/>
                      <w:spacing w:val="0"/>
                      <w:kern w:val="0"/>
                    </w:rPr>
                    <w:t>建立全口径VOCs源谱“指纹库”。</w:t>
                  </w:r>
                  <w:r>
                    <w:rPr>
                      <w:rFonts w:hint="default" w:ascii="Times New Roman" w:hAnsi="Times New Roman" w:cs="Times New Roman"/>
                      <w:color w:val="auto"/>
                      <w:spacing w:val="0"/>
                      <w:kern w:val="0"/>
                      <w:lang w:eastAsia="zh-CN"/>
                    </w:rPr>
                    <w:t>（</w:t>
                  </w:r>
                  <w:r>
                    <w:rPr>
                      <w:rFonts w:hint="default" w:ascii="Times New Roman" w:hAnsi="Times New Roman" w:cs="Times New Roman"/>
                      <w:color w:val="auto"/>
                      <w:spacing w:val="0"/>
                      <w:kern w:val="0"/>
                      <w:lang w:val="en-US" w:eastAsia="zh-CN"/>
                    </w:rPr>
                    <w:t>十一</w:t>
                  </w:r>
                  <w:r>
                    <w:rPr>
                      <w:rFonts w:hint="default" w:ascii="Times New Roman" w:hAnsi="Times New Roman" w:cs="Times New Roman"/>
                      <w:color w:val="auto"/>
                      <w:spacing w:val="0"/>
                      <w:kern w:val="0"/>
                      <w:lang w:eastAsia="zh-CN"/>
                    </w:rPr>
                    <w:t>）</w:t>
                  </w:r>
                  <w:r>
                    <w:rPr>
                      <w:rFonts w:hint="default" w:ascii="Times New Roman" w:hAnsi="Times New Roman" w:cs="Times New Roman"/>
                      <w:color w:val="auto"/>
                      <w:spacing w:val="0"/>
                      <w:kern w:val="0"/>
                    </w:rPr>
                    <w:t>建立VOCs行业企业“问题库”。</w:t>
                  </w:r>
                  <w:r>
                    <w:rPr>
                      <w:rFonts w:hint="default" w:ascii="Times New Roman" w:hAnsi="Times New Roman" w:cs="Times New Roman"/>
                      <w:color w:val="auto"/>
                      <w:spacing w:val="0"/>
                      <w:kern w:val="0"/>
                      <w:lang w:eastAsia="zh-CN"/>
                    </w:rPr>
                    <w:t>（</w:t>
                  </w:r>
                  <w:r>
                    <w:rPr>
                      <w:rFonts w:hint="default" w:ascii="Times New Roman" w:hAnsi="Times New Roman" w:cs="Times New Roman"/>
                      <w:color w:val="auto"/>
                      <w:spacing w:val="0"/>
                      <w:kern w:val="0"/>
                      <w:lang w:val="en-US" w:eastAsia="zh-CN"/>
                    </w:rPr>
                    <w:t>十二</w:t>
                  </w:r>
                  <w:r>
                    <w:rPr>
                      <w:rFonts w:hint="default" w:ascii="Times New Roman" w:hAnsi="Times New Roman" w:cs="Times New Roman"/>
                      <w:color w:val="auto"/>
                      <w:spacing w:val="0"/>
                      <w:kern w:val="0"/>
                      <w:lang w:eastAsia="zh-CN"/>
                    </w:rPr>
                    <w:t>）</w:t>
                  </w:r>
                  <w:r>
                    <w:rPr>
                      <w:rFonts w:hint="default" w:ascii="Times New Roman" w:hAnsi="Times New Roman" w:cs="Times New Roman"/>
                      <w:color w:val="auto"/>
                      <w:spacing w:val="0"/>
                      <w:kern w:val="0"/>
                    </w:rPr>
                    <w:t>开发本地VOCs管理系统。</w:t>
                  </w:r>
                </w:p>
              </w:tc>
              <w:tc>
                <w:tcPr>
                  <w:tcW w:w="1863" w:type="pct"/>
                  <w:tcBorders>
                    <w:tl2br w:val="nil"/>
                    <w:tr2bl w:val="nil"/>
                  </w:tcBorders>
                  <w:vAlign w:val="center"/>
                </w:tcPr>
                <w:p w14:paraId="6FD12A10">
                  <w:pPr>
                    <w:adjustRightInd w:val="0"/>
                    <w:snapToGrid w:val="0"/>
                    <w:jc w:val="center"/>
                    <w:rPr>
                      <w:rFonts w:hint="eastAsia"/>
                      <w:color w:val="auto"/>
                      <w:spacing w:val="0"/>
                      <w:kern w:val="0"/>
                      <w:lang w:val="en-US" w:eastAsia="zh-CN"/>
                    </w:rPr>
                  </w:pPr>
                  <w:r>
                    <w:rPr>
                      <w:rFonts w:hint="eastAsia"/>
                      <w:color w:val="auto"/>
                      <w:spacing w:val="0"/>
                      <w:kern w:val="0"/>
                    </w:rPr>
                    <w:t>本项目行业类别为“</w:t>
                  </w:r>
                  <w:r>
                    <w:rPr>
                      <w:rFonts w:hint="eastAsia"/>
                      <w:color w:val="auto"/>
                      <w:spacing w:val="0"/>
                      <w:kern w:val="0"/>
                      <w:lang w:eastAsia="zh-CN"/>
                    </w:rPr>
                    <w:t>C2110木质家具制造</w:t>
                  </w:r>
                  <w:r>
                    <w:rPr>
                      <w:rFonts w:hint="eastAsia"/>
                      <w:color w:val="auto"/>
                      <w:spacing w:val="0"/>
                      <w:kern w:val="0"/>
                    </w:rPr>
                    <w:t>”，不属于两高项目，不属于低端产业、高排放产业，位于</w:t>
                  </w:r>
                  <w:r>
                    <w:rPr>
                      <w:rFonts w:hint="default" w:ascii="Times New Roman" w:hAnsi="Times New Roman" w:eastAsia="宋体" w:cs="Times New Roman"/>
                      <w:color w:val="auto"/>
                      <w:spacing w:val="0"/>
                      <w:kern w:val="0"/>
                      <w:sz w:val="21"/>
                      <w:szCs w:val="21"/>
                    </w:rPr>
                    <w:t>江苏省金坛华罗庚高新技术产业开发区</w:t>
                  </w:r>
                  <w:r>
                    <w:rPr>
                      <w:rFonts w:hint="eastAsia" w:ascii="Times New Roman" w:hAnsi="Times New Roman" w:eastAsia="宋体" w:cs="Times New Roman"/>
                      <w:color w:val="auto"/>
                      <w:spacing w:val="0"/>
                      <w:kern w:val="0"/>
                      <w:sz w:val="21"/>
                      <w:szCs w:val="21"/>
                      <w:lang w:val="en-US" w:eastAsia="zh-CN"/>
                    </w:rPr>
                    <w:t>中</w:t>
                  </w:r>
                  <w:r>
                    <w:rPr>
                      <w:rFonts w:hint="eastAsia" w:eastAsia="宋体" w:cs="Times New Roman"/>
                      <w:color w:val="auto"/>
                      <w:spacing w:val="0"/>
                      <w:kern w:val="0"/>
                      <w:sz w:val="21"/>
                      <w:szCs w:val="21"/>
                      <w:lang w:val="en-US" w:eastAsia="zh-CN"/>
                    </w:rPr>
                    <w:t>华罗庚科技产业园</w:t>
                  </w:r>
                  <w:r>
                    <w:rPr>
                      <w:rFonts w:hint="default" w:ascii="Times New Roman" w:hAnsi="Times New Roman" w:eastAsia="宋体" w:cs="Times New Roman"/>
                      <w:color w:val="auto"/>
                      <w:spacing w:val="0"/>
                      <w:kern w:val="0"/>
                      <w:sz w:val="21"/>
                      <w:szCs w:val="21"/>
                    </w:rPr>
                    <w:t>（</w:t>
                  </w:r>
                  <w:r>
                    <w:rPr>
                      <w:rFonts w:hint="eastAsia" w:eastAsia="宋体" w:cs="Times New Roman"/>
                      <w:color w:val="auto"/>
                      <w:spacing w:val="0"/>
                      <w:kern w:val="0"/>
                      <w:sz w:val="21"/>
                      <w:szCs w:val="21"/>
                      <w:lang w:val="en-US" w:eastAsia="zh-CN"/>
                    </w:rPr>
                    <w:t>北区</w:t>
                  </w:r>
                  <w:r>
                    <w:rPr>
                      <w:rFonts w:hint="default" w:ascii="Times New Roman" w:hAnsi="Times New Roman" w:eastAsia="宋体" w:cs="Times New Roman"/>
                      <w:color w:val="auto"/>
                      <w:spacing w:val="0"/>
                      <w:kern w:val="0"/>
                      <w:sz w:val="21"/>
                      <w:szCs w:val="21"/>
                    </w:rPr>
                    <w:t>）</w:t>
                  </w:r>
                  <w:r>
                    <w:rPr>
                      <w:rFonts w:hint="eastAsia"/>
                      <w:color w:val="auto"/>
                      <w:spacing w:val="0"/>
                      <w:kern w:val="0"/>
                    </w:rPr>
                    <w:t>内，本</w:t>
                  </w:r>
                  <w:r>
                    <w:rPr>
                      <w:rFonts w:hint="eastAsia"/>
                      <w:color w:val="auto"/>
                      <w:spacing w:val="0"/>
                      <w:kern w:val="0"/>
                      <w:lang w:val="en-US" w:eastAsia="zh-CN"/>
                    </w:rPr>
                    <w:t>项目</w:t>
                  </w:r>
                  <w:r>
                    <w:rPr>
                      <w:rFonts w:hint="eastAsia"/>
                      <w:bCs/>
                      <w:color w:val="auto"/>
                      <w:spacing w:val="0"/>
                      <w:kern w:val="0"/>
                      <w:lang w:eastAsia="zh-CN"/>
                    </w:rPr>
                    <w:t>擦色、调漆、喷漆、刷漆、晾干、喷枪清洗产生的有机废气经调漆房、底漆房、面漆房、晾干房负压收集；</w:t>
                  </w:r>
                  <w:r>
                    <w:rPr>
                      <w:rFonts w:hint="eastAsia"/>
                      <w:bCs/>
                      <w:color w:val="auto"/>
                      <w:spacing w:val="0"/>
                      <w:kern w:val="0"/>
                      <w:lang w:val="en-US" w:eastAsia="zh-CN"/>
                    </w:rPr>
                    <w:t>喷漆产生的</w:t>
                  </w:r>
                  <w:r>
                    <w:rPr>
                      <w:rFonts w:hint="eastAsia"/>
                      <w:bCs/>
                      <w:color w:val="auto"/>
                      <w:spacing w:val="0"/>
                      <w:kern w:val="0"/>
                      <w:lang w:eastAsia="zh-CN"/>
                    </w:rPr>
                    <w:t>颗粒物</w:t>
                  </w:r>
                  <w:r>
                    <w:rPr>
                      <w:rFonts w:hint="eastAsia"/>
                      <w:bCs/>
                      <w:color w:val="auto"/>
                      <w:spacing w:val="0"/>
                      <w:kern w:val="0"/>
                      <w:lang w:val="en-US" w:eastAsia="zh-CN"/>
                    </w:rPr>
                    <w:t>经底漆房、面漆房负压收集</w:t>
                  </w:r>
                  <w:r>
                    <w:rPr>
                      <w:rFonts w:hint="eastAsia"/>
                      <w:bCs/>
                      <w:color w:val="auto"/>
                      <w:spacing w:val="0"/>
                      <w:kern w:val="0"/>
                      <w:lang w:eastAsia="zh-CN"/>
                    </w:rPr>
                    <w:t>，颗粒物经水帘装置处理后和有机废气一起经吸雾毡去除水分后进入1套“二级活性炭装置”处理后通过1根20m高的排气筒DA001排放</w:t>
                  </w:r>
                  <w:r>
                    <w:rPr>
                      <w:rFonts w:hint="eastAsia"/>
                      <w:color w:val="auto"/>
                      <w:spacing w:val="0"/>
                      <w:kern w:val="0"/>
                      <w:lang w:val="en-US" w:eastAsia="zh-CN"/>
                    </w:rPr>
                    <w:t>。</w:t>
                  </w:r>
                </w:p>
                <w:p w14:paraId="41E06748">
                  <w:pPr>
                    <w:adjustRightInd w:val="0"/>
                    <w:snapToGrid w:val="0"/>
                    <w:jc w:val="center"/>
                    <w:rPr>
                      <w:rFonts w:hint="eastAsia"/>
                      <w:color w:val="auto"/>
                      <w:spacing w:val="0"/>
                      <w:kern w:val="0"/>
                      <w:lang w:val="en-US" w:eastAsia="zh-CN"/>
                    </w:rPr>
                  </w:pPr>
                  <w:r>
                    <w:rPr>
                      <w:rFonts w:hint="eastAsia"/>
                      <w:color w:val="auto"/>
                      <w:spacing w:val="0"/>
                      <w:kern w:val="0"/>
                      <w:lang w:val="en-US" w:eastAsia="zh-CN"/>
                    </w:rPr>
                    <w:t>项目</w:t>
                  </w:r>
                  <w:r>
                    <w:rPr>
                      <w:rFonts w:hint="eastAsia"/>
                      <w:color w:val="auto"/>
                      <w:spacing w:val="0"/>
                      <w:kern w:val="0"/>
                    </w:rPr>
                    <w:t>水性</w:t>
                  </w:r>
                  <w:r>
                    <w:rPr>
                      <w:rFonts w:hint="eastAsia"/>
                      <w:color w:val="auto"/>
                      <w:spacing w:val="0"/>
                      <w:kern w:val="0"/>
                      <w:lang w:val="en-US" w:eastAsia="zh-CN"/>
                    </w:rPr>
                    <w:t>漆</w:t>
                  </w:r>
                  <w:r>
                    <w:rPr>
                      <w:rFonts w:hint="eastAsia"/>
                      <w:color w:val="auto"/>
                      <w:spacing w:val="0"/>
                      <w:kern w:val="0"/>
                    </w:rPr>
                    <w:t>VOC含量为</w:t>
                  </w:r>
                  <w:r>
                    <w:rPr>
                      <w:rFonts w:hint="eastAsia"/>
                      <w:color w:val="auto"/>
                      <w:spacing w:val="0"/>
                      <w:kern w:val="0"/>
                      <w:lang w:val="en-US" w:eastAsia="zh-CN"/>
                    </w:rPr>
                    <w:t>125g/L、161</w:t>
                  </w:r>
                  <w:r>
                    <w:rPr>
                      <w:rFonts w:hint="eastAsia"/>
                      <w:color w:val="auto"/>
                      <w:spacing w:val="0"/>
                      <w:kern w:val="0"/>
                    </w:rPr>
                    <w:t>g/L</w:t>
                  </w:r>
                  <w:r>
                    <w:rPr>
                      <w:rFonts w:hint="eastAsia"/>
                      <w:color w:val="auto"/>
                      <w:spacing w:val="0"/>
                      <w:kern w:val="0"/>
                      <w:lang w:eastAsia="zh-CN"/>
                    </w:rPr>
                    <w:t>、</w:t>
                  </w:r>
                  <w:r>
                    <w:rPr>
                      <w:rFonts w:hint="eastAsia"/>
                      <w:color w:val="auto"/>
                      <w:spacing w:val="0"/>
                      <w:kern w:val="0"/>
                      <w:lang w:val="en-US" w:eastAsia="zh-CN"/>
                    </w:rPr>
                    <w:t>266g/L、131g/L、152g/L，油性漆</w:t>
                  </w:r>
                  <w:r>
                    <w:rPr>
                      <w:rFonts w:hint="eastAsia"/>
                      <w:color w:val="auto"/>
                      <w:spacing w:val="0"/>
                      <w:kern w:val="0"/>
                    </w:rPr>
                    <w:t>VOC含量为</w:t>
                  </w:r>
                  <w:r>
                    <w:rPr>
                      <w:rFonts w:hint="eastAsia"/>
                      <w:color w:val="auto"/>
                      <w:spacing w:val="0"/>
                      <w:kern w:val="0"/>
                      <w:lang w:val="en-US" w:eastAsia="zh-CN"/>
                    </w:rPr>
                    <w:t>381</w:t>
                  </w:r>
                  <w:r>
                    <w:rPr>
                      <w:rFonts w:hint="eastAsia"/>
                      <w:color w:val="auto"/>
                      <w:spacing w:val="0"/>
                      <w:kern w:val="0"/>
                    </w:rPr>
                    <w:t>g/L</w:t>
                  </w:r>
                  <w:r>
                    <w:rPr>
                      <w:rFonts w:hint="eastAsia"/>
                      <w:color w:val="auto"/>
                      <w:spacing w:val="0"/>
                      <w:kern w:val="0"/>
                      <w:lang w:val="en-US" w:eastAsia="zh-CN"/>
                    </w:rPr>
                    <w:t>、412g/L、358g/L</w:t>
                  </w:r>
                  <w:r>
                    <w:rPr>
                      <w:rFonts w:hint="eastAsia"/>
                      <w:color w:val="auto"/>
                      <w:spacing w:val="0"/>
                      <w:kern w:val="0"/>
                    </w:rPr>
                    <w:t>，符合《低挥发性有机化合物含量涂料产品技术要求》（GB/T 38597-2020）中限值要求</w:t>
                  </w:r>
                </w:p>
              </w:tc>
              <w:tc>
                <w:tcPr>
                  <w:tcW w:w="484" w:type="pct"/>
                  <w:tcBorders>
                    <w:tl2br w:val="nil"/>
                    <w:tr2bl w:val="nil"/>
                  </w:tcBorders>
                  <w:vAlign w:val="center"/>
                </w:tcPr>
                <w:p w14:paraId="61F2A484">
                  <w:pPr>
                    <w:pStyle w:val="558"/>
                    <w:adjustRightInd w:val="0"/>
                    <w:rPr>
                      <w:rFonts w:hint="eastAsia" w:eastAsia="宋体"/>
                      <w:color w:val="auto"/>
                      <w:spacing w:val="0"/>
                      <w:kern w:val="0"/>
                      <w:lang w:val="en-US" w:eastAsia="zh-CN"/>
                    </w:rPr>
                  </w:pPr>
                  <w:r>
                    <w:rPr>
                      <w:rFonts w:hint="eastAsia"/>
                      <w:color w:val="auto"/>
                      <w:spacing w:val="0"/>
                      <w:kern w:val="0"/>
                      <w:lang w:val="en-US" w:eastAsia="zh-CN"/>
                    </w:rPr>
                    <w:t>相符</w:t>
                  </w:r>
                </w:p>
              </w:tc>
            </w:tr>
            <w:tr w14:paraId="1D2B2BE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8" w:type="pct"/>
                  <w:tcBorders>
                    <w:tl2br w:val="nil"/>
                    <w:tr2bl w:val="nil"/>
                  </w:tcBorders>
                  <w:vAlign w:val="center"/>
                </w:tcPr>
                <w:p w14:paraId="59FDB31A">
                  <w:pPr>
                    <w:adjustRightInd w:val="0"/>
                    <w:snapToGrid w:val="0"/>
                    <w:jc w:val="center"/>
                    <w:rPr>
                      <w:b/>
                      <w:bCs/>
                      <w:color w:val="auto"/>
                      <w:spacing w:val="0"/>
                      <w:kern w:val="0"/>
                    </w:rPr>
                  </w:pPr>
                  <w:r>
                    <w:rPr>
                      <w:b/>
                      <w:bCs/>
                      <w:color w:val="auto"/>
                      <w:spacing w:val="0"/>
                      <w:kern w:val="0"/>
                    </w:rPr>
                    <w:t>《省生态环境厅关于印发江苏省环境影响评价文件环境应急相关内容编制要点的通知》（苏环办[2022]338）号</w:t>
                  </w:r>
                </w:p>
              </w:tc>
              <w:tc>
                <w:tcPr>
                  <w:tcW w:w="1883" w:type="pct"/>
                  <w:gridSpan w:val="2"/>
                  <w:tcBorders>
                    <w:tl2br w:val="nil"/>
                    <w:tr2bl w:val="nil"/>
                  </w:tcBorders>
                  <w:vAlign w:val="center"/>
                </w:tcPr>
                <w:p w14:paraId="12D7DFB0">
                  <w:pPr>
                    <w:adjustRightInd w:val="0"/>
                    <w:snapToGrid w:val="0"/>
                    <w:jc w:val="center"/>
                    <w:rPr>
                      <w:color w:val="auto"/>
                      <w:spacing w:val="0"/>
                      <w:kern w:val="0"/>
                    </w:rPr>
                  </w:pPr>
                  <w:r>
                    <w:rPr>
                      <w:color w:val="auto"/>
                      <w:spacing w:val="0"/>
                      <w:kern w:val="0"/>
                    </w:rPr>
                    <w:t>建设项目的编制要点适用于环境影响报告书、环境影响报告表所附环境风险专项的环境应急内容编制。</w:t>
                  </w:r>
                </w:p>
                <w:p w14:paraId="68A2537C">
                  <w:pPr>
                    <w:adjustRightInd w:val="0"/>
                    <w:snapToGrid w:val="0"/>
                    <w:jc w:val="center"/>
                    <w:rPr>
                      <w:color w:val="auto"/>
                      <w:spacing w:val="0"/>
                      <w:kern w:val="0"/>
                    </w:rPr>
                  </w:pPr>
                  <w:r>
                    <w:rPr>
                      <w:color w:val="auto"/>
                      <w:spacing w:val="0"/>
                      <w:kern w:val="0"/>
                    </w:rPr>
                    <w:t>1、建设项目的编制要点适用于环境影响报告书、环境影响报告表所附环境风险专项的环境应急内容编制。</w:t>
                  </w:r>
                </w:p>
                <w:p w14:paraId="3E3B1CF6">
                  <w:pPr>
                    <w:adjustRightInd w:val="0"/>
                    <w:snapToGrid w:val="0"/>
                    <w:jc w:val="center"/>
                    <w:rPr>
                      <w:color w:val="auto"/>
                      <w:spacing w:val="0"/>
                      <w:kern w:val="0"/>
                    </w:rPr>
                  </w:pPr>
                  <w:r>
                    <w:rPr>
                      <w:color w:val="auto"/>
                      <w:spacing w:val="0"/>
                      <w:kern w:val="0"/>
                    </w:rPr>
                    <w:t>2、科学判定环境风险评价工作等级和评价范围，系统识别环境风险。合理分析代表性风险事故情形，预测其影响范围与程度；</w:t>
                  </w:r>
                </w:p>
                <w:p w14:paraId="2E9B7CA7">
                  <w:pPr>
                    <w:pStyle w:val="5"/>
                    <w:adjustRightInd w:val="0"/>
                    <w:snapToGrid w:val="0"/>
                    <w:ind w:firstLine="0"/>
                    <w:jc w:val="center"/>
                    <w:rPr>
                      <w:color w:val="auto"/>
                      <w:spacing w:val="0"/>
                      <w:kern w:val="0"/>
                      <w:szCs w:val="21"/>
                    </w:rPr>
                  </w:pPr>
                  <w:r>
                    <w:rPr>
                      <w:color w:val="auto"/>
                      <w:spacing w:val="0"/>
                      <w:kern w:val="0"/>
                      <w:szCs w:val="21"/>
                    </w:rPr>
                    <w:t>3、明确环境风险防范措施的建设任务。大气环境风险防范应结合风险源实际状况明确环境风险的防范、减缓措施，提出环境</w:t>
                  </w:r>
                  <w:r>
                    <w:rPr>
                      <w:rFonts w:hint="eastAsia"/>
                      <w:color w:val="auto"/>
                      <w:spacing w:val="0"/>
                      <w:kern w:val="0"/>
                      <w:szCs w:val="21"/>
                    </w:rPr>
                    <w:t>风</w:t>
                  </w:r>
                  <w:r>
                    <w:rPr>
                      <w:color w:val="auto"/>
                      <w:spacing w:val="0"/>
                      <w:kern w:val="0"/>
                      <w:szCs w:val="21"/>
                    </w:rPr>
                    <w:t>险监控要求，特别是有毒有害气体厂界监控预警措施，并提供事故状态下区域人员疏散通道和安置场所位置图。事故废水环境风险防范应按照</w:t>
                  </w:r>
                  <w:r>
                    <w:rPr>
                      <w:rFonts w:hint="eastAsia"/>
                      <w:color w:val="auto"/>
                      <w:spacing w:val="0"/>
                      <w:kern w:val="0"/>
                      <w:szCs w:val="21"/>
                    </w:rPr>
                    <w:t>“</w:t>
                  </w:r>
                  <w:r>
                    <w:rPr>
                      <w:color w:val="auto"/>
                      <w:spacing w:val="0"/>
                      <w:kern w:val="0"/>
                      <w:szCs w:val="21"/>
                    </w:rPr>
                    <w:t>单元-厂区-园区/区域</w:t>
                  </w:r>
                  <w:r>
                    <w:rPr>
                      <w:rFonts w:hint="eastAsia"/>
                      <w:color w:val="auto"/>
                      <w:spacing w:val="0"/>
                      <w:kern w:val="0"/>
                      <w:szCs w:val="21"/>
                    </w:rPr>
                    <w:t>”</w:t>
                  </w:r>
                  <w:r>
                    <w:rPr>
                      <w:color w:val="auto"/>
                      <w:spacing w:val="0"/>
                      <w:kern w:val="0"/>
                      <w:szCs w:val="21"/>
                    </w:rPr>
                    <w:t>环境风险防控体系的要求，结合环境风险事故情形和预测结果，提出必要的应急设施（包括围堰、防火堤、应急池、雨污水排口闸阀及配套管网设施等)建设要求，并明确事故废水有效收集和妥善处理方式，以防进入外环境。要提供雨污水、事故废水收集排放管网示意图、环境应急设施分布图等防止事故废水进入外环境的控制、封堵系统图。明确企业与所在园区/区域的环境风险防控体系、设施的衔接和配套。</w:t>
                  </w:r>
                </w:p>
                <w:p w14:paraId="472304D1">
                  <w:pPr>
                    <w:pStyle w:val="5"/>
                    <w:adjustRightInd w:val="0"/>
                    <w:snapToGrid w:val="0"/>
                    <w:ind w:firstLine="0"/>
                    <w:jc w:val="center"/>
                    <w:rPr>
                      <w:color w:val="auto"/>
                      <w:spacing w:val="0"/>
                      <w:kern w:val="0"/>
                      <w:szCs w:val="21"/>
                    </w:rPr>
                  </w:pPr>
                  <w:r>
                    <w:rPr>
                      <w:color w:val="auto"/>
                      <w:spacing w:val="0"/>
                      <w:kern w:val="0"/>
                      <w:szCs w:val="21"/>
                    </w:rPr>
                    <w:t>3、明确环境应急管理制度内容。包括：①突发环境事件应急预案的编制、修订和备案要求;②明确事故状态下的特征污染因子和应急监测能力；③参照相关规范明确环境应急物资装备配备要求；④建立突发环境事件隐患排查治理制度要求，明确隐患排查内容、方式和频次；⑤明确环境应急培训和演练内容、方式、频次和台账记录要求；⑥提出设置环境风险防范设施及环境应急处置卡标识标牌等相关要求。</w:t>
                  </w:r>
                </w:p>
                <w:p w14:paraId="5EAAA29D">
                  <w:pPr>
                    <w:pStyle w:val="5"/>
                    <w:adjustRightInd w:val="0"/>
                    <w:snapToGrid w:val="0"/>
                    <w:ind w:firstLine="0"/>
                    <w:jc w:val="center"/>
                    <w:rPr>
                      <w:color w:val="auto"/>
                      <w:spacing w:val="0"/>
                      <w:kern w:val="0"/>
                      <w:szCs w:val="21"/>
                    </w:rPr>
                  </w:pPr>
                  <w:r>
                    <w:rPr>
                      <w:color w:val="auto"/>
                      <w:spacing w:val="0"/>
                      <w:kern w:val="0"/>
                      <w:szCs w:val="21"/>
                    </w:rPr>
                    <w:t>4、环境风险防范措施</w:t>
                  </w:r>
                  <w:r>
                    <w:rPr>
                      <w:rFonts w:hint="eastAsia"/>
                      <w:color w:val="auto"/>
                      <w:spacing w:val="0"/>
                      <w:kern w:val="0"/>
                      <w:szCs w:val="21"/>
                    </w:rPr>
                    <w:t>“</w:t>
                  </w:r>
                  <w:r>
                    <w:rPr>
                      <w:color w:val="auto"/>
                      <w:spacing w:val="0"/>
                      <w:kern w:val="0"/>
                      <w:szCs w:val="21"/>
                    </w:rPr>
                    <w:t>三同时</w:t>
                  </w:r>
                  <w:r>
                    <w:rPr>
                      <w:rFonts w:hint="eastAsia"/>
                      <w:color w:val="auto"/>
                      <w:spacing w:val="0"/>
                      <w:kern w:val="0"/>
                      <w:szCs w:val="21"/>
                    </w:rPr>
                    <w:t>”</w:t>
                  </w:r>
                  <w:r>
                    <w:rPr>
                      <w:color w:val="auto"/>
                      <w:spacing w:val="0"/>
                      <w:kern w:val="0"/>
                      <w:szCs w:val="21"/>
                    </w:rPr>
                    <w:t>要求。环境风险防范措施应纳入环保投资和建设项目竣工环保验收内容。</w:t>
                  </w:r>
                </w:p>
                <w:p w14:paraId="2D48C7E1">
                  <w:pPr>
                    <w:pStyle w:val="5"/>
                    <w:adjustRightInd w:val="0"/>
                    <w:snapToGrid w:val="0"/>
                    <w:ind w:firstLine="0"/>
                    <w:jc w:val="center"/>
                    <w:rPr>
                      <w:color w:val="auto"/>
                      <w:spacing w:val="0"/>
                      <w:kern w:val="0"/>
                      <w:szCs w:val="21"/>
                    </w:rPr>
                  </w:pPr>
                  <w:r>
                    <w:rPr>
                      <w:color w:val="auto"/>
                      <w:spacing w:val="0"/>
                      <w:kern w:val="0"/>
                      <w:szCs w:val="21"/>
                    </w:rPr>
                    <w:t>5、明确环境风险评价结论。根据项目危险因素、环境敏感性及风险事故分析结果，结合环境风险防范措施和应急管理建设内容，明确给出建设项目环境风险是否可防控的结论。</w:t>
                  </w:r>
                </w:p>
              </w:tc>
              <w:tc>
                <w:tcPr>
                  <w:tcW w:w="1863" w:type="pct"/>
                  <w:tcBorders>
                    <w:tl2br w:val="nil"/>
                    <w:tr2bl w:val="nil"/>
                  </w:tcBorders>
                  <w:vAlign w:val="center"/>
                </w:tcPr>
                <w:p w14:paraId="36362092">
                  <w:pPr>
                    <w:pStyle w:val="558"/>
                    <w:adjustRightInd w:val="0"/>
                    <w:rPr>
                      <w:color w:val="auto"/>
                      <w:spacing w:val="0"/>
                      <w:kern w:val="0"/>
                    </w:rPr>
                  </w:pPr>
                  <w:r>
                    <w:rPr>
                      <w:color w:val="auto"/>
                      <w:spacing w:val="0"/>
                      <w:kern w:val="0"/>
                    </w:rPr>
                    <w:t>本项目为环境影响报告表，无需设置风险专项内容，本环评仅对环境风险及应急内容提出简要要求，</w:t>
                  </w:r>
                  <w:r>
                    <w:rPr>
                      <w:rFonts w:hint="eastAsia"/>
                      <w:color w:val="auto"/>
                      <w:spacing w:val="0"/>
                      <w:kern w:val="0"/>
                    </w:rPr>
                    <w:t>要求建设单位将</w:t>
                  </w:r>
                  <w:r>
                    <w:rPr>
                      <w:color w:val="auto"/>
                      <w:spacing w:val="0"/>
                      <w:kern w:val="0"/>
                    </w:rPr>
                    <w:t>环境风险防范措施纳入环保投资和建设项目竣工环保验收</w:t>
                  </w:r>
                  <w:r>
                    <w:rPr>
                      <w:rFonts w:hint="eastAsia"/>
                      <w:color w:val="auto"/>
                      <w:spacing w:val="0"/>
                      <w:kern w:val="0"/>
                    </w:rPr>
                    <w:t>中</w:t>
                  </w:r>
                  <w:r>
                    <w:rPr>
                      <w:color w:val="auto"/>
                      <w:spacing w:val="0"/>
                      <w:kern w:val="0"/>
                    </w:rPr>
                    <w:t>。明确给出建设项目环境风险是可防控的结论。项目详细的应急预案编制要点要求、环境风险防范措施等将纳入突发环境事件应急预案中</w:t>
                  </w:r>
                </w:p>
              </w:tc>
              <w:tc>
                <w:tcPr>
                  <w:tcW w:w="484" w:type="pct"/>
                  <w:tcBorders>
                    <w:tl2br w:val="nil"/>
                    <w:tr2bl w:val="nil"/>
                  </w:tcBorders>
                  <w:vAlign w:val="center"/>
                </w:tcPr>
                <w:p w14:paraId="7A5A7639">
                  <w:pPr>
                    <w:pStyle w:val="558"/>
                    <w:adjustRightInd w:val="0"/>
                    <w:rPr>
                      <w:color w:val="auto"/>
                      <w:spacing w:val="0"/>
                      <w:kern w:val="0"/>
                    </w:rPr>
                  </w:pPr>
                  <w:r>
                    <w:rPr>
                      <w:color w:val="auto"/>
                      <w:spacing w:val="0"/>
                      <w:kern w:val="0"/>
                    </w:rPr>
                    <w:t>相符</w:t>
                  </w:r>
                </w:p>
              </w:tc>
            </w:tr>
            <w:tr w14:paraId="441BED3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8" w:type="pct"/>
                  <w:tcBorders>
                    <w:tl2br w:val="nil"/>
                    <w:tr2bl w:val="nil"/>
                  </w:tcBorders>
                  <w:vAlign w:val="center"/>
                </w:tcPr>
                <w:p w14:paraId="666D0383">
                  <w:pPr>
                    <w:adjustRightInd w:val="0"/>
                    <w:snapToGrid w:val="0"/>
                    <w:jc w:val="center"/>
                    <w:rPr>
                      <w:b/>
                      <w:bCs/>
                      <w:color w:val="auto"/>
                      <w:spacing w:val="0"/>
                      <w:kern w:val="0"/>
                    </w:rPr>
                  </w:pPr>
                  <w:r>
                    <w:rPr>
                      <w:b/>
                      <w:bCs/>
                      <w:color w:val="auto"/>
                      <w:spacing w:val="0"/>
                      <w:kern w:val="0"/>
                    </w:rPr>
                    <w:t>《关于做好生态环境和应急管理部门联动工作的意见》（苏环办[2020]101号）</w:t>
                  </w:r>
                </w:p>
              </w:tc>
              <w:tc>
                <w:tcPr>
                  <w:tcW w:w="1883" w:type="pct"/>
                  <w:gridSpan w:val="2"/>
                  <w:tcBorders>
                    <w:tl2br w:val="nil"/>
                    <w:tr2bl w:val="nil"/>
                  </w:tcBorders>
                  <w:vAlign w:val="center"/>
                </w:tcPr>
                <w:p w14:paraId="735915C9">
                  <w:pPr>
                    <w:pStyle w:val="5"/>
                    <w:adjustRightInd w:val="0"/>
                    <w:snapToGrid w:val="0"/>
                    <w:ind w:firstLine="0"/>
                    <w:jc w:val="center"/>
                    <w:rPr>
                      <w:color w:val="auto"/>
                      <w:spacing w:val="0"/>
                      <w:kern w:val="0"/>
                      <w:szCs w:val="21"/>
                    </w:rPr>
                  </w:pPr>
                  <w:r>
                    <w:rPr>
                      <w:color w:val="auto"/>
                      <w:spacing w:val="0"/>
                      <w:kern w:val="0"/>
                      <w:szCs w:val="21"/>
                    </w:rPr>
                    <w:t>企业要对脱硫脱硝、煤改气、挥发性有机物回收、污水处理、粉尘治理、RTO焚烧炉等六类环境治理设施开展安全风险辨识管控，要健全内部污染防治设施稳定运行和管理责任制度，严格依据标准规范建设环境治理设施，确保环境治理设施安全、稳定、有效运行。</w:t>
                  </w:r>
                </w:p>
              </w:tc>
              <w:tc>
                <w:tcPr>
                  <w:tcW w:w="1863" w:type="pct"/>
                  <w:tcBorders>
                    <w:tl2br w:val="nil"/>
                    <w:tr2bl w:val="nil"/>
                  </w:tcBorders>
                  <w:vAlign w:val="center"/>
                </w:tcPr>
                <w:p w14:paraId="69F9F4D0">
                  <w:pPr>
                    <w:pStyle w:val="558"/>
                    <w:adjustRightInd w:val="0"/>
                    <w:rPr>
                      <w:color w:val="auto"/>
                      <w:spacing w:val="0"/>
                      <w:kern w:val="0"/>
                    </w:rPr>
                  </w:pPr>
                  <w:r>
                    <w:rPr>
                      <w:color w:val="auto"/>
                      <w:spacing w:val="0"/>
                      <w:kern w:val="0"/>
                    </w:rPr>
                    <w:t>企业需按照要求对二级活性炭设施</w:t>
                  </w:r>
                  <w:r>
                    <w:rPr>
                      <w:rFonts w:hint="eastAsia"/>
                      <w:color w:val="auto"/>
                      <w:spacing w:val="0"/>
                      <w:kern w:val="0"/>
                      <w:lang w:eastAsia="zh-CN"/>
                    </w:rPr>
                    <w:t>、</w:t>
                  </w:r>
                  <w:r>
                    <w:rPr>
                      <w:rFonts w:hint="eastAsia"/>
                      <w:color w:val="auto"/>
                      <w:spacing w:val="0"/>
                      <w:kern w:val="0"/>
                      <w:lang w:val="en-US" w:eastAsia="zh-CN"/>
                    </w:rPr>
                    <w:t>干式内循环打磨处理器、移动除尘设施</w:t>
                  </w:r>
                  <w:r>
                    <w:rPr>
                      <w:color w:val="auto"/>
                      <w:spacing w:val="0"/>
                      <w:kern w:val="0"/>
                    </w:rPr>
                    <w:t>开展安全风险辨识，确保设施安全、稳定、有效运行</w:t>
                  </w:r>
                </w:p>
              </w:tc>
              <w:tc>
                <w:tcPr>
                  <w:tcW w:w="484" w:type="pct"/>
                  <w:tcBorders>
                    <w:tl2br w:val="nil"/>
                    <w:tr2bl w:val="nil"/>
                  </w:tcBorders>
                  <w:vAlign w:val="center"/>
                </w:tcPr>
                <w:p w14:paraId="392C3905">
                  <w:pPr>
                    <w:pStyle w:val="558"/>
                    <w:adjustRightInd w:val="0"/>
                    <w:rPr>
                      <w:color w:val="auto"/>
                      <w:spacing w:val="0"/>
                      <w:kern w:val="0"/>
                    </w:rPr>
                  </w:pPr>
                  <w:r>
                    <w:rPr>
                      <w:color w:val="auto"/>
                      <w:spacing w:val="0"/>
                      <w:kern w:val="0"/>
                    </w:rPr>
                    <w:t>相符</w:t>
                  </w:r>
                </w:p>
              </w:tc>
            </w:tr>
            <w:tr w14:paraId="5BA253E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768" w:type="pct"/>
                  <w:tcBorders>
                    <w:tl2br w:val="nil"/>
                    <w:tr2bl w:val="nil"/>
                  </w:tcBorders>
                  <w:vAlign w:val="center"/>
                </w:tcPr>
                <w:p w14:paraId="5728A3AC">
                  <w:pPr>
                    <w:adjustRightInd w:val="0"/>
                    <w:snapToGrid w:val="0"/>
                    <w:jc w:val="center"/>
                    <w:rPr>
                      <w:b/>
                      <w:bCs/>
                      <w:color w:val="auto"/>
                      <w:spacing w:val="0"/>
                      <w:kern w:val="0"/>
                    </w:rPr>
                  </w:pPr>
                  <w:r>
                    <w:rPr>
                      <w:rFonts w:hint="eastAsia"/>
                      <w:b/>
                      <w:bCs/>
                      <w:color w:val="auto"/>
                      <w:spacing w:val="0"/>
                      <w:kern w:val="0"/>
                    </w:rPr>
                    <w:t>《关于切实加强产业园区规划环境影响评价工作的通知》（苏环办〔2017〕140号）</w:t>
                  </w:r>
                </w:p>
              </w:tc>
              <w:tc>
                <w:tcPr>
                  <w:tcW w:w="1883" w:type="pct"/>
                  <w:gridSpan w:val="2"/>
                  <w:tcBorders>
                    <w:tl2br w:val="nil"/>
                    <w:tr2bl w:val="nil"/>
                  </w:tcBorders>
                  <w:vAlign w:val="center"/>
                </w:tcPr>
                <w:p w14:paraId="29C3DC62">
                  <w:pPr>
                    <w:pStyle w:val="5"/>
                    <w:adjustRightInd w:val="0"/>
                    <w:snapToGrid w:val="0"/>
                    <w:ind w:firstLine="0"/>
                    <w:jc w:val="center"/>
                    <w:rPr>
                      <w:color w:val="auto"/>
                      <w:spacing w:val="0"/>
                      <w:kern w:val="0"/>
                      <w:szCs w:val="21"/>
                    </w:rPr>
                  </w:pPr>
                  <w:r>
                    <w:rPr>
                      <w:rFonts w:hint="eastAsia"/>
                      <w:color w:val="auto"/>
                      <w:spacing w:val="0"/>
                      <w:kern w:val="0"/>
                      <w:szCs w:val="21"/>
                    </w:rPr>
                    <w:t>根据《关于切实加强产业园区规划环境影响评价工作的通知》（苏环办〔2017〕140号）中要求“规划环评要作为规划所包含项目环评的重要依据，对于不符合规划环评结论及审查意见的项目环评，依法不予审批”。</w:t>
                  </w:r>
                </w:p>
              </w:tc>
              <w:tc>
                <w:tcPr>
                  <w:tcW w:w="1863" w:type="pct"/>
                  <w:tcBorders>
                    <w:tl2br w:val="nil"/>
                    <w:tr2bl w:val="nil"/>
                  </w:tcBorders>
                  <w:vAlign w:val="center"/>
                </w:tcPr>
                <w:p w14:paraId="6FADB4DE">
                  <w:pPr>
                    <w:pStyle w:val="558"/>
                    <w:adjustRightInd w:val="0"/>
                    <w:rPr>
                      <w:color w:val="auto"/>
                      <w:spacing w:val="0"/>
                      <w:kern w:val="0"/>
                    </w:rPr>
                  </w:pPr>
                  <w:r>
                    <w:rPr>
                      <w:rFonts w:hint="eastAsia"/>
                      <w:color w:val="auto"/>
                      <w:spacing w:val="0"/>
                      <w:kern w:val="0"/>
                    </w:rPr>
                    <w:t>本项目符合园区规划</w:t>
                  </w:r>
                </w:p>
              </w:tc>
              <w:tc>
                <w:tcPr>
                  <w:tcW w:w="484" w:type="pct"/>
                  <w:tcBorders>
                    <w:tl2br w:val="nil"/>
                    <w:tr2bl w:val="nil"/>
                  </w:tcBorders>
                  <w:vAlign w:val="center"/>
                </w:tcPr>
                <w:p w14:paraId="36072662">
                  <w:pPr>
                    <w:pStyle w:val="558"/>
                    <w:adjustRightInd w:val="0"/>
                    <w:rPr>
                      <w:rFonts w:hint="eastAsia" w:eastAsia="宋体"/>
                      <w:color w:val="auto"/>
                      <w:spacing w:val="0"/>
                      <w:kern w:val="0"/>
                      <w:lang w:val="en-US" w:eastAsia="zh-CN"/>
                    </w:rPr>
                  </w:pPr>
                  <w:r>
                    <w:rPr>
                      <w:rFonts w:hint="eastAsia"/>
                      <w:color w:val="auto"/>
                      <w:spacing w:val="0"/>
                      <w:kern w:val="0"/>
                      <w:lang w:val="en-US" w:eastAsia="zh-CN"/>
                    </w:rPr>
                    <w:t>相符</w:t>
                  </w:r>
                </w:p>
              </w:tc>
            </w:tr>
          </w:tbl>
          <w:p w14:paraId="67E35E6D">
            <w:pPr>
              <w:adjustRightInd w:val="0"/>
              <w:snapToGrid w:val="0"/>
              <w:spacing w:line="360" w:lineRule="auto"/>
              <w:ind w:firstLine="422" w:firstLineChars="200"/>
              <w:rPr>
                <w:b/>
                <w:bCs/>
                <w:color w:val="auto"/>
              </w:rPr>
            </w:pPr>
            <w:r>
              <w:rPr>
                <w:rFonts w:hint="eastAsia"/>
                <w:b/>
                <w:color w:val="auto"/>
              </w:rPr>
              <w:t>（2）与《江苏省“三线一单”生态环境分区管控方案（苏政发[2020]49号）》、</w:t>
            </w:r>
            <w:r>
              <w:rPr>
                <w:b/>
                <w:bCs/>
                <w:color w:val="auto"/>
              </w:rPr>
              <w:t>《常州市</w:t>
            </w:r>
            <w:r>
              <w:rPr>
                <w:rFonts w:hint="eastAsia"/>
                <w:b/>
                <w:bCs/>
                <w:color w:val="auto"/>
              </w:rPr>
              <w:t>“</w:t>
            </w:r>
            <w:r>
              <w:rPr>
                <w:b/>
                <w:bCs/>
                <w:color w:val="auto"/>
              </w:rPr>
              <w:t>三线一单</w:t>
            </w:r>
            <w:r>
              <w:rPr>
                <w:rFonts w:hint="eastAsia"/>
                <w:b/>
                <w:bCs/>
                <w:color w:val="auto"/>
              </w:rPr>
              <w:t>”</w:t>
            </w:r>
            <w:r>
              <w:rPr>
                <w:b/>
                <w:bCs/>
                <w:color w:val="auto"/>
              </w:rPr>
              <w:t>生态环境分区管控实施方案》（常环[2020]95号）相符性</w:t>
            </w:r>
            <w:r>
              <w:rPr>
                <w:rFonts w:hint="eastAsia"/>
                <w:b/>
                <w:bCs/>
                <w:color w:val="auto"/>
              </w:rPr>
              <w:t>分析</w:t>
            </w:r>
          </w:p>
          <w:p w14:paraId="39E9896A">
            <w:pPr>
              <w:overflowPunct w:val="0"/>
              <w:adjustRightInd w:val="0"/>
              <w:snapToGrid w:val="0"/>
              <w:spacing w:line="360" w:lineRule="auto"/>
              <w:ind w:firstLine="420" w:firstLineChars="200"/>
              <w:rPr>
                <w:bCs/>
                <w:color w:val="auto"/>
              </w:rPr>
            </w:pPr>
            <w:r>
              <w:rPr>
                <w:rFonts w:hint="eastAsia"/>
                <w:bCs/>
                <w:color w:val="auto"/>
              </w:rPr>
              <w:t>对照《江苏省“三线一单”生态环境分区管控方案》（苏政发〔2020〕49号）文件中“（五）落实生态环境管控要求-严格落实生态环境法律法规标准，国家、省和重点区域（流域）环境管理政策，准确把握区域发展战略和生态功能定位，建立完善并落实省域、重点区域（流域）、市域及各类环境管控单元的“1+4+13+N”生态环境分区管控体系，包括全省“1”个总体管控要求，长江流域、太湖流域、淮河流域、沿海地区等“4”个重点区域（流域）管控要求，“13”个设区市管控要求，以及全省“N”个（4365个）环境管控单元的生态环境准入清单。”</w:t>
            </w:r>
          </w:p>
          <w:p w14:paraId="55617559">
            <w:pPr>
              <w:overflowPunct w:val="0"/>
              <w:adjustRightInd w:val="0"/>
              <w:snapToGrid w:val="0"/>
              <w:spacing w:line="360" w:lineRule="auto"/>
              <w:ind w:firstLine="420" w:firstLineChars="200"/>
              <w:rPr>
                <w:bCs/>
                <w:color w:val="auto"/>
              </w:rPr>
            </w:pPr>
            <w:r>
              <w:rPr>
                <w:rFonts w:hint="eastAsia"/>
                <w:bCs/>
                <w:color w:val="auto"/>
                <w:lang w:val="en-US" w:eastAsia="zh-CN"/>
              </w:rPr>
              <w:t>①</w:t>
            </w:r>
            <w:r>
              <w:rPr>
                <w:rFonts w:hint="eastAsia"/>
                <w:bCs/>
                <w:color w:val="auto"/>
              </w:rPr>
              <w:t>本项目位于</w:t>
            </w:r>
            <w:r>
              <w:rPr>
                <w:rFonts w:hint="eastAsia"/>
                <w:bCs/>
                <w:color w:val="auto"/>
                <w:lang w:eastAsia="zh-CN"/>
              </w:rPr>
              <w:t>江苏省常州市金坛区金湖路99号</w:t>
            </w:r>
            <w:r>
              <w:rPr>
                <w:rFonts w:hint="eastAsia"/>
                <w:bCs/>
                <w:color w:val="auto"/>
              </w:rPr>
              <w:t>，属于长江流域及太湖流域，为重点区域（流域）。对照江苏省重点区域（流域）生态环境分区管控要求，具体分析见下表。</w:t>
            </w:r>
          </w:p>
          <w:p w14:paraId="7030B76C">
            <w:pPr>
              <w:overflowPunct w:val="0"/>
              <w:adjustRightInd w:val="0"/>
              <w:snapToGrid w:val="0"/>
              <w:jc w:val="center"/>
              <w:rPr>
                <w:b/>
                <w:color w:val="auto"/>
              </w:rPr>
            </w:pPr>
            <w:r>
              <w:rPr>
                <w:rFonts w:hint="eastAsia"/>
                <w:b/>
                <w:color w:val="auto"/>
              </w:rPr>
              <w:t>表1-</w:t>
            </w:r>
            <w:r>
              <w:rPr>
                <w:rFonts w:hint="eastAsia"/>
                <w:b/>
                <w:color w:val="auto"/>
                <w:lang w:val="en-US" w:eastAsia="zh-CN"/>
              </w:rPr>
              <w:t>7</w:t>
            </w:r>
            <w:r>
              <w:rPr>
                <w:rFonts w:hint="eastAsia"/>
                <w:b/>
                <w:color w:val="auto"/>
              </w:rPr>
              <w:t xml:space="preserve">   与《江苏省“三线一单”生态环境分区管控方案》相符性</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12"/>
              <w:gridCol w:w="3406"/>
              <w:gridCol w:w="3017"/>
              <w:gridCol w:w="914"/>
            </w:tblGrid>
            <w:tr w14:paraId="50ED30D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498" w:type="pct"/>
                  <w:tcBorders>
                    <w:tl2br w:val="nil"/>
                    <w:tr2bl w:val="nil"/>
                  </w:tcBorders>
                  <w:vAlign w:val="center"/>
                </w:tcPr>
                <w:p w14:paraId="75CEB1D0">
                  <w:pPr>
                    <w:overflowPunct w:val="0"/>
                    <w:adjustRightInd w:val="0"/>
                    <w:snapToGrid w:val="0"/>
                    <w:jc w:val="center"/>
                    <w:rPr>
                      <w:b/>
                      <w:color w:val="auto"/>
                    </w:rPr>
                  </w:pPr>
                  <w:r>
                    <w:rPr>
                      <w:rFonts w:hint="eastAsia"/>
                      <w:b/>
                      <w:color w:val="auto"/>
                    </w:rPr>
                    <w:t>管控类别</w:t>
                  </w:r>
                </w:p>
              </w:tc>
              <w:tc>
                <w:tcPr>
                  <w:tcW w:w="2089" w:type="pct"/>
                  <w:tcBorders>
                    <w:tl2br w:val="nil"/>
                    <w:tr2bl w:val="nil"/>
                  </w:tcBorders>
                  <w:vAlign w:val="center"/>
                </w:tcPr>
                <w:p w14:paraId="7756B88F">
                  <w:pPr>
                    <w:overflowPunct w:val="0"/>
                    <w:adjustRightInd w:val="0"/>
                    <w:snapToGrid w:val="0"/>
                    <w:jc w:val="center"/>
                    <w:rPr>
                      <w:b/>
                      <w:color w:val="auto"/>
                    </w:rPr>
                  </w:pPr>
                  <w:r>
                    <w:rPr>
                      <w:rFonts w:hint="eastAsia"/>
                      <w:b/>
                      <w:color w:val="auto"/>
                    </w:rPr>
                    <w:t>重点管控要求</w:t>
                  </w:r>
                </w:p>
              </w:tc>
              <w:tc>
                <w:tcPr>
                  <w:tcW w:w="1851" w:type="pct"/>
                  <w:tcBorders>
                    <w:tl2br w:val="nil"/>
                    <w:tr2bl w:val="nil"/>
                  </w:tcBorders>
                  <w:vAlign w:val="center"/>
                </w:tcPr>
                <w:p w14:paraId="142752C3">
                  <w:pPr>
                    <w:overflowPunct w:val="0"/>
                    <w:adjustRightInd w:val="0"/>
                    <w:snapToGrid w:val="0"/>
                    <w:jc w:val="center"/>
                    <w:rPr>
                      <w:b/>
                      <w:color w:val="auto"/>
                    </w:rPr>
                  </w:pPr>
                  <w:r>
                    <w:rPr>
                      <w:rStyle w:val="71"/>
                      <w:rFonts w:hint="eastAsia"/>
                      <w:b/>
                      <w:bCs/>
                      <w:color w:val="auto"/>
                      <w:kern w:val="0"/>
                    </w:rPr>
                    <w:t>本项目情况</w:t>
                  </w:r>
                </w:p>
              </w:tc>
              <w:tc>
                <w:tcPr>
                  <w:tcW w:w="560" w:type="pct"/>
                  <w:tcBorders>
                    <w:tl2br w:val="nil"/>
                    <w:tr2bl w:val="nil"/>
                  </w:tcBorders>
                  <w:vAlign w:val="center"/>
                </w:tcPr>
                <w:p w14:paraId="33E919A8">
                  <w:pPr>
                    <w:overflowPunct w:val="0"/>
                    <w:adjustRightInd w:val="0"/>
                    <w:snapToGrid w:val="0"/>
                    <w:jc w:val="center"/>
                    <w:rPr>
                      <w:rStyle w:val="71"/>
                      <w:color w:val="auto"/>
                      <w:kern w:val="0"/>
                    </w:rPr>
                  </w:pPr>
                  <w:r>
                    <w:rPr>
                      <w:rStyle w:val="71"/>
                      <w:rFonts w:hint="eastAsia"/>
                      <w:b/>
                      <w:bCs/>
                      <w:color w:val="auto"/>
                      <w:kern w:val="0"/>
                    </w:rPr>
                    <w:t>相符性</w:t>
                  </w:r>
                </w:p>
              </w:tc>
            </w:tr>
            <w:tr w14:paraId="1795940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4"/>
                  <w:tcBorders>
                    <w:tl2br w:val="nil"/>
                    <w:tr2bl w:val="nil"/>
                  </w:tcBorders>
                  <w:vAlign w:val="center"/>
                </w:tcPr>
                <w:p w14:paraId="33E87C62">
                  <w:pPr>
                    <w:overflowPunct w:val="0"/>
                    <w:adjustRightInd w:val="0"/>
                    <w:snapToGrid w:val="0"/>
                    <w:jc w:val="center"/>
                    <w:rPr>
                      <w:b/>
                      <w:color w:val="auto"/>
                    </w:rPr>
                  </w:pPr>
                  <w:r>
                    <w:rPr>
                      <w:rFonts w:hint="eastAsia"/>
                      <w:b/>
                      <w:color w:val="auto"/>
                    </w:rPr>
                    <w:t>一、长江流域</w:t>
                  </w:r>
                </w:p>
              </w:tc>
            </w:tr>
            <w:tr w14:paraId="28C9628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98" w:type="pct"/>
                  <w:tcBorders>
                    <w:tl2br w:val="nil"/>
                    <w:tr2bl w:val="nil"/>
                  </w:tcBorders>
                  <w:vAlign w:val="center"/>
                </w:tcPr>
                <w:p w14:paraId="0E80804E">
                  <w:pPr>
                    <w:overflowPunct w:val="0"/>
                    <w:adjustRightInd w:val="0"/>
                    <w:snapToGrid w:val="0"/>
                    <w:jc w:val="center"/>
                    <w:rPr>
                      <w:bCs/>
                      <w:color w:val="auto"/>
                    </w:rPr>
                  </w:pPr>
                  <w:r>
                    <w:rPr>
                      <w:rFonts w:hint="eastAsia"/>
                      <w:bCs/>
                      <w:color w:val="auto"/>
                    </w:rPr>
                    <w:t>空间布局约束</w:t>
                  </w:r>
                </w:p>
              </w:tc>
              <w:tc>
                <w:tcPr>
                  <w:tcW w:w="2089" w:type="pct"/>
                  <w:tcBorders>
                    <w:tl2br w:val="nil"/>
                    <w:tr2bl w:val="nil"/>
                  </w:tcBorders>
                  <w:vAlign w:val="center"/>
                </w:tcPr>
                <w:p w14:paraId="4E29566A">
                  <w:pPr>
                    <w:overflowPunct w:val="0"/>
                    <w:adjustRightInd w:val="0"/>
                    <w:snapToGrid w:val="0"/>
                    <w:jc w:val="left"/>
                    <w:rPr>
                      <w:bCs/>
                      <w:color w:val="auto"/>
                    </w:rPr>
                  </w:pPr>
                  <w:r>
                    <w:rPr>
                      <w:rFonts w:hint="eastAsia"/>
                      <w:bCs/>
                      <w:color w:val="auto"/>
                    </w:rPr>
                    <w:t>1.始终把长江生态修复放在首位，坚持共抓大保护、不搞大开发，引导长江流域产业转型升级和布局优化调整，实现科学发展、有序发展、高质量发展。</w:t>
                  </w:r>
                </w:p>
                <w:p w14:paraId="30219749">
                  <w:pPr>
                    <w:overflowPunct w:val="0"/>
                    <w:adjustRightInd w:val="0"/>
                    <w:snapToGrid w:val="0"/>
                    <w:jc w:val="left"/>
                    <w:rPr>
                      <w:bCs/>
                      <w:color w:val="auto"/>
                    </w:rPr>
                  </w:pPr>
                  <w:r>
                    <w:rPr>
                      <w:rFonts w:hint="eastAsia"/>
                      <w:bCs/>
                      <w:color w:val="auto"/>
                    </w:rPr>
                    <w:t>2.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p>
                <w:p w14:paraId="7E05FF9B">
                  <w:pPr>
                    <w:overflowPunct w:val="0"/>
                    <w:adjustRightInd w:val="0"/>
                    <w:snapToGrid w:val="0"/>
                    <w:jc w:val="left"/>
                    <w:rPr>
                      <w:bCs/>
                      <w:color w:val="auto"/>
                    </w:rPr>
                  </w:pPr>
                  <w:r>
                    <w:rPr>
                      <w:rFonts w:hint="eastAsia"/>
                      <w:bCs/>
                      <w:color w:val="auto"/>
                    </w:rPr>
                    <w:t>3.禁止在沿江地区新建或扩建化学工业园区，禁止新建或扩建以大宗进口油气资源为原料的石油加工、石油化工、基础有机无机化工、煤化工项目；禁止在长江干流和主要支流岸线1公里范围内新建危化品码头。</w:t>
                  </w:r>
                </w:p>
                <w:p w14:paraId="43CB0EBA">
                  <w:pPr>
                    <w:overflowPunct w:val="0"/>
                    <w:adjustRightInd w:val="0"/>
                    <w:snapToGrid w:val="0"/>
                    <w:jc w:val="left"/>
                    <w:rPr>
                      <w:bCs/>
                      <w:color w:val="auto"/>
                    </w:rPr>
                  </w:pPr>
                  <w:r>
                    <w:rPr>
                      <w:rFonts w:hint="eastAsia"/>
                      <w:bCs/>
                      <w:color w:val="auto"/>
                    </w:rPr>
                    <w:t>4.强化港口布局优化，禁止建设不符合国家港口布局规划和《江苏省沿江沿海港口布局规划（2015-2030年）》《江苏省内河港口布局规划（2017-2035年）》的码头项目，禁止建设未纳入《长江干线过江通道布局规划》的过江干线通道项目。</w:t>
                  </w:r>
                </w:p>
                <w:p w14:paraId="2C0024BF">
                  <w:pPr>
                    <w:overflowPunct w:val="0"/>
                    <w:adjustRightInd w:val="0"/>
                    <w:snapToGrid w:val="0"/>
                    <w:jc w:val="left"/>
                    <w:rPr>
                      <w:bCs/>
                      <w:color w:val="auto"/>
                    </w:rPr>
                  </w:pPr>
                  <w:r>
                    <w:rPr>
                      <w:rFonts w:hint="eastAsia"/>
                      <w:bCs/>
                      <w:color w:val="auto"/>
                    </w:rPr>
                    <w:t>5.禁止新建独立焦化项目。</w:t>
                  </w:r>
                </w:p>
              </w:tc>
              <w:tc>
                <w:tcPr>
                  <w:tcW w:w="1851" w:type="pct"/>
                  <w:tcBorders>
                    <w:tl2br w:val="nil"/>
                    <w:tr2bl w:val="nil"/>
                  </w:tcBorders>
                  <w:vAlign w:val="center"/>
                </w:tcPr>
                <w:p w14:paraId="23D47F2A">
                  <w:pPr>
                    <w:overflowPunct w:val="0"/>
                    <w:adjustRightInd w:val="0"/>
                    <w:snapToGrid w:val="0"/>
                    <w:jc w:val="center"/>
                    <w:rPr>
                      <w:bCs/>
                      <w:color w:val="auto"/>
                    </w:rPr>
                  </w:pPr>
                  <w:r>
                    <w:rPr>
                      <w:color w:val="auto"/>
                    </w:rPr>
                    <w:t>本项目位于</w:t>
                  </w:r>
                  <w:r>
                    <w:rPr>
                      <w:rFonts w:hint="eastAsia"/>
                      <w:color w:val="auto"/>
                      <w:lang w:eastAsia="zh-CN"/>
                    </w:rPr>
                    <w:t>江苏省常州市金坛区金湖路99号</w:t>
                  </w:r>
                  <w:r>
                    <w:rPr>
                      <w:rFonts w:hint="eastAsia"/>
                      <w:color w:val="auto"/>
                    </w:rPr>
                    <w:t>，</w:t>
                  </w:r>
                  <w:r>
                    <w:rPr>
                      <w:color w:val="auto"/>
                    </w:rPr>
                    <w:t>不在生态保护红线和永久基本农田范围内，属于沿江地区，</w:t>
                  </w:r>
                  <w:r>
                    <w:rPr>
                      <w:rFonts w:hint="eastAsia"/>
                      <w:color w:val="auto"/>
                    </w:rPr>
                    <w:t>不在</w:t>
                  </w:r>
                  <w:r>
                    <w:rPr>
                      <w:color w:val="auto"/>
                      <w:kern w:val="24"/>
                    </w:rPr>
                    <w:t>长江干流和主要支流岸线1公里范围内</w:t>
                  </w:r>
                  <w:r>
                    <w:rPr>
                      <w:rFonts w:hint="eastAsia"/>
                      <w:color w:val="auto"/>
                      <w:kern w:val="24"/>
                    </w:rPr>
                    <w:t>，</w:t>
                  </w:r>
                  <w:r>
                    <w:rPr>
                      <w:color w:val="auto"/>
                    </w:rPr>
                    <w:t>不在港口</w:t>
                  </w:r>
                  <w:r>
                    <w:rPr>
                      <w:rFonts w:hint="eastAsia"/>
                      <w:color w:val="auto"/>
                    </w:rPr>
                    <w:t>范围</w:t>
                  </w:r>
                  <w:r>
                    <w:rPr>
                      <w:color w:val="auto"/>
                    </w:rPr>
                    <w:t>内。本项目属于</w:t>
                  </w:r>
                  <w:r>
                    <w:rPr>
                      <w:rFonts w:hint="eastAsia"/>
                      <w:color w:val="auto"/>
                      <w:lang w:eastAsia="zh-CN"/>
                    </w:rPr>
                    <w:t>C2110木质家具制造</w:t>
                  </w:r>
                  <w:r>
                    <w:rPr>
                      <w:rFonts w:hint="eastAsia"/>
                      <w:color w:val="auto"/>
                    </w:rPr>
                    <w:t>，项目建设不涉及化工、石油化工、码头、焦化等禁止建设项目。</w:t>
                  </w:r>
                </w:p>
              </w:tc>
              <w:tc>
                <w:tcPr>
                  <w:tcW w:w="560" w:type="pct"/>
                  <w:tcBorders>
                    <w:tl2br w:val="nil"/>
                    <w:tr2bl w:val="nil"/>
                  </w:tcBorders>
                  <w:vAlign w:val="center"/>
                </w:tcPr>
                <w:p w14:paraId="2B96FFA5">
                  <w:pPr>
                    <w:overflowPunct w:val="0"/>
                    <w:adjustRightInd w:val="0"/>
                    <w:snapToGrid w:val="0"/>
                    <w:jc w:val="center"/>
                    <w:rPr>
                      <w:bCs/>
                      <w:color w:val="auto"/>
                    </w:rPr>
                  </w:pPr>
                  <w:r>
                    <w:rPr>
                      <w:rFonts w:hint="eastAsia"/>
                      <w:bCs/>
                      <w:color w:val="auto"/>
                    </w:rPr>
                    <w:t>符合</w:t>
                  </w:r>
                </w:p>
              </w:tc>
            </w:tr>
            <w:tr w14:paraId="400DF37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98" w:type="pct"/>
                  <w:tcBorders>
                    <w:tl2br w:val="nil"/>
                    <w:tr2bl w:val="nil"/>
                  </w:tcBorders>
                  <w:vAlign w:val="center"/>
                </w:tcPr>
                <w:p w14:paraId="796E5CE7">
                  <w:pPr>
                    <w:overflowPunct w:val="0"/>
                    <w:adjustRightInd w:val="0"/>
                    <w:snapToGrid w:val="0"/>
                    <w:jc w:val="center"/>
                    <w:rPr>
                      <w:bCs/>
                      <w:color w:val="auto"/>
                    </w:rPr>
                  </w:pPr>
                  <w:r>
                    <w:rPr>
                      <w:rFonts w:hint="eastAsia"/>
                      <w:bCs/>
                      <w:color w:val="auto"/>
                    </w:rPr>
                    <w:t>污染物排放管控</w:t>
                  </w:r>
                </w:p>
              </w:tc>
              <w:tc>
                <w:tcPr>
                  <w:tcW w:w="2089" w:type="pct"/>
                  <w:tcBorders>
                    <w:tl2br w:val="nil"/>
                    <w:tr2bl w:val="nil"/>
                  </w:tcBorders>
                  <w:vAlign w:val="center"/>
                </w:tcPr>
                <w:p w14:paraId="4516BDE1">
                  <w:pPr>
                    <w:overflowPunct w:val="0"/>
                    <w:adjustRightInd w:val="0"/>
                    <w:snapToGrid w:val="0"/>
                    <w:rPr>
                      <w:bCs/>
                      <w:color w:val="auto"/>
                    </w:rPr>
                  </w:pPr>
                  <w:r>
                    <w:rPr>
                      <w:rFonts w:hint="eastAsia"/>
                      <w:bCs/>
                      <w:color w:val="auto"/>
                    </w:rPr>
                    <w:t>1.根据《江苏省长江水污染防治条例》实施污染物总量控制制度。</w:t>
                  </w:r>
                </w:p>
                <w:p w14:paraId="4158F386">
                  <w:pPr>
                    <w:overflowPunct w:val="0"/>
                    <w:adjustRightInd w:val="0"/>
                    <w:snapToGrid w:val="0"/>
                    <w:rPr>
                      <w:bCs/>
                      <w:color w:val="auto"/>
                    </w:rPr>
                  </w:pPr>
                  <w:r>
                    <w:rPr>
                      <w:rFonts w:hint="eastAsia"/>
                      <w:bCs/>
                      <w:color w:val="auto"/>
                    </w:rPr>
                    <w:t>2.全面加强和规范长江入河排污口管理，有效管控入河污染物排放，形成权责清晰、监控到位、管理规范的长江入河排污口监管体系，加快改善长江水环境质量。</w:t>
                  </w:r>
                </w:p>
              </w:tc>
              <w:tc>
                <w:tcPr>
                  <w:tcW w:w="1851" w:type="pct"/>
                  <w:tcBorders>
                    <w:tl2br w:val="nil"/>
                    <w:tr2bl w:val="nil"/>
                  </w:tcBorders>
                  <w:vAlign w:val="center"/>
                </w:tcPr>
                <w:p w14:paraId="16F7A45F">
                  <w:pPr>
                    <w:adjustRightInd w:val="0"/>
                    <w:snapToGrid w:val="0"/>
                    <w:jc w:val="center"/>
                    <w:rPr>
                      <w:bCs/>
                      <w:color w:val="auto"/>
                    </w:rPr>
                  </w:pPr>
                  <w:r>
                    <w:rPr>
                      <w:rFonts w:hint="eastAsia"/>
                      <w:color w:val="auto"/>
                    </w:rPr>
                    <w:t>本项目实施污染物总量控制制度，总量区域内平衡。本项目不涉及</w:t>
                  </w:r>
                  <w:r>
                    <w:rPr>
                      <w:color w:val="auto"/>
                    </w:rPr>
                    <w:t>长江入河排污口</w:t>
                  </w:r>
                  <w:r>
                    <w:rPr>
                      <w:rFonts w:hint="eastAsia"/>
                      <w:color w:val="auto"/>
                    </w:rPr>
                    <w:t>。</w:t>
                  </w:r>
                </w:p>
              </w:tc>
              <w:tc>
                <w:tcPr>
                  <w:tcW w:w="560" w:type="pct"/>
                  <w:tcBorders>
                    <w:tl2br w:val="nil"/>
                    <w:tr2bl w:val="nil"/>
                  </w:tcBorders>
                  <w:vAlign w:val="center"/>
                </w:tcPr>
                <w:p w14:paraId="61E26E98">
                  <w:pPr>
                    <w:overflowPunct w:val="0"/>
                    <w:adjustRightInd w:val="0"/>
                    <w:snapToGrid w:val="0"/>
                    <w:jc w:val="center"/>
                    <w:rPr>
                      <w:bCs/>
                      <w:color w:val="auto"/>
                    </w:rPr>
                  </w:pPr>
                  <w:r>
                    <w:rPr>
                      <w:rFonts w:hint="eastAsia"/>
                      <w:bCs/>
                      <w:color w:val="auto"/>
                    </w:rPr>
                    <w:t>符合</w:t>
                  </w:r>
                </w:p>
              </w:tc>
            </w:tr>
            <w:tr w14:paraId="0B10B39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98" w:type="pct"/>
                  <w:tcBorders>
                    <w:tl2br w:val="nil"/>
                    <w:tr2bl w:val="nil"/>
                  </w:tcBorders>
                  <w:vAlign w:val="center"/>
                </w:tcPr>
                <w:p w14:paraId="7B11E00D">
                  <w:pPr>
                    <w:overflowPunct w:val="0"/>
                    <w:adjustRightInd w:val="0"/>
                    <w:snapToGrid w:val="0"/>
                    <w:jc w:val="center"/>
                    <w:rPr>
                      <w:bCs/>
                      <w:color w:val="auto"/>
                    </w:rPr>
                  </w:pPr>
                  <w:r>
                    <w:rPr>
                      <w:rFonts w:hint="eastAsia"/>
                      <w:bCs/>
                      <w:color w:val="auto"/>
                    </w:rPr>
                    <w:t>环境风险防控</w:t>
                  </w:r>
                </w:p>
              </w:tc>
              <w:tc>
                <w:tcPr>
                  <w:tcW w:w="2089" w:type="pct"/>
                  <w:tcBorders>
                    <w:tl2br w:val="nil"/>
                    <w:tr2bl w:val="nil"/>
                  </w:tcBorders>
                  <w:vAlign w:val="center"/>
                </w:tcPr>
                <w:p w14:paraId="769F1443">
                  <w:pPr>
                    <w:overflowPunct w:val="0"/>
                    <w:adjustRightInd w:val="0"/>
                    <w:snapToGrid w:val="0"/>
                    <w:rPr>
                      <w:bCs/>
                      <w:color w:val="auto"/>
                    </w:rPr>
                  </w:pPr>
                  <w:r>
                    <w:rPr>
                      <w:rFonts w:hint="eastAsia"/>
                      <w:bCs/>
                      <w:color w:val="auto"/>
                    </w:rPr>
                    <w:t>1.防范沿江环境风险。深化沿江石化、化工、医药、纺织、印染、化纤、危化品和石油类仓储、涉重金属和危险废物处置等重点企业环境风险防控。</w:t>
                  </w:r>
                </w:p>
                <w:p w14:paraId="5A5763E5">
                  <w:pPr>
                    <w:overflowPunct w:val="0"/>
                    <w:adjustRightInd w:val="0"/>
                    <w:snapToGrid w:val="0"/>
                    <w:rPr>
                      <w:bCs/>
                      <w:color w:val="auto"/>
                    </w:rPr>
                  </w:pPr>
                  <w:r>
                    <w:rPr>
                      <w:rFonts w:hint="eastAsia"/>
                      <w:bCs/>
                      <w:color w:val="auto"/>
                    </w:rPr>
                    <w:t>2.加强饮用水水源保护。优化水源保护区划定，推动饮用水水源地规范化建设。</w:t>
                  </w:r>
                </w:p>
              </w:tc>
              <w:tc>
                <w:tcPr>
                  <w:tcW w:w="1851" w:type="pct"/>
                  <w:tcBorders>
                    <w:tl2br w:val="nil"/>
                    <w:tr2bl w:val="nil"/>
                  </w:tcBorders>
                  <w:vAlign w:val="center"/>
                </w:tcPr>
                <w:p w14:paraId="157CB31F">
                  <w:pPr>
                    <w:adjustRightInd w:val="0"/>
                    <w:snapToGrid w:val="0"/>
                    <w:jc w:val="center"/>
                    <w:rPr>
                      <w:bCs/>
                      <w:color w:val="auto"/>
                    </w:rPr>
                  </w:pPr>
                  <w:r>
                    <w:rPr>
                      <w:rFonts w:hint="eastAsia"/>
                      <w:color w:val="auto"/>
                    </w:rPr>
                    <w:t>本项目所在地属于沿江范围。本项目不属于石化、化工等重点环境风险防控单位，企业仍加强环境风险防控。本项目不在</w:t>
                  </w:r>
                  <w:r>
                    <w:rPr>
                      <w:color w:val="auto"/>
                    </w:rPr>
                    <w:t>饮用水水源保护区</w:t>
                  </w:r>
                  <w:r>
                    <w:rPr>
                      <w:rFonts w:hint="eastAsia"/>
                      <w:color w:val="auto"/>
                    </w:rPr>
                    <w:t>范围内，</w:t>
                  </w:r>
                  <w:r>
                    <w:rPr>
                      <w:color w:val="auto"/>
                      <w:kern w:val="24"/>
                    </w:rPr>
                    <w:t>项目的建设不会对饮水水源地造成影响</w:t>
                  </w:r>
                  <w:r>
                    <w:rPr>
                      <w:rFonts w:hint="eastAsia"/>
                      <w:color w:val="auto"/>
                    </w:rPr>
                    <w:t>。</w:t>
                  </w:r>
                </w:p>
              </w:tc>
              <w:tc>
                <w:tcPr>
                  <w:tcW w:w="560" w:type="pct"/>
                  <w:tcBorders>
                    <w:tl2br w:val="nil"/>
                    <w:tr2bl w:val="nil"/>
                  </w:tcBorders>
                  <w:vAlign w:val="center"/>
                </w:tcPr>
                <w:p w14:paraId="3C721731">
                  <w:pPr>
                    <w:overflowPunct w:val="0"/>
                    <w:adjustRightInd w:val="0"/>
                    <w:snapToGrid w:val="0"/>
                    <w:jc w:val="center"/>
                    <w:rPr>
                      <w:bCs/>
                      <w:color w:val="auto"/>
                    </w:rPr>
                  </w:pPr>
                  <w:r>
                    <w:rPr>
                      <w:rFonts w:hint="eastAsia"/>
                      <w:bCs/>
                      <w:color w:val="auto"/>
                    </w:rPr>
                    <w:t>符合</w:t>
                  </w:r>
                </w:p>
              </w:tc>
            </w:tr>
            <w:tr w14:paraId="5E7EE83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98" w:type="pct"/>
                  <w:tcBorders>
                    <w:tl2br w:val="nil"/>
                    <w:tr2bl w:val="nil"/>
                  </w:tcBorders>
                  <w:vAlign w:val="center"/>
                </w:tcPr>
                <w:p w14:paraId="23612A29">
                  <w:pPr>
                    <w:overflowPunct w:val="0"/>
                    <w:adjustRightInd w:val="0"/>
                    <w:snapToGrid w:val="0"/>
                    <w:jc w:val="center"/>
                    <w:rPr>
                      <w:bCs/>
                      <w:color w:val="auto"/>
                    </w:rPr>
                  </w:pPr>
                  <w:r>
                    <w:rPr>
                      <w:rFonts w:hint="eastAsia"/>
                      <w:bCs/>
                      <w:color w:val="auto"/>
                    </w:rPr>
                    <w:t>资源利用效率要求</w:t>
                  </w:r>
                </w:p>
              </w:tc>
              <w:tc>
                <w:tcPr>
                  <w:tcW w:w="2089" w:type="pct"/>
                  <w:tcBorders>
                    <w:tl2br w:val="nil"/>
                    <w:tr2bl w:val="nil"/>
                  </w:tcBorders>
                  <w:vAlign w:val="center"/>
                </w:tcPr>
                <w:p w14:paraId="2B740763">
                  <w:pPr>
                    <w:overflowPunct w:val="0"/>
                    <w:adjustRightInd w:val="0"/>
                    <w:snapToGrid w:val="0"/>
                    <w:rPr>
                      <w:bCs/>
                      <w:color w:val="auto"/>
                    </w:rPr>
                  </w:pPr>
                  <w:r>
                    <w:rPr>
                      <w:rFonts w:hint="eastAsia"/>
                      <w:bCs/>
                      <w:color w:val="auto"/>
                    </w:rPr>
                    <w:t>到2020年长江干支流自然岸线保有率达到国家要求。</w:t>
                  </w:r>
                </w:p>
              </w:tc>
              <w:tc>
                <w:tcPr>
                  <w:tcW w:w="1851" w:type="pct"/>
                  <w:tcBorders>
                    <w:tl2br w:val="nil"/>
                    <w:tr2bl w:val="nil"/>
                  </w:tcBorders>
                  <w:vAlign w:val="center"/>
                </w:tcPr>
                <w:p w14:paraId="6EDA01B5">
                  <w:pPr>
                    <w:overflowPunct w:val="0"/>
                    <w:adjustRightInd w:val="0"/>
                    <w:snapToGrid w:val="0"/>
                    <w:jc w:val="center"/>
                    <w:rPr>
                      <w:bCs/>
                      <w:color w:val="auto"/>
                    </w:rPr>
                  </w:pPr>
                  <w:r>
                    <w:rPr>
                      <w:rFonts w:hint="eastAsia"/>
                      <w:bCs/>
                      <w:color w:val="auto"/>
                    </w:rPr>
                    <w:t>本项目不涉及。</w:t>
                  </w:r>
                </w:p>
              </w:tc>
              <w:tc>
                <w:tcPr>
                  <w:tcW w:w="560" w:type="pct"/>
                  <w:tcBorders>
                    <w:tl2br w:val="nil"/>
                    <w:tr2bl w:val="nil"/>
                  </w:tcBorders>
                  <w:vAlign w:val="center"/>
                </w:tcPr>
                <w:p w14:paraId="336EFF09">
                  <w:pPr>
                    <w:overflowPunct w:val="0"/>
                    <w:adjustRightInd w:val="0"/>
                    <w:snapToGrid w:val="0"/>
                    <w:jc w:val="center"/>
                    <w:rPr>
                      <w:bCs/>
                      <w:color w:val="auto"/>
                    </w:rPr>
                  </w:pPr>
                  <w:r>
                    <w:rPr>
                      <w:rFonts w:hint="eastAsia"/>
                      <w:bCs/>
                      <w:color w:val="auto"/>
                    </w:rPr>
                    <w:t>符合</w:t>
                  </w:r>
                </w:p>
              </w:tc>
            </w:tr>
            <w:tr w14:paraId="596A194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4"/>
                  <w:tcBorders>
                    <w:tl2br w:val="nil"/>
                    <w:tr2bl w:val="nil"/>
                  </w:tcBorders>
                  <w:vAlign w:val="center"/>
                </w:tcPr>
                <w:p w14:paraId="39613253">
                  <w:pPr>
                    <w:overflowPunct w:val="0"/>
                    <w:adjustRightInd w:val="0"/>
                    <w:snapToGrid w:val="0"/>
                    <w:jc w:val="center"/>
                    <w:rPr>
                      <w:b/>
                      <w:color w:val="auto"/>
                    </w:rPr>
                  </w:pPr>
                  <w:r>
                    <w:rPr>
                      <w:rFonts w:hint="eastAsia"/>
                      <w:b/>
                      <w:color w:val="auto"/>
                    </w:rPr>
                    <w:t>二、太湖流域</w:t>
                  </w:r>
                </w:p>
              </w:tc>
            </w:tr>
            <w:tr w14:paraId="4AC909F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98" w:type="pct"/>
                  <w:tcBorders>
                    <w:tl2br w:val="nil"/>
                    <w:tr2bl w:val="nil"/>
                  </w:tcBorders>
                  <w:vAlign w:val="center"/>
                </w:tcPr>
                <w:p w14:paraId="5F79E556">
                  <w:pPr>
                    <w:overflowPunct w:val="0"/>
                    <w:adjustRightInd w:val="0"/>
                    <w:snapToGrid w:val="0"/>
                    <w:jc w:val="center"/>
                    <w:rPr>
                      <w:bCs/>
                      <w:color w:val="auto"/>
                    </w:rPr>
                  </w:pPr>
                  <w:r>
                    <w:rPr>
                      <w:rFonts w:hint="eastAsia"/>
                      <w:bCs/>
                      <w:color w:val="auto"/>
                    </w:rPr>
                    <w:t>空间布局约束</w:t>
                  </w:r>
                </w:p>
              </w:tc>
              <w:tc>
                <w:tcPr>
                  <w:tcW w:w="2089" w:type="pct"/>
                  <w:tcBorders>
                    <w:tl2br w:val="nil"/>
                    <w:tr2bl w:val="nil"/>
                  </w:tcBorders>
                  <w:vAlign w:val="center"/>
                </w:tcPr>
                <w:p w14:paraId="10C56244">
                  <w:pPr>
                    <w:overflowPunct w:val="0"/>
                    <w:adjustRightInd w:val="0"/>
                    <w:snapToGrid w:val="0"/>
                    <w:rPr>
                      <w:bCs/>
                      <w:color w:val="auto"/>
                    </w:rPr>
                  </w:pPr>
                  <w:r>
                    <w:rPr>
                      <w:rFonts w:hint="eastAsia"/>
                      <w:bCs/>
                      <w:color w:val="auto"/>
                    </w:rPr>
                    <w:t>1.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p w14:paraId="27E83B9D">
                  <w:pPr>
                    <w:overflowPunct w:val="0"/>
                    <w:adjustRightInd w:val="0"/>
                    <w:snapToGrid w:val="0"/>
                    <w:rPr>
                      <w:bCs/>
                      <w:color w:val="auto"/>
                    </w:rPr>
                  </w:pPr>
                  <w:r>
                    <w:rPr>
                      <w:rFonts w:hint="eastAsia"/>
                      <w:bCs/>
                      <w:color w:val="auto"/>
                    </w:rPr>
                    <w:t>2.在太湖流域一级保护区，禁止新建、扩建向水体排放污染物的建设项目，禁止新建、扩建畜禽养殖场，禁止新建、扩建高尔夫球场、水上游乐园等开发项目以及设置水上餐饮经营设施。</w:t>
                  </w:r>
                </w:p>
                <w:p w14:paraId="3D5D1EB4">
                  <w:pPr>
                    <w:overflowPunct w:val="0"/>
                    <w:adjustRightInd w:val="0"/>
                    <w:snapToGrid w:val="0"/>
                    <w:rPr>
                      <w:bCs/>
                      <w:color w:val="auto"/>
                    </w:rPr>
                  </w:pPr>
                  <w:r>
                    <w:rPr>
                      <w:rFonts w:hint="eastAsia"/>
                      <w:bCs/>
                      <w:color w:val="auto"/>
                    </w:rPr>
                    <w:t>3.在太湖流域二级保护区，禁止新建、扩建化工、医药生产项目，禁止新建、扩建污水集中处理设施排污口以外的排污口。</w:t>
                  </w:r>
                </w:p>
              </w:tc>
              <w:tc>
                <w:tcPr>
                  <w:tcW w:w="1851" w:type="pct"/>
                  <w:tcBorders>
                    <w:tl2br w:val="nil"/>
                    <w:tr2bl w:val="nil"/>
                  </w:tcBorders>
                  <w:vAlign w:val="center"/>
                </w:tcPr>
                <w:p w14:paraId="28D202E6">
                  <w:pPr>
                    <w:overflowPunct w:val="0"/>
                    <w:adjustRightInd w:val="0"/>
                    <w:snapToGrid w:val="0"/>
                    <w:jc w:val="center"/>
                    <w:rPr>
                      <w:bCs/>
                      <w:color w:val="auto"/>
                    </w:rPr>
                  </w:pPr>
                  <w:r>
                    <w:rPr>
                      <w:rFonts w:hint="eastAsia"/>
                      <w:bCs/>
                      <w:color w:val="auto"/>
                    </w:rPr>
                    <w:t>本项目行业类别为</w:t>
                  </w:r>
                  <w:r>
                    <w:rPr>
                      <w:rFonts w:hint="eastAsia"/>
                      <w:bCs/>
                      <w:color w:val="auto"/>
                      <w:lang w:eastAsia="zh-CN"/>
                    </w:rPr>
                    <w:t>C2110木质家具制造</w:t>
                  </w:r>
                  <w:r>
                    <w:rPr>
                      <w:rFonts w:hint="eastAsia"/>
                      <w:bCs/>
                      <w:color w:val="auto"/>
                    </w:rPr>
                    <w:t>，不属于造纸、制革、酒精、淀粉、冶金、酿造、印染、电镀等行业；无含氮、磷生产废水产生及排放。</w:t>
                  </w:r>
                </w:p>
              </w:tc>
              <w:tc>
                <w:tcPr>
                  <w:tcW w:w="560" w:type="pct"/>
                  <w:tcBorders>
                    <w:tl2br w:val="nil"/>
                    <w:tr2bl w:val="nil"/>
                  </w:tcBorders>
                  <w:vAlign w:val="center"/>
                </w:tcPr>
                <w:p w14:paraId="2A5E62C5">
                  <w:pPr>
                    <w:overflowPunct w:val="0"/>
                    <w:adjustRightInd w:val="0"/>
                    <w:snapToGrid w:val="0"/>
                    <w:jc w:val="center"/>
                    <w:rPr>
                      <w:bCs/>
                      <w:color w:val="auto"/>
                    </w:rPr>
                  </w:pPr>
                  <w:r>
                    <w:rPr>
                      <w:rFonts w:hint="eastAsia"/>
                      <w:bCs/>
                      <w:color w:val="auto"/>
                    </w:rPr>
                    <w:t>符合</w:t>
                  </w:r>
                </w:p>
              </w:tc>
            </w:tr>
            <w:tr w14:paraId="67CFA86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98" w:type="pct"/>
                  <w:tcBorders>
                    <w:tl2br w:val="nil"/>
                    <w:tr2bl w:val="nil"/>
                  </w:tcBorders>
                  <w:vAlign w:val="center"/>
                </w:tcPr>
                <w:p w14:paraId="493AD841">
                  <w:pPr>
                    <w:overflowPunct w:val="0"/>
                    <w:adjustRightInd w:val="0"/>
                    <w:snapToGrid w:val="0"/>
                    <w:jc w:val="center"/>
                    <w:rPr>
                      <w:bCs/>
                      <w:color w:val="auto"/>
                    </w:rPr>
                  </w:pPr>
                  <w:r>
                    <w:rPr>
                      <w:rFonts w:hint="eastAsia"/>
                      <w:bCs/>
                      <w:color w:val="auto"/>
                    </w:rPr>
                    <w:t>污染物排放管控</w:t>
                  </w:r>
                </w:p>
              </w:tc>
              <w:tc>
                <w:tcPr>
                  <w:tcW w:w="2089" w:type="pct"/>
                  <w:tcBorders>
                    <w:tl2br w:val="nil"/>
                    <w:tr2bl w:val="nil"/>
                  </w:tcBorders>
                  <w:vAlign w:val="center"/>
                </w:tcPr>
                <w:p w14:paraId="1B9405DE">
                  <w:pPr>
                    <w:overflowPunct w:val="0"/>
                    <w:adjustRightInd w:val="0"/>
                    <w:snapToGrid w:val="0"/>
                    <w:rPr>
                      <w:bCs/>
                      <w:color w:val="auto"/>
                    </w:rPr>
                  </w:pPr>
                  <w:r>
                    <w:rPr>
                      <w:rFonts w:hint="eastAsia"/>
                      <w:bCs/>
                      <w:color w:val="auto"/>
                    </w:rPr>
                    <w:t>城镇污水处理厂、纺织工业、化学工业、造纸工业、钢铁工业、电镀工业和食品工业的污水处理设施执行《太湖地区城镇污水处理厂及重点工业行业主要水污染物排放限值》。</w:t>
                  </w:r>
                </w:p>
              </w:tc>
              <w:tc>
                <w:tcPr>
                  <w:tcW w:w="1851" w:type="pct"/>
                  <w:tcBorders>
                    <w:tl2br w:val="nil"/>
                    <w:tr2bl w:val="nil"/>
                  </w:tcBorders>
                  <w:vAlign w:val="center"/>
                </w:tcPr>
                <w:p w14:paraId="55FC2C9C">
                  <w:pPr>
                    <w:overflowPunct w:val="0"/>
                    <w:adjustRightInd w:val="0"/>
                    <w:snapToGrid w:val="0"/>
                    <w:jc w:val="center"/>
                    <w:rPr>
                      <w:bCs/>
                      <w:color w:val="auto"/>
                    </w:rPr>
                  </w:pPr>
                  <w:r>
                    <w:rPr>
                      <w:rFonts w:hint="eastAsia"/>
                      <w:bCs/>
                      <w:color w:val="auto"/>
                    </w:rPr>
                    <w:t>本项目行业类别为</w:t>
                  </w:r>
                  <w:r>
                    <w:rPr>
                      <w:rFonts w:hint="eastAsia"/>
                      <w:bCs/>
                      <w:color w:val="auto"/>
                      <w:lang w:eastAsia="zh-CN"/>
                    </w:rPr>
                    <w:t>C2110木质家具制造</w:t>
                  </w:r>
                  <w:r>
                    <w:rPr>
                      <w:rFonts w:hint="eastAsia"/>
                      <w:bCs/>
                      <w:color w:val="auto"/>
                    </w:rPr>
                    <w:t>，不属于城镇污水处理厂、纺织工业、化学工业、造纸工业、钢铁工业、电镀工业和食品工业。</w:t>
                  </w:r>
                </w:p>
              </w:tc>
              <w:tc>
                <w:tcPr>
                  <w:tcW w:w="560" w:type="pct"/>
                  <w:tcBorders>
                    <w:tl2br w:val="nil"/>
                    <w:tr2bl w:val="nil"/>
                  </w:tcBorders>
                  <w:vAlign w:val="center"/>
                </w:tcPr>
                <w:p w14:paraId="0A438F9C">
                  <w:pPr>
                    <w:overflowPunct w:val="0"/>
                    <w:adjustRightInd w:val="0"/>
                    <w:snapToGrid w:val="0"/>
                    <w:jc w:val="center"/>
                    <w:rPr>
                      <w:bCs/>
                      <w:color w:val="auto"/>
                    </w:rPr>
                  </w:pPr>
                  <w:r>
                    <w:rPr>
                      <w:rFonts w:hint="eastAsia"/>
                      <w:bCs/>
                      <w:color w:val="auto"/>
                    </w:rPr>
                    <w:t>符合</w:t>
                  </w:r>
                </w:p>
              </w:tc>
            </w:tr>
            <w:tr w14:paraId="003B1CC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98" w:type="pct"/>
                  <w:tcBorders>
                    <w:tl2br w:val="nil"/>
                    <w:tr2bl w:val="nil"/>
                  </w:tcBorders>
                  <w:vAlign w:val="center"/>
                </w:tcPr>
                <w:p w14:paraId="620A449A">
                  <w:pPr>
                    <w:overflowPunct w:val="0"/>
                    <w:adjustRightInd w:val="0"/>
                    <w:snapToGrid w:val="0"/>
                    <w:jc w:val="center"/>
                    <w:rPr>
                      <w:bCs/>
                      <w:color w:val="auto"/>
                    </w:rPr>
                  </w:pPr>
                  <w:r>
                    <w:rPr>
                      <w:rFonts w:hint="eastAsia"/>
                      <w:bCs/>
                      <w:color w:val="auto"/>
                    </w:rPr>
                    <w:t>环境风险防控</w:t>
                  </w:r>
                </w:p>
              </w:tc>
              <w:tc>
                <w:tcPr>
                  <w:tcW w:w="2089" w:type="pct"/>
                  <w:tcBorders>
                    <w:tl2br w:val="nil"/>
                    <w:tr2bl w:val="nil"/>
                  </w:tcBorders>
                  <w:vAlign w:val="center"/>
                </w:tcPr>
                <w:p w14:paraId="6451F688">
                  <w:pPr>
                    <w:overflowPunct w:val="0"/>
                    <w:adjustRightInd w:val="0"/>
                    <w:snapToGrid w:val="0"/>
                    <w:rPr>
                      <w:bCs/>
                      <w:color w:val="auto"/>
                    </w:rPr>
                  </w:pPr>
                  <w:r>
                    <w:rPr>
                      <w:rFonts w:hint="eastAsia"/>
                      <w:bCs/>
                      <w:color w:val="auto"/>
                    </w:rPr>
                    <w:t>1.运输剧毒物质、危险化学品的船舶不得进入太湖。</w:t>
                  </w:r>
                </w:p>
                <w:p w14:paraId="2C1AE01A">
                  <w:pPr>
                    <w:overflowPunct w:val="0"/>
                    <w:adjustRightInd w:val="0"/>
                    <w:snapToGrid w:val="0"/>
                    <w:rPr>
                      <w:bCs/>
                      <w:color w:val="auto"/>
                    </w:rPr>
                  </w:pPr>
                  <w:r>
                    <w:rPr>
                      <w:rFonts w:hint="eastAsia"/>
                      <w:bCs/>
                      <w:color w:val="auto"/>
                    </w:rPr>
                    <w:t>2.禁止向太湖流域水体排放或者倾倒油类、酸液、碱液、剧毒废渣废液、含放射性废渣废液、含病原体污水、工业废渣以及其他废弃物。</w:t>
                  </w:r>
                </w:p>
                <w:p w14:paraId="65782600">
                  <w:pPr>
                    <w:overflowPunct w:val="0"/>
                    <w:adjustRightInd w:val="0"/>
                    <w:snapToGrid w:val="0"/>
                    <w:rPr>
                      <w:bCs/>
                      <w:color w:val="auto"/>
                    </w:rPr>
                  </w:pPr>
                  <w:r>
                    <w:rPr>
                      <w:rFonts w:hint="eastAsia"/>
                      <w:bCs/>
                      <w:color w:val="auto"/>
                    </w:rPr>
                    <w:t>3.加强太湖流域生态环境风险应急管控，着力提高防控太湖蓝藻水华风险预警和应急处置能力。</w:t>
                  </w:r>
                </w:p>
              </w:tc>
              <w:tc>
                <w:tcPr>
                  <w:tcW w:w="1851" w:type="pct"/>
                  <w:tcBorders>
                    <w:tl2br w:val="nil"/>
                    <w:tr2bl w:val="nil"/>
                  </w:tcBorders>
                  <w:vAlign w:val="center"/>
                </w:tcPr>
                <w:p w14:paraId="6CE6F92B">
                  <w:pPr>
                    <w:overflowPunct w:val="0"/>
                    <w:adjustRightInd w:val="0"/>
                    <w:snapToGrid w:val="0"/>
                    <w:jc w:val="center"/>
                    <w:rPr>
                      <w:bCs/>
                      <w:color w:val="auto"/>
                    </w:rPr>
                  </w:pPr>
                  <w:r>
                    <w:rPr>
                      <w:color w:val="auto"/>
                      <w:kern w:val="24"/>
                    </w:rPr>
                    <w:t>本项目不使用船舶运输剧毒物质、危险化学品等</w:t>
                  </w:r>
                  <w:r>
                    <w:rPr>
                      <w:rFonts w:hint="eastAsia"/>
                      <w:color w:val="auto"/>
                      <w:kern w:val="24"/>
                    </w:rPr>
                    <w:t>，</w:t>
                  </w:r>
                  <w:r>
                    <w:rPr>
                      <w:rFonts w:hint="eastAsia"/>
                      <w:color w:val="auto"/>
                    </w:rPr>
                    <w:t>不向太湖流域水体排放或者倾倒油类、酸液、碱液、剧毒废渣废液、含放射性废渣废液、含病原体污水、工业废渣以及其他废弃物，</w:t>
                  </w:r>
                  <w:r>
                    <w:rPr>
                      <w:color w:val="auto"/>
                      <w:kern w:val="24"/>
                    </w:rPr>
                    <w:t>项目建成后实施严格的环境风险防控，建立环境应急预案，定期进行演练。</w:t>
                  </w:r>
                </w:p>
              </w:tc>
              <w:tc>
                <w:tcPr>
                  <w:tcW w:w="560" w:type="pct"/>
                  <w:tcBorders>
                    <w:tl2br w:val="nil"/>
                    <w:tr2bl w:val="nil"/>
                  </w:tcBorders>
                  <w:vAlign w:val="center"/>
                </w:tcPr>
                <w:p w14:paraId="2E6EDD30">
                  <w:pPr>
                    <w:overflowPunct w:val="0"/>
                    <w:adjustRightInd w:val="0"/>
                    <w:snapToGrid w:val="0"/>
                    <w:jc w:val="center"/>
                    <w:rPr>
                      <w:color w:val="auto"/>
                      <w:kern w:val="24"/>
                    </w:rPr>
                  </w:pPr>
                  <w:r>
                    <w:rPr>
                      <w:rFonts w:hint="eastAsia"/>
                      <w:bCs/>
                      <w:color w:val="auto"/>
                    </w:rPr>
                    <w:t>符合</w:t>
                  </w:r>
                </w:p>
              </w:tc>
            </w:tr>
            <w:tr w14:paraId="5F1DAF4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98" w:type="pct"/>
                  <w:tcBorders>
                    <w:tl2br w:val="nil"/>
                    <w:tr2bl w:val="nil"/>
                  </w:tcBorders>
                  <w:vAlign w:val="center"/>
                </w:tcPr>
                <w:p w14:paraId="74CEA1AD">
                  <w:pPr>
                    <w:overflowPunct w:val="0"/>
                    <w:adjustRightInd w:val="0"/>
                    <w:snapToGrid w:val="0"/>
                    <w:jc w:val="center"/>
                    <w:rPr>
                      <w:bCs/>
                      <w:color w:val="auto"/>
                    </w:rPr>
                  </w:pPr>
                  <w:r>
                    <w:rPr>
                      <w:rFonts w:hint="eastAsia"/>
                      <w:bCs/>
                      <w:color w:val="auto"/>
                    </w:rPr>
                    <w:t>资源利用效率要求</w:t>
                  </w:r>
                </w:p>
              </w:tc>
              <w:tc>
                <w:tcPr>
                  <w:tcW w:w="2089" w:type="pct"/>
                  <w:tcBorders>
                    <w:tl2br w:val="nil"/>
                    <w:tr2bl w:val="nil"/>
                  </w:tcBorders>
                  <w:vAlign w:val="center"/>
                </w:tcPr>
                <w:p w14:paraId="4B5327B4">
                  <w:pPr>
                    <w:overflowPunct w:val="0"/>
                    <w:adjustRightInd w:val="0"/>
                    <w:snapToGrid w:val="0"/>
                    <w:rPr>
                      <w:bCs/>
                      <w:color w:val="auto"/>
                    </w:rPr>
                  </w:pPr>
                  <w:r>
                    <w:rPr>
                      <w:rFonts w:hint="eastAsia"/>
                      <w:bCs/>
                      <w:color w:val="auto"/>
                    </w:rPr>
                    <w:t>1.太湖流域加强水资源配置与调度，优先满足居民生活用水，兼顾生产、生态用水以及航运等需要。</w:t>
                  </w:r>
                </w:p>
                <w:p w14:paraId="2D2D5E9F">
                  <w:pPr>
                    <w:overflowPunct w:val="0"/>
                    <w:adjustRightInd w:val="0"/>
                    <w:snapToGrid w:val="0"/>
                    <w:rPr>
                      <w:bCs/>
                      <w:color w:val="auto"/>
                    </w:rPr>
                  </w:pPr>
                  <w:r>
                    <w:rPr>
                      <w:rFonts w:hint="eastAsia"/>
                      <w:bCs/>
                      <w:color w:val="auto"/>
                    </w:rPr>
                    <w:t>2.2020年底前，太湖流域所有省级以上开发区开展园区循环化改造。</w:t>
                  </w:r>
                </w:p>
              </w:tc>
              <w:tc>
                <w:tcPr>
                  <w:tcW w:w="1851" w:type="pct"/>
                  <w:tcBorders>
                    <w:tl2br w:val="nil"/>
                    <w:tr2bl w:val="nil"/>
                  </w:tcBorders>
                  <w:vAlign w:val="center"/>
                </w:tcPr>
                <w:p w14:paraId="743F5304">
                  <w:pPr>
                    <w:overflowPunct w:val="0"/>
                    <w:adjustRightInd w:val="0"/>
                    <w:snapToGrid w:val="0"/>
                    <w:jc w:val="center"/>
                    <w:rPr>
                      <w:bCs/>
                      <w:color w:val="auto"/>
                    </w:rPr>
                  </w:pPr>
                  <w:r>
                    <w:rPr>
                      <w:rFonts w:hint="eastAsia"/>
                      <w:color w:val="auto"/>
                    </w:rPr>
                    <w:t>项目运营过程中将消耗一定量的水资源，水资源消耗量相对区域资源利用总量较少，不会影响居民生活用水。</w:t>
                  </w:r>
                </w:p>
              </w:tc>
              <w:tc>
                <w:tcPr>
                  <w:tcW w:w="560" w:type="pct"/>
                  <w:tcBorders>
                    <w:tl2br w:val="nil"/>
                    <w:tr2bl w:val="nil"/>
                  </w:tcBorders>
                  <w:vAlign w:val="center"/>
                </w:tcPr>
                <w:p w14:paraId="39FBC5F0">
                  <w:pPr>
                    <w:overflowPunct w:val="0"/>
                    <w:adjustRightInd w:val="0"/>
                    <w:snapToGrid w:val="0"/>
                    <w:jc w:val="center"/>
                    <w:rPr>
                      <w:color w:val="auto"/>
                    </w:rPr>
                  </w:pPr>
                  <w:r>
                    <w:rPr>
                      <w:rFonts w:hint="eastAsia"/>
                      <w:bCs/>
                      <w:color w:val="auto"/>
                    </w:rPr>
                    <w:t>符合</w:t>
                  </w:r>
                </w:p>
              </w:tc>
            </w:tr>
          </w:tbl>
          <w:p w14:paraId="01F81BAD">
            <w:pPr>
              <w:autoSpaceDE w:val="0"/>
              <w:autoSpaceDN w:val="0"/>
              <w:adjustRightInd w:val="0"/>
              <w:snapToGrid w:val="0"/>
              <w:spacing w:line="360" w:lineRule="auto"/>
              <w:ind w:firstLine="420" w:firstLineChars="200"/>
              <w:jc w:val="left"/>
              <w:rPr>
                <w:rFonts w:cs="宋体"/>
                <w:color w:val="auto"/>
                <w:kern w:val="0"/>
                <w:lang w:bidi="ar"/>
              </w:rPr>
            </w:pPr>
            <w:r>
              <w:rPr>
                <w:rFonts w:hint="eastAsia"/>
                <w:color w:val="auto"/>
              </w:rPr>
              <w:t>根据上表分析可知，本项目符合《江苏省“三线一单”生态环境分区管控方案》（苏政发</w:t>
            </w:r>
            <w:r>
              <w:rPr>
                <w:color w:val="auto"/>
              </w:rPr>
              <w:t>[2020]49</w:t>
            </w:r>
            <w:r>
              <w:rPr>
                <w:rFonts w:hint="eastAsia"/>
                <w:color w:val="auto"/>
              </w:rPr>
              <w:t>号）中的各项管控要求</w:t>
            </w:r>
            <w:r>
              <w:rPr>
                <w:rFonts w:hint="eastAsia" w:cs="宋体"/>
                <w:color w:val="auto"/>
                <w:kern w:val="0"/>
                <w:lang w:bidi="ar"/>
              </w:rPr>
              <w:t>。</w:t>
            </w:r>
          </w:p>
          <w:p w14:paraId="43789B10">
            <w:pPr>
              <w:pStyle w:val="6"/>
              <w:keepNext/>
              <w:keepLines/>
              <w:pageBreakBefore w:val="0"/>
              <w:widowControl w:val="0"/>
              <w:kinsoku/>
              <w:wordWrap/>
              <w:overflowPunct/>
              <w:topLinePunct w:val="0"/>
              <w:autoSpaceDE/>
              <w:autoSpaceDN/>
              <w:bidi w:val="0"/>
              <w:adjustRightInd w:val="0"/>
              <w:snapToGrid w:val="0"/>
              <w:spacing w:before="0" w:after="0" w:line="360" w:lineRule="auto"/>
              <w:ind w:firstLine="420" w:firstLineChars="200"/>
              <w:textAlignment w:val="auto"/>
              <w:rPr>
                <w:b w:val="0"/>
                <w:bCs w:val="0"/>
                <w:color w:val="auto"/>
                <w:sz w:val="21"/>
                <w:szCs w:val="21"/>
              </w:rPr>
            </w:pPr>
            <w:r>
              <w:rPr>
                <w:rFonts w:hint="eastAsia"/>
                <w:b w:val="0"/>
                <w:bCs w:val="0"/>
                <w:color w:val="auto"/>
                <w:sz w:val="21"/>
                <w:szCs w:val="21"/>
                <w:lang w:val="en-US" w:eastAsia="zh-CN"/>
              </w:rPr>
              <w:t>②</w:t>
            </w:r>
            <w:r>
              <w:rPr>
                <w:rFonts w:hint="eastAsia"/>
                <w:b w:val="0"/>
                <w:bCs w:val="0"/>
                <w:color w:val="auto"/>
                <w:sz w:val="21"/>
                <w:szCs w:val="21"/>
              </w:rPr>
              <w:t>根据常州市生态环境分区管控动态更新成果</w:t>
            </w:r>
            <w:r>
              <w:rPr>
                <w:rFonts w:hint="eastAsia"/>
                <w:b w:val="0"/>
                <w:bCs w:val="0"/>
                <w:color w:val="auto"/>
                <w:sz w:val="21"/>
                <w:szCs w:val="21"/>
                <w:lang w:eastAsia="zh-CN"/>
              </w:rPr>
              <w:t>（</w:t>
            </w:r>
            <w:r>
              <w:rPr>
                <w:rFonts w:hint="eastAsia"/>
                <w:b w:val="0"/>
                <w:bCs w:val="0"/>
                <w:color w:val="auto"/>
                <w:sz w:val="21"/>
                <w:szCs w:val="21"/>
              </w:rPr>
              <w:t>2023版</w:t>
            </w:r>
            <w:r>
              <w:rPr>
                <w:rFonts w:hint="eastAsia"/>
                <w:b w:val="0"/>
                <w:bCs w:val="0"/>
                <w:color w:val="auto"/>
                <w:sz w:val="21"/>
                <w:szCs w:val="21"/>
                <w:lang w:eastAsia="zh-CN"/>
              </w:rPr>
              <w:t>）</w:t>
            </w:r>
            <w:r>
              <w:rPr>
                <w:rFonts w:hint="eastAsia"/>
                <w:b w:val="0"/>
                <w:bCs w:val="0"/>
                <w:color w:val="auto"/>
                <w:sz w:val="21"/>
                <w:szCs w:val="21"/>
              </w:rPr>
              <w:t>对照分析，本项目属于</w:t>
            </w:r>
            <w:r>
              <w:rPr>
                <w:rFonts w:hint="eastAsia"/>
                <w:b w:val="0"/>
                <w:bCs w:val="0"/>
                <w:color w:val="auto"/>
                <w:sz w:val="21"/>
                <w:szCs w:val="21"/>
                <w:lang w:val="en-US" w:eastAsia="zh-CN"/>
              </w:rPr>
              <w:t>重点</w:t>
            </w:r>
            <w:r>
              <w:rPr>
                <w:rFonts w:hint="eastAsia"/>
                <w:b w:val="0"/>
                <w:bCs w:val="0"/>
                <w:color w:val="auto"/>
                <w:sz w:val="21"/>
                <w:szCs w:val="21"/>
              </w:rPr>
              <w:t>管控单元</w:t>
            </w:r>
            <w:r>
              <w:rPr>
                <w:rFonts w:hint="eastAsia"/>
                <w:b w:val="0"/>
                <w:bCs w:val="0"/>
                <w:color w:val="auto"/>
                <w:sz w:val="21"/>
                <w:szCs w:val="21"/>
                <w:lang w:val="en-US" w:eastAsia="zh-CN"/>
              </w:rPr>
              <w:t>江苏金坛经济开发区</w:t>
            </w:r>
            <w:r>
              <w:rPr>
                <w:rFonts w:hint="eastAsia"/>
                <w:b w:val="0"/>
                <w:bCs w:val="0"/>
                <w:color w:val="auto"/>
                <w:sz w:val="21"/>
                <w:szCs w:val="21"/>
              </w:rPr>
              <w:t>，环境管控单元的相关要求对照分析表见下表。</w:t>
            </w:r>
          </w:p>
          <w:p w14:paraId="4BDC52DF">
            <w:pPr>
              <w:pStyle w:val="5"/>
              <w:adjustRightInd w:val="0"/>
              <w:snapToGrid w:val="0"/>
              <w:ind w:firstLine="0"/>
              <w:jc w:val="center"/>
              <w:rPr>
                <w:b/>
                <w:bCs/>
                <w:color w:val="auto"/>
                <w:szCs w:val="21"/>
              </w:rPr>
            </w:pPr>
            <w:r>
              <w:rPr>
                <w:b/>
                <w:bCs/>
                <w:color w:val="auto"/>
                <w:szCs w:val="21"/>
              </w:rPr>
              <w:t>表1</w:t>
            </w:r>
            <w:r>
              <w:rPr>
                <w:rFonts w:hint="eastAsia"/>
                <w:b/>
                <w:bCs/>
                <w:color w:val="auto"/>
                <w:szCs w:val="21"/>
                <w:lang w:val="en-US" w:eastAsia="zh-CN"/>
              </w:rPr>
              <w:t>-8</w:t>
            </w:r>
            <w:r>
              <w:rPr>
                <w:rFonts w:hint="eastAsia"/>
                <w:b/>
                <w:bCs/>
                <w:color w:val="auto"/>
                <w:szCs w:val="21"/>
              </w:rPr>
              <w:t xml:space="preserve">   </w:t>
            </w:r>
            <w:r>
              <w:rPr>
                <w:b/>
                <w:bCs/>
                <w:color w:val="auto"/>
                <w:szCs w:val="21"/>
              </w:rPr>
              <w:t>与常州市</w:t>
            </w:r>
            <w:r>
              <w:rPr>
                <w:rFonts w:hint="eastAsia"/>
                <w:b/>
                <w:bCs/>
                <w:color w:val="auto"/>
                <w:szCs w:val="21"/>
              </w:rPr>
              <w:t>“</w:t>
            </w:r>
            <w:r>
              <w:rPr>
                <w:b/>
                <w:bCs/>
                <w:color w:val="auto"/>
                <w:szCs w:val="21"/>
              </w:rPr>
              <w:t>三线一单</w:t>
            </w:r>
            <w:r>
              <w:rPr>
                <w:rFonts w:hint="eastAsia"/>
                <w:b/>
                <w:bCs/>
                <w:color w:val="auto"/>
                <w:szCs w:val="21"/>
              </w:rPr>
              <w:t>”</w:t>
            </w:r>
            <w:r>
              <w:rPr>
                <w:b/>
                <w:bCs/>
                <w:color w:val="auto"/>
                <w:szCs w:val="21"/>
              </w:rPr>
              <w:t>生态环境分区管控实施方案相符性</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607"/>
              <w:gridCol w:w="750"/>
              <w:gridCol w:w="4496"/>
              <w:gridCol w:w="1600"/>
              <w:gridCol w:w="695"/>
            </w:tblGrid>
            <w:tr w14:paraId="5DBB531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72" w:type="pct"/>
                  <w:tcBorders>
                    <w:tl2br w:val="nil"/>
                    <w:tr2bl w:val="nil"/>
                  </w:tcBorders>
                  <w:vAlign w:val="center"/>
                </w:tcPr>
                <w:p w14:paraId="50FE93C4">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kern w:val="0"/>
                    </w:rPr>
                  </w:pPr>
                  <w:r>
                    <w:rPr>
                      <w:b/>
                      <w:bCs/>
                      <w:color w:val="auto"/>
                      <w:kern w:val="0"/>
                    </w:rPr>
                    <w:t>序号</w:t>
                  </w:r>
                </w:p>
              </w:tc>
              <w:tc>
                <w:tcPr>
                  <w:tcW w:w="3218" w:type="pct"/>
                  <w:gridSpan w:val="2"/>
                  <w:tcBorders>
                    <w:tl2br w:val="nil"/>
                    <w:tr2bl w:val="nil"/>
                  </w:tcBorders>
                  <w:vAlign w:val="center"/>
                </w:tcPr>
                <w:p w14:paraId="5ECA3A5C">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kern w:val="0"/>
                    </w:rPr>
                  </w:pPr>
                  <w:r>
                    <w:rPr>
                      <w:b/>
                      <w:bCs/>
                      <w:color w:val="auto"/>
                      <w:kern w:val="0"/>
                    </w:rPr>
                    <w:t>管控要求</w:t>
                  </w:r>
                </w:p>
              </w:tc>
              <w:tc>
                <w:tcPr>
                  <w:tcW w:w="981" w:type="pct"/>
                  <w:tcBorders>
                    <w:tl2br w:val="nil"/>
                    <w:tr2bl w:val="nil"/>
                  </w:tcBorders>
                  <w:vAlign w:val="center"/>
                </w:tcPr>
                <w:p w14:paraId="2BAA2A02">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kern w:val="0"/>
                    </w:rPr>
                  </w:pPr>
                  <w:r>
                    <w:rPr>
                      <w:b/>
                      <w:color w:val="auto"/>
                      <w:kern w:val="0"/>
                    </w:rPr>
                    <w:t>本项目相关内容</w:t>
                  </w:r>
                </w:p>
              </w:tc>
              <w:tc>
                <w:tcPr>
                  <w:tcW w:w="427" w:type="pct"/>
                  <w:tcBorders>
                    <w:tl2br w:val="nil"/>
                    <w:tr2bl w:val="nil"/>
                  </w:tcBorders>
                  <w:vAlign w:val="center"/>
                </w:tcPr>
                <w:p w14:paraId="20C5A26D">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kern w:val="0"/>
                    </w:rPr>
                  </w:pPr>
                  <w:r>
                    <w:rPr>
                      <w:b/>
                      <w:bCs/>
                      <w:color w:val="auto"/>
                      <w:kern w:val="0"/>
                    </w:rPr>
                    <w:t>相符性</w:t>
                  </w:r>
                </w:p>
              </w:tc>
            </w:tr>
            <w:tr w14:paraId="1DCCF08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72" w:type="pct"/>
                  <w:tcBorders>
                    <w:tl2br w:val="nil"/>
                    <w:tr2bl w:val="nil"/>
                  </w:tcBorders>
                  <w:vAlign w:val="center"/>
                </w:tcPr>
                <w:p w14:paraId="04D62FE2">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color w:val="auto"/>
                      <w:kern w:val="0"/>
                    </w:rPr>
                    <w:t>1</w:t>
                  </w:r>
                </w:p>
              </w:tc>
              <w:tc>
                <w:tcPr>
                  <w:tcW w:w="460" w:type="pct"/>
                  <w:tcBorders>
                    <w:tl2br w:val="nil"/>
                    <w:tr2bl w:val="nil"/>
                  </w:tcBorders>
                  <w:vAlign w:val="center"/>
                </w:tcPr>
                <w:p w14:paraId="02A3F0A2">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color w:val="auto"/>
                      <w:kern w:val="0"/>
                    </w:rPr>
                    <w:t>空间布局约束</w:t>
                  </w:r>
                </w:p>
              </w:tc>
              <w:tc>
                <w:tcPr>
                  <w:tcW w:w="2757" w:type="pct"/>
                  <w:tcBorders>
                    <w:tl2br w:val="nil"/>
                    <w:tr2bl w:val="nil"/>
                  </w:tcBorders>
                  <w:vAlign w:val="center"/>
                </w:tcPr>
                <w:p w14:paraId="3C24063B">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color w:val="auto"/>
                      <w:kern w:val="0"/>
                    </w:rPr>
                    <w:t>（1）不得新建、改建、扩建化学制浆造纸、制革、酿造、染料、印染、电镀以及其他排放含磷、氮等污染物的企业和项目；不得新建、扩建化工、医药等企业和项目；不得增设排污口；禁止建设排放致癌、致畸、致突变物质和恶臭气体的项目。</w:t>
                  </w:r>
                </w:p>
                <w:p w14:paraId="068EFAA8">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color w:val="auto"/>
                      <w:kern w:val="0"/>
                    </w:rPr>
                    <w:t>（2）鼓励发展低污染、无污染、节水和资源综合利用的项目，不得新上、转移、生产和采用国家明令禁止的工艺和产品。凡属《江苏省太湖水污染防治条例》（省十届人大常委会公告第141号）明确禁止建设的项目；《国务院关于环境保护若干问题的决定》（国发﹝1996﹞31号）明确禁止建设的</w:t>
                  </w:r>
                  <w:r>
                    <w:rPr>
                      <w:rFonts w:hint="eastAsia"/>
                      <w:color w:val="auto"/>
                      <w:kern w:val="0"/>
                    </w:rPr>
                    <w:t>“</w:t>
                  </w:r>
                  <w:r>
                    <w:rPr>
                      <w:color w:val="auto"/>
                      <w:kern w:val="0"/>
                    </w:rPr>
                    <w:t>十五小</w:t>
                  </w:r>
                  <w:r>
                    <w:rPr>
                      <w:rFonts w:hint="eastAsia"/>
                      <w:color w:val="auto"/>
                      <w:kern w:val="0"/>
                    </w:rPr>
                    <w:t>”</w:t>
                  </w:r>
                  <w:r>
                    <w:rPr>
                      <w:color w:val="auto"/>
                      <w:kern w:val="0"/>
                    </w:rPr>
                    <w:t>项目；</w:t>
                  </w:r>
                  <w:r>
                    <w:rPr>
                      <w:rFonts w:hint="eastAsia"/>
                      <w:color w:val="auto"/>
                      <w:kern w:val="0"/>
                    </w:rPr>
                    <w:t>“</w:t>
                  </w:r>
                  <w:r>
                    <w:rPr>
                      <w:color w:val="auto"/>
                      <w:kern w:val="0"/>
                    </w:rPr>
                    <w:t>新五小</w:t>
                  </w:r>
                  <w:r>
                    <w:rPr>
                      <w:rFonts w:hint="eastAsia"/>
                      <w:color w:val="auto"/>
                      <w:kern w:val="0"/>
                    </w:rPr>
                    <w:t>”</w:t>
                  </w:r>
                  <w:r>
                    <w:rPr>
                      <w:color w:val="auto"/>
                      <w:kern w:val="0"/>
                    </w:rPr>
                    <w:t>项目</w:t>
                  </w:r>
                  <w:r>
                    <w:rPr>
                      <w:rFonts w:hint="eastAsia"/>
                      <w:color w:val="auto"/>
                      <w:kern w:val="0"/>
                    </w:rPr>
                    <w:t>（</w:t>
                  </w:r>
                  <w:r>
                    <w:rPr>
                      <w:color w:val="auto"/>
                      <w:kern w:val="0"/>
                    </w:rPr>
                    <w:t>小火电机组、小玻璃厂、小水泥厂、小炼油厂、小钢铁厂</w:t>
                  </w:r>
                  <w:r>
                    <w:rPr>
                      <w:rFonts w:hint="eastAsia"/>
                      <w:color w:val="auto"/>
                      <w:kern w:val="0"/>
                    </w:rPr>
                    <w:t>）</w:t>
                  </w:r>
                  <w:r>
                    <w:rPr>
                      <w:color w:val="auto"/>
                      <w:kern w:val="0"/>
                    </w:rPr>
                    <w:t>；以及国家明令淘汰和禁止发展的能耗物耗高、环境污染严重、不符合产业政策和市场准入条件的建设项目，均禁止建设。</w:t>
                  </w:r>
                </w:p>
              </w:tc>
              <w:tc>
                <w:tcPr>
                  <w:tcW w:w="981" w:type="pct"/>
                  <w:tcBorders>
                    <w:tl2br w:val="nil"/>
                    <w:tr2bl w:val="nil"/>
                  </w:tcBorders>
                  <w:vAlign w:val="center"/>
                </w:tcPr>
                <w:p w14:paraId="2A27ECA2">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color w:val="auto"/>
                      <w:kern w:val="0"/>
                    </w:rPr>
                    <w:t>项目行业</w:t>
                  </w:r>
                  <w:r>
                    <w:rPr>
                      <w:rFonts w:hint="eastAsia"/>
                      <w:color w:val="auto"/>
                      <w:kern w:val="0"/>
                    </w:rPr>
                    <w:t>类别为</w:t>
                  </w:r>
                  <w:r>
                    <w:rPr>
                      <w:rFonts w:hint="eastAsia"/>
                      <w:bCs/>
                      <w:color w:val="auto"/>
                      <w:kern w:val="0"/>
                      <w:lang w:eastAsia="zh-CN"/>
                    </w:rPr>
                    <w:t>C2110木质家具制造</w:t>
                  </w:r>
                  <w:r>
                    <w:rPr>
                      <w:color w:val="auto"/>
                      <w:kern w:val="0"/>
                    </w:rPr>
                    <w:t>，不属于以上禁止类项目</w:t>
                  </w:r>
                </w:p>
              </w:tc>
              <w:tc>
                <w:tcPr>
                  <w:tcW w:w="427" w:type="pct"/>
                  <w:tcBorders>
                    <w:tl2br w:val="nil"/>
                    <w:tr2bl w:val="nil"/>
                  </w:tcBorders>
                  <w:vAlign w:val="center"/>
                </w:tcPr>
                <w:p w14:paraId="5A6E6D74">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color w:val="auto"/>
                      <w:kern w:val="0"/>
                    </w:rPr>
                    <w:t>相符</w:t>
                  </w:r>
                </w:p>
              </w:tc>
            </w:tr>
            <w:tr w14:paraId="6B74A45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72" w:type="pct"/>
                  <w:tcBorders>
                    <w:tl2br w:val="nil"/>
                    <w:tr2bl w:val="nil"/>
                  </w:tcBorders>
                  <w:vAlign w:val="center"/>
                </w:tcPr>
                <w:p w14:paraId="3DDBBFA9">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color w:val="auto"/>
                      <w:kern w:val="0"/>
                    </w:rPr>
                    <w:t>2</w:t>
                  </w:r>
                </w:p>
              </w:tc>
              <w:tc>
                <w:tcPr>
                  <w:tcW w:w="460" w:type="pct"/>
                  <w:tcBorders>
                    <w:tl2br w:val="nil"/>
                    <w:tr2bl w:val="nil"/>
                  </w:tcBorders>
                  <w:vAlign w:val="center"/>
                </w:tcPr>
                <w:p w14:paraId="0DCBD485">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color w:val="auto"/>
                      <w:kern w:val="0"/>
                    </w:rPr>
                    <w:t>污染物排放管控</w:t>
                  </w:r>
                </w:p>
              </w:tc>
              <w:tc>
                <w:tcPr>
                  <w:tcW w:w="2757" w:type="pct"/>
                  <w:tcBorders>
                    <w:tl2br w:val="nil"/>
                    <w:tr2bl w:val="nil"/>
                  </w:tcBorders>
                  <w:vAlign w:val="center"/>
                </w:tcPr>
                <w:p w14:paraId="4393AEB7">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color w:val="auto"/>
                      <w:kern w:val="0"/>
                    </w:rPr>
                    <w:t>（1）严格实施污染物总量控制制度，根据区域环境质量改善目标，采取有效措施减少主要污染物排放总量，确保区域环境质量持续改善。（2）园区污染物排放总量不得突破环评报告及批复的总量。</w:t>
                  </w:r>
                </w:p>
              </w:tc>
              <w:tc>
                <w:tcPr>
                  <w:tcW w:w="981" w:type="pct"/>
                  <w:tcBorders>
                    <w:tl2br w:val="nil"/>
                    <w:tr2bl w:val="nil"/>
                  </w:tcBorders>
                  <w:vAlign w:val="center"/>
                </w:tcPr>
                <w:p w14:paraId="1FE8D114">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color w:val="auto"/>
                      <w:kern w:val="0"/>
                    </w:rPr>
                    <w:t>建设项目将根据要求向常州市金坛生态环境局申请总量</w:t>
                  </w:r>
                </w:p>
              </w:tc>
              <w:tc>
                <w:tcPr>
                  <w:tcW w:w="427" w:type="pct"/>
                  <w:tcBorders>
                    <w:tl2br w:val="nil"/>
                    <w:tr2bl w:val="nil"/>
                  </w:tcBorders>
                  <w:vAlign w:val="center"/>
                </w:tcPr>
                <w:p w14:paraId="1654CC6D">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color w:val="auto"/>
                      <w:kern w:val="0"/>
                    </w:rPr>
                    <w:t>相符</w:t>
                  </w:r>
                </w:p>
              </w:tc>
            </w:tr>
            <w:tr w14:paraId="43E03C4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72" w:type="pct"/>
                  <w:tcBorders>
                    <w:tl2br w:val="nil"/>
                    <w:tr2bl w:val="nil"/>
                  </w:tcBorders>
                  <w:vAlign w:val="center"/>
                </w:tcPr>
                <w:p w14:paraId="19DA5B77">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color w:val="auto"/>
                      <w:kern w:val="0"/>
                    </w:rPr>
                    <w:t>3</w:t>
                  </w:r>
                </w:p>
              </w:tc>
              <w:tc>
                <w:tcPr>
                  <w:tcW w:w="460" w:type="pct"/>
                  <w:tcBorders>
                    <w:tl2br w:val="nil"/>
                    <w:tr2bl w:val="nil"/>
                  </w:tcBorders>
                  <w:vAlign w:val="center"/>
                </w:tcPr>
                <w:p w14:paraId="55FA85C5">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color w:val="auto"/>
                      <w:kern w:val="0"/>
                    </w:rPr>
                    <w:t>环境风险防控</w:t>
                  </w:r>
                </w:p>
              </w:tc>
              <w:tc>
                <w:tcPr>
                  <w:tcW w:w="2757" w:type="pct"/>
                  <w:tcBorders>
                    <w:tl2br w:val="nil"/>
                    <w:tr2bl w:val="nil"/>
                  </w:tcBorders>
                  <w:vAlign w:val="center"/>
                </w:tcPr>
                <w:p w14:paraId="3C2D36D1">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color w:val="auto"/>
                      <w:kern w:val="0"/>
                    </w:rPr>
                    <w:t>（1）园区建立环境应急体系，完善事故应急救援体系，加强应急物资装备储备，编制突发环境事件应急预案，定期开展演练。（2）生产、使用、储存</w:t>
                  </w:r>
                  <w:r>
                    <w:rPr>
                      <w:rFonts w:hint="eastAsia"/>
                      <w:color w:val="auto"/>
                      <w:kern w:val="0"/>
                    </w:rPr>
                    <w:t>化学品</w:t>
                  </w:r>
                  <w:r>
                    <w:rPr>
                      <w:color w:val="auto"/>
                      <w:kern w:val="0"/>
                    </w:rPr>
                    <w:t>或其他存在环境风险的企事业单位，应当制定风险防范措施，编制完善突发环境事件应急预案，防止发生环境污染事故。（3）加强环境影响跟踪监测，建立健全各环境要素监控体系，完善并落实园区日常环境监测与污染源监控计划。</w:t>
                  </w:r>
                </w:p>
              </w:tc>
              <w:tc>
                <w:tcPr>
                  <w:tcW w:w="981" w:type="pct"/>
                  <w:tcBorders>
                    <w:tl2br w:val="nil"/>
                    <w:tr2bl w:val="nil"/>
                  </w:tcBorders>
                  <w:vAlign w:val="center"/>
                </w:tcPr>
                <w:p w14:paraId="0F9B8498">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rFonts w:hint="eastAsia"/>
                      <w:color w:val="auto"/>
                      <w:kern w:val="0"/>
                    </w:rPr>
                    <w:t>项目生产等工程涉及到环境风险，将自行按照要求</w:t>
                  </w:r>
                  <w:r>
                    <w:rPr>
                      <w:color w:val="auto"/>
                      <w:kern w:val="0"/>
                    </w:rPr>
                    <w:t>编制完善突发环境事件应急预案，将根据要求制定监测计划</w:t>
                  </w:r>
                </w:p>
              </w:tc>
              <w:tc>
                <w:tcPr>
                  <w:tcW w:w="427" w:type="pct"/>
                  <w:tcBorders>
                    <w:tl2br w:val="nil"/>
                    <w:tr2bl w:val="nil"/>
                  </w:tcBorders>
                  <w:vAlign w:val="center"/>
                </w:tcPr>
                <w:p w14:paraId="4CEE8F19">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color w:val="auto"/>
                      <w:kern w:val="0"/>
                    </w:rPr>
                    <w:t>相符</w:t>
                  </w:r>
                </w:p>
              </w:tc>
            </w:tr>
            <w:tr w14:paraId="6A2A74E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72" w:type="pct"/>
                  <w:tcBorders>
                    <w:tl2br w:val="nil"/>
                    <w:tr2bl w:val="nil"/>
                  </w:tcBorders>
                  <w:vAlign w:val="center"/>
                </w:tcPr>
                <w:p w14:paraId="31DD3629">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color w:val="auto"/>
                      <w:kern w:val="0"/>
                    </w:rPr>
                    <w:t>4</w:t>
                  </w:r>
                </w:p>
              </w:tc>
              <w:tc>
                <w:tcPr>
                  <w:tcW w:w="460" w:type="pct"/>
                  <w:tcBorders>
                    <w:tl2br w:val="nil"/>
                    <w:tr2bl w:val="nil"/>
                  </w:tcBorders>
                  <w:vAlign w:val="center"/>
                </w:tcPr>
                <w:p w14:paraId="57C2E471">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color w:val="auto"/>
                      <w:kern w:val="0"/>
                    </w:rPr>
                    <w:t>资源利用效率要求</w:t>
                  </w:r>
                </w:p>
              </w:tc>
              <w:tc>
                <w:tcPr>
                  <w:tcW w:w="2757" w:type="pct"/>
                  <w:tcBorders>
                    <w:tl2br w:val="nil"/>
                    <w:tr2bl w:val="nil"/>
                  </w:tcBorders>
                  <w:vAlign w:val="center"/>
                </w:tcPr>
                <w:p w14:paraId="7D5F6E2A">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color w:val="auto"/>
                      <w:kern w:val="0"/>
                    </w:rPr>
                    <w:t>（1）大力倡导使用清洁能源。（2）提升废水资源化技术，提高水资源回用率。（3）严禁自建燃煤设施。</w:t>
                  </w:r>
                </w:p>
              </w:tc>
              <w:tc>
                <w:tcPr>
                  <w:tcW w:w="981" w:type="pct"/>
                  <w:tcBorders>
                    <w:tl2br w:val="nil"/>
                    <w:tr2bl w:val="nil"/>
                  </w:tcBorders>
                  <w:vAlign w:val="center"/>
                </w:tcPr>
                <w:p w14:paraId="7D3B6106">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color w:val="auto"/>
                      <w:kern w:val="0"/>
                    </w:rPr>
                    <w:t>项目无生产废水排放，不使用燃料</w:t>
                  </w:r>
                  <w:r>
                    <w:rPr>
                      <w:rFonts w:hint="eastAsia"/>
                      <w:color w:val="auto"/>
                      <w:kern w:val="0"/>
                    </w:rPr>
                    <w:t>，不建设燃煤设施</w:t>
                  </w:r>
                </w:p>
              </w:tc>
              <w:tc>
                <w:tcPr>
                  <w:tcW w:w="427" w:type="pct"/>
                  <w:tcBorders>
                    <w:tl2br w:val="nil"/>
                    <w:tr2bl w:val="nil"/>
                  </w:tcBorders>
                  <w:vAlign w:val="center"/>
                </w:tcPr>
                <w:p w14:paraId="12873935">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color w:val="auto"/>
                      <w:kern w:val="0"/>
                    </w:rPr>
                    <w:t>相符</w:t>
                  </w:r>
                </w:p>
              </w:tc>
            </w:tr>
          </w:tbl>
          <w:p w14:paraId="310B6601">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textAlignment w:val="auto"/>
              <w:rPr>
                <w:rFonts w:hint="eastAsia"/>
                <w:b w:val="0"/>
                <w:bCs w:val="0"/>
                <w:color w:val="auto"/>
                <w:kern w:val="0"/>
                <w:szCs w:val="21"/>
                <w:highlight w:val="none"/>
                <w:lang w:eastAsia="zh-CN"/>
              </w:rPr>
            </w:pPr>
            <w:r>
              <w:rPr>
                <w:rFonts w:hint="eastAsia"/>
                <w:b w:val="0"/>
                <w:bCs w:val="0"/>
                <w:color w:val="auto"/>
                <w:kern w:val="0"/>
                <w:szCs w:val="21"/>
                <w:highlight w:val="none"/>
                <w:lang w:eastAsia="zh-CN"/>
              </w:rPr>
              <w:t>经查询江苏省生态环境分区管控综合服务系统，如下图所示：</w:t>
            </w:r>
          </w:p>
          <w:p w14:paraId="436D9B9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olor w:val="auto"/>
              </w:rPr>
            </w:pPr>
            <w:r>
              <w:rPr>
                <w:color w:val="auto"/>
              </w:rPr>
              <w:drawing>
                <wp:inline distT="0" distB="0" distL="114300" distR="114300">
                  <wp:extent cx="5172710" cy="2863850"/>
                  <wp:effectExtent l="0" t="0" r="8890" b="1270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8"/>
                          <a:stretch>
                            <a:fillRect/>
                          </a:stretch>
                        </pic:blipFill>
                        <pic:spPr>
                          <a:xfrm>
                            <a:off x="0" y="0"/>
                            <a:ext cx="5172710" cy="2863850"/>
                          </a:xfrm>
                          <a:prstGeom prst="rect">
                            <a:avLst/>
                          </a:prstGeom>
                          <a:noFill/>
                          <a:ln>
                            <a:noFill/>
                          </a:ln>
                        </pic:spPr>
                      </pic:pic>
                    </a:graphicData>
                  </a:graphic>
                </wp:inline>
              </w:drawing>
            </w:r>
          </w:p>
          <w:p w14:paraId="24B14720">
            <w:pPr>
              <w:autoSpaceDE w:val="0"/>
              <w:autoSpaceDN w:val="0"/>
              <w:adjustRightInd w:val="0"/>
              <w:snapToGrid w:val="0"/>
              <w:spacing w:line="360" w:lineRule="auto"/>
              <w:jc w:val="center"/>
              <w:rPr>
                <w:rFonts w:hint="default" w:eastAsia="宋体"/>
                <w:b/>
                <w:bCs/>
                <w:color w:val="auto"/>
                <w:lang w:val="en-US" w:eastAsia="zh-CN"/>
              </w:rPr>
            </w:pPr>
            <w:r>
              <w:rPr>
                <w:rFonts w:hint="eastAsia"/>
                <w:b/>
                <w:bCs/>
                <w:color w:val="auto"/>
                <w:lang w:val="en-US" w:eastAsia="zh-CN"/>
              </w:rPr>
              <w:t>图1-1   本项目所在地</w:t>
            </w:r>
          </w:p>
          <w:p w14:paraId="00EEDAFE">
            <w:pPr>
              <w:autoSpaceDE w:val="0"/>
              <w:autoSpaceDN w:val="0"/>
              <w:adjustRightInd w:val="0"/>
              <w:snapToGrid w:val="0"/>
              <w:spacing w:line="360" w:lineRule="auto"/>
              <w:ind w:firstLine="420" w:firstLineChars="200"/>
              <w:jc w:val="left"/>
              <w:rPr>
                <w:rFonts w:cs="宋体"/>
                <w:color w:val="auto"/>
                <w:kern w:val="0"/>
                <w:lang w:bidi="ar"/>
              </w:rPr>
            </w:pPr>
            <w:r>
              <w:rPr>
                <w:rFonts w:hint="eastAsia"/>
                <w:color w:val="auto"/>
              </w:rPr>
              <w:t>根据上表上图分析可知，本项目符合</w:t>
            </w:r>
            <w:r>
              <w:rPr>
                <w:color w:val="auto"/>
              </w:rPr>
              <w:t>《常州市</w:t>
            </w:r>
            <w:r>
              <w:rPr>
                <w:rFonts w:hint="eastAsia"/>
                <w:color w:val="auto"/>
              </w:rPr>
              <w:t>“</w:t>
            </w:r>
            <w:r>
              <w:rPr>
                <w:color w:val="auto"/>
              </w:rPr>
              <w:t>三线一单</w:t>
            </w:r>
            <w:r>
              <w:rPr>
                <w:rFonts w:hint="eastAsia"/>
                <w:color w:val="auto"/>
              </w:rPr>
              <w:t>”</w:t>
            </w:r>
            <w:r>
              <w:rPr>
                <w:color w:val="auto"/>
              </w:rPr>
              <w:t>生态环境分区管控实施方案》（常环[2020]95号）</w:t>
            </w:r>
            <w:r>
              <w:rPr>
                <w:rFonts w:hint="eastAsia"/>
                <w:color w:val="auto"/>
              </w:rPr>
              <w:t>中的各项管控要求</w:t>
            </w:r>
            <w:r>
              <w:rPr>
                <w:rFonts w:hint="eastAsia" w:cs="宋体"/>
                <w:color w:val="auto"/>
                <w:kern w:val="0"/>
                <w:lang w:bidi="ar"/>
              </w:rPr>
              <w:t>。</w:t>
            </w:r>
          </w:p>
          <w:p w14:paraId="536206A4">
            <w:pPr>
              <w:pStyle w:val="5"/>
              <w:adjustRightInd w:val="0"/>
              <w:snapToGrid w:val="0"/>
              <w:spacing w:line="360" w:lineRule="auto"/>
              <w:ind w:firstLine="482"/>
              <w:rPr>
                <w:b/>
                <w:bCs/>
                <w:color w:val="auto"/>
                <w:szCs w:val="21"/>
              </w:rPr>
            </w:pPr>
            <w:r>
              <w:rPr>
                <w:b/>
                <w:bCs/>
                <w:color w:val="auto"/>
                <w:szCs w:val="21"/>
              </w:rPr>
              <w:t>（</w:t>
            </w:r>
            <w:r>
              <w:rPr>
                <w:rFonts w:hint="eastAsia"/>
                <w:b/>
                <w:bCs/>
                <w:color w:val="auto"/>
                <w:szCs w:val="21"/>
                <w:lang w:val="en-US" w:eastAsia="zh-CN"/>
              </w:rPr>
              <w:t>3</w:t>
            </w:r>
            <w:r>
              <w:rPr>
                <w:b/>
                <w:bCs/>
                <w:color w:val="auto"/>
                <w:szCs w:val="21"/>
              </w:rPr>
              <w:t>）与《省生态环境厅关于进一步做好建设项目环境审批工作的通知》（苏环办[2019]36号）相符性</w:t>
            </w:r>
          </w:p>
          <w:p w14:paraId="704A0A26">
            <w:pPr>
              <w:pStyle w:val="5"/>
              <w:adjustRightInd w:val="0"/>
              <w:snapToGrid w:val="0"/>
              <w:spacing w:line="360" w:lineRule="auto"/>
              <w:ind w:firstLine="480"/>
              <w:rPr>
                <w:b/>
                <w:bCs/>
                <w:color w:val="auto"/>
                <w:szCs w:val="21"/>
              </w:rPr>
            </w:pPr>
            <w:r>
              <w:rPr>
                <w:color w:val="auto"/>
                <w:szCs w:val="21"/>
              </w:rPr>
              <w:t>项目与《省生态环境厅关于进一步做好建设项目环境审批工作的通知》（苏环办[2019]36号）相符性分析见</w:t>
            </w:r>
            <w:r>
              <w:rPr>
                <w:rFonts w:hint="eastAsia"/>
                <w:color w:val="auto"/>
                <w:szCs w:val="21"/>
              </w:rPr>
              <w:t>下表</w:t>
            </w:r>
            <w:r>
              <w:rPr>
                <w:color w:val="auto"/>
                <w:szCs w:val="21"/>
              </w:rPr>
              <w:t>。</w:t>
            </w:r>
          </w:p>
          <w:p w14:paraId="3303CF6D">
            <w:pPr>
              <w:pStyle w:val="5"/>
              <w:adjustRightInd w:val="0"/>
              <w:snapToGrid w:val="0"/>
              <w:ind w:firstLine="0"/>
              <w:jc w:val="center"/>
              <w:rPr>
                <w:b/>
                <w:bCs/>
                <w:color w:val="auto"/>
                <w:szCs w:val="21"/>
              </w:rPr>
            </w:pPr>
            <w:r>
              <w:rPr>
                <w:b/>
                <w:bCs/>
                <w:color w:val="auto"/>
                <w:szCs w:val="21"/>
              </w:rPr>
              <w:t>表1-</w:t>
            </w:r>
            <w:r>
              <w:rPr>
                <w:rFonts w:hint="eastAsia"/>
                <w:b/>
                <w:bCs/>
                <w:color w:val="auto"/>
                <w:szCs w:val="21"/>
                <w:lang w:val="en-US" w:eastAsia="zh-CN"/>
              </w:rPr>
              <w:t>9</w:t>
            </w:r>
            <w:r>
              <w:rPr>
                <w:rFonts w:hint="eastAsia"/>
                <w:b/>
                <w:bCs/>
                <w:color w:val="auto"/>
                <w:szCs w:val="21"/>
              </w:rPr>
              <w:t xml:space="preserve">   </w:t>
            </w:r>
            <w:r>
              <w:rPr>
                <w:b/>
                <w:bCs/>
                <w:color w:val="auto"/>
                <w:szCs w:val="21"/>
              </w:rPr>
              <w:t>与《省生态环境厅关于进一步做好建设项目环评审批工作的通知》相符性分析</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561"/>
              <w:gridCol w:w="2856"/>
              <w:gridCol w:w="734"/>
            </w:tblGrid>
            <w:tr w14:paraId="232036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797" w:type="pct"/>
                  <w:vAlign w:val="center"/>
                </w:tcPr>
                <w:p w14:paraId="7FC24689">
                  <w:pPr>
                    <w:pStyle w:val="558"/>
                    <w:adjustRightInd w:val="0"/>
                    <w:rPr>
                      <w:b/>
                      <w:color w:val="auto"/>
                    </w:rPr>
                  </w:pPr>
                  <w:r>
                    <w:rPr>
                      <w:b/>
                      <w:color w:val="auto"/>
                    </w:rPr>
                    <w:t>与项目相关要求</w:t>
                  </w:r>
                </w:p>
              </w:tc>
              <w:tc>
                <w:tcPr>
                  <w:tcW w:w="1751" w:type="pct"/>
                  <w:vAlign w:val="center"/>
                </w:tcPr>
                <w:p w14:paraId="4F045CB0">
                  <w:pPr>
                    <w:pStyle w:val="558"/>
                    <w:adjustRightInd w:val="0"/>
                    <w:rPr>
                      <w:b/>
                      <w:color w:val="auto"/>
                    </w:rPr>
                  </w:pPr>
                  <w:r>
                    <w:rPr>
                      <w:b/>
                      <w:color w:val="auto"/>
                    </w:rPr>
                    <w:t>本项目相符性分析</w:t>
                  </w:r>
                </w:p>
              </w:tc>
              <w:tc>
                <w:tcPr>
                  <w:tcW w:w="450" w:type="pct"/>
                  <w:vAlign w:val="center"/>
                </w:tcPr>
                <w:p w14:paraId="0F229886">
                  <w:pPr>
                    <w:pStyle w:val="558"/>
                    <w:adjustRightInd w:val="0"/>
                    <w:rPr>
                      <w:b/>
                      <w:color w:val="auto"/>
                    </w:rPr>
                  </w:pPr>
                  <w:r>
                    <w:rPr>
                      <w:b/>
                      <w:color w:val="auto"/>
                    </w:rPr>
                    <w:t>是否符合</w:t>
                  </w:r>
                </w:p>
              </w:tc>
            </w:tr>
            <w:tr w14:paraId="09A102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797" w:type="pct"/>
                  <w:vAlign w:val="center"/>
                </w:tcPr>
                <w:p w14:paraId="2972FCE0">
                  <w:pPr>
                    <w:adjustRightInd w:val="0"/>
                    <w:snapToGrid w:val="0"/>
                    <w:jc w:val="center"/>
                    <w:rPr>
                      <w:color w:val="auto"/>
                    </w:rPr>
                  </w:pPr>
                  <w:r>
                    <w:rPr>
                      <w:color w:val="auto"/>
                    </w:rPr>
                    <w:t>有下列情形之一的，不予批准：（1）建设项目类型及其选址、布局、规模等不符合环境保护法律法规和相关法定规划；（2）所在区域环境质量未达到国家或者地方环境质量标准，且建设项目拟采取的措施不能满足区域环境质量改善目标管理要求；（3）建设项目采取的污染防治措施无法确保污染物排放达到国家和地方排放标准，或者未采取必要措施预防和控制生态破坏；（4）改建、扩建和技术改造项目，未针对项目原有环境污染和生态破坏提出有效防止措施；（5）建设项目的环境影响报告书、环境影响报告表的基础资料数据明显不实，内容存在重大缺陷、遗漏，或者环境影响评价结论不明确、不合理。</w:t>
                  </w:r>
                </w:p>
              </w:tc>
              <w:tc>
                <w:tcPr>
                  <w:tcW w:w="1751" w:type="pct"/>
                  <w:vAlign w:val="center"/>
                </w:tcPr>
                <w:p w14:paraId="455A3E5D">
                  <w:pPr>
                    <w:adjustRightInd w:val="0"/>
                    <w:snapToGrid w:val="0"/>
                    <w:jc w:val="center"/>
                    <w:rPr>
                      <w:color w:val="auto"/>
                    </w:rPr>
                  </w:pPr>
                  <w:r>
                    <w:rPr>
                      <w:color w:val="auto"/>
                    </w:rPr>
                    <w:t>（1）项目选址位于</w:t>
                  </w:r>
                  <w:r>
                    <w:rPr>
                      <w:rFonts w:hint="eastAsia"/>
                      <w:color w:val="auto"/>
                      <w:lang w:eastAsia="zh-CN"/>
                    </w:rPr>
                    <w:t>江苏省常州市金坛区金湖路99号</w:t>
                  </w:r>
                  <w:r>
                    <w:rPr>
                      <w:color w:val="auto"/>
                    </w:rPr>
                    <w:t>，符合其规划要求；（2）项目采取的措施能够满足区域环境质量改善目标管理要求；（3）项目采取的污染防治措施能够满足污染物排放达到相关排放标准；（4）本项目为</w:t>
                  </w:r>
                  <w:r>
                    <w:rPr>
                      <w:rFonts w:hint="eastAsia"/>
                      <w:color w:val="auto"/>
                      <w:lang w:val="en-US" w:eastAsia="zh-CN"/>
                    </w:rPr>
                    <w:t>迁建</w:t>
                  </w:r>
                  <w:r>
                    <w:rPr>
                      <w:color w:val="auto"/>
                    </w:rPr>
                    <w:t>项目，</w:t>
                  </w:r>
                  <w:r>
                    <w:rPr>
                      <w:rFonts w:hint="eastAsia"/>
                      <w:color w:val="auto"/>
                      <w:lang w:val="en-US" w:eastAsia="zh-CN"/>
                    </w:rPr>
                    <w:t>原有项目未造成环境污染和生态破坏</w:t>
                  </w:r>
                  <w:r>
                    <w:rPr>
                      <w:rFonts w:hint="eastAsia"/>
                      <w:color w:val="auto"/>
                    </w:rPr>
                    <w:t>；</w:t>
                  </w:r>
                  <w:r>
                    <w:rPr>
                      <w:color w:val="auto"/>
                    </w:rPr>
                    <w:t>（5）本项目基础资料数据符合实际情况。</w:t>
                  </w:r>
                </w:p>
              </w:tc>
              <w:tc>
                <w:tcPr>
                  <w:tcW w:w="450" w:type="pct"/>
                  <w:vAlign w:val="center"/>
                </w:tcPr>
                <w:p w14:paraId="1E71337E">
                  <w:pPr>
                    <w:pStyle w:val="558"/>
                    <w:adjustRightInd w:val="0"/>
                    <w:rPr>
                      <w:color w:val="auto"/>
                    </w:rPr>
                  </w:pPr>
                  <w:r>
                    <w:rPr>
                      <w:color w:val="auto"/>
                    </w:rPr>
                    <w:t>符合</w:t>
                  </w:r>
                </w:p>
              </w:tc>
            </w:tr>
            <w:tr w14:paraId="6A40FE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797" w:type="pct"/>
                  <w:vAlign w:val="center"/>
                </w:tcPr>
                <w:p w14:paraId="2971E377">
                  <w:pPr>
                    <w:adjustRightInd w:val="0"/>
                    <w:snapToGrid w:val="0"/>
                    <w:jc w:val="center"/>
                    <w:rPr>
                      <w:color w:val="auto"/>
                    </w:rPr>
                  </w:pPr>
                  <w:r>
                    <w:rPr>
                      <w:color w:val="auto"/>
                    </w:rPr>
                    <w:t>排放主要污染物的建设项目，在环境影响评价文件审批前，须取得主要污染物排放总量指标。</w:t>
                  </w:r>
                </w:p>
              </w:tc>
              <w:tc>
                <w:tcPr>
                  <w:tcW w:w="1751" w:type="pct"/>
                  <w:vAlign w:val="center"/>
                </w:tcPr>
                <w:p w14:paraId="074C9A97">
                  <w:pPr>
                    <w:adjustRightInd w:val="0"/>
                    <w:snapToGrid w:val="0"/>
                    <w:jc w:val="center"/>
                    <w:rPr>
                      <w:color w:val="auto"/>
                    </w:rPr>
                  </w:pPr>
                  <w:r>
                    <w:rPr>
                      <w:color w:val="auto"/>
                    </w:rPr>
                    <w:t>本项目需按要求取得总量指标。</w:t>
                  </w:r>
                </w:p>
              </w:tc>
              <w:tc>
                <w:tcPr>
                  <w:tcW w:w="450" w:type="pct"/>
                  <w:vAlign w:val="center"/>
                </w:tcPr>
                <w:p w14:paraId="0E433D0C">
                  <w:pPr>
                    <w:adjustRightInd w:val="0"/>
                    <w:snapToGrid w:val="0"/>
                    <w:jc w:val="center"/>
                    <w:rPr>
                      <w:color w:val="auto"/>
                    </w:rPr>
                  </w:pPr>
                  <w:r>
                    <w:rPr>
                      <w:color w:val="auto"/>
                    </w:rPr>
                    <w:t>符合</w:t>
                  </w:r>
                </w:p>
              </w:tc>
            </w:tr>
            <w:tr w14:paraId="1AA775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797" w:type="pct"/>
                  <w:vAlign w:val="center"/>
                </w:tcPr>
                <w:p w14:paraId="5BAFA997">
                  <w:pPr>
                    <w:adjustRightInd w:val="0"/>
                    <w:snapToGrid w:val="0"/>
                    <w:jc w:val="center"/>
                    <w:rPr>
                      <w:color w:val="auto"/>
                    </w:rPr>
                  </w:pPr>
                  <w:r>
                    <w:rPr>
                      <w:color w:val="auto"/>
                    </w:rPr>
                    <w:t>严禁在长江干流及主要支流岸线1公里范围内新建布局化工园区和化工企业。</w:t>
                  </w:r>
                </w:p>
              </w:tc>
              <w:tc>
                <w:tcPr>
                  <w:tcW w:w="1751" w:type="pct"/>
                  <w:vAlign w:val="center"/>
                </w:tcPr>
                <w:p w14:paraId="4B299E03">
                  <w:pPr>
                    <w:adjustRightInd w:val="0"/>
                    <w:snapToGrid w:val="0"/>
                    <w:jc w:val="center"/>
                    <w:rPr>
                      <w:color w:val="auto"/>
                    </w:rPr>
                  </w:pPr>
                  <w:r>
                    <w:rPr>
                      <w:color w:val="auto"/>
                    </w:rPr>
                    <w:t>本项目不在长江干流及主要支流岸线1公里范围内。</w:t>
                  </w:r>
                </w:p>
              </w:tc>
              <w:tc>
                <w:tcPr>
                  <w:tcW w:w="450" w:type="pct"/>
                  <w:vAlign w:val="center"/>
                </w:tcPr>
                <w:p w14:paraId="67BDB4D5">
                  <w:pPr>
                    <w:adjustRightInd w:val="0"/>
                    <w:snapToGrid w:val="0"/>
                    <w:jc w:val="center"/>
                    <w:rPr>
                      <w:color w:val="auto"/>
                    </w:rPr>
                  </w:pPr>
                  <w:r>
                    <w:rPr>
                      <w:color w:val="auto"/>
                    </w:rPr>
                    <w:t>符合</w:t>
                  </w:r>
                </w:p>
              </w:tc>
            </w:tr>
            <w:tr w14:paraId="2FF0A5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797" w:type="pct"/>
                  <w:vAlign w:val="center"/>
                </w:tcPr>
                <w:p w14:paraId="496CF5BB">
                  <w:pPr>
                    <w:adjustRightInd w:val="0"/>
                    <w:snapToGrid w:val="0"/>
                    <w:jc w:val="center"/>
                    <w:rPr>
                      <w:color w:val="auto"/>
                    </w:rPr>
                  </w:pPr>
                  <w:r>
                    <w:rPr>
                      <w:color w:val="auto"/>
                    </w:rPr>
                    <w:t>生态保护红线原则上按禁止开发区域的要求进行管理，严禁不符合主体功能定位的各类开发活动，严禁任意改变用途。</w:t>
                  </w:r>
                </w:p>
              </w:tc>
              <w:tc>
                <w:tcPr>
                  <w:tcW w:w="1751" w:type="pct"/>
                  <w:vAlign w:val="center"/>
                </w:tcPr>
                <w:p w14:paraId="1FCE4A4D">
                  <w:pPr>
                    <w:adjustRightInd w:val="0"/>
                    <w:snapToGrid w:val="0"/>
                    <w:jc w:val="center"/>
                    <w:rPr>
                      <w:color w:val="auto"/>
                    </w:rPr>
                  </w:pPr>
                  <w:r>
                    <w:rPr>
                      <w:color w:val="auto"/>
                    </w:rPr>
                    <w:t>本项目不在生态保护红线范围内。</w:t>
                  </w:r>
                </w:p>
              </w:tc>
              <w:tc>
                <w:tcPr>
                  <w:tcW w:w="450" w:type="pct"/>
                  <w:vAlign w:val="center"/>
                </w:tcPr>
                <w:p w14:paraId="5AECC02F">
                  <w:pPr>
                    <w:adjustRightInd w:val="0"/>
                    <w:snapToGrid w:val="0"/>
                    <w:jc w:val="center"/>
                    <w:rPr>
                      <w:color w:val="auto"/>
                    </w:rPr>
                  </w:pPr>
                  <w:r>
                    <w:rPr>
                      <w:color w:val="auto"/>
                    </w:rPr>
                    <w:t>符合</w:t>
                  </w:r>
                </w:p>
              </w:tc>
            </w:tr>
            <w:tr w14:paraId="684FA5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797" w:type="pct"/>
                  <w:vAlign w:val="center"/>
                </w:tcPr>
                <w:p w14:paraId="6AD82777">
                  <w:pPr>
                    <w:adjustRightInd w:val="0"/>
                    <w:snapToGrid w:val="0"/>
                    <w:jc w:val="center"/>
                    <w:rPr>
                      <w:color w:val="auto"/>
                    </w:rPr>
                  </w:pPr>
                  <w:r>
                    <w:rPr>
                      <w:color w:val="auto"/>
                    </w:rPr>
                    <w:t>禁止审批无法落实危险废物利用、处置途径的项目，从严审批危险废物产生量大、本地无配套利用处置能力、且需设区市统筹解决的项目。</w:t>
                  </w:r>
                </w:p>
              </w:tc>
              <w:tc>
                <w:tcPr>
                  <w:tcW w:w="1751" w:type="pct"/>
                  <w:vAlign w:val="center"/>
                </w:tcPr>
                <w:p w14:paraId="25A60F9C">
                  <w:pPr>
                    <w:adjustRightInd w:val="0"/>
                    <w:snapToGrid w:val="0"/>
                    <w:jc w:val="center"/>
                    <w:rPr>
                      <w:color w:val="auto"/>
                    </w:rPr>
                  </w:pPr>
                  <w:r>
                    <w:rPr>
                      <w:color w:val="auto"/>
                    </w:rPr>
                    <w:t>本项目产生的危险废物</w:t>
                  </w:r>
                  <w:r>
                    <w:rPr>
                      <w:rFonts w:hint="eastAsia"/>
                      <w:color w:val="auto"/>
                    </w:rPr>
                    <w:t>均收集后</w:t>
                  </w:r>
                  <w:r>
                    <w:rPr>
                      <w:color w:val="auto"/>
                    </w:rPr>
                    <w:t>委托有资质单位处置。</w:t>
                  </w:r>
                </w:p>
              </w:tc>
              <w:tc>
                <w:tcPr>
                  <w:tcW w:w="450" w:type="pct"/>
                  <w:vAlign w:val="center"/>
                </w:tcPr>
                <w:p w14:paraId="41AD1F72">
                  <w:pPr>
                    <w:adjustRightInd w:val="0"/>
                    <w:snapToGrid w:val="0"/>
                    <w:jc w:val="center"/>
                    <w:rPr>
                      <w:color w:val="auto"/>
                    </w:rPr>
                  </w:pPr>
                  <w:r>
                    <w:rPr>
                      <w:color w:val="auto"/>
                    </w:rPr>
                    <w:t>符合</w:t>
                  </w:r>
                </w:p>
              </w:tc>
            </w:tr>
          </w:tbl>
          <w:p w14:paraId="250178C7">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color w:val="auto"/>
              </w:rPr>
            </w:pPr>
            <w:r>
              <w:rPr>
                <w:b/>
                <w:bCs/>
                <w:color w:val="auto"/>
                <w:szCs w:val="21"/>
              </w:rPr>
              <w:t>（</w:t>
            </w:r>
            <w:r>
              <w:rPr>
                <w:rFonts w:hint="eastAsia"/>
                <w:b/>
                <w:bCs/>
                <w:color w:val="auto"/>
                <w:szCs w:val="21"/>
                <w:lang w:val="en-US" w:eastAsia="zh-CN"/>
              </w:rPr>
              <w:t>4</w:t>
            </w:r>
            <w:r>
              <w:rPr>
                <w:b/>
                <w:bCs/>
                <w:color w:val="auto"/>
                <w:szCs w:val="21"/>
              </w:rPr>
              <w:t>）</w:t>
            </w:r>
            <w:r>
              <w:rPr>
                <w:rFonts w:hint="eastAsia"/>
                <w:b/>
                <w:bCs/>
                <w:color w:val="auto"/>
                <w:szCs w:val="21"/>
              </w:rPr>
              <w:t>与《江苏省空气质量持续改善行动计划实施方案》苏政发〔2024〕53号相符性</w:t>
            </w:r>
          </w:p>
          <w:p w14:paraId="263A7D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bCs/>
                <w:color w:val="auto"/>
                <w:lang w:val="en-US" w:eastAsia="zh-CN"/>
              </w:rPr>
            </w:pPr>
            <w:r>
              <w:rPr>
                <w:rFonts w:hint="eastAsia"/>
                <w:b/>
                <w:bCs/>
                <w:color w:val="auto"/>
                <w:lang w:val="en-US" w:eastAsia="zh-CN"/>
              </w:rPr>
              <w:t xml:space="preserve">表1-10   </w:t>
            </w:r>
            <w:r>
              <w:rPr>
                <w:rFonts w:hint="eastAsia"/>
                <w:b/>
                <w:bCs/>
                <w:color w:val="auto"/>
                <w:szCs w:val="21"/>
              </w:rPr>
              <w:t>与《江苏省空气质量持续改善行动计划实施方案》苏政发〔2024〕53号相符性</w:t>
            </w:r>
            <w:r>
              <w:rPr>
                <w:rFonts w:hint="eastAsia"/>
                <w:b/>
                <w:bCs/>
                <w:color w:val="auto"/>
                <w:szCs w:val="21"/>
                <w:lang w:val="en-US" w:eastAsia="zh-CN"/>
              </w:rPr>
              <w:t>分析</w:t>
            </w:r>
          </w:p>
          <w:tbl>
            <w:tblPr>
              <w:tblStyle w:val="60"/>
              <w:tblW w:w="8196"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062"/>
              <w:gridCol w:w="3648"/>
              <w:gridCol w:w="2580"/>
              <w:gridCol w:w="906"/>
            </w:tblGrid>
            <w:tr w14:paraId="4D257E1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62" w:type="dxa"/>
                  <w:tcBorders>
                    <w:tl2br w:val="nil"/>
                    <w:tr2bl w:val="nil"/>
                  </w:tcBorders>
                  <w:vAlign w:val="center"/>
                </w:tcPr>
                <w:p w14:paraId="7933EE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类别</w:t>
                  </w:r>
                </w:p>
              </w:tc>
              <w:tc>
                <w:tcPr>
                  <w:tcW w:w="3648" w:type="dxa"/>
                  <w:tcBorders>
                    <w:tl2br w:val="nil"/>
                    <w:tr2bl w:val="nil"/>
                  </w:tcBorders>
                  <w:vAlign w:val="center"/>
                </w:tcPr>
                <w:p w14:paraId="486F04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
                      <w:bCs/>
                      <w:color w:val="auto"/>
                      <w:sz w:val="21"/>
                      <w:szCs w:val="21"/>
                      <w:vertAlign w:val="baseline"/>
                      <w:lang w:val="en-US" w:eastAsia="zh-CN"/>
                    </w:rPr>
                  </w:pPr>
                  <w:r>
                    <w:rPr>
                      <w:rFonts w:hint="eastAsia"/>
                      <w:b/>
                      <w:bCs/>
                      <w:color w:val="auto"/>
                      <w:sz w:val="21"/>
                      <w:szCs w:val="21"/>
                      <w:vertAlign w:val="baseline"/>
                      <w:lang w:val="en-US" w:eastAsia="zh-CN"/>
                    </w:rPr>
                    <w:t>内容</w:t>
                  </w:r>
                </w:p>
              </w:tc>
              <w:tc>
                <w:tcPr>
                  <w:tcW w:w="2580" w:type="dxa"/>
                  <w:tcBorders>
                    <w:tl2br w:val="nil"/>
                    <w:tr2bl w:val="nil"/>
                  </w:tcBorders>
                  <w:vAlign w:val="center"/>
                </w:tcPr>
                <w:p w14:paraId="57D727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本项目情况</w:t>
                  </w:r>
                </w:p>
              </w:tc>
              <w:tc>
                <w:tcPr>
                  <w:tcW w:w="906" w:type="dxa"/>
                  <w:tcBorders>
                    <w:tl2br w:val="nil"/>
                    <w:tr2bl w:val="nil"/>
                  </w:tcBorders>
                  <w:vAlign w:val="center"/>
                </w:tcPr>
                <w:p w14:paraId="1385C5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
                      <w:bCs/>
                      <w:color w:val="auto"/>
                      <w:sz w:val="21"/>
                      <w:szCs w:val="21"/>
                      <w:vertAlign w:val="baseline"/>
                      <w:lang w:val="en-US" w:eastAsia="zh-CN"/>
                    </w:rPr>
                  </w:pPr>
                  <w:r>
                    <w:rPr>
                      <w:rFonts w:hint="eastAsia"/>
                      <w:b/>
                      <w:bCs/>
                      <w:color w:val="auto"/>
                      <w:sz w:val="21"/>
                      <w:szCs w:val="21"/>
                      <w:vertAlign w:val="baseline"/>
                      <w:lang w:val="en-US" w:eastAsia="zh-CN"/>
                    </w:rPr>
                    <w:t>相符性</w:t>
                  </w:r>
                </w:p>
              </w:tc>
            </w:tr>
            <w:tr w14:paraId="19D621C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62" w:type="dxa"/>
                  <w:vMerge w:val="restart"/>
                  <w:tcBorders>
                    <w:tl2br w:val="nil"/>
                    <w:tr2bl w:val="nil"/>
                  </w:tcBorders>
                  <w:vAlign w:val="center"/>
                </w:tcPr>
                <w:p w14:paraId="730EFA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vertAlign w:val="baseline"/>
                    </w:rPr>
                  </w:pPr>
                  <w:r>
                    <w:rPr>
                      <w:rFonts w:hint="eastAsia"/>
                      <w:color w:val="auto"/>
                      <w:sz w:val="21"/>
                      <w:szCs w:val="21"/>
                      <w:vertAlign w:val="baseline"/>
                      <w:lang w:val="en-US" w:eastAsia="zh-CN"/>
                    </w:rPr>
                    <w:t>二、优化产业结构，促进产业绿色低碳升级</w:t>
                  </w:r>
                </w:p>
              </w:tc>
              <w:tc>
                <w:tcPr>
                  <w:tcW w:w="3648" w:type="dxa"/>
                  <w:tcBorders>
                    <w:tl2br w:val="nil"/>
                    <w:tr2bl w:val="nil"/>
                  </w:tcBorders>
                  <w:vAlign w:val="center"/>
                </w:tcPr>
                <w:p w14:paraId="34C836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一）坚决遏制高耗能、高排放、低水平项目盲目上马。研究制定“两高”项目管理目录。严禁核准或备案钢铁（炼钢、炼铁）、焦化、电解铝、水泥（熟料）、平板玻璃（不含光伏压延玻璃）和炼化（纳入国家产业规划除外）等行业新增产能的项目。到2025年，短流程炼钢产量占比力争达20%以上。</w:t>
                  </w:r>
                </w:p>
              </w:tc>
              <w:tc>
                <w:tcPr>
                  <w:tcW w:w="2580" w:type="dxa"/>
                  <w:tcBorders>
                    <w:tl2br w:val="nil"/>
                    <w:tr2bl w:val="nil"/>
                  </w:tcBorders>
                  <w:vAlign w:val="center"/>
                </w:tcPr>
                <w:p w14:paraId="6F12F5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本项目</w:t>
                  </w:r>
                  <w:r>
                    <w:rPr>
                      <w:rFonts w:hint="eastAsia"/>
                      <w:color w:val="auto"/>
                    </w:rPr>
                    <w:t>属于</w:t>
                  </w:r>
                  <w:r>
                    <w:rPr>
                      <w:rFonts w:hint="eastAsia"/>
                      <w:bCs/>
                      <w:color w:val="auto"/>
                      <w:kern w:val="0"/>
                      <w:lang w:eastAsia="zh-CN"/>
                    </w:rPr>
                    <w:t>C2110木质家具制造</w:t>
                  </w:r>
                  <w:r>
                    <w:rPr>
                      <w:rFonts w:hint="eastAsia"/>
                      <w:bCs/>
                      <w:color w:val="auto"/>
                      <w:lang w:eastAsia="zh-CN"/>
                    </w:rPr>
                    <w:t>，</w:t>
                  </w:r>
                  <w:r>
                    <w:rPr>
                      <w:rFonts w:hint="eastAsia"/>
                      <w:bCs/>
                      <w:color w:val="auto"/>
                      <w:lang w:val="en-US" w:eastAsia="zh-CN"/>
                    </w:rPr>
                    <w:t>不属于“两高”项目。不属于</w:t>
                  </w:r>
                  <w:r>
                    <w:rPr>
                      <w:rFonts w:hint="eastAsia"/>
                      <w:color w:val="auto"/>
                      <w:sz w:val="21"/>
                      <w:szCs w:val="21"/>
                      <w:vertAlign w:val="baseline"/>
                      <w:lang w:val="en-US" w:eastAsia="zh-CN"/>
                    </w:rPr>
                    <w:t>钢铁（炼钢、炼铁）、焦化、电解铝、水泥（熟料）、平板玻璃（不含光伏压延玻璃）和炼化（纳入国家产业规划除外）等行业</w:t>
                  </w:r>
                </w:p>
              </w:tc>
              <w:tc>
                <w:tcPr>
                  <w:tcW w:w="906" w:type="dxa"/>
                  <w:tcBorders>
                    <w:tl2br w:val="nil"/>
                    <w:tr2bl w:val="nil"/>
                  </w:tcBorders>
                  <w:vAlign w:val="center"/>
                </w:tcPr>
                <w:p w14:paraId="20D51D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vertAlign w:val="baseline"/>
                    </w:rPr>
                  </w:pPr>
                  <w:r>
                    <w:rPr>
                      <w:rFonts w:hint="eastAsia"/>
                      <w:color w:val="auto"/>
                      <w:sz w:val="21"/>
                      <w:szCs w:val="21"/>
                      <w:vertAlign w:val="baseline"/>
                      <w:lang w:val="en-US" w:eastAsia="zh-CN"/>
                    </w:rPr>
                    <w:t>相符</w:t>
                  </w:r>
                </w:p>
              </w:tc>
            </w:tr>
            <w:tr w14:paraId="057071B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62" w:type="dxa"/>
                  <w:vMerge w:val="continue"/>
                  <w:tcBorders>
                    <w:tl2br w:val="nil"/>
                    <w:tr2bl w:val="nil"/>
                  </w:tcBorders>
                  <w:vAlign w:val="center"/>
                </w:tcPr>
                <w:p w14:paraId="281FB6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vertAlign w:val="baseline"/>
                    </w:rPr>
                  </w:pPr>
                </w:p>
              </w:tc>
              <w:tc>
                <w:tcPr>
                  <w:tcW w:w="3648" w:type="dxa"/>
                  <w:tcBorders>
                    <w:tl2br w:val="nil"/>
                    <w:tr2bl w:val="nil"/>
                  </w:tcBorders>
                  <w:vAlign w:val="center"/>
                </w:tcPr>
                <w:p w14:paraId="68665B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（二）加快退出重点行业落后产能。落实《产业结构调整指导目录》，逐步退出限制类涉气行业工艺和装备。逐步淘汰步进式烧结机和球团竖炉以及半封闭式硅锰合金、镍铁、高碳铬铁、高碳锰铁电炉。</w:t>
                  </w:r>
                </w:p>
              </w:tc>
              <w:tc>
                <w:tcPr>
                  <w:tcW w:w="2580" w:type="dxa"/>
                  <w:tcBorders>
                    <w:tl2br w:val="nil"/>
                    <w:tr2bl w:val="nil"/>
                  </w:tcBorders>
                  <w:vAlign w:val="center"/>
                </w:tcPr>
                <w:p w14:paraId="16C4EF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color w:val="auto"/>
                    </w:rPr>
                    <w:t>对照《产业结构调整指导目录（</w:t>
                  </w:r>
                  <w:r>
                    <w:rPr>
                      <w:rFonts w:hint="eastAsia"/>
                      <w:color w:val="auto"/>
                    </w:rPr>
                    <w:t>2024年本</w:t>
                  </w:r>
                  <w:r>
                    <w:rPr>
                      <w:color w:val="auto"/>
                    </w:rPr>
                    <w:t>）》，项目不属于其限制类或淘汰类项目，属于允许建设项目</w:t>
                  </w:r>
                </w:p>
              </w:tc>
              <w:tc>
                <w:tcPr>
                  <w:tcW w:w="906" w:type="dxa"/>
                  <w:tcBorders>
                    <w:tl2br w:val="nil"/>
                    <w:tr2bl w:val="nil"/>
                  </w:tcBorders>
                  <w:vAlign w:val="center"/>
                </w:tcPr>
                <w:p w14:paraId="51716E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相符</w:t>
                  </w:r>
                </w:p>
              </w:tc>
            </w:tr>
            <w:tr w14:paraId="69BA616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62" w:type="dxa"/>
                  <w:vMerge w:val="continue"/>
                  <w:tcBorders>
                    <w:tl2br w:val="nil"/>
                    <w:tr2bl w:val="nil"/>
                  </w:tcBorders>
                  <w:vAlign w:val="center"/>
                </w:tcPr>
                <w:p w14:paraId="759B27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vertAlign w:val="baseline"/>
                    </w:rPr>
                  </w:pPr>
                </w:p>
              </w:tc>
              <w:tc>
                <w:tcPr>
                  <w:tcW w:w="3648" w:type="dxa"/>
                  <w:tcBorders>
                    <w:tl2br w:val="nil"/>
                    <w:tr2bl w:val="nil"/>
                  </w:tcBorders>
                  <w:vAlign w:val="center"/>
                </w:tcPr>
                <w:p w14:paraId="49E6B0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四）优化含VOCs原辅材料和产品结构。严格控制生产和使用高VOCs含量涂料、油墨、胶粘剂、清洗剂等建设项目。加大工业涂装、包装印刷和电子行业清洁原料替代力度。鼓励和推进汽车4S店、大型汽修厂实施水性涂料替代。</w:t>
                  </w:r>
                </w:p>
              </w:tc>
              <w:tc>
                <w:tcPr>
                  <w:tcW w:w="2580" w:type="dxa"/>
                  <w:tcBorders>
                    <w:tl2br w:val="nil"/>
                    <w:tr2bl w:val="nil"/>
                  </w:tcBorders>
                  <w:vAlign w:val="center"/>
                </w:tcPr>
                <w:p w14:paraId="26B970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vertAlign w:val="baseline"/>
                      <w:lang w:val="en-US" w:eastAsia="zh-CN"/>
                    </w:rPr>
                  </w:pPr>
                  <w:r>
                    <w:rPr>
                      <w:rFonts w:hint="eastAsia"/>
                      <w:color w:val="auto"/>
                      <w:spacing w:val="0"/>
                      <w:kern w:val="0"/>
                      <w:lang w:val="en-US" w:eastAsia="zh-CN"/>
                    </w:rPr>
                    <w:t>项目</w:t>
                  </w:r>
                  <w:r>
                    <w:rPr>
                      <w:rFonts w:hint="eastAsia"/>
                      <w:color w:val="auto"/>
                      <w:spacing w:val="0"/>
                      <w:kern w:val="0"/>
                    </w:rPr>
                    <w:t>水性</w:t>
                  </w:r>
                  <w:r>
                    <w:rPr>
                      <w:rFonts w:hint="eastAsia"/>
                      <w:color w:val="auto"/>
                      <w:spacing w:val="0"/>
                      <w:kern w:val="0"/>
                      <w:lang w:val="en-US" w:eastAsia="zh-CN"/>
                    </w:rPr>
                    <w:t>漆</w:t>
                  </w:r>
                  <w:r>
                    <w:rPr>
                      <w:rFonts w:hint="eastAsia"/>
                      <w:color w:val="auto"/>
                      <w:spacing w:val="0"/>
                      <w:kern w:val="0"/>
                    </w:rPr>
                    <w:t>VOC含量为</w:t>
                  </w:r>
                  <w:r>
                    <w:rPr>
                      <w:rFonts w:hint="eastAsia"/>
                      <w:color w:val="auto"/>
                      <w:spacing w:val="0"/>
                      <w:kern w:val="0"/>
                      <w:lang w:val="en-US" w:eastAsia="zh-CN"/>
                    </w:rPr>
                    <w:t>125g/L、161</w:t>
                  </w:r>
                  <w:r>
                    <w:rPr>
                      <w:rFonts w:hint="eastAsia"/>
                      <w:color w:val="auto"/>
                      <w:spacing w:val="0"/>
                      <w:kern w:val="0"/>
                    </w:rPr>
                    <w:t>g/L</w:t>
                  </w:r>
                  <w:r>
                    <w:rPr>
                      <w:rFonts w:hint="eastAsia"/>
                      <w:color w:val="auto"/>
                      <w:spacing w:val="0"/>
                      <w:kern w:val="0"/>
                      <w:lang w:eastAsia="zh-CN"/>
                    </w:rPr>
                    <w:t>、</w:t>
                  </w:r>
                  <w:r>
                    <w:rPr>
                      <w:rFonts w:hint="eastAsia"/>
                      <w:color w:val="auto"/>
                      <w:spacing w:val="0"/>
                      <w:kern w:val="0"/>
                      <w:lang w:val="en-US" w:eastAsia="zh-CN"/>
                    </w:rPr>
                    <w:t>266g/L、131g/L、152g/L，油性漆</w:t>
                  </w:r>
                  <w:r>
                    <w:rPr>
                      <w:rFonts w:hint="eastAsia"/>
                      <w:color w:val="auto"/>
                      <w:spacing w:val="0"/>
                      <w:kern w:val="0"/>
                    </w:rPr>
                    <w:t>VOC含量为</w:t>
                  </w:r>
                  <w:r>
                    <w:rPr>
                      <w:rFonts w:hint="eastAsia"/>
                      <w:color w:val="auto"/>
                      <w:spacing w:val="0"/>
                      <w:kern w:val="0"/>
                      <w:lang w:val="en-US" w:eastAsia="zh-CN"/>
                    </w:rPr>
                    <w:t>381</w:t>
                  </w:r>
                  <w:r>
                    <w:rPr>
                      <w:rFonts w:hint="eastAsia"/>
                      <w:color w:val="auto"/>
                      <w:spacing w:val="0"/>
                      <w:kern w:val="0"/>
                    </w:rPr>
                    <w:t>g/L</w:t>
                  </w:r>
                  <w:r>
                    <w:rPr>
                      <w:rFonts w:hint="eastAsia"/>
                      <w:color w:val="auto"/>
                      <w:spacing w:val="0"/>
                      <w:kern w:val="0"/>
                      <w:lang w:val="en-US" w:eastAsia="zh-CN"/>
                    </w:rPr>
                    <w:t>、412g/L、358g/L</w:t>
                  </w:r>
                  <w:r>
                    <w:rPr>
                      <w:rFonts w:hint="eastAsia"/>
                      <w:color w:val="auto"/>
                      <w:spacing w:val="0"/>
                      <w:kern w:val="0"/>
                    </w:rPr>
                    <w:t>，符合《低挥发性有机化合物含量涂料产品技术要求》（GB/T 38597-2020）中限值要求</w:t>
                  </w:r>
                </w:p>
              </w:tc>
              <w:tc>
                <w:tcPr>
                  <w:tcW w:w="906" w:type="dxa"/>
                  <w:tcBorders>
                    <w:tl2br w:val="nil"/>
                    <w:tr2bl w:val="nil"/>
                  </w:tcBorders>
                  <w:vAlign w:val="center"/>
                </w:tcPr>
                <w:p w14:paraId="0D5544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相符</w:t>
                  </w:r>
                </w:p>
              </w:tc>
            </w:tr>
          </w:tbl>
          <w:p w14:paraId="2EF078FB">
            <w:pPr>
              <w:pStyle w:val="6"/>
              <w:keepNext/>
              <w:keepLines/>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22" w:firstLineChars="20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lang w:val="en-US" w:eastAsia="zh-CN"/>
              </w:rPr>
              <w:t>）与《关于加强重点行业涉新污染物建设项目环境影响评价工作的意见》（环环评【2025】28号）</w:t>
            </w:r>
            <w:r>
              <w:rPr>
                <w:rFonts w:hint="eastAsia" w:cs="Times New Roman"/>
                <w:color w:val="auto"/>
                <w:sz w:val="21"/>
                <w:szCs w:val="21"/>
                <w:lang w:val="en-US" w:eastAsia="zh-CN"/>
              </w:rPr>
              <w:t>及其附表</w:t>
            </w:r>
            <w:r>
              <w:rPr>
                <w:rFonts w:hint="default" w:ascii="Times New Roman" w:hAnsi="Times New Roman" w:cs="Times New Roman"/>
                <w:color w:val="auto"/>
                <w:sz w:val="21"/>
                <w:szCs w:val="21"/>
                <w:lang w:val="en-US" w:eastAsia="zh-CN"/>
              </w:rPr>
              <w:t>《不予审批环评的项目类别》相符性</w:t>
            </w:r>
          </w:p>
          <w:p w14:paraId="1C97147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bCs/>
                <w:color w:val="auto"/>
                <w:lang w:val="en-US" w:eastAsia="zh-CN"/>
              </w:rPr>
            </w:pPr>
            <w:r>
              <w:rPr>
                <w:rFonts w:hint="eastAsia"/>
                <w:b/>
                <w:bCs/>
                <w:color w:val="auto"/>
                <w:lang w:val="en-US" w:eastAsia="zh-CN"/>
              </w:rPr>
              <w:t>表1-11   与《关于加强重点行业涉新污染物建设项目环境影响评价工作的意见》（环环评【2025】28号）相符性分析</w:t>
            </w:r>
          </w:p>
          <w:tbl>
            <w:tblPr>
              <w:tblStyle w:val="60"/>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902"/>
              <w:gridCol w:w="3318"/>
              <w:gridCol w:w="3005"/>
              <w:gridCol w:w="923"/>
            </w:tblGrid>
            <w:tr w14:paraId="351FAEA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08" w:type="dxa"/>
                  <w:tcBorders>
                    <w:tl2br w:val="nil"/>
                    <w:tr2bl w:val="nil"/>
                  </w:tcBorders>
                  <w:noWrap w:val="0"/>
                  <w:vAlign w:val="center"/>
                </w:tcPr>
                <w:p w14:paraId="42CEFCBF">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类别</w:t>
                  </w:r>
                </w:p>
              </w:tc>
              <w:tc>
                <w:tcPr>
                  <w:tcW w:w="3345" w:type="dxa"/>
                  <w:tcBorders>
                    <w:tl2br w:val="nil"/>
                    <w:tr2bl w:val="nil"/>
                  </w:tcBorders>
                  <w:noWrap w:val="0"/>
                  <w:vAlign w:val="center"/>
                </w:tcPr>
                <w:p w14:paraId="456AE6E7">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内容</w:t>
                  </w:r>
                </w:p>
              </w:tc>
              <w:tc>
                <w:tcPr>
                  <w:tcW w:w="3030" w:type="dxa"/>
                  <w:tcBorders>
                    <w:tl2br w:val="nil"/>
                    <w:tr2bl w:val="nil"/>
                  </w:tcBorders>
                  <w:noWrap w:val="0"/>
                  <w:vAlign w:val="center"/>
                </w:tcPr>
                <w:p w14:paraId="3C4EA431">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本项目情况</w:t>
                  </w:r>
                </w:p>
              </w:tc>
              <w:tc>
                <w:tcPr>
                  <w:tcW w:w="929" w:type="dxa"/>
                  <w:tcBorders>
                    <w:tl2br w:val="nil"/>
                    <w:tr2bl w:val="nil"/>
                  </w:tcBorders>
                  <w:noWrap w:val="0"/>
                  <w:vAlign w:val="center"/>
                </w:tcPr>
                <w:p w14:paraId="7590F11B">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相符性</w:t>
                  </w:r>
                </w:p>
              </w:tc>
            </w:tr>
            <w:tr w14:paraId="7C1B7D9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08" w:type="dxa"/>
                  <w:tcBorders>
                    <w:tl2br w:val="nil"/>
                    <w:tr2bl w:val="nil"/>
                  </w:tcBorders>
                  <w:noWrap w:val="0"/>
                  <w:vAlign w:val="center"/>
                </w:tcPr>
                <w:p w14:paraId="301DBF2D">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cs="Times New Roman"/>
                      <w:b w:val="0"/>
                      <w:bCs w:val="0"/>
                      <w:color w:val="auto"/>
                      <w:kern w:val="0"/>
                      <w:sz w:val="21"/>
                      <w:szCs w:val="21"/>
                      <w:vertAlign w:val="baseline"/>
                      <w:lang w:val="en-US" w:eastAsia="zh-CN"/>
                    </w:rPr>
                    <w:t>突出管理重点</w:t>
                  </w:r>
                </w:p>
              </w:tc>
              <w:tc>
                <w:tcPr>
                  <w:tcW w:w="3345" w:type="dxa"/>
                  <w:tcBorders>
                    <w:tl2br w:val="nil"/>
                    <w:tr2bl w:val="nil"/>
                  </w:tcBorders>
                  <w:noWrap w:val="0"/>
                  <w:vAlign w:val="center"/>
                </w:tcPr>
                <w:p w14:paraId="172A2156">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重点关注重点管控新污染物清单、有毒有害污染物名录、优先控制化学品名录以及《关于持久性有机污染物的斯德哥尔摩公约》（简称《斯德哥尔摩公约》）附件中已发布环境质量标准、污染物排放标准、环境监测方法标准或其他具有污染治理技术的污染物。重点关注石化、涂料、纺织印染、橡胶、农药、医药等重点行业建设项目，在建设项目环评工作中做好上述新污染物识别，涉及上述新污染物的，执行本意见要求；不涉及新污染物的，无需开展相关工作。</w:t>
                  </w:r>
                </w:p>
              </w:tc>
              <w:tc>
                <w:tcPr>
                  <w:tcW w:w="3030" w:type="dxa"/>
                  <w:tcBorders>
                    <w:tl2br w:val="nil"/>
                    <w:tr2bl w:val="nil"/>
                  </w:tcBorders>
                  <w:noWrap w:val="0"/>
                  <w:vAlign w:val="center"/>
                </w:tcPr>
                <w:p w14:paraId="2F85DBF6">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cs="Times New Roman"/>
                      <w:b w:val="0"/>
                      <w:bCs w:val="0"/>
                      <w:color w:val="auto"/>
                      <w:kern w:val="0"/>
                      <w:sz w:val="21"/>
                      <w:szCs w:val="21"/>
                      <w:vertAlign w:val="baseline"/>
                      <w:lang w:val="en-US" w:eastAsia="zh-CN"/>
                    </w:rPr>
                    <w:t>本项目废气</w:t>
                  </w:r>
                  <w:r>
                    <w:rPr>
                      <w:rFonts w:hint="eastAsia" w:ascii="Times New Roman" w:hAnsi="Times New Roman" w:cs="Times New Roman"/>
                      <w:b w:val="0"/>
                      <w:bCs w:val="0"/>
                      <w:color w:val="auto"/>
                      <w:kern w:val="0"/>
                      <w:sz w:val="21"/>
                      <w:szCs w:val="21"/>
                      <w:vertAlign w:val="baseline"/>
                      <w:lang w:val="en-US" w:eastAsia="zh-CN"/>
                    </w:rPr>
                    <w:t>为非甲烷总烃、颗粒物</w:t>
                  </w:r>
                  <w:r>
                    <w:rPr>
                      <w:rFonts w:hint="default" w:ascii="Times New Roman" w:hAnsi="Times New Roman" w:cs="Times New Roman"/>
                      <w:b w:val="0"/>
                      <w:bCs w:val="0"/>
                      <w:color w:val="auto"/>
                      <w:kern w:val="0"/>
                      <w:sz w:val="21"/>
                      <w:szCs w:val="21"/>
                      <w:vertAlign w:val="baseline"/>
                      <w:lang w:val="en-US" w:eastAsia="zh-CN"/>
                    </w:rPr>
                    <w:t>，</w:t>
                  </w:r>
                  <w:r>
                    <w:rPr>
                      <w:rFonts w:hint="eastAsia" w:ascii="Times New Roman" w:hAnsi="Times New Roman" w:cs="Times New Roman"/>
                      <w:b w:val="0"/>
                      <w:bCs w:val="0"/>
                      <w:color w:val="auto"/>
                      <w:kern w:val="0"/>
                      <w:sz w:val="21"/>
                      <w:szCs w:val="21"/>
                      <w:vertAlign w:val="baseline"/>
                      <w:lang w:val="en-US" w:eastAsia="zh-CN"/>
                    </w:rPr>
                    <w:t>不属于重点管控新污染物清单、有毒有害污染物名录、优先控制化学品名录以及《斯德哥尔摩公约》中污染物</w:t>
                  </w:r>
                  <w:r>
                    <w:rPr>
                      <w:rFonts w:hint="default" w:ascii="Times New Roman" w:hAnsi="Times New Roman" w:cs="Times New Roman"/>
                      <w:b w:val="0"/>
                      <w:bCs w:val="0"/>
                      <w:color w:val="auto"/>
                      <w:kern w:val="0"/>
                      <w:sz w:val="21"/>
                      <w:szCs w:val="21"/>
                      <w:vertAlign w:val="baseline"/>
                      <w:lang w:val="en-US" w:eastAsia="zh-CN"/>
                    </w:rPr>
                    <w:t>。本项目不属于石化、涂料、纺织印染、橡胶、农药、医药等重点行业建设项目</w:t>
                  </w:r>
                </w:p>
              </w:tc>
              <w:tc>
                <w:tcPr>
                  <w:tcW w:w="929" w:type="dxa"/>
                  <w:tcBorders>
                    <w:tl2br w:val="nil"/>
                    <w:tr2bl w:val="nil"/>
                  </w:tcBorders>
                  <w:noWrap w:val="0"/>
                  <w:vAlign w:val="center"/>
                </w:tcPr>
                <w:p w14:paraId="045F45D5">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cs="Times New Roman"/>
                      <w:b w:val="0"/>
                      <w:bCs w:val="0"/>
                      <w:color w:val="auto"/>
                      <w:kern w:val="0"/>
                      <w:sz w:val="21"/>
                      <w:szCs w:val="21"/>
                      <w:vertAlign w:val="baseline"/>
                      <w:lang w:val="en-US" w:eastAsia="zh-CN"/>
                    </w:rPr>
                    <w:t>相符</w:t>
                  </w:r>
                </w:p>
              </w:tc>
            </w:tr>
            <w:tr w14:paraId="51992B3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08" w:type="dxa"/>
                  <w:tcBorders>
                    <w:tl2br w:val="nil"/>
                    <w:tr2bl w:val="nil"/>
                  </w:tcBorders>
                  <w:noWrap w:val="0"/>
                  <w:vAlign w:val="center"/>
                </w:tcPr>
                <w:p w14:paraId="6FD971EC">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cs="Times New Roman"/>
                      <w:b w:val="0"/>
                      <w:bCs w:val="0"/>
                      <w:color w:val="auto"/>
                      <w:kern w:val="0"/>
                      <w:sz w:val="21"/>
                      <w:szCs w:val="21"/>
                      <w:vertAlign w:val="baseline"/>
                      <w:lang w:val="en-US" w:eastAsia="zh-CN"/>
                    </w:rPr>
                    <w:t>禁止审批不符合新污染物管控要求的建设项目</w:t>
                  </w:r>
                </w:p>
              </w:tc>
              <w:tc>
                <w:tcPr>
                  <w:tcW w:w="3345" w:type="dxa"/>
                  <w:tcBorders>
                    <w:tl2br w:val="nil"/>
                    <w:tr2bl w:val="nil"/>
                  </w:tcBorders>
                  <w:noWrap w:val="0"/>
                  <w:vAlign w:val="center"/>
                </w:tcPr>
                <w:p w14:paraId="7841B907">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各级环评审批部门在受理和审批建设项目环评文件时，应落实重点管控新污染物清单、产业结构调整指导目录、《斯德哥尔摩公约》、生态环境分区管控方案和项目所在园区规划环评等有关管控要求。对照不予审批环评的项目类别，严格审核建设项目原辅材料和产品，对于以禁止生产、加工使用的新污染物作为原辅料或产品的建设项目，依法不予审批。</w:t>
                  </w:r>
                </w:p>
              </w:tc>
              <w:tc>
                <w:tcPr>
                  <w:tcW w:w="3030" w:type="dxa"/>
                  <w:tcBorders>
                    <w:tl2br w:val="nil"/>
                    <w:tr2bl w:val="nil"/>
                  </w:tcBorders>
                  <w:noWrap w:val="0"/>
                  <w:vAlign w:val="center"/>
                </w:tcPr>
                <w:p w14:paraId="62DD564E">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cs="Times New Roman"/>
                      <w:b w:val="0"/>
                      <w:bCs w:val="0"/>
                      <w:color w:val="auto"/>
                      <w:kern w:val="0"/>
                      <w:sz w:val="21"/>
                      <w:szCs w:val="21"/>
                      <w:vertAlign w:val="baseline"/>
                      <w:lang w:val="en-US" w:eastAsia="zh-CN"/>
                    </w:rPr>
                    <w:t>本项目排放污染物为</w:t>
                  </w:r>
                  <w:r>
                    <w:rPr>
                      <w:rFonts w:hint="eastAsia" w:ascii="Times New Roman" w:hAnsi="Times New Roman" w:cs="Times New Roman"/>
                      <w:b w:val="0"/>
                      <w:bCs w:val="0"/>
                      <w:color w:val="auto"/>
                      <w:kern w:val="0"/>
                      <w:sz w:val="21"/>
                      <w:szCs w:val="21"/>
                      <w:vertAlign w:val="baseline"/>
                      <w:lang w:val="en-US" w:eastAsia="zh-CN"/>
                    </w:rPr>
                    <w:t>非甲烷总烃、颗粒物</w:t>
                  </w:r>
                  <w:r>
                    <w:rPr>
                      <w:rFonts w:hint="default" w:ascii="Times New Roman" w:hAnsi="Times New Roman" w:cs="Times New Roman"/>
                      <w:b w:val="0"/>
                      <w:bCs w:val="0"/>
                      <w:color w:val="auto"/>
                      <w:kern w:val="0"/>
                      <w:sz w:val="21"/>
                      <w:szCs w:val="21"/>
                      <w:vertAlign w:val="baseline"/>
                      <w:lang w:val="en-US" w:eastAsia="zh-CN"/>
                    </w:rPr>
                    <w:t>，不属于重点管控新污染物清单中污染物，不属于《产业结构调整指导目录（2024年本）》中限制类或淘汰类项目，不属于《斯德哥尔摩公约》中持久性有机污染物，满足生态环境分区管控方案和项目所在园区规划环评等有关管控要求，不属于不予审批环评的项目类别。</w:t>
                  </w:r>
                </w:p>
              </w:tc>
              <w:tc>
                <w:tcPr>
                  <w:tcW w:w="929" w:type="dxa"/>
                  <w:tcBorders>
                    <w:tl2br w:val="nil"/>
                    <w:tr2bl w:val="nil"/>
                  </w:tcBorders>
                  <w:noWrap w:val="0"/>
                  <w:vAlign w:val="center"/>
                </w:tcPr>
                <w:p w14:paraId="34AB4C75">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cs="Times New Roman"/>
                      <w:b w:val="0"/>
                      <w:bCs w:val="0"/>
                      <w:color w:val="auto"/>
                      <w:kern w:val="0"/>
                      <w:sz w:val="21"/>
                      <w:szCs w:val="21"/>
                      <w:vertAlign w:val="baseline"/>
                      <w:lang w:val="en-US" w:eastAsia="zh-CN"/>
                    </w:rPr>
                    <w:t>相符</w:t>
                  </w:r>
                </w:p>
              </w:tc>
            </w:tr>
          </w:tbl>
          <w:p w14:paraId="3C526B13">
            <w:pPr>
              <w:pStyle w:val="6"/>
              <w:keepNext/>
              <w:keepLines/>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表1-</w:t>
            </w:r>
            <w:r>
              <w:rPr>
                <w:rFonts w:hint="eastAsia" w:cs="Times New Roman"/>
                <w:color w:val="auto"/>
                <w:sz w:val="21"/>
                <w:szCs w:val="21"/>
                <w:lang w:val="en-US" w:eastAsia="zh-CN"/>
              </w:rPr>
              <w:t>12</w:t>
            </w:r>
            <w:r>
              <w:rPr>
                <w:rFonts w:hint="default" w:ascii="Times New Roman" w:hAnsi="Times New Roman" w:cs="Times New Roman"/>
                <w:color w:val="auto"/>
                <w:sz w:val="21"/>
                <w:szCs w:val="21"/>
                <w:lang w:val="en-US" w:eastAsia="zh-CN"/>
              </w:rPr>
              <w:t xml:space="preserve">   与《不予审批环评的项目类别》相符性分析</w:t>
            </w:r>
          </w:p>
          <w:tbl>
            <w:tblPr>
              <w:tblStyle w:val="60"/>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79"/>
              <w:gridCol w:w="6077"/>
              <w:gridCol w:w="1292"/>
            </w:tblGrid>
            <w:tr w14:paraId="4CD593D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8" w:type="pct"/>
                  <w:tcBorders>
                    <w:tl2br w:val="nil"/>
                    <w:tr2bl w:val="nil"/>
                  </w:tcBorders>
                  <w:noWrap w:val="0"/>
                  <w:vAlign w:val="center"/>
                </w:tcPr>
                <w:p w14:paraId="54FEAFA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bCs/>
                      <w:color w:val="auto"/>
                      <w:vertAlign w:val="baseline"/>
                      <w:lang w:val="en-US" w:eastAsia="zh-CN"/>
                    </w:rPr>
                  </w:pPr>
                  <w:r>
                    <w:rPr>
                      <w:rFonts w:hint="eastAsia"/>
                      <w:b/>
                      <w:bCs/>
                      <w:color w:val="auto"/>
                      <w:vertAlign w:val="baseline"/>
                      <w:lang w:val="en-US" w:eastAsia="zh-CN"/>
                    </w:rPr>
                    <w:t>编号</w:t>
                  </w:r>
                </w:p>
              </w:tc>
              <w:tc>
                <w:tcPr>
                  <w:tcW w:w="3729" w:type="pct"/>
                  <w:tcBorders>
                    <w:tl2br w:val="nil"/>
                    <w:tr2bl w:val="nil"/>
                  </w:tcBorders>
                  <w:noWrap w:val="0"/>
                  <w:vAlign w:val="center"/>
                </w:tcPr>
                <w:p w14:paraId="3E86CD5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bCs/>
                      <w:color w:val="auto"/>
                      <w:vertAlign w:val="baseline"/>
                      <w:lang w:val="en-US" w:eastAsia="zh-CN"/>
                    </w:rPr>
                  </w:pPr>
                  <w:r>
                    <w:rPr>
                      <w:rFonts w:hint="eastAsia"/>
                      <w:b/>
                      <w:bCs/>
                      <w:color w:val="auto"/>
                      <w:vertAlign w:val="baseline"/>
                      <w:lang w:val="en-US" w:eastAsia="zh-CN"/>
                    </w:rPr>
                    <w:t>不予审批环评的项目类别</w:t>
                  </w:r>
                </w:p>
              </w:tc>
              <w:tc>
                <w:tcPr>
                  <w:tcW w:w="792" w:type="pct"/>
                  <w:tcBorders>
                    <w:tl2br w:val="nil"/>
                    <w:tr2bl w:val="nil"/>
                  </w:tcBorders>
                  <w:noWrap w:val="0"/>
                  <w:vAlign w:val="center"/>
                </w:tcPr>
                <w:p w14:paraId="01E27C6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bCs/>
                      <w:color w:val="auto"/>
                      <w:vertAlign w:val="baseline"/>
                      <w:lang w:val="en-US" w:eastAsia="zh-CN"/>
                    </w:rPr>
                  </w:pPr>
                  <w:r>
                    <w:rPr>
                      <w:rFonts w:hint="eastAsia"/>
                      <w:b/>
                      <w:bCs/>
                      <w:color w:val="auto"/>
                      <w:vertAlign w:val="baseline"/>
                      <w:lang w:val="en-US" w:eastAsia="zh-CN"/>
                    </w:rPr>
                    <w:t>对照分析</w:t>
                  </w:r>
                </w:p>
              </w:tc>
            </w:tr>
            <w:tr w14:paraId="4A06002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8" w:type="pct"/>
                  <w:tcBorders>
                    <w:tl2br w:val="nil"/>
                    <w:tr2bl w:val="nil"/>
                  </w:tcBorders>
                  <w:noWrap w:val="0"/>
                  <w:vAlign w:val="center"/>
                </w:tcPr>
                <w:p w14:paraId="4F99866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1</w:t>
                  </w:r>
                </w:p>
              </w:tc>
              <w:tc>
                <w:tcPr>
                  <w:tcW w:w="3729" w:type="pct"/>
                  <w:tcBorders>
                    <w:tl2br w:val="nil"/>
                    <w:tr2bl w:val="nil"/>
                  </w:tcBorders>
                  <w:noWrap w:val="0"/>
                  <w:vAlign w:val="center"/>
                </w:tcPr>
                <w:p w14:paraId="25D3AA6E">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1.以全氟辛基磺酸及其盐类和全氟辛基磺酰氟（PFOS类）为产品的新改扩建设项目</w:t>
                  </w:r>
                </w:p>
                <w:p w14:paraId="607B64A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2.以全氟辛基磺酸及其盐类和全氟辛基磺酰氟（PFOS类）为原辅材料的新改扩建项目</w:t>
                  </w:r>
                </w:p>
              </w:tc>
              <w:tc>
                <w:tcPr>
                  <w:tcW w:w="792" w:type="pct"/>
                  <w:vMerge w:val="restart"/>
                  <w:tcBorders>
                    <w:tl2br w:val="nil"/>
                    <w:tr2bl w:val="nil"/>
                  </w:tcBorders>
                  <w:noWrap w:val="0"/>
                  <w:vAlign w:val="center"/>
                </w:tcPr>
                <w:p w14:paraId="1CF6C53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本项目属于</w:t>
                  </w:r>
                  <w:r>
                    <w:rPr>
                      <w:rFonts w:hint="eastAsia"/>
                      <w:bCs/>
                      <w:color w:val="auto"/>
                      <w:kern w:val="0"/>
                      <w:sz w:val="21"/>
                      <w:lang w:eastAsia="zh-CN"/>
                    </w:rPr>
                    <w:t>C2110木质家具制造</w:t>
                  </w:r>
                  <w:r>
                    <w:rPr>
                      <w:rFonts w:hint="eastAsia"/>
                      <w:color w:val="auto"/>
                      <w:vertAlign w:val="baseline"/>
                      <w:lang w:val="en-US" w:eastAsia="zh-CN"/>
                    </w:rPr>
                    <w:t>，主要使用多层板、实木板、集成板材、颗粒免漆板、防火板、双面多层免漆板作为原辅料，不涉及不予审批环评的项目类别</w:t>
                  </w:r>
                </w:p>
              </w:tc>
            </w:tr>
            <w:tr w14:paraId="35CE3BC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8" w:type="pct"/>
                  <w:tcBorders>
                    <w:tl2br w:val="nil"/>
                    <w:tr2bl w:val="nil"/>
                  </w:tcBorders>
                  <w:noWrap w:val="0"/>
                  <w:vAlign w:val="center"/>
                </w:tcPr>
                <w:p w14:paraId="76CA4A1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2</w:t>
                  </w:r>
                </w:p>
              </w:tc>
              <w:tc>
                <w:tcPr>
                  <w:tcW w:w="3729" w:type="pct"/>
                  <w:tcBorders>
                    <w:tl2br w:val="nil"/>
                    <w:tr2bl w:val="nil"/>
                  </w:tcBorders>
                  <w:noWrap w:val="0"/>
                  <w:vAlign w:val="center"/>
                </w:tcPr>
                <w:p w14:paraId="75A213C1">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1.新建全氟辛酸生产装置的建设项目</w:t>
                  </w:r>
                </w:p>
                <w:p w14:paraId="1D63C0EE">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2.以全氟辛酸及其盐类和相关化合物（PFOA类）为原辅材料或产品的新改扩建项目（满足豁免条件</w:t>
                  </w:r>
                  <w:r>
                    <w:rPr>
                      <w:rFonts w:hint="eastAsia"/>
                      <w:color w:val="auto"/>
                      <w:vertAlign w:val="superscript"/>
                      <w:lang w:val="en-US" w:eastAsia="zh-CN"/>
                    </w:rPr>
                    <w:t>1</w:t>
                  </w:r>
                  <w:r>
                    <w:rPr>
                      <w:rFonts w:hint="eastAsia"/>
                      <w:color w:val="auto"/>
                      <w:vertAlign w:val="baseline"/>
                      <w:lang w:val="en-US" w:eastAsia="zh-CN"/>
                    </w:rPr>
                    <w:t>的除外）</w:t>
                  </w:r>
                </w:p>
              </w:tc>
              <w:tc>
                <w:tcPr>
                  <w:tcW w:w="792" w:type="pct"/>
                  <w:vMerge w:val="continue"/>
                  <w:tcBorders>
                    <w:tl2br w:val="nil"/>
                    <w:tr2bl w:val="nil"/>
                  </w:tcBorders>
                  <w:noWrap w:val="0"/>
                  <w:vAlign w:val="center"/>
                </w:tcPr>
                <w:p w14:paraId="715BC6C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59EF729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8" w:type="pct"/>
                  <w:tcBorders>
                    <w:tl2br w:val="nil"/>
                    <w:tr2bl w:val="nil"/>
                  </w:tcBorders>
                  <w:noWrap w:val="0"/>
                  <w:vAlign w:val="center"/>
                </w:tcPr>
                <w:p w14:paraId="6ABECB2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3</w:t>
                  </w:r>
                </w:p>
              </w:tc>
              <w:tc>
                <w:tcPr>
                  <w:tcW w:w="3729" w:type="pct"/>
                  <w:tcBorders>
                    <w:tl2br w:val="nil"/>
                    <w:tr2bl w:val="nil"/>
                  </w:tcBorders>
                  <w:noWrap w:val="0"/>
                  <w:vAlign w:val="center"/>
                </w:tcPr>
                <w:p w14:paraId="7091AF70">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以十溴二苯醚为原辅材料或产品的新改扩建项目</w:t>
                  </w:r>
                </w:p>
              </w:tc>
              <w:tc>
                <w:tcPr>
                  <w:tcW w:w="792" w:type="pct"/>
                  <w:vMerge w:val="continue"/>
                  <w:tcBorders>
                    <w:tl2br w:val="nil"/>
                    <w:tr2bl w:val="nil"/>
                  </w:tcBorders>
                  <w:noWrap w:val="0"/>
                  <w:vAlign w:val="center"/>
                </w:tcPr>
                <w:p w14:paraId="1CF2EE8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6D627FA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8" w:type="pct"/>
                  <w:tcBorders>
                    <w:tl2br w:val="nil"/>
                    <w:tr2bl w:val="nil"/>
                  </w:tcBorders>
                  <w:noWrap w:val="0"/>
                  <w:vAlign w:val="center"/>
                </w:tcPr>
                <w:p w14:paraId="64CDEC8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4</w:t>
                  </w:r>
                </w:p>
              </w:tc>
              <w:tc>
                <w:tcPr>
                  <w:tcW w:w="3729" w:type="pct"/>
                  <w:tcBorders>
                    <w:tl2br w:val="nil"/>
                    <w:tr2bl w:val="nil"/>
                  </w:tcBorders>
                  <w:noWrap w:val="0"/>
                  <w:vAlign w:val="center"/>
                </w:tcPr>
                <w:p w14:paraId="682D1CB4">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以短链氯化石蜡</w:t>
                  </w:r>
                  <w:r>
                    <w:rPr>
                      <w:rFonts w:hint="eastAsia"/>
                      <w:color w:val="auto"/>
                      <w:vertAlign w:val="superscript"/>
                      <w:lang w:val="en-US" w:eastAsia="zh-CN"/>
                    </w:rPr>
                    <w:t>2</w:t>
                  </w:r>
                  <w:r>
                    <w:rPr>
                      <w:rFonts w:hint="eastAsia"/>
                      <w:color w:val="auto"/>
                      <w:vertAlign w:val="baseline"/>
                      <w:lang w:val="en-US" w:eastAsia="zh-CN"/>
                    </w:rPr>
                    <w:t>为原辅材料或产品的新改扩建项目</w:t>
                  </w:r>
                </w:p>
              </w:tc>
              <w:tc>
                <w:tcPr>
                  <w:tcW w:w="792" w:type="pct"/>
                  <w:vMerge w:val="continue"/>
                  <w:tcBorders>
                    <w:tl2br w:val="nil"/>
                    <w:tr2bl w:val="nil"/>
                  </w:tcBorders>
                  <w:noWrap w:val="0"/>
                  <w:vAlign w:val="center"/>
                </w:tcPr>
                <w:p w14:paraId="3601195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6F47F2C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8" w:type="pct"/>
                  <w:tcBorders>
                    <w:tl2br w:val="nil"/>
                    <w:tr2bl w:val="nil"/>
                  </w:tcBorders>
                  <w:noWrap w:val="0"/>
                  <w:vAlign w:val="center"/>
                </w:tcPr>
                <w:p w14:paraId="3A84308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5</w:t>
                  </w:r>
                </w:p>
              </w:tc>
              <w:tc>
                <w:tcPr>
                  <w:tcW w:w="3729" w:type="pct"/>
                  <w:tcBorders>
                    <w:tl2br w:val="nil"/>
                    <w:tr2bl w:val="nil"/>
                  </w:tcBorders>
                  <w:noWrap w:val="0"/>
                  <w:vAlign w:val="center"/>
                </w:tcPr>
                <w:p w14:paraId="725204B9">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以六氯丁二烯为原辅材料或产品的新改扩建项目</w:t>
                  </w:r>
                </w:p>
              </w:tc>
              <w:tc>
                <w:tcPr>
                  <w:tcW w:w="792" w:type="pct"/>
                  <w:vMerge w:val="continue"/>
                  <w:tcBorders>
                    <w:tl2br w:val="nil"/>
                    <w:tr2bl w:val="nil"/>
                  </w:tcBorders>
                  <w:noWrap w:val="0"/>
                  <w:vAlign w:val="center"/>
                </w:tcPr>
                <w:p w14:paraId="0B213B1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2152621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8" w:type="pct"/>
                  <w:tcBorders>
                    <w:tl2br w:val="nil"/>
                    <w:tr2bl w:val="nil"/>
                  </w:tcBorders>
                  <w:noWrap w:val="0"/>
                  <w:vAlign w:val="center"/>
                </w:tcPr>
                <w:p w14:paraId="7A766D7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6</w:t>
                  </w:r>
                </w:p>
              </w:tc>
              <w:tc>
                <w:tcPr>
                  <w:tcW w:w="3729" w:type="pct"/>
                  <w:tcBorders>
                    <w:tl2br w:val="nil"/>
                    <w:tr2bl w:val="nil"/>
                  </w:tcBorders>
                  <w:noWrap w:val="0"/>
                  <w:vAlign w:val="center"/>
                </w:tcPr>
                <w:p w14:paraId="2BD960BC">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以五氯苯酚及其盐类和酯类为原辅材料或产品的新改扩建项目</w:t>
                  </w:r>
                </w:p>
              </w:tc>
              <w:tc>
                <w:tcPr>
                  <w:tcW w:w="792" w:type="pct"/>
                  <w:vMerge w:val="continue"/>
                  <w:tcBorders>
                    <w:tl2br w:val="nil"/>
                    <w:tr2bl w:val="nil"/>
                  </w:tcBorders>
                  <w:noWrap w:val="0"/>
                  <w:vAlign w:val="center"/>
                </w:tcPr>
                <w:p w14:paraId="4F65FAD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3FB179B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8" w:type="pct"/>
                  <w:tcBorders>
                    <w:tl2br w:val="nil"/>
                    <w:tr2bl w:val="nil"/>
                  </w:tcBorders>
                  <w:noWrap w:val="0"/>
                  <w:vAlign w:val="center"/>
                </w:tcPr>
                <w:p w14:paraId="3483D3F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7</w:t>
                  </w:r>
                </w:p>
              </w:tc>
              <w:tc>
                <w:tcPr>
                  <w:tcW w:w="3729" w:type="pct"/>
                  <w:tcBorders>
                    <w:tl2br w:val="nil"/>
                    <w:tr2bl w:val="nil"/>
                  </w:tcBorders>
                  <w:noWrap w:val="0"/>
                  <w:vAlign w:val="center"/>
                </w:tcPr>
                <w:p w14:paraId="4483A9D1">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以三氯杀螨醇为原辅材料或产品的新改扩建项目</w:t>
                  </w:r>
                </w:p>
              </w:tc>
              <w:tc>
                <w:tcPr>
                  <w:tcW w:w="792" w:type="pct"/>
                  <w:vMerge w:val="continue"/>
                  <w:tcBorders>
                    <w:tl2br w:val="nil"/>
                    <w:tr2bl w:val="nil"/>
                  </w:tcBorders>
                  <w:noWrap w:val="0"/>
                  <w:vAlign w:val="center"/>
                </w:tcPr>
                <w:p w14:paraId="27E2FE5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23E6F5C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8" w:type="pct"/>
                  <w:tcBorders>
                    <w:tl2br w:val="nil"/>
                    <w:tr2bl w:val="nil"/>
                  </w:tcBorders>
                  <w:noWrap w:val="0"/>
                  <w:vAlign w:val="center"/>
                </w:tcPr>
                <w:p w14:paraId="49F1A37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8</w:t>
                  </w:r>
                </w:p>
              </w:tc>
              <w:tc>
                <w:tcPr>
                  <w:tcW w:w="3729" w:type="pct"/>
                  <w:tcBorders>
                    <w:tl2br w:val="nil"/>
                    <w:tr2bl w:val="nil"/>
                  </w:tcBorders>
                  <w:noWrap w:val="0"/>
                  <w:vAlign w:val="center"/>
                </w:tcPr>
                <w:p w14:paraId="0921748F">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以全氟己基磺酸及其盐类和相关化合物（PFHxS类）为原辅材料或产品的新改扩建项目</w:t>
                  </w:r>
                </w:p>
              </w:tc>
              <w:tc>
                <w:tcPr>
                  <w:tcW w:w="792" w:type="pct"/>
                  <w:vMerge w:val="continue"/>
                  <w:tcBorders>
                    <w:tl2br w:val="nil"/>
                    <w:tr2bl w:val="nil"/>
                  </w:tcBorders>
                  <w:noWrap w:val="0"/>
                  <w:vAlign w:val="center"/>
                </w:tcPr>
                <w:p w14:paraId="1D8F619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7C496D9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8" w:type="pct"/>
                  <w:tcBorders>
                    <w:tl2br w:val="nil"/>
                    <w:tr2bl w:val="nil"/>
                  </w:tcBorders>
                  <w:noWrap w:val="0"/>
                  <w:vAlign w:val="center"/>
                </w:tcPr>
                <w:p w14:paraId="2963A09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9</w:t>
                  </w:r>
                </w:p>
              </w:tc>
              <w:tc>
                <w:tcPr>
                  <w:tcW w:w="3729" w:type="pct"/>
                  <w:tcBorders>
                    <w:tl2br w:val="nil"/>
                    <w:tr2bl w:val="nil"/>
                  </w:tcBorders>
                  <w:noWrap w:val="0"/>
                  <w:vAlign w:val="center"/>
                </w:tcPr>
                <w:p w14:paraId="2EFB2FBF">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以得克隆及其顺式异构体和反式异构体为原辅材料或产品的新改扩建项目</w:t>
                  </w:r>
                </w:p>
              </w:tc>
              <w:tc>
                <w:tcPr>
                  <w:tcW w:w="792" w:type="pct"/>
                  <w:vMerge w:val="continue"/>
                  <w:tcBorders>
                    <w:tl2br w:val="nil"/>
                    <w:tr2bl w:val="nil"/>
                  </w:tcBorders>
                  <w:noWrap w:val="0"/>
                  <w:vAlign w:val="center"/>
                </w:tcPr>
                <w:p w14:paraId="7D27CA8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7460214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8" w:type="pct"/>
                  <w:tcBorders>
                    <w:tl2br w:val="nil"/>
                    <w:tr2bl w:val="nil"/>
                  </w:tcBorders>
                  <w:noWrap w:val="0"/>
                  <w:vAlign w:val="center"/>
                </w:tcPr>
                <w:p w14:paraId="09A6A21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10</w:t>
                  </w:r>
                </w:p>
              </w:tc>
              <w:tc>
                <w:tcPr>
                  <w:tcW w:w="3729" w:type="pct"/>
                  <w:tcBorders>
                    <w:tl2br w:val="nil"/>
                    <w:tr2bl w:val="nil"/>
                  </w:tcBorders>
                  <w:noWrap w:val="0"/>
                  <w:vAlign w:val="center"/>
                </w:tcPr>
                <w:p w14:paraId="0F7F8BB7">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1.以含有二氯甲烷的脱漆剂为产品的新改扩建项目</w:t>
                  </w:r>
                </w:p>
                <w:p w14:paraId="18825C0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2.以含有二氯甲烷组分的化妆品为产品的生产项目</w:t>
                  </w:r>
                </w:p>
              </w:tc>
              <w:tc>
                <w:tcPr>
                  <w:tcW w:w="792" w:type="pct"/>
                  <w:vMerge w:val="continue"/>
                  <w:tcBorders>
                    <w:tl2br w:val="nil"/>
                    <w:tr2bl w:val="nil"/>
                  </w:tcBorders>
                  <w:noWrap w:val="0"/>
                  <w:vAlign w:val="center"/>
                </w:tcPr>
                <w:p w14:paraId="208BB55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38CA98E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8" w:type="pct"/>
                  <w:tcBorders>
                    <w:tl2br w:val="nil"/>
                    <w:tr2bl w:val="nil"/>
                  </w:tcBorders>
                  <w:noWrap w:val="0"/>
                  <w:vAlign w:val="center"/>
                </w:tcPr>
                <w:p w14:paraId="5574B09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11</w:t>
                  </w:r>
                </w:p>
              </w:tc>
              <w:tc>
                <w:tcPr>
                  <w:tcW w:w="3729" w:type="pct"/>
                  <w:tcBorders>
                    <w:tl2br w:val="nil"/>
                    <w:tr2bl w:val="nil"/>
                  </w:tcBorders>
                  <w:noWrap w:val="0"/>
                  <w:vAlign w:val="center"/>
                </w:tcPr>
                <w:p w14:paraId="447CF04C">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以含有三氯甲烷的脱漆剂为产品的新改扩建项目</w:t>
                  </w:r>
                </w:p>
              </w:tc>
              <w:tc>
                <w:tcPr>
                  <w:tcW w:w="792" w:type="pct"/>
                  <w:vMerge w:val="continue"/>
                  <w:tcBorders>
                    <w:tl2br w:val="nil"/>
                    <w:tr2bl w:val="nil"/>
                  </w:tcBorders>
                  <w:noWrap w:val="0"/>
                  <w:vAlign w:val="center"/>
                </w:tcPr>
                <w:p w14:paraId="3EBBF6B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1003AAC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8" w:type="pct"/>
                  <w:tcBorders>
                    <w:tl2br w:val="nil"/>
                    <w:tr2bl w:val="nil"/>
                  </w:tcBorders>
                  <w:noWrap w:val="0"/>
                  <w:vAlign w:val="center"/>
                </w:tcPr>
                <w:p w14:paraId="60F34E0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12</w:t>
                  </w:r>
                </w:p>
              </w:tc>
              <w:tc>
                <w:tcPr>
                  <w:tcW w:w="3729" w:type="pct"/>
                  <w:tcBorders>
                    <w:tl2br w:val="nil"/>
                    <w:tr2bl w:val="nil"/>
                  </w:tcBorders>
                  <w:noWrap w:val="0"/>
                  <w:vAlign w:val="center"/>
                </w:tcPr>
                <w:p w14:paraId="2062F33B">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1.以壬基酚为助剂的新改扩建农药生产项目</w:t>
                  </w:r>
                </w:p>
                <w:p w14:paraId="53DCBDA5">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2.以壬基酚为原料生产壬基酚聚氧乙烯醚的新改扩建项目</w:t>
                  </w:r>
                </w:p>
                <w:p w14:paraId="70C3ADA6">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3.以含有壬基酚组分的化妆品为产品的新改扩建项目</w:t>
                  </w:r>
                </w:p>
              </w:tc>
              <w:tc>
                <w:tcPr>
                  <w:tcW w:w="792" w:type="pct"/>
                  <w:vMerge w:val="continue"/>
                  <w:tcBorders>
                    <w:tl2br w:val="nil"/>
                    <w:tr2bl w:val="nil"/>
                  </w:tcBorders>
                  <w:noWrap w:val="0"/>
                  <w:vAlign w:val="center"/>
                </w:tcPr>
                <w:p w14:paraId="2B67414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7FC09DB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8" w:type="pct"/>
                  <w:tcBorders>
                    <w:tl2br w:val="nil"/>
                    <w:tr2bl w:val="nil"/>
                  </w:tcBorders>
                  <w:noWrap w:val="0"/>
                  <w:vAlign w:val="center"/>
                </w:tcPr>
                <w:p w14:paraId="40FFBCE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13</w:t>
                  </w:r>
                </w:p>
              </w:tc>
              <w:tc>
                <w:tcPr>
                  <w:tcW w:w="3729" w:type="pct"/>
                  <w:tcBorders>
                    <w:tl2br w:val="nil"/>
                    <w:tr2bl w:val="nil"/>
                  </w:tcBorders>
                  <w:noWrap w:val="0"/>
                  <w:vAlign w:val="center"/>
                </w:tcPr>
                <w:p w14:paraId="656D8846">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以六溴环十二烷、氯丹、灭蚁灵、六氯苯、滴滴涕、α-六氯环己烷、β-六氯环己烷、林丹、硫丹原药及其相关异构体、多氯联苯为原辅材料或产品的新改扩建项目</w:t>
                  </w:r>
                </w:p>
              </w:tc>
              <w:tc>
                <w:tcPr>
                  <w:tcW w:w="792" w:type="pct"/>
                  <w:vMerge w:val="continue"/>
                  <w:tcBorders>
                    <w:tl2br w:val="nil"/>
                    <w:tr2bl w:val="nil"/>
                  </w:tcBorders>
                  <w:noWrap w:val="0"/>
                  <w:vAlign w:val="center"/>
                </w:tcPr>
                <w:p w14:paraId="3329489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3078498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3"/>
                  <w:tcBorders>
                    <w:tl2br w:val="nil"/>
                    <w:tr2bl w:val="nil"/>
                  </w:tcBorders>
                  <w:noWrap w:val="0"/>
                  <w:vAlign w:val="center"/>
                </w:tcPr>
                <w:p w14:paraId="6563C4DF">
                  <w:pPr>
                    <w:keepNext w:val="0"/>
                    <w:keepLines w:val="0"/>
                    <w:pageBreakBefore w:val="0"/>
                    <w:widowControl w:val="0"/>
                    <w:kinsoku/>
                    <w:wordWrap/>
                    <w:overflowPunct/>
                    <w:topLinePunct w:val="0"/>
                    <w:autoSpaceDE/>
                    <w:autoSpaceDN/>
                    <w:bidi w:val="0"/>
                    <w:adjustRightInd w:val="0"/>
                    <w:snapToGrid w:val="0"/>
                    <w:jc w:val="left"/>
                    <w:textAlignment w:val="auto"/>
                    <w:rPr>
                      <w:rFonts w:hint="default"/>
                      <w:color w:val="auto"/>
                      <w:vertAlign w:val="baseline"/>
                      <w:lang w:val="en-US" w:eastAsia="zh-CN"/>
                    </w:rPr>
                  </w:pPr>
                  <w:r>
                    <w:rPr>
                      <w:rFonts w:hint="eastAsia"/>
                      <w:color w:val="auto"/>
                      <w:vertAlign w:val="baseline"/>
                      <w:lang w:val="en-US" w:eastAsia="zh-CN"/>
                    </w:rPr>
                    <w:t>注1：PFOA类豁免项目包括：</w:t>
                  </w:r>
                </w:p>
                <w:p w14:paraId="07A70DF9">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（1）半导体制造中的光刻或蚀刻工艺；</w:t>
                  </w:r>
                </w:p>
                <w:p w14:paraId="1E9A7DBC">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（2）用于胶卷的摄影涂料；</w:t>
                  </w:r>
                </w:p>
                <w:p w14:paraId="1BC027D2">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（3）保护工人免受危险液体造成的健康和安全风险影响的拒油拒水纺织品；</w:t>
                  </w:r>
                </w:p>
                <w:p w14:paraId="23EE4B1E">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（4）侵入性和可植入的医疗装置；</w:t>
                  </w:r>
                </w:p>
                <w:p w14:paraId="18FBBC40">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（5）使用全氟碘辛烷生产全氟溴辛烷，用于药品生产目的；</w:t>
                  </w:r>
                </w:p>
                <w:p w14:paraId="122832D3">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（6）为生产高性能耐腐蚀气体过滤膜、水过滤膜和医疗用布膜，工业废热交换器设备，以及能防止挥发性有机化合物和PM</w:t>
                  </w:r>
                  <w:r>
                    <w:rPr>
                      <w:rFonts w:hint="eastAsia"/>
                      <w:color w:val="auto"/>
                      <w:vertAlign w:val="subscript"/>
                      <w:lang w:val="en-US" w:eastAsia="zh-CN"/>
                    </w:rPr>
                    <w:t>2.5</w:t>
                  </w:r>
                  <w:r>
                    <w:rPr>
                      <w:rFonts w:hint="eastAsia"/>
                      <w:color w:val="auto"/>
                      <w:vertAlign w:val="baseline"/>
                      <w:lang w:val="en-US" w:eastAsia="zh-CN"/>
                    </w:rPr>
                    <w:t>颗粒泄露的工业密封剂等产品而制造聚四氟乙烯（PTFE）和聚偏氟乙烯（PVDF）；</w:t>
                  </w:r>
                </w:p>
                <w:p w14:paraId="157EFBEF">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（7）制造用于生产输电用高压电线电缆的聚全氟乙丙烯（FEP）。</w:t>
                  </w:r>
                </w:p>
                <w:p w14:paraId="25AB43C6">
                  <w:pPr>
                    <w:keepNext w:val="0"/>
                    <w:keepLines w:val="0"/>
                    <w:pageBreakBefore w:val="0"/>
                    <w:widowControl w:val="0"/>
                    <w:kinsoku/>
                    <w:wordWrap/>
                    <w:overflowPunct/>
                    <w:topLinePunct w:val="0"/>
                    <w:autoSpaceDE/>
                    <w:autoSpaceDN/>
                    <w:bidi w:val="0"/>
                    <w:adjustRightInd w:val="0"/>
                    <w:snapToGrid w:val="0"/>
                    <w:jc w:val="left"/>
                    <w:textAlignment w:val="auto"/>
                    <w:rPr>
                      <w:rFonts w:hint="default"/>
                      <w:color w:val="auto"/>
                      <w:vertAlign w:val="baseline"/>
                      <w:lang w:val="en-US" w:eastAsia="zh-CN"/>
                    </w:rPr>
                  </w:pPr>
                  <w:r>
                    <w:rPr>
                      <w:rFonts w:hint="eastAsia"/>
                      <w:color w:val="auto"/>
                      <w:vertAlign w:val="baseline"/>
                      <w:lang w:val="en-US" w:eastAsia="zh-CN"/>
                    </w:rPr>
                    <w:t>注2：</w:t>
                  </w:r>
                  <w:r>
                    <w:rPr>
                      <w:rFonts w:hint="default"/>
                      <w:color w:val="auto"/>
                      <w:vertAlign w:val="baseline"/>
                      <w:lang w:val="en-US" w:eastAsia="zh-CN"/>
                    </w:rPr>
                    <w:t>短链氯化石蜡是指链长C10至C13的直链氯化碳氢化合物，且氯含量按重量计超过48%，其在混合物中的浓度按重量计大于或等于1%。</w:t>
                  </w:r>
                </w:p>
              </w:tc>
            </w:tr>
          </w:tbl>
          <w:p w14:paraId="06CC10C8">
            <w:pPr>
              <w:pStyle w:val="6"/>
              <w:rPr>
                <w:color w:val="auto"/>
                <w:sz w:val="21"/>
                <w:szCs w:val="21"/>
              </w:rPr>
            </w:pPr>
          </w:p>
        </w:tc>
      </w:tr>
    </w:tbl>
    <w:p w14:paraId="483ADA73">
      <w:pPr>
        <w:spacing w:line="360" w:lineRule="auto"/>
        <w:rPr>
          <w:color w:val="auto"/>
          <w:sz w:val="24"/>
        </w:rPr>
        <w:sectPr>
          <w:footerReference r:id="rId4" w:type="default"/>
          <w:pgSz w:w="11906" w:h="16838"/>
          <w:pgMar w:top="1418" w:right="1418" w:bottom="1418" w:left="1418" w:header="851" w:footer="1077" w:gutter="0"/>
          <w:pgBorders>
            <w:top w:val="none" w:sz="0" w:space="0"/>
            <w:left w:val="none" w:sz="0" w:space="0"/>
            <w:bottom w:val="none" w:sz="0" w:space="0"/>
            <w:right w:val="none" w:sz="0" w:space="0"/>
          </w:pgBorders>
          <w:pgNumType w:start="1"/>
          <w:cols w:space="720" w:num="1"/>
          <w:docGrid w:linePitch="312" w:charSpace="0"/>
        </w:sectPr>
      </w:pPr>
    </w:p>
    <w:p w14:paraId="770A0344">
      <w:pPr>
        <w:pStyle w:val="55"/>
        <w:rPr>
          <w:color w:val="auto"/>
        </w:rPr>
      </w:pPr>
      <w:bookmarkStart w:id="8" w:name="_Toc14795"/>
      <w:bookmarkStart w:id="9" w:name="_Toc11310"/>
      <w:bookmarkStart w:id="10" w:name="_Toc137559020"/>
      <w:r>
        <w:rPr>
          <w:color w:val="auto"/>
        </w:rPr>
        <w:t>二、建设项目工程分析</w:t>
      </w:r>
      <w:bookmarkEnd w:id="8"/>
      <w:bookmarkEnd w:id="9"/>
      <w:bookmarkEnd w:id="10"/>
    </w:p>
    <w:tbl>
      <w:tblPr>
        <w:tblStyle w:val="59"/>
        <w:tblpPr w:leftFromText="180" w:rightFromText="180" w:vertAnchor="text" w:tblpXSpec="center" w:tblpY="1"/>
        <w:tblOverlap w:val="never"/>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21"/>
        <w:gridCol w:w="8765"/>
      </w:tblGrid>
      <w:tr w14:paraId="3F1256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521" w:type="dxa"/>
            <w:vAlign w:val="center"/>
          </w:tcPr>
          <w:p w14:paraId="00A7A1C4">
            <w:pPr>
              <w:pStyle w:val="55"/>
              <w:rPr>
                <w:color w:val="auto"/>
                <w:sz w:val="21"/>
                <w:szCs w:val="21"/>
              </w:rPr>
            </w:pPr>
            <w:r>
              <w:rPr>
                <w:color w:val="auto"/>
                <w:sz w:val="21"/>
                <w:szCs w:val="21"/>
              </w:rPr>
              <w:t>建设内容</w:t>
            </w:r>
          </w:p>
        </w:tc>
        <w:tc>
          <w:tcPr>
            <w:tcW w:w="8765" w:type="dxa"/>
          </w:tcPr>
          <w:p w14:paraId="2210EA91">
            <w:pPr>
              <w:autoSpaceDE w:val="0"/>
              <w:autoSpaceDN w:val="0"/>
              <w:adjustRightInd w:val="0"/>
              <w:snapToGrid w:val="0"/>
              <w:spacing w:line="360" w:lineRule="auto"/>
              <w:jc w:val="left"/>
              <w:rPr>
                <w:rFonts w:cs="宋体"/>
                <w:b/>
                <w:bCs/>
                <w:color w:val="auto"/>
              </w:rPr>
            </w:pPr>
            <w:r>
              <w:rPr>
                <w:rFonts w:hint="eastAsia" w:cs="宋体"/>
                <w:b/>
                <w:bCs/>
                <w:color w:val="auto"/>
              </w:rPr>
              <w:t>2.1 建设内容</w:t>
            </w:r>
          </w:p>
          <w:p w14:paraId="15D4A797">
            <w:pPr>
              <w:autoSpaceDE w:val="0"/>
              <w:autoSpaceDN w:val="0"/>
              <w:adjustRightInd w:val="0"/>
              <w:snapToGrid w:val="0"/>
              <w:spacing w:line="360" w:lineRule="auto"/>
              <w:jc w:val="left"/>
              <w:rPr>
                <w:rFonts w:cs="宋体"/>
                <w:b/>
                <w:bCs/>
                <w:color w:val="auto"/>
              </w:rPr>
            </w:pPr>
            <w:r>
              <w:rPr>
                <w:rFonts w:hint="eastAsia" w:cs="宋体"/>
                <w:b/>
                <w:bCs/>
                <w:color w:val="auto"/>
              </w:rPr>
              <w:t>2.1.1 项目由来</w:t>
            </w:r>
          </w:p>
          <w:p w14:paraId="3FE32858">
            <w:pPr>
              <w:adjustRightInd w:val="0"/>
              <w:snapToGrid w:val="0"/>
              <w:spacing w:line="360" w:lineRule="auto"/>
              <w:ind w:firstLine="420" w:firstLineChars="200"/>
              <w:rPr>
                <w:rFonts w:cs="宋体"/>
                <w:color w:val="auto"/>
              </w:rPr>
            </w:pPr>
            <w:r>
              <w:rPr>
                <w:rFonts w:hint="eastAsia" w:cs="新宋体"/>
                <w:color w:val="auto"/>
                <w:kern w:val="0"/>
                <w:lang w:eastAsia="zh-CN" w:bidi="ar"/>
              </w:rPr>
              <w:t>常州吉和智能家具有限公司</w:t>
            </w:r>
            <w:r>
              <w:rPr>
                <w:rFonts w:hint="eastAsia" w:cs="宋体"/>
                <w:color w:val="auto"/>
              </w:rPr>
              <w:t>位于</w:t>
            </w:r>
            <w:r>
              <w:rPr>
                <w:rFonts w:hint="eastAsia"/>
                <w:color w:val="auto"/>
                <w:lang w:eastAsia="zh-CN"/>
              </w:rPr>
              <w:t>江苏省常州市金坛区金湖路99号</w:t>
            </w:r>
            <w:r>
              <w:rPr>
                <w:rFonts w:hint="eastAsia" w:cs="宋体"/>
                <w:color w:val="auto"/>
              </w:rPr>
              <w:t>，成立于202</w:t>
            </w:r>
            <w:r>
              <w:rPr>
                <w:rFonts w:hint="eastAsia" w:cs="宋体"/>
                <w:color w:val="auto"/>
                <w:lang w:val="en-US" w:eastAsia="zh-CN"/>
              </w:rPr>
              <w:t>0</w:t>
            </w:r>
            <w:r>
              <w:rPr>
                <w:rFonts w:hint="eastAsia" w:cs="宋体"/>
                <w:color w:val="auto"/>
              </w:rPr>
              <w:t>年0</w:t>
            </w:r>
            <w:r>
              <w:rPr>
                <w:rFonts w:hint="eastAsia" w:cs="宋体"/>
                <w:color w:val="auto"/>
                <w:lang w:val="en-US" w:eastAsia="zh-CN"/>
              </w:rPr>
              <w:t>7</w:t>
            </w:r>
            <w:r>
              <w:rPr>
                <w:rFonts w:hint="eastAsia" w:cs="宋体"/>
                <w:color w:val="auto"/>
              </w:rPr>
              <w:t>月</w:t>
            </w:r>
            <w:r>
              <w:rPr>
                <w:rFonts w:hint="eastAsia" w:cs="宋体"/>
                <w:color w:val="auto"/>
                <w:lang w:val="en-US" w:eastAsia="zh-CN"/>
              </w:rPr>
              <w:t>16</w:t>
            </w:r>
            <w:r>
              <w:rPr>
                <w:rFonts w:hint="eastAsia" w:cs="宋体"/>
                <w:color w:val="auto"/>
              </w:rPr>
              <w:t>日。经营范围包括许可项目：货物进出口；建设工程设计；施工专业作业（依法须经批准的项目，经相关部门批准后方可开展经营活动，具体经营项目以审批结果为准）一般项目：家具制造；家具安装和维修服务；家具零配件生产；家具零配件销售；家具销售（除依法须经批准的项目外，凭营业执照依法自主开展经营活动）。</w:t>
            </w:r>
          </w:p>
          <w:p w14:paraId="5384AADF">
            <w:pPr>
              <w:pStyle w:val="706"/>
              <w:adjustRightInd w:val="0"/>
              <w:snapToGrid w:val="0"/>
              <w:spacing w:line="360" w:lineRule="auto"/>
              <w:ind w:firstLine="420"/>
              <w:jc w:val="both"/>
              <w:rPr>
                <w:rFonts w:eastAsia="宋体"/>
                <w:b w:val="0"/>
                <w:bCs/>
                <w:color w:val="auto"/>
                <w:kern w:val="0"/>
                <w:sz w:val="21"/>
                <w:szCs w:val="21"/>
              </w:rPr>
            </w:pPr>
            <w:r>
              <w:rPr>
                <w:rFonts w:hint="eastAsia" w:eastAsia="宋体"/>
                <w:b w:val="0"/>
                <w:bCs/>
                <w:color w:val="auto"/>
                <w:sz w:val="21"/>
                <w:szCs w:val="21"/>
              </w:rPr>
              <w:t>建设单位拟投资</w:t>
            </w:r>
            <w:r>
              <w:rPr>
                <w:rFonts w:hint="eastAsia" w:eastAsia="宋体"/>
                <w:b w:val="0"/>
                <w:bCs/>
                <w:color w:val="auto"/>
                <w:sz w:val="21"/>
                <w:szCs w:val="21"/>
                <w:lang w:val="en-US" w:eastAsia="zh-CN"/>
              </w:rPr>
              <w:t>3500</w:t>
            </w:r>
            <w:r>
              <w:rPr>
                <w:rFonts w:hint="eastAsia" w:eastAsia="宋体"/>
                <w:b w:val="0"/>
                <w:bCs/>
                <w:color w:val="auto"/>
                <w:sz w:val="21"/>
                <w:szCs w:val="21"/>
              </w:rPr>
              <w:t>万元</w:t>
            </w:r>
            <w:r>
              <w:rPr>
                <w:rFonts w:hint="eastAsia" w:eastAsia="宋体"/>
                <w:b w:val="0"/>
                <w:bCs/>
                <w:color w:val="auto"/>
                <w:sz w:val="21"/>
                <w:szCs w:val="21"/>
                <w:lang w:val="en-US" w:eastAsia="zh-CN"/>
              </w:rPr>
              <w:t>建设</w:t>
            </w:r>
            <w:r>
              <w:rPr>
                <w:rFonts w:hint="eastAsia" w:eastAsia="宋体"/>
                <w:b w:val="0"/>
                <w:bCs/>
                <w:color w:val="auto"/>
                <w:sz w:val="21"/>
                <w:szCs w:val="21"/>
                <w:lang w:eastAsia="zh-CN"/>
              </w:rPr>
              <w:t>年产办公家具20000套、民用家具8000套生产项目</w:t>
            </w:r>
            <w:r>
              <w:rPr>
                <w:rFonts w:hint="eastAsia" w:eastAsia="宋体"/>
                <w:b w:val="0"/>
                <w:bCs/>
                <w:color w:val="auto"/>
                <w:sz w:val="21"/>
                <w:szCs w:val="21"/>
              </w:rPr>
              <w:t>，该项目位于</w:t>
            </w:r>
            <w:r>
              <w:rPr>
                <w:rFonts w:hint="eastAsia" w:eastAsia="宋体"/>
                <w:b w:val="0"/>
                <w:bCs/>
                <w:color w:val="auto"/>
                <w:sz w:val="21"/>
                <w:szCs w:val="21"/>
                <w:lang w:eastAsia="zh-CN"/>
              </w:rPr>
              <w:t>江苏省常州市金坛区金湖路99号</w:t>
            </w:r>
            <w:r>
              <w:rPr>
                <w:rFonts w:hint="eastAsia" w:eastAsia="宋体"/>
                <w:b w:val="0"/>
                <w:bCs/>
                <w:color w:val="auto"/>
                <w:sz w:val="21"/>
                <w:szCs w:val="21"/>
              </w:rPr>
              <w:t>，租赁</w:t>
            </w:r>
            <w:r>
              <w:rPr>
                <w:rFonts w:hint="eastAsia" w:eastAsia="宋体"/>
                <w:b w:val="0"/>
                <w:bCs/>
                <w:color w:val="auto"/>
                <w:sz w:val="21"/>
                <w:szCs w:val="21"/>
                <w:lang w:val="en-US" w:eastAsia="zh-CN"/>
              </w:rPr>
              <w:t>晨风（江苏）服装有限公司1#南4173</w:t>
            </w:r>
            <w:r>
              <w:rPr>
                <w:rFonts w:hint="eastAsia" w:eastAsia="宋体"/>
                <w:b w:val="0"/>
                <w:bCs/>
                <w:color w:val="auto"/>
                <w:sz w:val="21"/>
                <w:szCs w:val="21"/>
              </w:rPr>
              <w:t>平方米进行生产。</w:t>
            </w:r>
            <w:r>
              <w:rPr>
                <w:rFonts w:eastAsia="宋体"/>
                <w:b w:val="0"/>
                <w:bCs/>
                <w:color w:val="auto"/>
                <w:sz w:val="21"/>
                <w:szCs w:val="21"/>
              </w:rPr>
              <w:t>本项目于202</w:t>
            </w:r>
            <w:r>
              <w:rPr>
                <w:rFonts w:hint="eastAsia" w:eastAsia="宋体"/>
                <w:b w:val="0"/>
                <w:bCs/>
                <w:color w:val="auto"/>
                <w:sz w:val="21"/>
                <w:szCs w:val="21"/>
                <w:lang w:val="en-US" w:eastAsia="zh-CN"/>
              </w:rPr>
              <w:t>5</w:t>
            </w:r>
            <w:r>
              <w:rPr>
                <w:rFonts w:eastAsia="宋体"/>
                <w:b w:val="0"/>
                <w:bCs/>
                <w:color w:val="auto"/>
                <w:sz w:val="21"/>
                <w:szCs w:val="21"/>
              </w:rPr>
              <w:t>年</w:t>
            </w:r>
            <w:r>
              <w:rPr>
                <w:rFonts w:hint="eastAsia" w:eastAsia="宋体"/>
                <w:b w:val="0"/>
                <w:bCs/>
                <w:color w:val="auto"/>
                <w:sz w:val="21"/>
                <w:szCs w:val="21"/>
                <w:lang w:val="en-US" w:eastAsia="zh-CN"/>
              </w:rPr>
              <w:t>8</w:t>
            </w:r>
            <w:r>
              <w:rPr>
                <w:rFonts w:eastAsia="宋体"/>
                <w:b w:val="0"/>
                <w:bCs/>
                <w:color w:val="auto"/>
                <w:sz w:val="21"/>
                <w:szCs w:val="21"/>
              </w:rPr>
              <w:t>月</w:t>
            </w:r>
            <w:r>
              <w:rPr>
                <w:rFonts w:hint="eastAsia" w:eastAsia="宋体"/>
                <w:b w:val="0"/>
                <w:bCs/>
                <w:color w:val="auto"/>
                <w:sz w:val="21"/>
                <w:szCs w:val="21"/>
                <w:lang w:val="en-US" w:eastAsia="zh-CN"/>
              </w:rPr>
              <w:t>26</w:t>
            </w:r>
            <w:r>
              <w:rPr>
                <w:rFonts w:eastAsia="宋体"/>
                <w:b w:val="0"/>
                <w:bCs/>
                <w:color w:val="auto"/>
                <w:sz w:val="21"/>
                <w:szCs w:val="21"/>
              </w:rPr>
              <w:t>日取得</w:t>
            </w:r>
            <w:r>
              <w:rPr>
                <w:rFonts w:hint="eastAsia" w:eastAsia="宋体"/>
                <w:b w:val="0"/>
                <w:bCs/>
                <w:color w:val="auto"/>
                <w:sz w:val="21"/>
                <w:szCs w:val="21"/>
                <w:lang w:val="en-US" w:eastAsia="zh-CN"/>
              </w:rPr>
              <w:t>常州市金坛区发展和改革局</w:t>
            </w:r>
            <w:r>
              <w:rPr>
                <w:rFonts w:eastAsia="宋体"/>
                <w:b w:val="0"/>
                <w:bCs/>
                <w:color w:val="auto"/>
                <w:sz w:val="21"/>
                <w:szCs w:val="21"/>
              </w:rPr>
              <w:t>关于《</w:t>
            </w:r>
            <w:r>
              <w:rPr>
                <w:rFonts w:hint="eastAsia" w:eastAsia="宋体"/>
                <w:b w:val="0"/>
                <w:bCs/>
                <w:color w:val="auto"/>
                <w:sz w:val="21"/>
                <w:szCs w:val="21"/>
                <w:lang w:eastAsia="zh-CN"/>
              </w:rPr>
              <w:t>新建年产办公家具20000套、民用家具8000套项目</w:t>
            </w:r>
            <w:r>
              <w:rPr>
                <w:rFonts w:eastAsia="宋体"/>
                <w:b w:val="0"/>
                <w:bCs/>
                <w:color w:val="auto"/>
                <w:sz w:val="21"/>
                <w:szCs w:val="21"/>
              </w:rPr>
              <w:t>》</w:t>
            </w:r>
            <w:r>
              <w:rPr>
                <w:rFonts w:hint="eastAsia" w:eastAsia="宋体"/>
                <w:b w:val="0"/>
                <w:bCs/>
                <w:color w:val="auto"/>
                <w:sz w:val="21"/>
                <w:szCs w:val="21"/>
              </w:rPr>
              <w:t>的备案证（</w:t>
            </w:r>
            <w:r>
              <w:rPr>
                <w:rFonts w:hint="eastAsia" w:eastAsia="宋体"/>
                <w:b w:val="0"/>
                <w:bCs/>
                <w:color w:val="auto"/>
                <w:sz w:val="21"/>
                <w:szCs w:val="21"/>
                <w:lang w:eastAsia="zh-CN"/>
              </w:rPr>
              <w:t>坛发改备〔2025〕1404号</w:t>
            </w:r>
            <w:r>
              <w:rPr>
                <w:rFonts w:hint="eastAsia" w:eastAsia="宋体"/>
                <w:b w:val="0"/>
                <w:bCs/>
                <w:color w:val="auto"/>
                <w:sz w:val="21"/>
                <w:szCs w:val="21"/>
              </w:rPr>
              <w:t>），</w:t>
            </w:r>
            <w:r>
              <w:rPr>
                <w:rFonts w:eastAsia="宋体"/>
                <w:b w:val="0"/>
                <w:bCs/>
                <w:color w:val="auto"/>
                <w:sz w:val="21"/>
                <w:szCs w:val="21"/>
              </w:rPr>
              <w:t>项目编号为</w:t>
            </w:r>
            <w:r>
              <w:rPr>
                <w:rFonts w:hint="eastAsia" w:eastAsia="宋体"/>
                <w:b w:val="0"/>
                <w:bCs/>
                <w:color w:val="auto"/>
                <w:sz w:val="21"/>
                <w:szCs w:val="21"/>
                <w:lang w:eastAsia="zh-CN"/>
              </w:rPr>
              <w:t>2508-320413-04-01-345426</w:t>
            </w:r>
            <w:r>
              <w:rPr>
                <w:rFonts w:eastAsia="宋体"/>
                <w:b w:val="0"/>
                <w:bCs/>
                <w:color w:val="auto"/>
                <w:sz w:val="21"/>
                <w:szCs w:val="21"/>
              </w:rPr>
              <w:t>。</w:t>
            </w:r>
          </w:p>
          <w:p w14:paraId="58BEDA07">
            <w:pPr>
              <w:adjustRightInd w:val="0"/>
              <w:snapToGrid w:val="0"/>
              <w:spacing w:line="360" w:lineRule="auto"/>
              <w:ind w:firstLine="420" w:firstLineChars="200"/>
              <w:rPr>
                <w:rFonts w:hint="eastAsia"/>
                <w:color w:val="auto"/>
                <w:lang w:val="en-US" w:eastAsia="zh-CN"/>
              </w:rPr>
            </w:pPr>
            <w:r>
              <w:rPr>
                <w:rFonts w:hint="eastAsia"/>
                <w:color w:val="auto"/>
                <w:lang w:val="en-US" w:eastAsia="zh-CN"/>
              </w:rPr>
              <w:t>常州吉和智能家具有限公司成立于2020年07月16日。常州吉和智能家具有限公司“木质家具生产项目”于2020年10月14日通过常州市生态环境局审批，并于2020年12月5日完成项目竣工环保自主验收。该项目位于江苏省金坛经济开发区河山环路18号，租赁常州德飞机械有限公司闲置厂房3060m</w:t>
            </w:r>
            <w:r>
              <w:rPr>
                <w:rFonts w:hint="eastAsia"/>
                <w:color w:val="auto"/>
                <w:vertAlign w:val="superscript"/>
                <w:lang w:val="en-US" w:eastAsia="zh-CN"/>
              </w:rPr>
              <w:t>2</w:t>
            </w:r>
            <w:r>
              <w:rPr>
                <w:rFonts w:hint="eastAsia"/>
                <w:color w:val="auto"/>
                <w:lang w:val="en-US" w:eastAsia="zh-CN"/>
              </w:rPr>
              <w:t>。项目年产办公家具20000套、民用家具8000套。</w:t>
            </w:r>
          </w:p>
          <w:p w14:paraId="785CAF7E">
            <w:pPr>
              <w:adjustRightInd w:val="0"/>
              <w:snapToGrid w:val="0"/>
              <w:spacing w:line="360" w:lineRule="auto"/>
              <w:ind w:firstLine="420" w:firstLineChars="200"/>
              <w:rPr>
                <w:rFonts w:hint="eastAsia"/>
                <w:color w:val="auto"/>
                <w:lang w:val="en-US" w:eastAsia="zh-CN"/>
              </w:rPr>
            </w:pPr>
            <w:r>
              <w:rPr>
                <w:rFonts w:hint="eastAsia"/>
                <w:color w:val="auto"/>
                <w:lang w:val="en-US" w:eastAsia="zh-CN"/>
              </w:rPr>
              <w:t>考虑市场因素，常州吉和智能家具有限公司拟从江苏省金坛经济开发区河山环路18号迁至江苏省常州市金坛区金湖路99号。租赁晨风（江苏）服装有限公司1#南4173平方米现有空置厂房从事生产。</w:t>
            </w:r>
          </w:p>
          <w:p w14:paraId="1F7DA74A">
            <w:pPr>
              <w:adjustRightInd w:val="0"/>
              <w:snapToGrid w:val="0"/>
              <w:spacing w:line="360" w:lineRule="auto"/>
              <w:ind w:firstLine="420" w:firstLineChars="200"/>
              <w:rPr>
                <w:rFonts w:hint="eastAsia"/>
                <w:color w:val="auto"/>
                <w:lang w:val="en-US" w:eastAsia="zh-CN"/>
              </w:rPr>
            </w:pPr>
            <w:r>
              <w:rPr>
                <w:rFonts w:hint="eastAsia"/>
                <w:color w:val="auto"/>
                <w:lang w:val="en-US" w:eastAsia="zh-CN"/>
              </w:rPr>
              <w:t>由于部分产品销售于成都、四川等较潮湿的地区，现有的水性涂料容易在使用过程中因为轻度摩擦，易留下痕迹，在短期内就会出现划痕、光泽不均匀，无法持续对家具起到保护作用。因此本项目拟将少量的水性漆采用油性漆替换，本项目目前已取得油性漆不可替代论证，详见附件。</w:t>
            </w:r>
          </w:p>
          <w:p w14:paraId="558799B2">
            <w:pPr>
              <w:adjustRightInd w:val="0"/>
              <w:snapToGrid w:val="0"/>
              <w:spacing w:line="360" w:lineRule="auto"/>
              <w:ind w:firstLine="420" w:firstLineChars="200"/>
              <w:rPr>
                <w:rFonts w:hint="default"/>
                <w:color w:val="auto"/>
                <w:lang w:val="en-US" w:eastAsia="zh-CN"/>
              </w:rPr>
            </w:pPr>
            <w:r>
              <w:rPr>
                <w:rFonts w:hint="eastAsia"/>
                <w:color w:val="auto"/>
                <w:lang w:val="en-US" w:eastAsia="zh-CN"/>
              </w:rPr>
              <w:t>本次搬迁后，年产办公家具20000套，民用家具8000套，不新增产品产能。</w:t>
            </w:r>
          </w:p>
          <w:p w14:paraId="60893041">
            <w:pPr>
              <w:adjustRightInd w:val="0"/>
              <w:snapToGrid w:val="0"/>
              <w:spacing w:line="360" w:lineRule="auto"/>
              <w:ind w:firstLine="420" w:firstLineChars="200"/>
              <w:rPr>
                <w:color w:val="auto"/>
              </w:rPr>
            </w:pPr>
            <w:r>
              <w:rPr>
                <w:rFonts w:hint="eastAsia" w:cs="宋体"/>
                <w:color w:val="auto"/>
              </w:rPr>
              <w:t>对照《建设项目环境影响评价分类管理名录（2021年版）》（生态环境部令第16号），</w:t>
            </w:r>
            <w:r>
              <w:rPr>
                <w:color w:val="auto"/>
              </w:rPr>
              <w:t>本项目属于</w:t>
            </w:r>
            <w:r>
              <w:rPr>
                <w:rFonts w:hint="eastAsia"/>
                <w:color w:val="auto"/>
              </w:rPr>
              <w:t>“</w:t>
            </w:r>
            <w:r>
              <w:rPr>
                <w:rFonts w:hint="eastAsia" w:cs="宋体"/>
                <w:color w:val="auto"/>
                <w:lang w:val="en-US" w:eastAsia="zh-CN"/>
              </w:rPr>
              <w:t>十八</w:t>
            </w:r>
            <w:r>
              <w:rPr>
                <w:rFonts w:hint="eastAsia" w:cs="宋体"/>
                <w:color w:val="auto"/>
              </w:rPr>
              <w:t>、</w:t>
            </w:r>
            <w:r>
              <w:rPr>
                <w:rFonts w:hint="eastAsia"/>
                <w:color w:val="auto"/>
                <w:kern w:val="0"/>
                <w:sz w:val="21"/>
                <w:lang w:val="en-US" w:eastAsia="zh-CN"/>
              </w:rPr>
              <w:t>家具制造业21</w:t>
            </w:r>
            <w:r>
              <w:rPr>
                <w:rFonts w:hint="eastAsia"/>
                <w:color w:val="auto"/>
              </w:rPr>
              <w:t>”中“</w:t>
            </w:r>
            <w:r>
              <w:rPr>
                <w:rFonts w:hint="eastAsia"/>
                <w:color w:val="auto"/>
                <w:kern w:val="0"/>
                <w:sz w:val="21"/>
                <w:lang w:val="en-US" w:eastAsia="zh-CN"/>
              </w:rPr>
              <w:t>木质家具制造211</w:t>
            </w:r>
            <w:r>
              <w:rPr>
                <w:rFonts w:hint="eastAsia"/>
                <w:color w:val="auto"/>
              </w:rPr>
              <w:t>”中“</w:t>
            </w:r>
            <w:r>
              <w:rPr>
                <w:rFonts w:hint="eastAsia"/>
                <w:color w:val="auto"/>
                <w:kern w:val="0"/>
                <w:sz w:val="21"/>
              </w:rPr>
              <w:t>其他（仅分割、组装的除外；年用非溶剂型低VOCs含量涂料10吨以下的除外）</w:t>
            </w:r>
            <w:r>
              <w:rPr>
                <w:rFonts w:hint="eastAsia"/>
                <w:color w:val="auto"/>
              </w:rPr>
              <w:t>”</w:t>
            </w:r>
            <w:r>
              <w:rPr>
                <w:color w:val="auto"/>
              </w:rPr>
              <w:t>，应编制环境影响报告表。</w:t>
            </w:r>
          </w:p>
          <w:p w14:paraId="20391F15">
            <w:pPr>
              <w:adjustRightInd w:val="0"/>
              <w:snapToGrid w:val="0"/>
              <w:spacing w:line="360" w:lineRule="auto"/>
              <w:ind w:firstLine="420" w:firstLineChars="200"/>
              <w:rPr>
                <w:rFonts w:cs="宋体"/>
                <w:color w:val="auto"/>
              </w:rPr>
            </w:pPr>
            <w:r>
              <w:rPr>
                <w:rFonts w:hint="eastAsia" w:cs="新宋体"/>
                <w:color w:val="auto"/>
                <w:kern w:val="0"/>
                <w:lang w:eastAsia="zh-CN" w:bidi="ar"/>
              </w:rPr>
              <w:t>常州吉和智能家具有限公司</w:t>
            </w:r>
            <w:r>
              <w:rPr>
                <w:rFonts w:hint="eastAsia" w:cs="宋体"/>
                <w:color w:val="auto"/>
              </w:rPr>
              <w:t>委托我单位承担本项目环境影响报告表的编制工作。我单位接受委托后，即进行了现场调查及资料收集；因此我公司通过对有关资料的收集、整理和分析计算，根据编制技术指南要求和有关规范编制了该项目的环境影响报告表，经项目建设单位确认，供环保部门审查批准。</w:t>
            </w:r>
          </w:p>
          <w:p w14:paraId="7F877670">
            <w:pPr>
              <w:autoSpaceDE w:val="0"/>
              <w:autoSpaceDN w:val="0"/>
              <w:adjustRightInd w:val="0"/>
              <w:snapToGrid w:val="0"/>
              <w:spacing w:line="360" w:lineRule="auto"/>
              <w:jc w:val="left"/>
              <w:rPr>
                <w:rFonts w:cs="宋体"/>
                <w:b/>
                <w:bCs/>
                <w:color w:val="auto"/>
                <w:kern w:val="0"/>
                <w:lang w:bidi="ar"/>
              </w:rPr>
            </w:pPr>
            <w:r>
              <w:rPr>
                <w:rFonts w:hint="eastAsia" w:cs="宋体"/>
                <w:b/>
                <w:bCs/>
                <w:color w:val="auto"/>
              </w:rPr>
              <w:t xml:space="preserve">2.1.2 </w:t>
            </w:r>
            <w:r>
              <w:rPr>
                <w:rFonts w:hint="eastAsia" w:cs="宋体"/>
                <w:b/>
                <w:bCs/>
                <w:color w:val="auto"/>
                <w:kern w:val="0"/>
                <w:lang w:bidi="ar"/>
              </w:rPr>
              <w:t>项目产品方案</w:t>
            </w:r>
          </w:p>
          <w:p w14:paraId="4DDA2B8C">
            <w:pPr>
              <w:pStyle w:val="5"/>
              <w:adjustRightInd w:val="0"/>
              <w:snapToGrid w:val="0"/>
              <w:spacing w:line="360" w:lineRule="auto"/>
              <w:ind w:firstLineChars="200"/>
              <w:rPr>
                <w:rFonts w:cs="宋体"/>
                <w:color w:val="auto"/>
                <w:szCs w:val="21"/>
              </w:rPr>
            </w:pPr>
            <w:r>
              <w:rPr>
                <w:rFonts w:hint="eastAsia" w:cs="宋体"/>
                <w:color w:val="auto"/>
                <w:szCs w:val="21"/>
              </w:rPr>
              <w:t>项目主要产品方案如下：</w:t>
            </w:r>
          </w:p>
          <w:p w14:paraId="04DAF619">
            <w:pPr>
              <w:pStyle w:val="17"/>
              <w:keepNext/>
              <w:adjustRightInd w:val="0"/>
              <w:snapToGrid w:val="0"/>
              <w:jc w:val="center"/>
              <w:rPr>
                <w:rFonts w:ascii="Times New Roman" w:hAnsi="Times New Roman" w:eastAsia="宋体"/>
                <w:b/>
                <w:color w:val="auto"/>
                <w:sz w:val="21"/>
                <w:szCs w:val="21"/>
              </w:rPr>
            </w:pPr>
            <w:r>
              <w:rPr>
                <w:rFonts w:hint="eastAsia" w:ascii="Times New Roman" w:hAnsi="Times New Roman" w:eastAsia="宋体" w:cs="宋体"/>
                <w:b/>
                <w:color w:val="auto"/>
                <w:sz w:val="21"/>
                <w:szCs w:val="21"/>
              </w:rPr>
              <w:t>表2-1   项目产品方案</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2640"/>
              <w:gridCol w:w="1228"/>
              <w:gridCol w:w="2035"/>
              <w:gridCol w:w="2643"/>
            </w:tblGrid>
            <w:tr w14:paraId="300E197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jc w:val="center"/>
              </w:trPr>
              <w:tc>
                <w:tcPr>
                  <w:tcW w:w="1544" w:type="pct"/>
                  <w:tcBorders>
                    <w:tl2br w:val="nil"/>
                    <w:tr2bl w:val="nil"/>
                  </w:tcBorders>
                  <w:vAlign w:val="center"/>
                </w:tcPr>
                <w:p w14:paraId="484EB435">
                  <w:pPr>
                    <w:widowControl/>
                    <w:adjustRightInd w:val="0"/>
                    <w:snapToGrid w:val="0"/>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产品名称</w:t>
                  </w:r>
                </w:p>
              </w:tc>
              <w:tc>
                <w:tcPr>
                  <w:tcW w:w="1908" w:type="pct"/>
                  <w:gridSpan w:val="2"/>
                  <w:tcBorders>
                    <w:tl2br w:val="nil"/>
                    <w:tr2bl w:val="nil"/>
                  </w:tcBorders>
                  <w:vAlign w:val="center"/>
                </w:tcPr>
                <w:p w14:paraId="3FA3FFEF">
                  <w:pPr>
                    <w:widowControl/>
                    <w:adjustRightInd w:val="0"/>
                    <w:snapToGrid w:val="0"/>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设计能力（</w:t>
                  </w:r>
                  <w:r>
                    <w:rPr>
                      <w:rFonts w:hint="eastAsia" w:cs="Times New Roman"/>
                      <w:b/>
                      <w:bCs/>
                      <w:color w:val="auto"/>
                      <w:kern w:val="0"/>
                      <w:lang w:val="en-US" w:eastAsia="zh-CN"/>
                    </w:rPr>
                    <w:t>套</w:t>
                  </w:r>
                  <w:r>
                    <w:rPr>
                      <w:rFonts w:hint="default" w:ascii="Times New Roman" w:hAnsi="Times New Roman" w:cs="Times New Roman"/>
                      <w:b/>
                      <w:bCs/>
                      <w:color w:val="auto"/>
                      <w:kern w:val="0"/>
                    </w:rPr>
                    <w:t>/a）</w:t>
                  </w:r>
                </w:p>
              </w:tc>
              <w:tc>
                <w:tcPr>
                  <w:tcW w:w="1546" w:type="pct"/>
                  <w:tcBorders>
                    <w:tl2br w:val="nil"/>
                    <w:tr2bl w:val="nil"/>
                  </w:tcBorders>
                  <w:vAlign w:val="center"/>
                </w:tcPr>
                <w:p w14:paraId="17476458">
                  <w:pPr>
                    <w:widowControl/>
                    <w:adjustRightInd w:val="0"/>
                    <w:snapToGrid w:val="0"/>
                    <w:jc w:val="center"/>
                    <w:rPr>
                      <w:rFonts w:hint="default" w:ascii="Times New Roman" w:hAnsi="Times New Roman" w:cs="Times New Roman"/>
                      <w:b/>
                      <w:bCs/>
                      <w:color w:val="auto"/>
                      <w:kern w:val="0"/>
                    </w:rPr>
                  </w:pPr>
                  <w:r>
                    <w:rPr>
                      <w:rFonts w:hint="default" w:ascii="Times New Roman" w:hAnsi="Times New Roman" w:cs="Times New Roman"/>
                      <w:b/>
                      <w:bCs/>
                      <w:color w:val="auto"/>
                      <w:kern w:val="0"/>
                    </w:rPr>
                    <w:t>年运行时数</w:t>
                  </w:r>
                </w:p>
              </w:tc>
            </w:tr>
            <w:tr w14:paraId="4129867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jc w:val="center"/>
              </w:trPr>
              <w:tc>
                <w:tcPr>
                  <w:tcW w:w="1544" w:type="pct"/>
                  <w:tcBorders>
                    <w:tl2br w:val="nil"/>
                    <w:tr2bl w:val="nil"/>
                  </w:tcBorders>
                  <w:vAlign w:val="center"/>
                </w:tcPr>
                <w:p w14:paraId="1126B696">
                  <w:pPr>
                    <w:keepNext/>
                    <w:adjustRightInd w:val="0"/>
                    <w:snapToGrid w:val="0"/>
                    <w:jc w:val="center"/>
                    <w:rPr>
                      <w:rFonts w:hint="default" w:ascii="Times New Roman" w:hAnsi="Times New Roman" w:cs="Times New Roman"/>
                      <w:color w:val="auto"/>
                      <w:kern w:val="0"/>
                    </w:rPr>
                  </w:pPr>
                  <w:r>
                    <w:rPr>
                      <w:rFonts w:hint="eastAsia" w:cs="Times New Roman"/>
                      <w:color w:val="auto"/>
                      <w:szCs w:val="21"/>
                      <w:lang w:val="en-US" w:eastAsia="zh-CN"/>
                    </w:rPr>
                    <w:t>办公家具</w:t>
                  </w:r>
                </w:p>
              </w:tc>
              <w:tc>
                <w:tcPr>
                  <w:tcW w:w="718" w:type="pct"/>
                  <w:tcBorders>
                    <w:tl2br w:val="nil"/>
                    <w:tr2bl w:val="nil"/>
                  </w:tcBorders>
                  <w:vAlign w:val="center"/>
                </w:tcPr>
                <w:p w14:paraId="7E6BB3A2">
                  <w:pPr>
                    <w:widowControl/>
                    <w:adjustRightInd w:val="0"/>
                    <w:snapToGrid w:val="0"/>
                    <w:jc w:val="center"/>
                    <w:rPr>
                      <w:rFonts w:hint="default" w:ascii="Times New Roman" w:hAnsi="Times New Roman" w:cs="Times New Roman"/>
                      <w:color w:val="auto"/>
                      <w:kern w:val="0"/>
                      <w:lang w:val="en-US" w:eastAsia="zh-CN"/>
                    </w:rPr>
                  </w:pPr>
                  <w:r>
                    <w:rPr>
                      <w:rFonts w:hint="eastAsia" w:cs="Times New Roman"/>
                      <w:color w:val="auto"/>
                      <w:kern w:val="0"/>
                      <w:lang w:val="en-US" w:eastAsia="zh-CN"/>
                    </w:rPr>
                    <w:t>20000</w:t>
                  </w:r>
                </w:p>
              </w:tc>
              <w:tc>
                <w:tcPr>
                  <w:tcW w:w="1190" w:type="pct"/>
                  <w:tcBorders>
                    <w:tl2br w:val="nil"/>
                    <w:tr2bl w:val="nil"/>
                  </w:tcBorders>
                  <w:vAlign w:val="center"/>
                </w:tcPr>
                <w:p w14:paraId="2002C0B9">
                  <w:pPr>
                    <w:widowControl/>
                    <w:adjustRightInd w:val="0"/>
                    <w:snapToGrid w:val="0"/>
                    <w:jc w:val="center"/>
                    <w:rPr>
                      <w:rFonts w:hint="default" w:cs="Times New Roman"/>
                      <w:color w:val="auto"/>
                      <w:kern w:val="0"/>
                      <w:lang w:val="en-US" w:eastAsia="zh-CN"/>
                    </w:rPr>
                  </w:pPr>
                  <w:r>
                    <w:rPr>
                      <w:rFonts w:hint="eastAsia" w:cs="Times New Roman"/>
                      <w:color w:val="auto"/>
                      <w:kern w:val="0"/>
                      <w:lang w:val="en-US" w:eastAsia="zh-CN"/>
                    </w:rPr>
                    <w:t>免漆家具19000套、喷漆家具1000套</w:t>
                  </w:r>
                </w:p>
              </w:tc>
              <w:tc>
                <w:tcPr>
                  <w:tcW w:w="1546" w:type="pct"/>
                  <w:vMerge w:val="restart"/>
                  <w:tcBorders>
                    <w:tl2br w:val="nil"/>
                    <w:tr2bl w:val="nil"/>
                  </w:tcBorders>
                  <w:vAlign w:val="center"/>
                </w:tcPr>
                <w:p w14:paraId="64214CE1">
                  <w:pPr>
                    <w:adjustRightInd w:val="0"/>
                    <w:snapToGrid w:val="0"/>
                    <w:jc w:val="center"/>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300</w:t>
                  </w:r>
                  <w:r>
                    <w:rPr>
                      <w:rFonts w:hint="default" w:ascii="Times New Roman" w:hAnsi="Times New Roman" w:cs="Times New Roman"/>
                      <w:color w:val="auto"/>
                      <w:kern w:val="0"/>
                      <w:lang w:val="en-US" w:eastAsia="zh-CN"/>
                    </w:rPr>
                    <w:t>d×</w:t>
                  </w:r>
                  <w:r>
                    <w:rPr>
                      <w:rFonts w:hint="eastAsia" w:cs="Times New Roman"/>
                      <w:color w:val="auto"/>
                      <w:kern w:val="0"/>
                      <w:lang w:val="en-US" w:eastAsia="zh-CN"/>
                    </w:rPr>
                    <w:t>8</w:t>
                  </w:r>
                  <w:r>
                    <w:rPr>
                      <w:rFonts w:hint="default" w:ascii="Times New Roman" w:hAnsi="Times New Roman" w:cs="Times New Roman"/>
                      <w:color w:val="auto"/>
                      <w:kern w:val="0"/>
                      <w:lang w:val="en-US" w:eastAsia="zh-CN"/>
                    </w:rPr>
                    <w:t>h＝</w:t>
                  </w:r>
                  <w:r>
                    <w:rPr>
                      <w:rFonts w:hint="eastAsia" w:cs="Times New Roman"/>
                      <w:color w:val="auto"/>
                      <w:kern w:val="0"/>
                      <w:lang w:val="en-US" w:eastAsia="zh-CN"/>
                    </w:rPr>
                    <w:t>2400</w:t>
                  </w:r>
                  <w:r>
                    <w:rPr>
                      <w:rFonts w:hint="default" w:ascii="Times New Roman" w:hAnsi="Times New Roman" w:cs="Times New Roman"/>
                      <w:color w:val="auto"/>
                      <w:kern w:val="0"/>
                      <w:lang w:val="en-US" w:eastAsia="zh-CN"/>
                    </w:rPr>
                    <w:t>h</w:t>
                  </w:r>
                </w:p>
              </w:tc>
            </w:tr>
            <w:tr w14:paraId="7F80B66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jc w:val="center"/>
              </w:trPr>
              <w:tc>
                <w:tcPr>
                  <w:tcW w:w="1544" w:type="pct"/>
                  <w:tcBorders>
                    <w:tl2br w:val="nil"/>
                    <w:tr2bl w:val="nil"/>
                  </w:tcBorders>
                  <w:vAlign w:val="center"/>
                </w:tcPr>
                <w:p w14:paraId="3885BF93">
                  <w:pPr>
                    <w:keepNext/>
                    <w:adjustRightInd w:val="0"/>
                    <w:snapToGrid w:val="0"/>
                    <w:jc w:val="center"/>
                    <w:rPr>
                      <w:rFonts w:hint="default" w:ascii="Times New Roman" w:hAnsi="Times New Roman" w:eastAsia="宋体" w:cs="Times New Roman"/>
                      <w:color w:val="auto"/>
                      <w:kern w:val="0"/>
                      <w:lang w:val="en-US" w:eastAsia="zh-CN"/>
                    </w:rPr>
                  </w:pPr>
                  <w:r>
                    <w:rPr>
                      <w:rFonts w:hint="eastAsia" w:cs="Times New Roman"/>
                      <w:color w:val="auto"/>
                      <w:szCs w:val="21"/>
                      <w:lang w:val="en-US" w:eastAsia="zh-CN"/>
                    </w:rPr>
                    <w:t>民用家具</w:t>
                  </w:r>
                </w:p>
              </w:tc>
              <w:tc>
                <w:tcPr>
                  <w:tcW w:w="718" w:type="pct"/>
                  <w:tcBorders>
                    <w:tl2br w:val="nil"/>
                    <w:tr2bl w:val="nil"/>
                  </w:tcBorders>
                  <w:vAlign w:val="center"/>
                </w:tcPr>
                <w:p w14:paraId="2942E24E">
                  <w:pPr>
                    <w:widowControl/>
                    <w:adjustRightInd w:val="0"/>
                    <w:snapToGrid w:val="0"/>
                    <w:jc w:val="center"/>
                    <w:rPr>
                      <w:rFonts w:hint="default" w:ascii="Times New Roman" w:hAnsi="Times New Roman" w:cs="Times New Roman"/>
                      <w:color w:val="auto"/>
                      <w:kern w:val="0"/>
                      <w:lang w:val="en-US" w:eastAsia="zh-CN"/>
                    </w:rPr>
                  </w:pPr>
                  <w:r>
                    <w:rPr>
                      <w:rFonts w:hint="eastAsia" w:cs="Times New Roman"/>
                      <w:color w:val="auto"/>
                      <w:kern w:val="0"/>
                      <w:lang w:val="en-US" w:eastAsia="zh-CN"/>
                    </w:rPr>
                    <w:t>8000</w:t>
                  </w:r>
                </w:p>
              </w:tc>
              <w:tc>
                <w:tcPr>
                  <w:tcW w:w="1190" w:type="pct"/>
                  <w:tcBorders>
                    <w:tl2br w:val="nil"/>
                    <w:tr2bl w:val="nil"/>
                  </w:tcBorders>
                  <w:vAlign w:val="center"/>
                </w:tcPr>
                <w:p w14:paraId="38DDD597">
                  <w:pPr>
                    <w:widowControl/>
                    <w:adjustRightInd w:val="0"/>
                    <w:snapToGrid w:val="0"/>
                    <w:jc w:val="center"/>
                    <w:rPr>
                      <w:rFonts w:hint="default" w:cs="Times New Roman"/>
                      <w:color w:val="auto"/>
                      <w:kern w:val="0"/>
                      <w:lang w:val="en-US" w:eastAsia="zh-CN"/>
                    </w:rPr>
                  </w:pPr>
                  <w:r>
                    <w:rPr>
                      <w:rFonts w:hint="eastAsia" w:cs="Times New Roman"/>
                      <w:color w:val="auto"/>
                      <w:kern w:val="0"/>
                      <w:lang w:val="en-US" w:eastAsia="zh-CN"/>
                    </w:rPr>
                    <w:t>免漆家具7600套、喷漆家具400套</w:t>
                  </w:r>
                </w:p>
              </w:tc>
              <w:tc>
                <w:tcPr>
                  <w:tcW w:w="1546" w:type="pct"/>
                  <w:vMerge w:val="continue"/>
                  <w:tcBorders>
                    <w:tl2br w:val="nil"/>
                    <w:tr2bl w:val="nil"/>
                  </w:tcBorders>
                  <w:vAlign w:val="center"/>
                </w:tcPr>
                <w:p w14:paraId="3C4EE9EA">
                  <w:pPr>
                    <w:adjustRightInd w:val="0"/>
                    <w:snapToGrid w:val="0"/>
                    <w:jc w:val="center"/>
                    <w:rPr>
                      <w:rFonts w:hint="default" w:ascii="Times New Roman" w:hAnsi="Times New Roman" w:cs="Times New Roman"/>
                      <w:color w:val="auto"/>
                      <w:kern w:val="0"/>
                    </w:rPr>
                  </w:pPr>
                </w:p>
              </w:tc>
            </w:tr>
          </w:tbl>
          <w:p w14:paraId="17108BE7">
            <w:pPr>
              <w:autoSpaceDE w:val="0"/>
              <w:autoSpaceDN w:val="0"/>
              <w:adjustRightInd w:val="0"/>
              <w:snapToGrid w:val="0"/>
              <w:spacing w:line="360" w:lineRule="auto"/>
              <w:jc w:val="left"/>
              <w:rPr>
                <w:rFonts w:cs="宋体"/>
                <w:b/>
                <w:bCs/>
                <w:color w:val="auto"/>
              </w:rPr>
            </w:pPr>
            <w:r>
              <w:rPr>
                <w:rFonts w:hint="eastAsia" w:cs="宋体"/>
                <w:b/>
                <w:bCs/>
                <w:color w:val="auto"/>
              </w:rPr>
              <w:t>2.1.3 工程内容</w:t>
            </w:r>
          </w:p>
          <w:p w14:paraId="5A2D4FCB">
            <w:pPr>
              <w:adjustRightInd w:val="0"/>
              <w:snapToGrid w:val="0"/>
              <w:spacing w:line="360" w:lineRule="auto"/>
              <w:ind w:firstLine="420" w:firstLineChars="200"/>
              <w:jc w:val="left"/>
              <w:rPr>
                <w:color w:val="auto"/>
              </w:rPr>
            </w:pPr>
            <w:r>
              <w:rPr>
                <w:rFonts w:hint="eastAsia" w:cs="宋体"/>
                <w:color w:val="auto"/>
                <w:kern w:val="0"/>
                <w:lang w:bidi="ar"/>
              </w:rPr>
              <w:t>本项目主体工程、储运工程、公用工程及环保工程见下表：</w:t>
            </w:r>
          </w:p>
          <w:p w14:paraId="7C58C0B0">
            <w:pPr>
              <w:pStyle w:val="17"/>
              <w:keepNext/>
              <w:adjustRightInd w:val="0"/>
              <w:snapToGrid w:val="0"/>
              <w:jc w:val="center"/>
              <w:rPr>
                <w:rFonts w:ascii="Times New Roman" w:hAnsi="Times New Roman" w:eastAsia="宋体"/>
                <w:b/>
                <w:color w:val="auto"/>
                <w:sz w:val="21"/>
                <w:szCs w:val="21"/>
              </w:rPr>
            </w:pPr>
            <w:r>
              <w:rPr>
                <w:rFonts w:ascii="Times New Roman" w:hAnsi="Times New Roman" w:eastAsia="宋体"/>
                <w:b/>
                <w:color w:val="auto"/>
                <w:sz w:val="21"/>
                <w:szCs w:val="21"/>
              </w:rPr>
              <w:t>表2-</w:t>
            </w:r>
            <w:r>
              <w:rPr>
                <w:rFonts w:hint="eastAsia" w:ascii="Times New Roman" w:hAnsi="Times New Roman" w:eastAsia="宋体"/>
                <w:b/>
                <w:color w:val="auto"/>
                <w:sz w:val="21"/>
                <w:szCs w:val="21"/>
                <w:lang w:val="en-US" w:eastAsia="zh-CN"/>
              </w:rPr>
              <w:t>2</w:t>
            </w:r>
            <w:r>
              <w:rPr>
                <w:rFonts w:ascii="Times New Roman" w:hAnsi="Times New Roman" w:eastAsia="宋体"/>
                <w:b/>
                <w:color w:val="auto"/>
                <w:sz w:val="21"/>
                <w:szCs w:val="21"/>
              </w:rPr>
              <w:t xml:space="preserve">   项目主要组成内容</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483"/>
              <w:gridCol w:w="566"/>
              <w:gridCol w:w="901"/>
              <w:gridCol w:w="3177"/>
              <w:gridCol w:w="2400"/>
              <w:gridCol w:w="1017"/>
            </w:tblGrid>
            <w:tr w14:paraId="285FABF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93" w:hRule="atLeast"/>
                <w:jc w:val="center"/>
              </w:trPr>
              <w:tc>
                <w:tcPr>
                  <w:tcW w:w="282" w:type="pct"/>
                  <w:tcBorders>
                    <w:tl2br w:val="nil"/>
                    <w:tr2bl w:val="nil"/>
                  </w:tcBorders>
                  <w:vAlign w:val="center"/>
                </w:tcPr>
                <w:p w14:paraId="440893A1">
                  <w:pPr>
                    <w:keepNext w:val="0"/>
                    <w:keepLines w:val="0"/>
                    <w:pageBreakBefore w:val="0"/>
                    <w:widowControl w:val="0"/>
                    <w:kinsoku/>
                    <w:wordWrap/>
                    <w:overflowPunct/>
                    <w:topLinePunct w:val="0"/>
                    <w:autoSpaceDE/>
                    <w:autoSpaceDN/>
                    <w:bidi w:val="0"/>
                    <w:adjustRightInd w:val="0"/>
                    <w:snapToGrid w:val="0"/>
                    <w:jc w:val="center"/>
                    <w:textAlignment w:val="auto"/>
                    <w:rPr>
                      <w:b/>
                      <w:color w:val="auto"/>
                      <w:kern w:val="0"/>
                      <w:sz w:val="21"/>
                      <w:szCs w:val="21"/>
                    </w:rPr>
                  </w:pPr>
                  <w:r>
                    <w:rPr>
                      <w:b/>
                      <w:color w:val="auto"/>
                      <w:kern w:val="0"/>
                      <w:sz w:val="21"/>
                      <w:szCs w:val="21"/>
                    </w:rPr>
                    <w:t>类别</w:t>
                  </w:r>
                </w:p>
              </w:tc>
              <w:tc>
                <w:tcPr>
                  <w:tcW w:w="858" w:type="pct"/>
                  <w:gridSpan w:val="2"/>
                  <w:tcBorders>
                    <w:tl2br w:val="nil"/>
                    <w:tr2bl w:val="nil"/>
                  </w:tcBorders>
                  <w:vAlign w:val="center"/>
                </w:tcPr>
                <w:p w14:paraId="09036F9E">
                  <w:pPr>
                    <w:keepNext w:val="0"/>
                    <w:keepLines w:val="0"/>
                    <w:pageBreakBefore w:val="0"/>
                    <w:widowControl w:val="0"/>
                    <w:kinsoku/>
                    <w:wordWrap/>
                    <w:overflowPunct/>
                    <w:topLinePunct w:val="0"/>
                    <w:autoSpaceDE/>
                    <w:autoSpaceDN/>
                    <w:bidi w:val="0"/>
                    <w:adjustRightInd w:val="0"/>
                    <w:snapToGrid w:val="0"/>
                    <w:jc w:val="center"/>
                    <w:textAlignment w:val="auto"/>
                    <w:rPr>
                      <w:b/>
                      <w:color w:val="auto"/>
                      <w:kern w:val="0"/>
                      <w:sz w:val="21"/>
                      <w:szCs w:val="21"/>
                    </w:rPr>
                  </w:pPr>
                  <w:r>
                    <w:rPr>
                      <w:rFonts w:hint="eastAsia"/>
                      <w:b/>
                      <w:color w:val="auto"/>
                      <w:kern w:val="0"/>
                      <w:sz w:val="21"/>
                      <w:szCs w:val="21"/>
                    </w:rPr>
                    <w:t>单项工程</w:t>
                  </w:r>
                  <w:r>
                    <w:rPr>
                      <w:b/>
                      <w:color w:val="auto"/>
                      <w:kern w:val="0"/>
                      <w:sz w:val="21"/>
                      <w:szCs w:val="21"/>
                    </w:rPr>
                    <w:t>名称</w:t>
                  </w:r>
                </w:p>
              </w:tc>
              <w:tc>
                <w:tcPr>
                  <w:tcW w:w="1859" w:type="pct"/>
                  <w:tcBorders>
                    <w:tl2br w:val="nil"/>
                    <w:tr2bl w:val="nil"/>
                  </w:tcBorders>
                  <w:vAlign w:val="center"/>
                </w:tcPr>
                <w:p w14:paraId="023F6313">
                  <w:pPr>
                    <w:keepNext w:val="0"/>
                    <w:keepLines w:val="0"/>
                    <w:pageBreakBefore w:val="0"/>
                    <w:widowControl w:val="0"/>
                    <w:kinsoku/>
                    <w:wordWrap/>
                    <w:overflowPunct/>
                    <w:topLinePunct w:val="0"/>
                    <w:autoSpaceDE/>
                    <w:autoSpaceDN/>
                    <w:bidi w:val="0"/>
                    <w:adjustRightInd w:val="0"/>
                    <w:snapToGrid w:val="0"/>
                    <w:jc w:val="center"/>
                    <w:textAlignment w:val="auto"/>
                    <w:rPr>
                      <w:b/>
                      <w:color w:val="auto"/>
                      <w:kern w:val="0"/>
                      <w:sz w:val="21"/>
                      <w:szCs w:val="21"/>
                    </w:rPr>
                  </w:pPr>
                  <w:r>
                    <w:rPr>
                      <w:rFonts w:hint="eastAsia"/>
                      <w:b/>
                      <w:color w:val="auto"/>
                      <w:kern w:val="0"/>
                      <w:sz w:val="21"/>
                      <w:szCs w:val="21"/>
                    </w:rPr>
                    <w:t>工程内容</w:t>
                  </w:r>
                </w:p>
              </w:tc>
              <w:tc>
                <w:tcPr>
                  <w:tcW w:w="1404" w:type="pct"/>
                  <w:tcBorders>
                    <w:tl2br w:val="nil"/>
                    <w:tr2bl w:val="nil"/>
                  </w:tcBorders>
                  <w:vAlign w:val="center"/>
                </w:tcPr>
                <w:p w14:paraId="30B343DF">
                  <w:pPr>
                    <w:keepNext w:val="0"/>
                    <w:keepLines w:val="0"/>
                    <w:pageBreakBefore w:val="0"/>
                    <w:widowControl w:val="0"/>
                    <w:kinsoku/>
                    <w:wordWrap/>
                    <w:overflowPunct/>
                    <w:topLinePunct w:val="0"/>
                    <w:autoSpaceDE/>
                    <w:autoSpaceDN/>
                    <w:bidi w:val="0"/>
                    <w:adjustRightInd w:val="0"/>
                    <w:snapToGrid w:val="0"/>
                    <w:jc w:val="center"/>
                    <w:textAlignment w:val="auto"/>
                    <w:rPr>
                      <w:b/>
                      <w:color w:val="auto"/>
                      <w:kern w:val="0"/>
                      <w:sz w:val="21"/>
                      <w:szCs w:val="21"/>
                    </w:rPr>
                  </w:pPr>
                  <w:r>
                    <w:rPr>
                      <w:rFonts w:hint="eastAsia"/>
                      <w:b/>
                      <w:color w:val="auto"/>
                      <w:kern w:val="0"/>
                      <w:sz w:val="21"/>
                      <w:szCs w:val="21"/>
                    </w:rPr>
                    <w:t>工程规模</w:t>
                  </w:r>
                </w:p>
              </w:tc>
              <w:tc>
                <w:tcPr>
                  <w:tcW w:w="595" w:type="pct"/>
                  <w:tcBorders>
                    <w:tl2br w:val="nil"/>
                    <w:tr2bl w:val="nil"/>
                  </w:tcBorders>
                  <w:vAlign w:val="center"/>
                </w:tcPr>
                <w:p w14:paraId="4444BC02">
                  <w:pPr>
                    <w:keepNext w:val="0"/>
                    <w:keepLines w:val="0"/>
                    <w:pageBreakBefore w:val="0"/>
                    <w:widowControl w:val="0"/>
                    <w:kinsoku/>
                    <w:wordWrap/>
                    <w:overflowPunct/>
                    <w:topLinePunct w:val="0"/>
                    <w:autoSpaceDE/>
                    <w:autoSpaceDN/>
                    <w:bidi w:val="0"/>
                    <w:adjustRightInd w:val="0"/>
                    <w:snapToGrid w:val="0"/>
                    <w:jc w:val="center"/>
                    <w:textAlignment w:val="auto"/>
                    <w:rPr>
                      <w:b/>
                      <w:color w:val="auto"/>
                      <w:kern w:val="0"/>
                      <w:sz w:val="21"/>
                      <w:szCs w:val="21"/>
                    </w:rPr>
                  </w:pPr>
                  <w:r>
                    <w:rPr>
                      <w:b/>
                      <w:color w:val="auto"/>
                      <w:kern w:val="0"/>
                      <w:sz w:val="21"/>
                      <w:szCs w:val="21"/>
                    </w:rPr>
                    <w:t>备注</w:t>
                  </w:r>
                </w:p>
              </w:tc>
            </w:tr>
            <w:tr w14:paraId="02259FE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89" w:hRule="atLeast"/>
                <w:jc w:val="center"/>
              </w:trPr>
              <w:tc>
                <w:tcPr>
                  <w:tcW w:w="282" w:type="pct"/>
                  <w:tcBorders>
                    <w:tl2br w:val="nil"/>
                    <w:tr2bl w:val="nil"/>
                  </w:tcBorders>
                  <w:vAlign w:val="center"/>
                </w:tcPr>
                <w:p w14:paraId="5BCCF67F">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kern w:val="0"/>
                      <w:sz w:val="21"/>
                      <w:szCs w:val="21"/>
                    </w:rPr>
                  </w:pPr>
                  <w:r>
                    <w:rPr>
                      <w:b/>
                      <w:bCs/>
                      <w:color w:val="auto"/>
                      <w:kern w:val="0"/>
                      <w:sz w:val="21"/>
                      <w:szCs w:val="21"/>
                    </w:rPr>
                    <w:t>主体</w:t>
                  </w:r>
                </w:p>
                <w:p w14:paraId="692BF2A8">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kern w:val="0"/>
                      <w:sz w:val="21"/>
                      <w:szCs w:val="21"/>
                    </w:rPr>
                  </w:pPr>
                  <w:r>
                    <w:rPr>
                      <w:b/>
                      <w:bCs/>
                      <w:color w:val="auto"/>
                      <w:kern w:val="0"/>
                      <w:sz w:val="21"/>
                      <w:szCs w:val="21"/>
                    </w:rPr>
                    <w:t>工程</w:t>
                  </w:r>
                </w:p>
              </w:tc>
              <w:tc>
                <w:tcPr>
                  <w:tcW w:w="858" w:type="pct"/>
                  <w:gridSpan w:val="2"/>
                  <w:tcBorders>
                    <w:tl2br w:val="nil"/>
                    <w:tr2bl w:val="nil"/>
                  </w:tcBorders>
                  <w:vAlign w:val="center"/>
                </w:tcPr>
                <w:p w14:paraId="2358AD4A">
                  <w:pPr>
                    <w:pStyle w:val="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 w:val="21"/>
                      <w:szCs w:val="21"/>
                    </w:rPr>
                  </w:pPr>
                  <w:r>
                    <w:rPr>
                      <w:rFonts w:hint="eastAsia"/>
                      <w:color w:val="auto"/>
                      <w:kern w:val="0"/>
                      <w:sz w:val="21"/>
                      <w:szCs w:val="21"/>
                      <w:lang w:val="en-US" w:eastAsia="zh-CN"/>
                    </w:rPr>
                    <w:t>木质家具</w:t>
                  </w:r>
                  <w:r>
                    <w:rPr>
                      <w:rFonts w:hint="eastAsia"/>
                      <w:color w:val="auto"/>
                      <w:kern w:val="0"/>
                      <w:sz w:val="21"/>
                      <w:szCs w:val="21"/>
                    </w:rPr>
                    <w:t>生产车间</w:t>
                  </w:r>
                </w:p>
              </w:tc>
              <w:tc>
                <w:tcPr>
                  <w:tcW w:w="1859" w:type="pct"/>
                  <w:tcBorders>
                    <w:tl2br w:val="nil"/>
                    <w:tr2bl w:val="nil"/>
                  </w:tcBorders>
                  <w:vAlign w:val="center"/>
                </w:tcPr>
                <w:p w14:paraId="75FEEC2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kern w:val="0"/>
                      <w:sz w:val="21"/>
                      <w:szCs w:val="21"/>
                      <w:lang w:val="en-US"/>
                    </w:rPr>
                  </w:pPr>
                  <w:r>
                    <w:rPr>
                      <w:rFonts w:hint="eastAsia"/>
                      <w:color w:val="auto"/>
                      <w:kern w:val="0"/>
                      <w:sz w:val="21"/>
                      <w:szCs w:val="21"/>
                    </w:rPr>
                    <w:t>建筑面积</w:t>
                  </w:r>
                  <w:r>
                    <w:rPr>
                      <w:rFonts w:hint="eastAsia"/>
                      <w:color w:val="auto"/>
                      <w:kern w:val="0"/>
                      <w:sz w:val="21"/>
                      <w:szCs w:val="21"/>
                      <w:lang w:val="en-US" w:eastAsia="zh-CN"/>
                    </w:rPr>
                    <w:t>2859</w:t>
                  </w:r>
                  <w:r>
                    <w:rPr>
                      <w:color w:val="auto"/>
                      <w:kern w:val="0"/>
                      <w:sz w:val="21"/>
                      <w:szCs w:val="21"/>
                    </w:rPr>
                    <w:t>m</w:t>
                  </w:r>
                  <w:r>
                    <w:rPr>
                      <w:color w:val="auto"/>
                      <w:kern w:val="0"/>
                      <w:sz w:val="21"/>
                      <w:szCs w:val="21"/>
                      <w:vertAlign w:val="superscript"/>
                    </w:rPr>
                    <w:t>2</w:t>
                  </w:r>
                </w:p>
              </w:tc>
              <w:tc>
                <w:tcPr>
                  <w:tcW w:w="1404" w:type="pct"/>
                  <w:tcBorders>
                    <w:tl2br w:val="nil"/>
                    <w:tr2bl w:val="nil"/>
                  </w:tcBorders>
                  <w:vAlign w:val="center"/>
                </w:tcPr>
                <w:p w14:paraId="7BABABE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kern w:val="0"/>
                      <w:sz w:val="21"/>
                      <w:szCs w:val="21"/>
                      <w:lang w:val="en-US"/>
                    </w:rPr>
                  </w:pPr>
                  <w:r>
                    <w:rPr>
                      <w:rFonts w:hint="eastAsia" w:cs="新宋体"/>
                      <w:color w:val="auto"/>
                      <w:kern w:val="0"/>
                      <w:sz w:val="21"/>
                      <w:szCs w:val="21"/>
                      <w:lang w:eastAsia="zh-CN" w:bidi="ar"/>
                    </w:rPr>
                    <w:t>年产</w:t>
                  </w:r>
                  <w:r>
                    <w:rPr>
                      <w:rFonts w:hint="eastAsia" w:cs="新宋体"/>
                      <w:color w:val="auto"/>
                      <w:kern w:val="0"/>
                      <w:sz w:val="21"/>
                      <w:szCs w:val="21"/>
                      <w:lang w:val="en-US" w:eastAsia="zh-CN" w:bidi="ar"/>
                    </w:rPr>
                    <w:t>办公家具20000套、民用家具8000套</w:t>
                  </w:r>
                </w:p>
              </w:tc>
              <w:tc>
                <w:tcPr>
                  <w:tcW w:w="595" w:type="pct"/>
                  <w:tcBorders>
                    <w:tl2br w:val="nil"/>
                    <w:tr2bl w:val="nil"/>
                  </w:tcBorders>
                  <w:vAlign w:val="center"/>
                </w:tcPr>
                <w:p w14:paraId="4E9831F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kern w:val="0"/>
                      <w:sz w:val="21"/>
                      <w:szCs w:val="21"/>
                      <w:lang w:val="en-US"/>
                    </w:rPr>
                  </w:pPr>
                  <w:r>
                    <w:rPr>
                      <w:rFonts w:hint="eastAsia"/>
                      <w:color w:val="auto"/>
                      <w:kern w:val="0"/>
                      <w:sz w:val="21"/>
                      <w:szCs w:val="21"/>
                    </w:rPr>
                    <w:t>依托现有</w:t>
                  </w:r>
                  <w:r>
                    <w:rPr>
                      <w:rFonts w:hint="eastAsia"/>
                      <w:color w:val="auto"/>
                      <w:kern w:val="0"/>
                      <w:sz w:val="21"/>
                      <w:szCs w:val="21"/>
                      <w:lang w:val="en-US" w:eastAsia="zh-CN"/>
                    </w:rPr>
                    <w:t>车间，迁建</w:t>
                  </w:r>
                </w:p>
              </w:tc>
            </w:tr>
            <w:tr w14:paraId="63A572C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82" w:type="pct"/>
                  <w:vMerge w:val="restart"/>
                  <w:tcBorders>
                    <w:tl2br w:val="nil"/>
                    <w:tr2bl w:val="nil"/>
                  </w:tcBorders>
                  <w:vAlign w:val="center"/>
                </w:tcPr>
                <w:p w14:paraId="65A8BD4B">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kern w:val="0"/>
                      <w:sz w:val="21"/>
                      <w:szCs w:val="21"/>
                    </w:rPr>
                  </w:pPr>
                  <w:r>
                    <w:rPr>
                      <w:rFonts w:hint="eastAsia"/>
                      <w:b/>
                      <w:bCs/>
                      <w:color w:val="auto"/>
                      <w:kern w:val="0"/>
                      <w:sz w:val="21"/>
                      <w:szCs w:val="21"/>
                    </w:rPr>
                    <w:t>公辅</w:t>
                  </w:r>
                </w:p>
                <w:p w14:paraId="71B8376F">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kern w:val="0"/>
                      <w:sz w:val="21"/>
                      <w:szCs w:val="21"/>
                    </w:rPr>
                  </w:pPr>
                  <w:r>
                    <w:rPr>
                      <w:rFonts w:hint="eastAsia"/>
                      <w:b/>
                      <w:bCs/>
                      <w:color w:val="auto"/>
                      <w:kern w:val="0"/>
                      <w:sz w:val="21"/>
                      <w:szCs w:val="21"/>
                    </w:rPr>
                    <w:t>工程</w:t>
                  </w:r>
                </w:p>
              </w:tc>
              <w:tc>
                <w:tcPr>
                  <w:tcW w:w="858" w:type="pct"/>
                  <w:gridSpan w:val="2"/>
                  <w:tcBorders>
                    <w:tl2br w:val="nil"/>
                    <w:tr2bl w:val="nil"/>
                  </w:tcBorders>
                  <w:vAlign w:val="center"/>
                </w:tcPr>
                <w:p w14:paraId="5F9B2529">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r>
                    <w:rPr>
                      <w:color w:val="auto"/>
                      <w:kern w:val="0"/>
                      <w:sz w:val="21"/>
                      <w:szCs w:val="21"/>
                    </w:rPr>
                    <w:t>给水</w:t>
                  </w:r>
                </w:p>
              </w:tc>
              <w:tc>
                <w:tcPr>
                  <w:tcW w:w="1859" w:type="pct"/>
                  <w:tcBorders>
                    <w:tl2br w:val="nil"/>
                    <w:tr2bl w:val="nil"/>
                  </w:tcBorders>
                  <w:vAlign w:val="center"/>
                </w:tcPr>
                <w:p w14:paraId="5C529257">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r>
                    <w:rPr>
                      <w:color w:val="auto"/>
                      <w:kern w:val="0"/>
                      <w:sz w:val="21"/>
                      <w:szCs w:val="21"/>
                    </w:rPr>
                    <w:t>由市政自来水管网提供</w:t>
                  </w:r>
                </w:p>
              </w:tc>
              <w:tc>
                <w:tcPr>
                  <w:tcW w:w="1404" w:type="pct"/>
                  <w:tcBorders>
                    <w:tl2br w:val="nil"/>
                    <w:tr2bl w:val="nil"/>
                  </w:tcBorders>
                  <w:vAlign w:val="center"/>
                </w:tcPr>
                <w:p w14:paraId="0A608897">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r>
                    <w:rPr>
                      <w:rFonts w:hint="eastAsia"/>
                      <w:color w:val="auto"/>
                      <w:kern w:val="0"/>
                      <w:sz w:val="21"/>
                      <w:szCs w:val="21"/>
                      <w:lang w:val="en-US" w:eastAsia="zh-CN"/>
                    </w:rPr>
                    <w:t>1413</w:t>
                  </w:r>
                  <w:r>
                    <w:rPr>
                      <w:rFonts w:hint="eastAsia"/>
                      <w:color w:val="auto"/>
                      <w:kern w:val="0"/>
                      <w:sz w:val="21"/>
                      <w:szCs w:val="21"/>
                    </w:rPr>
                    <w:t>t/a</w:t>
                  </w:r>
                </w:p>
              </w:tc>
              <w:tc>
                <w:tcPr>
                  <w:tcW w:w="595" w:type="pct"/>
                  <w:tcBorders>
                    <w:tl2br w:val="nil"/>
                    <w:tr2bl w:val="nil"/>
                  </w:tcBorders>
                  <w:vAlign w:val="center"/>
                </w:tcPr>
                <w:p w14:paraId="25BDAD52">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r>
                    <w:rPr>
                      <w:color w:val="auto"/>
                      <w:kern w:val="0"/>
                      <w:sz w:val="21"/>
                      <w:szCs w:val="21"/>
                    </w:rPr>
                    <w:t>依托</w:t>
                  </w:r>
                  <w:r>
                    <w:rPr>
                      <w:rFonts w:hint="eastAsia"/>
                      <w:color w:val="auto"/>
                      <w:kern w:val="0"/>
                      <w:sz w:val="21"/>
                      <w:szCs w:val="21"/>
                    </w:rPr>
                    <w:t>现有</w:t>
                  </w:r>
                </w:p>
              </w:tc>
            </w:tr>
            <w:tr w14:paraId="4263F89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82" w:type="pct"/>
                  <w:vMerge w:val="continue"/>
                  <w:tcBorders>
                    <w:tl2br w:val="nil"/>
                    <w:tr2bl w:val="nil"/>
                  </w:tcBorders>
                  <w:vAlign w:val="center"/>
                </w:tcPr>
                <w:p w14:paraId="6DDEB711">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kern w:val="0"/>
                      <w:sz w:val="21"/>
                      <w:szCs w:val="21"/>
                    </w:rPr>
                  </w:pPr>
                </w:p>
              </w:tc>
              <w:tc>
                <w:tcPr>
                  <w:tcW w:w="858" w:type="pct"/>
                  <w:gridSpan w:val="2"/>
                  <w:tcBorders>
                    <w:tl2br w:val="nil"/>
                    <w:tr2bl w:val="nil"/>
                  </w:tcBorders>
                  <w:vAlign w:val="center"/>
                </w:tcPr>
                <w:p w14:paraId="16FB2CA2">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r>
                    <w:rPr>
                      <w:color w:val="auto"/>
                      <w:kern w:val="0"/>
                      <w:sz w:val="21"/>
                      <w:szCs w:val="21"/>
                    </w:rPr>
                    <w:t>排水</w:t>
                  </w:r>
                </w:p>
              </w:tc>
              <w:tc>
                <w:tcPr>
                  <w:tcW w:w="1859" w:type="pct"/>
                  <w:tcBorders>
                    <w:tl2br w:val="nil"/>
                    <w:tr2bl w:val="nil"/>
                  </w:tcBorders>
                  <w:vAlign w:val="center"/>
                </w:tcPr>
                <w:p w14:paraId="3D5FBFCC">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r>
                    <w:rPr>
                      <w:rFonts w:hint="eastAsia"/>
                      <w:color w:val="auto"/>
                      <w:kern w:val="0"/>
                      <w:sz w:val="21"/>
                      <w:szCs w:val="21"/>
                    </w:rPr>
                    <w:t>雨污分流，雨水接入市政雨水管网，</w:t>
                  </w:r>
                  <w:r>
                    <w:rPr>
                      <w:rFonts w:hint="eastAsia"/>
                      <w:color w:val="auto"/>
                      <w:kern w:val="0"/>
                      <w:sz w:val="21"/>
                      <w:szCs w:val="21"/>
                      <w:lang w:val="en-US" w:eastAsia="zh-CN"/>
                    </w:rPr>
                    <w:t>生活</w:t>
                  </w:r>
                  <w:r>
                    <w:rPr>
                      <w:rFonts w:hint="eastAsia"/>
                      <w:color w:val="auto"/>
                      <w:kern w:val="0"/>
                      <w:sz w:val="21"/>
                      <w:szCs w:val="21"/>
                    </w:rPr>
                    <w:t>污水接入市政污水管网，接管至常州金坛区第二污水处理有限公司处理</w:t>
                  </w:r>
                </w:p>
              </w:tc>
              <w:tc>
                <w:tcPr>
                  <w:tcW w:w="1404" w:type="pct"/>
                  <w:tcBorders>
                    <w:tl2br w:val="nil"/>
                    <w:tr2bl w:val="nil"/>
                  </w:tcBorders>
                  <w:vAlign w:val="center"/>
                </w:tcPr>
                <w:p w14:paraId="1B22D05C">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r>
                    <w:rPr>
                      <w:rFonts w:hint="eastAsia"/>
                      <w:color w:val="auto"/>
                      <w:kern w:val="0"/>
                      <w:sz w:val="21"/>
                      <w:szCs w:val="21"/>
                      <w:lang w:val="en-US" w:eastAsia="zh-CN"/>
                    </w:rPr>
                    <w:t>840</w:t>
                  </w:r>
                  <w:r>
                    <w:rPr>
                      <w:rFonts w:hint="eastAsia"/>
                      <w:color w:val="auto"/>
                      <w:kern w:val="0"/>
                      <w:sz w:val="21"/>
                      <w:szCs w:val="21"/>
                    </w:rPr>
                    <w:t>t/a</w:t>
                  </w:r>
                </w:p>
              </w:tc>
              <w:tc>
                <w:tcPr>
                  <w:tcW w:w="595" w:type="pct"/>
                  <w:tcBorders>
                    <w:tl2br w:val="nil"/>
                    <w:tr2bl w:val="nil"/>
                  </w:tcBorders>
                  <w:vAlign w:val="center"/>
                </w:tcPr>
                <w:p w14:paraId="3BD993E1">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r>
                    <w:rPr>
                      <w:color w:val="auto"/>
                      <w:kern w:val="0"/>
                      <w:sz w:val="21"/>
                      <w:szCs w:val="21"/>
                    </w:rPr>
                    <w:t>依托</w:t>
                  </w:r>
                  <w:r>
                    <w:rPr>
                      <w:rFonts w:hint="eastAsia"/>
                      <w:color w:val="auto"/>
                      <w:kern w:val="0"/>
                      <w:sz w:val="21"/>
                      <w:szCs w:val="21"/>
                    </w:rPr>
                    <w:t>现有</w:t>
                  </w:r>
                </w:p>
              </w:tc>
            </w:tr>
            <w:tr w14:paraId="4C17D74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82" w:type="pct"/>
                  <w:vMerge w:val="continue"/>
                  <w:tcBorders>
                    <w:tl2br w:val="nil"/>
                    <w:tr2bl w:val="nil"/>
                  </w:tcBorders>
                  <w:vAlign w:val="center"/>
                </w:tcPr>
                <w:p w14:paraId="7166D8F5">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kern w:val="0"/>
                      <w:sz w:val="21"/>
                      <w:szCs w:val="21"/>
                    </w:rPr>
                  </w:pPr>
                </w:p>
              </w:tc>
              <w:tc>
                <w:tcPr>
                  <w:tcW w:w="858" w:type="pct"/>
                  <w:gridSpan w:val="2"/>
                  <w:tcBorders>
                    <w:tl2br w:val="nil"/>
                    <w:tr2bl w:val="nil"/>
                  </w:tcBorders>
                  <w:vAlign w:val="center"/>
                </w:tcPr>
                <w:p w14:paraId="1DFA2D35">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r>
                    <w:rPr>
                      <w:color w:val="auto"/>
                      <w:kern w:val="0"/>
                      <w:sz w:val="21"/>
                      <w:szCs w:val="21"/>
                    </w:rPr>
                    <w:t>供电</w:t>
                  </w:r>
                </w:p>
              </w:tc>
              <w:tc>
                <w:tcPr>
                  <w:tcW w:w="1859" w:type="pct"/>
                  <w:tcBorders>
                    <w:tl2br w:val="nil"/>
                    <w:tr2bl w:val="nil"/>
                  </w:tcBorders>
                  <w:vAlign w:val="center"/>
                </w:tcPr>
                <w:p w14:paraId="17E2D3B7">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r>
                    <w:rPr>
                      <w:color w:val="auto"/>
                      <w:kern w:val="0"/>
                      <w:sz w:val="21"/>
                      <w:szCs w:val="21"/>
                    </w:rPr>
                    <w:t>由市政电网供给</w:t>
                  </w:r>
                </w:p>
              </w:tc>
              <w:tc>
                <w:tcPr>
                  <w:tcW w:w="1404" w:type="pct"/>
                  <w:tcBorders>
                    <w:tl2br w:val="nil"/>
                    <w:tr2bl w:val="nil"/>
                  </w:tcBorders>
                  <w:vAlign w:val="center"/>
                </w:tcPr>
                <w:p w14:paraId="0B1FEB40">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r>
                    <w:rPr>
                      <w:rFonts w:hint="eastAsia"/>
                      <w:color w:val="auto"/>
                      <w:kern w:val="0"/>
                      <w:sz w:val="21"/>
                      <w:szCs w:val="21"/>
                      <w:lang w:val="en-US" w:eastAsia="zh-CN"/>
                    </w:rPr>
                    <w:t>20</w:t>
                  </w:r>
                  <w:r>
                    <w:rPr>
                      <w:rFonts w:hint="eastAsia"/>
                      <w:color w:val="auto"/>
                      <w:kern w:val="0"/>
                      <w:sz w:val="21"/>
                      <w:szCs w:val="21"/>
                    </w:rPr>
                    <w:t>万KWh</w:t>
                  </w:r>
                </w:p>
              </w:tc>
              <w:tc>
                <w:tcPr>
                  <w:tcW w:w="595" w:type="pct"/>
                  <w:tcBorders>
                    <w:tl2br w:val="nil"/>
                    <w:tr2bl w:val="nil"/>
                  </w:tcBorders>
                  <w:vAlign w:val="center"/>
                </w:tcPr>
                <w:p w14:paraId="3E4CE137">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r>
                    <w:rPr>
                      <w:color w:val="auto"/>
                      <w:kern w:val="0"/>
                      <w:sz w:val="21"/>
                      <w:szCs w:val="21"/>
                    </w:rPr>
                    <w:t>依托</w:t>
                  </w:r>
                  <w:r>
                    <w:rPr>
                      <w:rFonts w:hint="eastAsia"/>
                      <w:color w:val="auto"/>
                      <w:kern w:val="0"/>
                      <w:sz w:val="21"/>
                      <w:szCs w:val="21"/>
                    </w:rPr>
                    <w:t>现有</w:t>
                  </w:r>
                </w:p>
              </w:tc>
            </w:tr>
            <w:tr w14:paraId="77D662A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82" w:type="pct"/>
                  <w:vMerge w:val="continue"/>
                  <w:tcBorders>
                    <w:tl2br w:val="nil"/>
                    <w:tr2bl w:val="nil"/>
                  </w:tcBorders>
                  <w:vAlign w:val="center"/>
                </w:tcPr>
                <w:p w14:paraId="1C09E1A0">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kern w:val="0"/>
                      <w:sz w:val="21"/>
                      <w:szCs w:val="21"/>
                    </w:rPr>
                  </w:pPr>
                </w:p>
              </w:tc>
              <w:tc>
                <w:tcPr>
                  <w:tcW w:w="858" w:type="pct"/>
                  <w:gridSpan w:val="2"/>
                  <w:tcBorders>
                    <w:tl2br w:val="nil"/>
                    <w:tr2bl w:val="nil"/>
                  </w:tcBorders>
                  <w:vAlign w:val="center"/>
                </w:tcPr>
                <w:p w14:paraId="157CE2D8">
                  <w:pPr>
                    <w:pStyle w:val="5"/>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auto"/>
                      <w:kern w:val="0"/>
                      <w:sz w:val="21"/>
                      <w:szCs w:val="21"/>
                    </w:rPr>
                  </w:pPr>
                  <w:r>
                    <w:rPr>
                      <w:rFonts w:hint="eastAsia"/>
                      <w:color w:val="auto"/>
                      <w:kern w:val="0"/>
                      <w:sz w:val="21"/>
                      <w:szCs w:val="21"/>
                    </w:rPr>
                    <w:t>办公区</w:t>
                  </w:r>
                </w:p>
              </w:tc>
              <w:tc>
                <w:tcPr>
                  <w:tcW w:w="1859" w:type="pct"/>
                  <w:tcBorders>
                    <w:tl2br w:val="nil"/>
                    <w:tr2bl w:val="nil"/>
                  </w:tcBorders>
                  <w:vAlign w:val="center"/>
                </w:tcPr>
                <w:p w14:paraId="016AC20E">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r>
                    <w:rPr>
                      <w:rFonts w:hint="eastAsia"/>
                      <w:color w:val="auto"/>
                      <w:kern w:val="0"/>
                      <w:sz w:val="21"/>
                      <w:szCs w:val="21"/>
                    </w:rPr>
                    <w:t>用于员工办公</w:t>
                  </w:r>
                </w:p>
              </w:tc>
              <w:tc>
                <w:tcPr>
                  <w:tcW w:w="1404" w:type="pct"/>
                  <w:tcBorders>
                    <w:tl2br w:val="nil"/>
                    <w:tr2bl w:val="nil"/>
                  </w:tcBorders>
                  <w:vAlign w:val="center"/>
                </w:tcPr>
                <w:p w14:paraId="77C42484">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r>
                    <w:rPr>
                      <w:rFonts w:hint="eastAsia"/>
                      <w:color w:val="auto"/>
                      <w:kern w:val="0"/>
                      <w:sz w:val="21"/>
                      <w:szCs w:val="21"/>
                    </w:rPr>
                    <w:t>建筑面积</w:t>
                  </w:r>
                  <w:r>
                    <w:rPr>
                      <w:rFonts w:hint="eastAsia"/>
                      <w:color w:val="auto"/>
                      <w:kern w:val="0"/>
                      <w:sz w:val="21"/>
                      <w:szCs w:val="21"/>
                      <w:lang w:val="en-US" w:eastAsia="zh-CN"/>
                    </w:rPr>
                    <w:t>1314</w:t>
                  </w:r>
                  <w:r>
                    <w:rPr>
                      <w:color w:val="auto"/>
                      <w:kern w:val="0"/>
                      <w:sz w:val="21"/>
                      <w:szCs w:val="21"/>
                    </w:rPr>
                    <w:t>m</w:t>
                  </w:r>
                  <w:r>
                    <w:rPr>
                      <w:color w:val="auto"/>
                      <w:kern w:val="0"/>
                      <w:sz w:val="21"/>
                      <w:szCs w:val="21"/>
                      <w:vertAlign w:val="superscript"/>
                    </w:rPr>
                    <w:t>2</w:t>
                  </w:r>
                </w:p>
              </w:tc>
              <w:tc>
                <w:tcPr>
                  <w:tcW w:w="595" w:type="pct"/>
                  <w:tcBorders>
                    <w:tl2br w:val="nil"/>
                    <w:tr2bl w:val="nil"/>
                  </w:tcBorders>
                  <w:vAlign w:val="center"/>
                </w:tcPr>
                <w:p w14:paraId="43E2782B">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r>
                    <w:rPr>
                      <w:rFonts w:hint="eastAsia"/>
                      <w:color w:val="auto"/>
                      <w:kern w:val="0"/>
                      <w:sz w:val="21"/>
                      <w:szCs w:val="21"/>
                    </w:rPr>
                    <w:t>依托现有</w:t>
                  </w:r>
                </w:p>
              </w:tc>
            </w:tr>
            <w:tr w14:paraId="7109C2F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82" w:type="pct"/>
                  <w:vMerge w:val="restart"/>
                  <w:tcBorders>
                    <w:tl2br w:val="nil"/>
                    <w:tr2bl w:val="nil"/>
                  </w:tcBorders>
                  <w:vAlign w:val="center"/>
                </w:tcPr>
                <w:p w14:paraId="2A4FF480">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kern w:val="0"/>
                      <w:sz w:val="21"/>
                      <w:szCs w:val="21"/>
                    </w:rPr>
                  </w:pPr>
                  <w:r>
                    <w:rPr>
                      <w:b/>
                      <w:bCs/>
                      <w:color w:val="auto"/>
                      <w:kern w:val="0"/>
                      <w:sz w:val="21"/>
                      <w:szCs w:val="21"/>
                    </w:rPr>
                    <w:t>储运</w:t>
                  </w:r>
                </w:p>
                <w:p w14:paraId="0DBB8E6B">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kern w:val="0"/>
                      <w:sz w:val="21"/>
                      <w:szCs w:val="21"/>
                    </w:rPr>
                  </w:pPr>
                  <w:r>
                    <w:rPr>
                      <w:b/>
                      <w:bCs/>
                      <w:color w:val="auto"/>
                      <w:kern w:val="0"/>
                      <w:sz w:val="21"/>
                      <w:szCs w:val="21"/>
                    </w:rPr>
                    <w:t>工程</w:t>
                  </w:r>
                </w:p>
              </w:tc>
              <w:tc>
                <w:tcPr>
                  <w:tcW w:w="858" w:type="pct"/>
                  <w:gridSpan w:val="2"/>
                  <w:tcBorders>
                    <w:tl2br w:val="nil"/>
                    <w:tr2bl w:val="nil"/>
                  </w:tcBorders>
                  <w:vAlign w:val="center"/>
                </w:tcPr>
                <w:p w14:paraId="6432D137">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r>
                    <w:rPr>
                      <w:rFonts w:hint="eastAsia"/>
                      <w:color w:val="auto"/>
                      <w:kern w:val="0"/>
                      <w:sz w:val="21"/>
                      <w:szCs w:val="21"/>
                    </w:rPr>
                    <w:t>仓库</w:t>
                  </w:r>
                </w:p>
              </w:tc>
              <w:tc>
                <w:tcPr>
                  <w:tcW w:w="3263" w:type="pct"/>
                  <w:gridSpan w:val="2"/>
                  <w:tcBorders>
                    <w:tl2br w:val="nil"/>
                    <w:tr2bl w:val="nil"/>
                  </w:tcBorders>
                  <w:vAlign w:val="center"/>
                </w:tcPr>
                <w:p w14:paraId="44C11B2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kern w:val="0"/>
                      <w:sz w:val="21"/>
                      <w:szCs w:val="21"/>
                      <w:lang w:eastAsia="zh-CN"/>
                    </w:rPr>
                  </w:pPr>
                  <w:r>
                    <w:rPr>
                      <w:rFonts w:hint="eastAsia"/>
                      <w:color w:val="auto"/>
                      <w:kern w:val="0"/>
                      <w:sz w:val="21"/>
                      <w:szCs w:val="21"/>
                    </w:rPr>
                    <w:t>储存原料</w:t>
                  </w:r>
                  <w:r>
                    <w:rPr>
                      <w:rFonts w:hint="eastAsia"/>
                      <w:color w:val="auto"/>
                      <w:kern w:val="0"/>
                      <w:sz w:val="21"/>
                      <w:szCs w:val="21"/>
                      <w:lang w:eastAsia="zh-CN"/>
                    </w:rPr>
                    <w:t>、</w:t>
                  </w:r>
                  <w:r>
                    <w:rPr>
                      <w:rFonts w:hint="eastAsia"/>
                      <w:color w:val="auto"/>
                      <w:kern w:val="0"/>
                      <w:sz w:val="21"/>
                      <w:szCs w:val="21"/>
                      <w:lang w:val="en-US" w:eastAsia="zh-CN"/>
                    </w:rPr>
                    <w:t>成品</w:t>
                  </w:r>
                  <w:r>
                    <w:rPr>
                      <w:rFonts w:hint="eastAsia"/>
                      <w:color w:val="auto"/>
                      <w:kern w:val="0"/>
                      <w:sz w:val="21"/>
                      <w:szCs w:val="21"/>
                    </w:rPr>
                    <w:t>，位于车间</w:t>
                  </w:r>
                  <w:r>
                    <w:rPr>
                      <w:rFonts w:hint="eastAsia"/>
                      <w:color w:val="auto"/>
                      <w:kern w:val="0"/>
                      <w:sz w:val="21"/>
                      <w:szCs w:val="21"/>
                      <w:lang w:val="en-US" w:eastAsia="zh-CN"/>
                    </w:rPr>
                    <w:t>北侧</w:t>
                  </w:r>
                </w:p>
              </w:tc>
              <w:tc>
                <w:tcPr>
                  <w:tcW w:w="595" w:type="pct"/>
                  <w:tcBorders>
                    <w:tl2br w:val="nil"/>
                    <w:tr2bl w:val="nil"/>
                  </w:tcBorders>
                  <w:vAlign w:val="center"/>
                </w:tcPr>
                <w:p w14:paraId="0241CBC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kern w:val="0"/>
                      <w:sz w:val="21"/>
                      <w:szCs w:val="21"/>
                      <w:lang w:eastAsia="zh-CN"/>
                    </w:rPr>
                  </w:pPr>
                  <w:r>
                    <w:rPr>
                      <w:rFonts w:hint="eastAsia"/>
                      <w:color w:val="auto"/>
                      <w:kern w:val="0"/>
                      <w:sz w:val="21"/>
                      <w:szCs w:val="21"/>
                      <w:lang w:val="en-US" w:eastAsia="zh-CN"/>
                    </w:rPr>
                    <w:t>新建</w:t>
                  </w:r>
                </w:p>
              </w:tc>
            </w:tr>
            <w:tr w14:paraId="245E344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82" w:type="pct"/>
                  <w:vMerge w:val="continue"/>
                  <w:tcBorders>
                    <w:tl2br w:val="nil"/>
                    <w:tr2bl w:val="nil"/>
                  </w:tcBorders>
                  <w:vAlign w:val="center"/>
                </w:tcPr>
                <w:p w14:paraId="06314534">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kern w:val="0"/>
                      <w:sz w:val="21"/>
                      <w:szCs w:val="21"/>
                    </w:rPr>
                  </w:pPr>
                </w:p>
              </w:tc>
              <w:tc>
                <w:tcPr>
                  <w:tcW w:w="858" w:type="pct"/>
                  <w:gridSpan w:val="2"/>
                  <w:tcBorders>
                    <w:tl2br w:val="nil"/>
                    <w:tr2bl w:val="nil"/>
                  </w:tcBorders>
                  <w:vAlign w:val="center"/>
                </w:tcPr>
                <w:p w14:paraId="3FCFB6E0">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r>
                    <w:rPr>
                      <w:rFonts w:hint="eastAsia"/>
                      <w:color w:val="auto"/>
                      <w:kern w:val="0"/>
                      <w:sz w:val="21"/>
                      <w:szCs w:val="21"/>
                    </w:rPr>
                    <w:t>运输</w:t>
                  </w:r>
                </w:p>
              </w:tc>
              <w:tc>
                <w:tcPr>
                  <w:tcW w:w="3858" w:type="pct"/>
                  <w:gridSpan w:val="3"/>
                  <w:tcBorders>
                    <w:tl2br w:val="nil"/>
                    <w:tr2bl w:val="nil"/>
                  </w:tcBorders>
                  <w:vAlign w:val="center"/>
                </w:tcPr>
                <w:p w14:paraId="762E46CD">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r>
                    <w:rPr>
                      <w:rFonts w:hint="eastAsia"/>
                      <w:color w:val="auto"/>
                      <w:kern w:val="0"/>
                      <w:sz w:val="21"/>
                      <w:szCs w:val="21"/>
                    </w:rPr>
                    <w:t>统一由社会车辆运输</w:t>
                  </w:r>
                </w:p>
              </w:tc>
            </w:tr>
            <w:tr w14:paraId="665A73D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652" w:hRule="atLeast"/>
                <w:jc w:val="center"/>
              </w:trPr>
              <w:tc>
                <w:tcPr>
                  <w:tcW w:w="282" w:type="pct"/>
                  <w:vMerge w:val="restart"/>
                  <w:tcBorders>
                    <w:tl2br w:val="nil"/>
                    <w:tr2bl w:val="nil"/>
                  </w:tcBorders>
                  <w:vAlign w:val="center"/>
                </w:tcPr>
                <w:p w14:paraId="6784006E">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kern w:val="0"/>
                      <w:sz w:val="21"/>
                      <w:szCs w:val="21"/>
                    </w:rPr>
                  </w:pPr>
                  <w:r>
                    <w:rPr>
                      <w:b/>
                      <w:bCs/>
                      <w:color w:val="auto"/>
                      <w:kern w:val="0"/>
                      <w:sz w:val="21"/>
                      <w:szCs w:val="21"/>
                    </w:rPr>
                    <w:t>环保</w:t>
                  </w:r>
                </w:p>
                <w:p w14:paraId="7DA196CB">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kern w:val="0"/>
                      <w:sz w:val="21"/>
                      <w:szCs w:val="21"/>
                    </w:rPr>
                  </w:pPr>
                  <w:r>
                    <w:rPr>
                      <w:b/>
                      <w:bCs/>
                      <w:color w:val="auto"/>
                      <w:kern w:val="0"/>
                      <w:sz w:val="21"/>
                      <w:szCs w:val="21"/>
                    </w:rPr>
                    <w:t>工程</w:t>
                  </w:r>
                </w:p>
              </w:tc>
              <w:tc>
                <w:tcPr>
                  <w:tcW w:w="331" w:type="pct"/>
                  <w:vMerge w:val="restart"/>
                  <w:tcBorders>
                    <w:tl2br w:val="nil"/>
                    <w:tr2bl w:val="nil"/>
                  </w:tcBorders>
                  <w:vAlign w:val="center"/>
                </w:tcPr>
                <w:p w14:paraId="25C481A8">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r>
                    <w:rPr>
                      <w:color w:val="auto"/>
                      <w:kern w:val="0"/>
                      <w:sz w:val="21"/>
                      <w:szCs w:val="21"/>
                    </w:rPr>
                    <w:t>废气</w:t>
                  </w:r>
                </w:p>
              </w:tc>
              <w:tc>
                <w:tcPr>
                  <w:tcW w:w="527" w:type="pct"/>
                  <w:tcBorders>
                    <w:tl2br w:val="nil"/>
                    <w:tr2bl w:val="nil"/>
                  </w:tcBorders>
                  <w:vAlign w:val="center"/>
                </w:tcPr>
                <w:p w14:paraId="3838BFE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冷压</w:t>
                  </w:r>
                </w:p>
              </w:tc>
              <w:tc>
                <w:tcPr>
                  <w:tcW w:w="1859" w:type="pct"/>
                  <w:vMerge w:val="restart"/>
                  <w:tcBorders>
                    <w:tl2br w:val="nil"/>
                    <w:tr2bl w:val="nil"/>
                  </w:tcBorders>
                  <w:vAlign w:val="center"/>
                </w:tcPr>
                <w:p w14:paraId="430B875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kern w:val="0"/>
                      <w:sz w:val="21"/>
                      <w:szCs w:val="21"/>
                      <w:lang w:eastAsia="zh-CN"/>
                    </w:rPr>
                  </w:pPr>
                  <w:r>
                    <w:rPr>
                      <w:rFonts w:hint="eastAsia" w:eastAsia="宋体"/>
                      <w:color w:val="auto"/>
                      <w:kern w:val="0"/>
                      <w:sz w:val="21"/>
                      <w:szCs w:val="21"/>
                      <w:lang w:eastAsia="zh-CN"/>
                    </w:rPr>
                    <w:t>根据《重点行业挥发性有机物综合治理方案》的通知（环大气〔2019〕53号），企业采用符合国家有关低 VOC</w:t>
                  </w:r>
                  <w:r>
                    <w:rPr>
                      <w:rFonts w:hint="eastAsia"/>
                      <w:color w:val="auto"/>
                      <w:kern w:val="0"/>
                      <w:sz w:val="21"/>
                      <w:szCs w:val="21"/>
                      <w:lang w:val="en-US" w:eastAsia="zh-CN"/>
                    </w:rPr>
                    <w:t>s</w:t>
                  </w:r>
                  <w:r>
                    <w:rPr>
                      <w:rFonts w:hint="eastAsia" w:eastAsia="宋体"/>
                      <w:color w:val="auto"/>
                      <w:kern w:val="0"/>
                      <w:sz w:val="21"/>
                      <w:szCs w:val="21"/>
                      <w:lang w:eastAsia="zh-CN"/>
                    </w:rPr>
                    <w:t>含量产品规定的涂料、油墨、胶粘剂等，使用的原辅材料VOCs含量（质量比）低于10%的工序，可不要求采取无组织排放收集措施</w:t>
                  </w:r>
                </w:p>
              </w:tc>
              <w:tc>
                <w:tcPr>
                  <w:tcW w:w="1404" w:type="pct"/>
                  <w:vMerge w:val="restart"/>
                  <w:tcBorders>
                    <w:tl2br w:val="nil"/>
                    <w:tr2bl w:val="nil"/>
                  </w:tcBorders>
                  <w:vAlign w:val="center"/>
                </w:tcPr>
                <w:p w14:paraId="1D678F7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kern w:val="0"/>
                      <w:sz w:val="21"/>
                      <w:szCs w:val="21"/>
                      <w:lang w:val="en-US" w:eastAsia="zh-CN"/>
                    </w:rPr>
                  </w:pPr>
                  <w:r>
                    <w:rPr>
                      <w:rFonts w:hint="eastAsia"/>
                      <w:color w:val="auto"/>
                      <w:kern w:val="0"/>
                      <w:sz w:val="21"/>
                      <w:szCs w:val="21"/>
                      <w:lang w:val="en-US" w:eastAsia="zh-CN"/>
                    </w:rPr>
                    <w:t>车间无组织排放</w:t>
                  </w:r>
                </w:p>
              </w:tc>
              <w:tc>
                <w:tcPr>
                  <w:tcW w:w="595" w:type="pct"/>
                  <w:vMerge w:val="restart"/>
                  <w:tcBorders>
                    <w:tl2br w:val="nil"/>
                    <w:tr2bl w:val="nil"/>
                  </w:tcBorders>
                  <w:vAlign w:val="center"/>
                </w:tcPr>
                <w:p w14:paraId="406BBB8A">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r>
                    <w:rPr>
                      <w:rFonts w:hint="eastAsia"/>
                      <w:color w:val="auto"/>
                      <w:kern w:val="0"/>
                      <w:sz w:val="21"/>
                      <w:szCs w:val="21"/>
                      <w:lang w:val="en-US" w:eastAsia="zh-CN"/>
                    </w:rPr>
                    <w:t>迁</w:t>
                  </w:r>
                  <w:r>
                    <w:rPr>
                      <w:color w:val="auto"/>
                      <w:kern w:val="0"/>
                      <w:sz w:val="21"/>
                      <w:szCs w:val="21"/>
                    </w:rPr>
                    <w:t>建</w:t>
                  </w:r>
                </w:p>
              </w:tc>
            </w:tr>
            <w:tr w14:paraId="699B0B7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282" w:hRule="atLeast"/>
                <w:jc w:val="center"/>
              </w:trPr>
              <w:tc>
                <w:tcPr>
                  <w:tcW w:w="282" w:type="pct"/>
                  <w:vMerge w:val="continue"/>
                  <w:tcBorders>
                    <w:tl2br w:val="nil"/>
                    <w:tr2bl w:val="nil"/>
                  </w:tcBorders>
                  <w:vAlign w:val="center"/>
                </w:tcPr>
                <w:p w14:paraId="2BB98168">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kern w:val="0"/>
                      <w:sz w:val="21"/>
                      <w:szCs w:val="21"/>
                    </w:rPr>
                  </w:pPr>
                </w:p>
              </w:tc>
              <w:tc>
                <w:tcPr>
                  <w:tcW w:w="331" w:type="pct"/>
                  <w:vMerge w:val="continue"/>
                  <w:tcBorders>
                    <w:tl2br w:val="nil"/>
                    <w:tr2bl w:val="nil"/>
                  </w:tcBorders>
                  <w:vAlign w:val="center"/>
                </w:tcPr>
                <w:p w14:paraId="1D33CE66">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p>
              </w:tc>
              <w:tc>
                <w:tcPr>
                  <w:tcW w:w="527" w:type="pct"/>
                  <w:tcBorders>
                    <w:tl2br w:val="nil"/>
                    <w:tr2bl w:val="nil"/>
                  </w:tcBorders>
                  <w:vAlign w:val="center"/>
                </w:tcPr>
                <w:p w14:paraId="7DB58BF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kern w:val="0"/>
                      <w:sz w:val="21"/>
                      <w:szCs w:val="21"/>
                      <w:lang w:val="en-US" w:eastAsia="zh-CN"/>
                    </w:rPr>
                  </w:pPr>
                  <w:r>
                    <w:rPr>
                      <w:rFonts w:hint="eastAsia"/>
                      <w:color w:val="auto"/>
                      <w:kern w:val="0"/>
                      <w:sz w:val="21"/>
                      <w:szCs w:val="21"/>
                      <w:lang w:val="en-US" w:eastAsia="zh-CN"/>
                    </w:rPr>
                    <w:t>封边</w:t>
                  </w:r>
                </w:p>
              </w:tc>
              <w:tc>
                <w:tcPr>
                  <w:tcW w:w="1859" w:type="pct"/>
                  <w:vMerge w:val="continue"/>
                  <w:tcBorders>
                    <w:tl2br w:val="nil"/>
                    <w:tr2bl w:val="nil"/>
                  </w:tcBorders>
                  <w:vAlign w:val="center"/>
                </w:tcPr>
                <w:p w14:paraId="03C642A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kern w:val="0"/>
                      <w:sz w:val="21"/>
                      <w:szCs w:val="21"/>
                      <w:lang w:val="en-US" w:eastAsia="zh-CN"/>
                    </w:rPr>
                  </w:pPr>
                </w:p>
              </w:tc>
              <w:tc>
                <w:tcPr>
                  <w:tcW w:w="1404" w:type="pct"/>
                  <w:vMerge w:val="continue"/>
                  <w:tcBorders>
                    <w:tl2br w:val="nil"/>
                    <w:tr2bl w:val="nil"/>
                  </w:tcBorders>
                  <w:vAlign w:val="center"/>
                </w:tcPr>
                <w:p w14:paraId="78205DF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kern w:val="0"/>
                      <w:sz w:val="21"/>
                      <w:szCs w:val="21"/>
                    </w:rPr>
                  </w:pPr>
                </w:p>
              </w:tc>
              <w:tc>
                <w:tcPr>
                  <w:tcW w:w="595" w:type="pct"/>
                  <w:vMerge w:val="continue"/>
                  <w:tcBorders>
                    <w:tl2br w:val="nil"/>
                    <w:tr2bl w:val="nil"/>
                  </w:tcBorders>
                  <w:vAlign w:val="center"/>
                </w:tcPr>
                <w:p w14:paraId="2B745011">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p>
              </w:tc>
            </w:tr>
            <w:tr w14:paraId="58BEBE7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282" w:hRule="atLeast"/>
                <w:jc w:val="center"/>
              </w:trPr>
              <w:tc>
                <w:tcPr>
                  <w:tcW w:w="282" w:type="pct"/>
                  <w:vMerge w:val="continue"/>
                  <w:tcBorders>
                    <w:tl2br w:val="nil"/>
                    <w:tr2bl w:val="nil"/>
                  </w:tcBorders>
                  <w:vAlign w:val="center"/>
                </w:tcPr>
                <w:p w14:paraId="0117E584">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kern w:val="0"/>
                      <w:sz w:val="21"/>
                      <w:szCs w:val="21"/>
                    </w:rPr>
                  </w:pPr>
                </w:p>
              </w:tc>
              <w:tc>
                <w:tcPr>
                  <w:tcW w:w="331" w:type="pct"/>
                  <w:vMerge w:val="continue"/>
                  <w:tcBorders>
                    <w:tl2br w:val="nil"/>
                    <w:tr2bl w:val="nil"/>
                  </w:tcBorders>
                  <w:vAlign w:val="center"/>
                </w:tcPr>
                <w:p w14:paraId="336E20EF">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p>
              </w:tc>
              <w:tc>
                <w:tcPr>
                  <w:tcW w:w="527" w:type="pct"/>
                  <w:tcBorders>
                    <w:tl2br w:val="nil"/>
                    <w:tr2bl w:val="nil"/>
                  </w:tcBorders>
                  <w:vAlign w:val="center"/>
                </w:tcPr>
                <w:p w14:paraId="5727C3B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kern w:val="0"/>
                      <w:sz w:val="21"/>
                      <w:szCs w:val="21"/>
                      <w:lang w:val="en-US" w:eastAsia="zh-CN"/>
                    </w:rPr>
                  </w:pPr>
                  <w:r>
                    <w:rPr>
                      <w:rFonts w:hint="eastAsia"/>
                      <w:color w:val="auto"/>
                      <w:kern w:val="0"/>
                      <w:sz w:val="21"/>
                      <w:szCs w:val="21"/>
                      <w:lang w:val="en-US" w:eastAsia="zh-CN"/>
                    </w:rPr>
                    <w:t>擦色</w:t>
                  </w:r>
                </w:p>
              </w:tc>
              <w:tc>
                <w:tcPr>
                  <w:tcW w:w="1859" w:type="pct"/>
                  <w:vMerge w:val="restart"/>
                  <w:tcBorders>
                    <w:tl2br w:val="nil"/>
                    <w:tr2bl w:val="nil"/>
                  </w:tcBorders>
                  <w:vAlign w:val="center"/>
                </w:tcPr>
                <w:p w14:paraId="1FBB630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kern w:val="0"/>
                      <w:sz w:val="21"/>
                      <w:szCs w:val="21"/>
                      <w:lang w:val="en-US" w:eastAsia="zh-CN"/>
                    </w:rPr>
                  </w:pPr>
                  <w:r>
                    <w:rPr>
                      <w:rFonts w:hint="eastAsia"/>
                      <w:color w:val="auto"/>
                      <w:kern w:val="0"/>
                      <w:sz w:val="21"/>
                      <w:szCs w:val="21"/>
                      <w:lang w:val="en-US" w:eastAsia="zh-CN"/>
                    </w:rPr>
                    <w:t>“水帘+吸雾毡+二级活性炭装置”</w:t>
                  </w:r>
                </w:p>
              </w:tc>
              <w:tc>
                <w:tcPr>
                  <w:tcW w:w="1404" w:type="pct"/>
                  <w:vMerge w:val="restart"/>
                  <w:tcBorders>
                    <w:tl2br w:val="nil"/>
                    <w:tr2bl w:val="nil"/>
                  </w:tcBorders>
                  <w:vAlign w:val="center"/>
                </w:tcPr>
                <w:p w14:paraId="41B58DD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kern w:val="0"/>
                      <w:sz w:val="21"/>
                      <w:szCs w:val="21"/>
                    </w:rPr>
                  </w:pPr>
                  <w:r>
                    <w:rPr>
                      <w:rFonts w:hint="eastAsia"/>
                      <w:color w:val="auto"/>
                      <w:kern w:val="0"/>
                      <w:sz w:val="21"/>
                      <w:szCs w:val="21"/>
                      <w:lang w:val="en-US" w:eastAsia="zh-CN"/>
                    </w:rPr>
                    <w:t>负压收集效率98%</w:t>
                  </w:r>
                  <w:r>
                    <w:rPr>
                      <w:rFonts w:hint="eastAsia"/>
                      <w:color w:val="auto"/>
                      <w:kern w:val="0"/>
                      <w:sz w:val="21"/>
                      <w:szCs w:val="21"/>
                    </w:rPr>
                    <w:t>，</w:t>
                  </w:r>
                  <w:r>
                    <w:rPr>
                      <w:color w:val="auto"/>
                      <w:kern w:val="0"/>
                      <w:sz w:val="21"/>
                      <w:szCs w:val="21"/>
                    </w:rPr>
                    <w:t>处理效率</w:t>
                  </w:r>
                  <w:r>
                    <w:rPr>
                      <w:rFonts w:hint="eastAsia"/>
                      <w:color w:val="auto"/>
                      <w:kern w:val="0"/>
                      <w:sz w:val="21"/>
                      <w:szCs w:val="21"/>
                    </w:rPr>
                    <w:t>90</w:t>
                  </w:r>
                  <w:r>
                    <w:rPr>
                      <w:color w:val="auto"/>
                      <w:kern w:val="0"/>
                      <w:sz w:val="21"/>
                      <w:szCs w:val="21"/>
                    </w:rPr>
                    <w:t>%</w:t>
                  </w:r>
                  <w:r>
                    <w:rPr>
                      <w:rFonts w:hint="eastAsia"/>
                      <w:color w:val="auto"/>
                      <w:kern w:val="0"/>
                      <w:sz w:val="21"/>
                      <w:szCs w:val="21"/>
                    </w:rPr>
                    <w:t>，</w:t>
                  </w:r>
                  <w:r>
                    <w:rPr>
                      <w:rFonts w:hint="eastAsia"/>
                      <w:color w:val="auto"/>
                      <w:kern w:val="0"/>
                      <w:sz w:val="21"/>
                      <w:szCs w:val="21"/>
                      <w:lang w:val="en-US" w:eastAsia="zh-CN"/>
                    </w:rPr>
                    <w:t>颗粒物经水帘装置处理后与有机废气一起经“吸雾毡+二级活性炭装置”处理后通过20m高的排气筒DA001排放</w:t>
                  </w:r>
                </w:p>
              </w:tc>
              <w:tc>
                <w:tcPr>
                  <w:tcW w:w="595" w:type="pct"/>
                  <w:vMerge w:val="continue"/>
                  <w:tcBorders>
                    <w:tl2br w:val="nil"/>
                    <w:tr2bl w:val="nil"/>
                  </w:tcBorders>
                  <w:vAlign w:val="center"/>
                </w:tcPr>
                <w:p w14:paraId="214EB597">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p>
              </w:tc>
            </w:tr>
            <w:tr w14:paraId="107D6EE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282" w:hRule="atLeast"/>
                <w:jc w:val="center"/>
              </w:trPr>
              <w:tc>
                <w:tcPr>
                  <w:tcW w:w="282" w:type="pct"/>
                  <w:vMerge w:val="continue"/>
                  <w:tcBorders>
                    <w:tl2br w:val="nil"/>
                    <w:tr2bl w:val="nil"/>
                  </w:tcBorders>
                  <w:vAlign w:val="center"/>
                </w:tcPr>
                <w:p w14:paraId="490C30FC">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kern w:val="0"/>
                      <w:sz w:val="21"/>
                      <w:szCs w:val="21"/>
                    </w:rPr>
                  </w:pPr>
                </w:p>
              </w:tc>
              <w:tc>
                <w:tcPr>
                  <w:tcW w:w="331" w:type="pct"/>
                  <w:vMerge w:val="continue"/>
                  <w:tcBorders>
                    <w:tl2br w:val="nil"/>
                    <w:tr2bl w:val="nil"/>
                  </w:tcBorders>
                  <w:vAlign w:val="center"/>
                </w:tcPr>
                <w:p w14:paraId="73E479FE">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p>
              </w:tc>
              <w:tc>
                <w:tcPr>
                  <w:tcW w:w="527" w:type="pct"/>
                  <w:tcBorders>
                    <w:tl2br w:val="nil"/>
                    <w:tr2bl w:val="nil"/>
                  </w:tcBorders>
                  <w:vAlign w:val="center"/>
                </w:tcPr>
                <w:p w14:paraId="50CFB81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kern w:val="0"/>
                      <w:sz w:val="21"/>
                      <w:szCs w:val="21"/>
                      <w:lang w:val="en-US" w:eastAsia="zh-CN"/>
                    </w:rPr>
                  </w:pPr>
                  <w:r>
                    <w:rPr>
                      <w:rFonts w:hint="eastAsia"/>
                      <w:color w:val="auto"/>
                      <w:kern w:val="0"/>
                      <w:sz w:val="21"/>
                      <w:szCs w:val="21"/>
                      <w:lang w:val="en-US" w:eastAsia="zh-CN"/>
                    </w:rPr>
                    <w:t>喷枪清洗</w:t>
                  </w:r>
                </w:p>
              </w:tc>
              <w:tc>
                <w:tcPr>
                  <w:tcW w:w="1859" w:type="pct"/>
                  <w:vMerge w:val="continue"/>
                  <w:tcBorders>
                    <w:tl2br w:val="nil"/>
                    <w:tr2bl w:val="nil"/>
                  </w:tcBorders>
                  <w:vAlign w:val="center"/>
                </w:tcPr>
                <w:p w14:paraId="1C4BE2C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kern w:val="0"/>
                      <w:sz w:val="21"/>
                      <w:szCs w:val="21"/>
                      <w:lang w:val="en-US" w:eastAsia="zh-CN"/>
                    </w:rPr>
                  </w:pPr>
                </w:p>
              </w:tc>
              <w:tc>
                <w:tcPr>
                  <w:tcW w:w="1404" w:type="pct"/>
                  <w:vMerge w:val="continue"/>
                  <w:tcBorders>
                    <w:tl2br w:val="nil"/>
                    <w:tr2bl w:val="nil"/>
                  </w:tcBorders>
                  <w:vAlign w:val="center"/>
                </w:tcPr>
                <w:p w14:paraId="5AB7CF9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kern w:val="0"/>
                      <w:sz w:val="21"/>
                      <w:szCs w:val="21"/>
                    </w:rPr>
                  </w:pPr>
                </w:p>
              </w:tc>
              <w:tc>
                <w:tcPr>
                  <w:tcW w:w="595" w:type="pct"/>
                  <w:vMerge w:val="continue"/>
                  <w:tcBorders>
                    <w:tl2br w:val="nil"/>
                    <w:tr2bl w:val="nil"/>
                  </w:tcBorders>
                  <w:vAlign w:val="center"/>
                </w:tcPr>
                <w:p w14:paraId="0E142593">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p>
              </w:tc>
            </w:tr>
            <w:tr w14:paraId="7AF0DD3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632" w:hRule="atLeast"/>
                <w:jc w:val="center"/>
              </w:trPr>
              <w:tc>
                <w:tcPr>
                  <w:tcW w:w="282" w:type="pct"/>
                  <w:vMerge w:val="continue"/>
                  <w:tcBorders>
                    <w:tl2br w:val="nil"/>
                    <w:tr2bl w:val="nil"/>
                  </w:tcBorders>
                  <w:vAlign w:val="center"/>
                </w:tcPr>
                <w:p w14:paraId="718698F2">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kern w:val="0"/>
                      <w:sz w:val="21"/>
                      <w:szCs w:val="21"/>
                    </w:rPr>
                  </w:pPr>
                </w:p>
              </w:tc>
              <w:tc>
                <w:tcPr>
                  <w:tcW w:w="331" w:type="pct"/>
                  <w:vMerge w:val="continue"/>
                  <w:tcBorders>
                    <w:tl2br w:val="nil"/>
                    <w:tr2bl w:val="nil"/>
                  </w:tcBorders>
                  <w:vAlign w:val="center"/>
                </w:tcPr>
                <w:p w14:paraId="59C26976">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p>
              </w:tc>
              <w:tc>
                <w:tcPr>
                  <w:tcW w:w="527" w:type="pct"/>
                  <w:tcBorders>
                    <w:tl2br w:val="nil"/>
                    <w:tr2bl w:val="nil"/>
                  </w:tcBorders>
                  <w:vAlign w:val="center"/>
                </w:tcPr>
                <w:p w14:paraId="64891FC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kern w:val="0"/>
                      <w:sz w:val="21"/>
                      <w:szCs w:val="21"/>
                      <w:lang w:val="en-US" w:eastAsia="zh-CN"/>
                    </w:rPr>
                  </w:pPr>
                  <w:r>
                    <w:rPr>
                      <w:rFonts w:hint="eastAsia"/>
                      <w:color w:val="auto"/>
                      <w:kern w:val="0"/>
                      <w:sz w:val="21"/>
                      <w:szCs w:val="21"/>
                      <w:lang w:val="en-US" w:eastAsia="zh-CN"/>
                    </w:rPr>
                    <w:t>调漆、喷漆、刷漆、晾干</w:t>
                  </w:r>
                </w:p>
              </w:tc>
              <w:tc>
                <w:tcPr>
                  <w:tcW w:w="1859" w:type="pct"/>
                  <w:vMerge w:val="continue"/>
                  <w:tcBorders>
                    <w:tl2br w:val="nil"/>
                    <w:tr2bl w:val="nil"/>
                  </w:tcBorders>
                  <w:vAlign w:val="center"/>
                </w:tcPr>
                <w:p w14:paraId="239B5E3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kern w:val="0"/>
                      <w:sz w:val="21"/>
                      <w:szCs w:val="21"/>
                      <w:lang w:val="en-US" w:eastAsia="zh-CN"/>
                    </w:rPr>
                  </w:pPr>
                </w:p>
              </w:tc>
              <w:tc>
                <w:tcPr>
                  <w:tcW w:w="1404" w:type="pct"/>
                  <w:vMerge w:val="continue"/>
                  <w:tcBorders>
                    <w:tl2br w:val="nil"/>
                    <w:tr2bl w:val="nil"/>
                  </w:tcBorders>
                  <w:vAlign w:val="center"/>
                </w:tcPr>
                <w:p w14:paraId="0441A7A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kern w:val="0"/>
                      <w:sz w:val="21"/>
                      <w:szCs w:val="21"/>
                    </w:rPr>
                  </w:pPr>
                </w:p>
              </w:tc>
              <w:tc>
                <w:tcPr>
                  <w:tcW w:w="595" w:type="pct"/>
                  <w:vMerge w:val="continue"/>
                  <w:tcBorders>
                    <w:tl2br w:val="nil"/>
                    <w:tr2bl w:val="nil"/>
                  </w:tcBorders>
                  <w:vAlign w:val="center"/>
                </w:tcPr>
                <w:p w14:paraId="68EC294A">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p>
              </w:tc>
            </w:tr>
            <w:tr w14:paraId="582358D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82" w:type="pct"/>
                  <w:vMerge w:val="continue"/>
                  <w:tcBorders>
                    <w:tl2br w:val="nil"/>
                    <w:tr2bl w:val="nil"/>
                  </w:tcBorders>
                  <w:vAlign w:val="center"/>
                </w:tcPr>
                <w:p w14:paraId="514754C7">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kern w:val="0"/>
                      <w:sz w:val="21"/>
                      <w:szCs w:val="21"/>
                    </w:rPr>
                  </w:pPr>
                </w:p>
              </w:tc>
              <w:tc>
                <w:tcPr>
                  <w:tcW w:w="331" w:type="pct"/>
                  <w:vMerge w:val="continue"/>
                  <w:tcBorders>
                    <w:tl2br w:val="nil"/>
                    <w:tr2bl w:val="nil"/>
                  </w:tcBorders>
                  <w:vAlign w:val="center"/>
                </w:tcPr>
                <w:p w14:paraId="7EC341FC">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p>
              </w:tc>
              <w:tc>
                <w:tcPr>
                  <w:tcW w:w="527" w:type="pct"/>
                  <w:tcBorders>
                    <w:tl2br w:val="nil"/>
                    <w:tr2bl w:val="nil"/>
                  </w:tcBorders>
                  <w:vAlign w:val="center"/>
                </w:tcPr>
                <w:p w14:paraId="29F50BB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kern w:val="0"/>
                      <w:sz w:val="21"/>
                      <w:szCs w:val="21"/>
                      <w:lang w:val="en-US" w:eastAsia="zh-CN"/>
                    </w:rPr>
                  </w:pPr>
                  <w:r>
                    <w:rPr>
                      <w:rFonts w:hint="eastAsia"/>
                      <w:color w:val="auto"/>
                      <w:kern w:val="0"/>
                      <w:sz w:val="21"/>
                      <w:szCs w:val="21"/>
                      <w:lang w:val="en-US" w:eastAsia="zh-CN"/>
                    </w:rPr>
                    <w:t>开料、刨平、铣型、砂磨、齐边精裁、钻孔</w:t>
                  </w:r>
                </w:p>
              </w:tc>
              <w:tc>
                <w:tcPr>
                  <w:tcW w:w="1859" w:type="pct"/>
                  <w:tcBorders>
                    <w:tl2br w:val="nil"/>
                    <w:tr2bl w:val="nil"/>
                  </w:tcBorders>
                  <w:vAlign w:val="center"/>
                </w:tcPr>
                <w:p w14:paraId="5AB51BB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kern w:val="0"/>
                      <w:sz w:val="21"/>
                      <w:szCs w:val="21"/>
                      <w:lang w:val="en-US" w:eastAsia="zh-CN"/>
                    </w:rPr>
                  </w:pPr>
                  <w:r>
                    <w:rPr>
                      <w:rFonts w:hint="eastAsia"/>
                      <w:color w:val="auto"/>
                      <w:kern w:val="0"/>
                      <w:sz w:val="21"/>
                      <w:szCs w:val="21"/>
                      <w:lang w:val="en-US" w:eastAsia="zh-CN"/>
                    </w:rPr>
                    <w:t>移动式布袋除尘器</w:t>
                  </w:r>
                </w:p>
              </w:tc>
              <w:tc>
                <w:tcPr>
                  <w:tcW w:w="1404" w:type="pct"/>
                  <w:tcBorders>
                    <w:tl2br w:val="nil"/>
                    <w:tr2bl w:val="nil"/>
                  </w:tcBorders>
                  <w:vAlign w:val="center"/>
                </w:tcPr>
                <w:p w14:paraId="411145A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kern w:val="0"/>
                      <w:sz w:val="21"/>
                      <w:szCs w:val="21"/>
                    </w:rPr>
                  </w:pPr>
                  <w:r>
                    <w:rPr>
                      <w:rFonts w:hint="eastAsia"/>
                      <w:color w:val="auto"/>
                      <w:kern w:val="0"/>
                      <w:sz w:val="21"/>
                      <w:szCs w:val="21"/>
                      <w:lang w:val="en-US" w:eastAsia="zh-CN"/>
                    </w:rPr>
                    <w:t>13台，收集效率90%、处理效率95%，于车间内无组织排放</w:t>
                  </w:r>
                </w:p>
              </w:tc>
              <w:tc>
                <w:tcPr>
                  <w:tcW w:w="595" w:type="pct"/>
                  <w:tcBorders>
                    <w:tl2br w:val="nil"/>
                    <w:tr2bl w:val="nil"/>
                  </w:tcBorders>
                  <w:vAlign w:val="center"/>
                </w:tcPr>
                <w:p w14:paraId="2BAF76BF">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r>
                    <w:rPr>
                      <w:rFonts w:hint="eastAsia"/>
                      <w:color w:val="auto"/>
                      <w:kern w:val="0"/>
                      <w:sz w:val="21"/>
                      <w:szCs w:val="21"/>
                      <w:lang w:val="en-US" w:eastAsia="zh-CN"/>
                    </w:rPr>
                    <w:t>迁</w:t>
                  </w:r>
                  <w:r>
                    <w:rPr>
                      <w:color w:val="auto"/>
                      <w:kern w:val="0"/>
                      <w:sz w:val="21"/>
                      <w:szCs w:val="21"/>
                    </w:rPr>
                    <w:t>建</w:t>
                  </w:r>
                </w:p>
              </w:tc>
            </w:tr>
            <w:tr w14:paraId="79ABFAA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82" w:type="pct"/>
                  <w:vMerge w:val="continue"/>
                  <w:tcBorders>
                    <w:tl2br w:val="nil"/>
                    <w:tr2bl w:val="nil"/>
                  </w:tcBorders>
                  <w:vAlign w:val="center"/>
                </w:tcPr>
                <w:p w14:paraId="40E304C4">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kern w:val="0"/>
                      <w:sz w:val="21"/>
                      <w:szCs w:val="21"/>
                    </w:rPr>
                  </w:pPr>
                </w:p>
              </w:tc>
              <w:tc>
                <w:tcPr>
                  <w:tcW w:w="331" w:type="pct"/>
                  <w:vMerge w:val="continue"/>
                  <w:tcBorders>
                    <w:tl2br w:val="nil"/>
                    <w:tr2bl w:val="nil"/>
                  </w:tcBorders>
                  <w:vAlign w:val="center"/>
                </w:tcPr>
                <w:p w14:paraId="56FD186D">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p>
              </w:tc>
              <w:tc>
                <w:tcPr>
                  <w:tcW w:w="527" w:type="pct"/>
                  <w:tcBorders>
                    <w:tl2br w:val="nil"/>
                    <w:tr2bl w:val="nil"/>
                  </w:tcBorders>
                  <w:vAlign w:val="center"/>
                </w:tcPr>
                <w:p w14:paraId="62AF199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kern w:val="0"/>
                      <w:sz w:val="21"/>
                      <w:szCs w:val="21"/>
                      <w:lang w:val="en-US" w:eastAsia="zh-CN"/>
                    </w:rPr>
                  </w:pPr>
                  <w:r>
                    <w:rPr>
                      <w:rFonts w:hint="eastAsia"/>
                      <w:color w:val="auto"/>
                      <w:kern w:val="0"/>
                      <w:sz w:val="21"/>
                      <w:szCs w:val="21"/>
                      <w:lang w:val="en-US" w:eastAsia="zh-CN"/>
                    </w:rPr>
                    <w:t>磨光</w:t>
                  </w:r>
                </w:p>
              </w:tc>
              <w:tc>
                <w:tcPr>
                  <w:tcW w:w="1859" w:type="pct"/>
                  <w:tcBorders>
                    <w:tl2br w:val="nil"/>
                    <w:tr2bl w:val="nil"/>
                  </w:tcBorders>
                  <w:vAlign w:val="center"/>
                </w:tcPr>
                <w:p w14:paraId="02B6C90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kern w:val="0"/>
                      <w:sz w:val="21"/>
                      <w:szCs w:val="21"/>
                      <w:lang w:val="en-US" w:eastAsia="zh-CN"/>
                    </w:rPr>
                  </w:pPr>
                  <w:r>
                    <w:rPr>
                      <w:rFonts w:hint="eastAsia"/>
                      <w:b w:val="0"/>
                      <w:bCs w:val="0"/>
                      <w:color w:val="auto"/>
                      <w:kern w:val="0"/>
                      <w:lang w:val="en-US" w:eastAsia="zh-CN"/>
                    </w:rPr>
                    <w:t>干式内循环打磨处理器</w:t>
                  </w:r>
                </w:p>
              </w:tc>
              <w:tc>
                <w:tcPr>
                  <w:tcW w:w="1404" w:type="pct"/>
                  <w:tcBorders>
                    <w:tl2br w:val="nil"/>
                    <w:tr2bl w:val="nil"/>
                  </w:tcBorders>
                  <w:vAlign w:val="center"/>
                </w:tcPr>
                <w:p w14:paraId="56B980C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kern w:val="0"/>
                      <w:sz w:val="21"/>
                      <w:szCs w:val="21"/>
                      <w:lang w:val="en-US" w:eastAsia="zh-CN"/>
                    </w:rPr>
                  </w:pPr>
                  <w:r>
                    <w:rPr>
                      <w:rFonts w:hint="eastAsia"/>
                      <w:color w:val="auto"/>
                      <w:lang w:val="en-US" w:eastAsia="zh-CN"/>
                    </w:rPr>
                    <w:t>经处理后</w:t>
                  </w:r>
                  <w:r>
                    <w:rPr>
                      <w:rFonts w:hint="eastAsia"/>
                      <w:color w:val="auto"/>
                      <w:kern w:val="0"/>
                      <w:sz w:val="21"/>
                      <w:szCs w:val="21"/>
                      <w:lang w:val="en-US" w:eastAsia="zh-CN"/>
                    </w:rPr>
                    <w:t>车间无组织排放</w:t>
                  </w:r>
                </w:p>
              </w:tc>
              <w:tc>
                <w:tcPr>
                  <w:tcW w:w="595" w:type="pct"/>
                  <w:tcBorders>
                    <w:tl2br w:val="nil"/>
                    <w:tr2bl w:val="nil"/>
                  </w:tcBorders>
                  <w:vAlign w:val="center"/>
                </w:tcPr>
                <w:p w14:paraId="4D15992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kern w:val="0"/>
                      <w:sz w:val="21"/>
                      <w:szCs w:val="21"/>
                      <w:lang w:val="en-US" w:eastAsia="zh-CN"/>
                    </w:rPr>
                  </w:pPr>
                  <w:r>
                    <w:rPr>
                      <w:rFonts w:hint="eastAsia"/>
                      <w:color w:val="auto"/>
                      <w:kern w:val="0"/>
                      <w:sz w:val="21"/>
                      <w:szCs w:val="21"/>
                      <w:lang w:val="en-US" w:eastAsia="zh-CN"/>
                    </w:rPr>
                    <w:t>迁建</w:t>
                  </w:r>
                </w:p>
              </w:tc>
            </w:tr>
            <w:tr w14:paraId="48BF5A7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82" w:type="pct"/>
                  <w:vMerge w:val="continue"/>
                  <w:tcBorders>
                    <w:tl2br w:val="nil"/>
                    <w:tr2bl w:val="nil"/>
                  </w:tcBorders>
                  <w:vAlign w:val="center"/>
                </w:tcPr>
                <w:p w14:paraId="6A8AA065">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p>
              </w:tc>
              <w:tc>
                <w:tcPr>
                  <w:tcW w:w="331" w:type="pct"/>
                  <w:tcBorders>
                    <w:tl2br w:val="nil"/>
                    <w:tr2bl w:val="nil"/>
                  </w:tcBorders>
                  <w:vAlign w:val="center"/>
                </w:tcPr>
                <w:p w14:paraId="5FC8E015">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r>
                    <w:rPr>
                      <w:rFonts w:hint="eastAsia"/>
                      <w:color w:val="auto"/>
                      <w:kern w:val="0"/>
                      <w:sz w:val="21"/>
                      <w:szCs w:val="21"/>
                    </w:rPr>
                    <w:t>废水</w:t>
                  </w:r>
                </w:p>
              </w:tc>
              <w:tc>
                <w:tcPr>
                  <w:tcW w:w="527" w:type="pct"/>
                  <w:tcBorders>
                    <w:tl2br w:val="nil"/>
                    <w:tr2bl w:val="nil"/>
                  </w:tcBorders>
                  <w:vAlign w:val="center"/>
                </w:tcPr>
                <w:p w14:paraId="1AB7B5D1">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r>
                    <w:rPr>
                      <w:rFonts w:hint="eastAsia"/>
                      <w:color w:val="auto"/>
                      <w:kern w:val="0"/>
                      <w:sz w:val="21"/>
                      <w:szCs w:val="21"/>
                    </w:rPr>
                    <w:t>生活污水</w:t>
                  </w:r>
                </w:p>
              </w:tc>
              <w:tc>
                <w:tcPr>
                  <w:tcW w:w="1859" w:type="pct"/>
                  <w:tcBorders>
                    <w:tl2br w:val="nil"/>
                    <w:tr2bl w:val="nil"/>
                  </w:tcBorders>
                  <w:vAlign w:val="center"/>
                </w:tcPr>
                <w:p w14:paraId="3138D8E2">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r>
                    <w:rPr>
                      <w:rFonts w:hint="eastAsia"/>
                      <w:color w:val="auto"/>
                      <w:kern w:val="0"/>
                      <w:sz w:val="21"/>
                      <w:szCs w:val="21"/>
                    </w:rPr>
                    <w:t>接管至常州金坛区第二污水处理有限公司</w:t>
                  </w:r>
                </w:p>
              </w:tc>
              <w:tc>
                <w:tcPr>
                  <w:tcW w:w="1404" w:type="pct"/>
                  <w:tcBorders>
                    <w:tl2br w:val="nil"/>
                    <w:tr2bl w:val="nil"/>
                  </w:tcBorders>
                  <w:vAlign w:val="center"/>
                </w:tcPr>
                <w:p w14:paraId="748833A9">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r>
                    <w:rPr>
                      <w:rFonts w:hint="eastAsia"/>
                      <w:color w:val="auto"/>
                      <w:kern w:val="0"/>
                      <w:sz w:val="21"/>
                      <w:szCs w:val="21"/>
                      <w:lang w:val="en-US" w:eastAsia="zh-CN"/>
                    </w:rPr>
                    <w:t>840</w:t>
                  </w:r>
                  <w:r>
                    <w:rPr>
                      <w:rFonts w:hint="eastAsia"/>
                      <w:color w:val="auto"/>
                      <w:kern w:val="0"/>
                      <w:sz w:val="21"/>
                      <w:szCs w:val="21"/>
                    </w:rPr>
                    <w:t>t/a</w:t>
                  </w:r>
                </w:p>
              </w:tc>
              <w:tc>
                <w:tcPr>
                  <w:tcW w:w="595" w:type="pct"/>
                  <w:tcBorders>
                    <w:tl2br w:val="nil"/>
                    <w:tr2bl w:val="nil"/>
                  </w:tcBorders>
                  <w:vAlign w:val="center"/>
                </w:tcPr>
                <w:p w14:paraId="0F3DE7DA">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r>
                    <w:rPr>
                      <w:color w:val="auto"/>
                      <w:kern w:val="0"/>
                      <w:sz w:val="21"/>
                      <w:szCs w:val="21"/>
                    </w:rPr>
                    <w:t>依托</w:t>
                  </w:r>
                  <w:r>
                    <w:rPr>
                      <w:rFonts w:hint="eastAsia"/>
                      <w:color w:val="auto"/>
                      <w:kern w:val="0"/>
                      <w:sz w:val="21"/>
                      <w:szCs w:val="21"/>
                    </w:rPr>
                    <w:t>现有</w:t>
                  </w:r>
                </w:p>
              </w:tc>
            </w:tr>
            <w:tr w14:paraId="4831075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82" w:type="pct"/>
                  <w:vMerge w:val="continue"/>
                  <w:tcBorders>
                    <w:tl2br w:val="nil"/>
                    <w:tr2bl w:val="nil"/>
                  </w:tcBorders>
                  <w:vAlign w:val="center"/>
                </w:tcPr>
                <w:p w14:paraId="7C62C0C8">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p>
              </w:tc>
              <w:tc>
                <w:tcPr>
                  <w:tcW w:w="858" w:type="pct"/>
                  <w:gridSpan w:val="2"/>
                  <w:tcBorders>
                    <w:tl2br w:val="nil"/>
                    <w:tr2bl w:val="nil"/>
                  </w:tcBorders>
                  <w:vAlign w:val="center"/>
                </w:tcPr>
                <w:p w14:paraId="446F4BCF">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r>
                    <w:rPr>
                      <w:color w:val="auto"/>
                      <w:kern w:val="0"/>
                      <w:sz w:val="21"/>
                      <w:szCs w:val="21"/>
                    </w:rPr>
                    <w:t>噪声</w:t>
                  </w:r>
                </w:p>
              </w:tc>
              <w:tc>
                <w:tcPr>
                  <w:tcW w:w="1859" w:type="pct"/>
                  <w:tcBorders>
                    <w:tl2br w:val="nil"/>
                    <w:tr2bl w:val="nil"/>
                  </w:tcBorders>
                  <w:vAlign w:val="center"/>
                </w:tcPr>
                <w:p w14:paraId="2F664674">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r>
                    <w:rPr>
                      <w:color w:val="auto"/>
                      <w:kern w:val="0"/>
                      <w:sz w:val="21"/>
                      <w:szCs w:val="21"/>
                    </w:rPr>
                    <w:t>减振、隔声、消音</w:t>
                  </w:r>
                </w:p>
              </w:tc>
              <w:tc>
                <w:tcPr>
                  <w:tcW w:w="1404" w:type="pct"/>
                  <w:tcBorders>
                    <w:tl2br w:val="nil"/>
                    <w:tr2bl w:val="nil"/>
                  </w:tcBorders>
                  <w:vAlign w:val="center"/>
                </w:tcPr>
                <w:p w14:paraId="0942D552">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r>
                    <w:rPr>
                      <w:color w:val="auto"/>
                      <w:kern w:val="0"/>
                      <w:sz w:val="21"/>
                      <w:szCs w:val="21"/>
                    </w:rPr>
                    <w:t>降噪≥25dB（A）</w:t>
                  </w:r>
                </w:p>
              </w:tc>
              <w:tc>
                <w:tcPr>
                  <w:tcW w:w="595" w:type="pct"/>
                  <w:tcBorders>
                    <w:tl2br w:val="nil"/>
                    <w:tr2bl w:val="nil"/>
                  </w:tcBorders>
                  <w:vAlign w:val="center"/>
                </w:tcPr>
                <w:p w14:paraId="06D61BFA">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r>
                    <w:rPr>
                      <w:color w:val="auto"/>
                      <w:kern w:val="0"/>
                      <w:sz w:val="21"/>
                      <w:szCs w:val="21"/>
                    </w:rPr>
                    <w:t>新建</w:t>
                  </w:r>
                </w:p>
              </w:tc>
            </w:tr>
            <w:tr w14:paraId="1CB44B4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82" w:type="pct"/>
                  <w:vMerge w:val="continue"/>
                  <w:tcBorders>
                    <w:tl2br w:val="nil"/>
                    <w:tr2bl w:val="nil"/>
                  </w:tcBorders>
                  <w:vAlign w:val="center"/>
                </w:tcPr>
                <w:p w14:paraId="78D0718E">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p>
              </w:tc>
              <w:tc>
                <w:tcPr>
                  <w:tcW w:w="331" w:type="pct"/>
                  <w:vMerge w:val="restart"/>
                  <w:tcBorders>
                    <w:tl2br w:val="nil"/>
                    <w:tr2bl w:val="nil"/>
                  </w:tcBorders>
                  <w:vAlign w:val="center"/>
                </w:tcPr>
                <w:p w14:paraId="31457984">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r>
                    <w:rPr>
                      <w:rFonts w:hint="eastAsia"/>
                      <w:color w:val="auto"/>
                      <w:kern w:val="0"/>
                      <w:sz w:val="21"/>
                      <w:szCs w:val="21"/>
                    </w:rPr>
                    <w:t>固废</w:t>
                  </w:r>
                </w:p>
              </w:tc>
              <w:tc>
                <w:tcPr>
                  <w:tcW w:w="527" w:type="pct"/>
                  <w:tcBorders>
                    <w:tl2br w:val="nil"/>
                    <w:tr2bl w:val="nil"/>
                  </w:tcBorders>
                  <w:vAlign w:val="center"/>
                </w:tcPr>
                <w:p w14:paraId="7A10C6B6">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r>
                    <w:rPr>
                      <w:rFonts w:hint="eastAsia"/>
                      <w:color w:val="auto"/>
                      <w:kern w:val="0"/>
                      <w:sz w:val="21"/>
                      <w:szCs w:val="21"/>
                    </w:rPr>
                    <w:t>一般工业固废</w:t>
                  </w:r>
                </w:p>
              </w:tc>
              <w:tc>
                <w:tcPr>
                  <w:tcW w:w="1859" w:type="pct"/>
                  <w:tcBorders>
                    <w:tl2br w:val="nil"/>
                    <w:tr2bl w:val="nil"/>
                  </w:tcBorders>
                  <w:vAlign w:val="center"/>
                </w:tcPr>
                <w:p w14:paraId="1E92038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kern w:val="0"/>
                      <w:sz w:val="21"/>
                      <w:szCs w:val="21"/>
                      <w:lang w:eastAsia="zh-CN"/>
                    </w:rPr>
                  </w:pPr>
                  <w:r>
                    <w:rPr>
                      <w:rFonts w:hint="eastAsia"/>
                      <w:color w:val="auto"/>
                      <w:kern w:val="0"/>
                      <w:sz w:val="21"/>
                      <w:szCs w:val="21"/>
                    </w:rPr>
                    <w:t>一般固废暂存，位于车间</w:t>
                  </w:r>
                  <w:r>
                    <w:rPr>
                      <w:rFonts w:hint="eastAsia"/>
                      <w:color w:val="auto"/>
                      <w:kern w:val="0"/>
                      <w:sz w:val="21"/>
                      <w:szCs w:val="21"/>
                      <w:lang w:val="en-US" w:eastAsia="zh-CN"/>
                    </w:rPr>
                    <w:t>东南侧</w:t>
                  </w:r>
                </w:p>
              </w:tc>
              <w:tc>
                <w:tcPr>
                  <w:tcW w:w="1404" w:type="pct"/>
                  <w:tcBorders>
                    <w:tl2br w:val="nil"/>
                    <w:tr2bl w:val="nil"/>
                  </w:tcBorders>
                  <w:vAlign w:val="center"/>
                </w:tcPr>
                <w:p w14:paraId="33A8621F">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r>
                    <w:rPr>
                      <w:rFonts w:hint="eastAsia"/>
                      <w:color w:val="auto"/>
                      <w:kern w:val="0"/>
                      <w:sz w:val="21"/>
                      <w:szCs w:val="21"/>
                    </w:rPr>
                    <w:t>建筑面积</w:t>
                  </w:r>
                  <w:r>
                    <w:rPr>
                      <w:rFonts w:hint="eastAsia"/>
                      <w:color w:val="auto"/>
                      <w:kern w:val="0"/>
                      <w:sz w:val="21"/>
                      <w:szCs w:val="21"/>
                      <w:lang w:val="en-US" w:eastAsia="zh-CN"/>
                    </w:rPr>
                    <w:t>30</w:t>
                  </w:r>
                  <w:r>
                    <w:rPr>
                      <w:rFonts w:hint="eastAsia"/>
                      <w:color w:val="auto"/>
                      <w:kern w:val="0"/>
                      <w:sz w:val="21"/>
                      <w:szCs w:val="21"/>
                    </w:rPr>
                    <w:t>m</w:t>
                  </w:r>
                  <w:r>
                    <w:rPr>
                      <w:rFonts w:hint="eastAsia"/>
                      <w:color w:val="auto"/>
                      <w:kern w:val="0"/>
                      <w:sz w:val="21"/>
                      <w:szCs w:val="21"/>
                      <w:vertAlign w:val="superscript"/>
                    </w:rPr>
                    <w:t>2</w:t>
                  </w:r>
                </w:p>
              </w:tc>
              <w:tc>
                <w:tcPr>
                  <w:tcW w:w="595" w:type="pct"/>
                  <w:tcBorders>
                    <w:tl2br w:val="nil"/>
                    <w:tr2bl w:val="nil"/>
                  </w:tcBorders>
                  <w:vAlign w:val="center"/>
                </w:tcPr>
                <w:p w14:paraId="6A6450FC">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r>
                    <w:rPr>
                      <w:rFonts w:hint="eastAsia"/>
                      <w:color w:val="auto"/>
                      <w:kern w:val="0"/>
                      <w:sz w:val="21"/>
                      <w:szCs w:val="21"/>
                    </w:rPr>
                    <w:t>新建</w:t>
                  </w:r>
                </w:p>
              </w:tc>
            </w:tr>
            <w:tr w14:paraId="552B195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82" w:type="pct"/>
                  <w:vMerge w:val="continue"/>
                  <w:tcBorders>
                    <w:tl2br w:val="nil"/>
                    <w:tr2bl w:val="nil"/>
                  </w:tcBorders>
                  <w:vAlign w:val="center"/>
                </w:tcPr>
                <w:p w14:paraId="56D8C85B">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p>
              </w:tc>
              <w:tc>
                <w:tcPr>
                  <w:tcW w:w="331" w:type="pct"/>
                  <w:vMerge w:val="continue"/>
                  <w:tcBorders>
                    <w:tl2br w:val="nil"/>
                    <w:tr2bl w:val="nil"/>
                  </w:tcBorders>
                  <w:vAlign w:val="center"/>
                </w:tcPr>
                <w:p w14:paraId="53FAB297">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p>
              </w:tc>
              <w:tc>
                <w:tcPr>
                  <w:tcW w:w="527" w:type="pct"/>
                  <w:tcBorders>
                    <w:tl2br w:val="nil"/>
                    <w:tr2bl w:val="nil"/>
                  </w:tcBorders>
                  <w:vAlign w:val="center"/>
                </w:tcPr>
                <w:p w14:paraId="1FB057CB">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r>
                    <w:rPr>
                      <w:rFonts w:hint="eastAsia"/>
                      <w:color w:val="auto"/>
                      <w:kern w:val="0"/>
                      <w:sz w:val="21"/>
                      <w:szCs w:val="21"/>
                    </w:rPr>
                    <w:t>危险固废</w:t>
                  </w:r>
                </w:p>
              </w:tc>
              <w:tc>
                <w:tcPr>
                  <w:tcW w:w="1859" w:type="pct"/>
                  <w:tcBorders>
                    <w:tl2br w:val="nil"/>
                    <w:tr2bl w:val="nil"/>
                  </w:tcBorders>
                  <w:vAlign w:val="center"/>
                </w:tcPr>
                <w:p w14:paraId="0952D1F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kern w:val="0"/>
                      <w:sz w:val="21"/>
                      <w:szCs w:val="21"/>
                      <w:lang w:eastAsia="zh-CN"/>
                    </w:rPr>
                  </w:pPr>
                  <w:r>
                    <w:rPr>
                      <w:rFonts w:hint="eastAsia"/>
                      <w:color w:val="auto"/>
                      <w:kern w:val="0"/>
                      <w:sz w:val="21"/>
                      <w:szCs w:val="21"/>
                    </w:rPr>
                    <w:t>危废暂存，位于车间</w:t>
                  </w:r>
                  <w:r>
                    <w:rPr>
                      <w:rFonts w:hint="eastAsia"/>
                      <w:color w:val="auto"/>
                      <w:kern w:val="0"/>
                      <w:sz w:val="21"/>
                      <w:szCs w:val="21"/>
                      <w:lang w:val="en-US" w:eastAsia="zh-CN"/>
                    </w:rPr>
                    <w:t>东南侧</w:t>
                  </w:r>
                </w:p>
              </w:tc>
              <w:tc>
                <w:tcPr>
                  <w:tcW w:w="1404" w:type="pct"/>
                  <w:tcBorders>
                    <w:tl2br w:val="nil"/>
                    <w:tr2bl w:val="nil"/>
                  </w:tcBorders>
                  <w:vAlign w:val="center"/>
                </w:tcPr>
                <w:p w14:paraId="1DC8E5F3">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r>
                    <w:rPr>
                      <w:rFonts w:hint="eastAsia"/>
                      <w:color w:val="auto"/>
                      <w:kern w:val="0"/>
                      <w:sz w:val="21"/>
                      <w:szCs w:val="21"/>
                    </w:rPr>
                    <w:t>建筑面积</w:t>
                  </w:r>
                  <w:r>
                    <w:rPr>
                      <w:rFonts w:hint="eastAsia"/>
                      <w:color w:val="auto"/>
                      <w:kern w:val="0"/>
                      <w:sz w:val="21"/>
                      <w:szCs w:val="21"/>
                      <w:lang w:val="en-US" w:eastAsia="zh-CN"/>
                    </w:rPr>
                    <w:t>20</w:t>
                  </w:r>
                  <w:r>
                    <w:rPr>
                      <w:rFonts w:hint="eastAsia"/>
                      <w:color w:val="auto"/>
                      <w:kern w:val="0"/>
                      <w:sz w:val="21"/>
                      <w:szCs w:val="21"/>
                    </w:rPr>
                    <w:t>m</w:t>
                  </w:r>
                  <w:r>
                    <w:rPr>
                      <w:rFonts w:hint="eastAsia"/>
                      <w:color w:val="auto"/>
                      <w:kern w:val="0"/>
                      <w:sz w:val="21"/>
                      <w:szCs w:val="21"/>
                      <w:vertAlign w:val="superscript"/>
                    </w:rPr>
                    <w:t>2</w:t>
                  </w:r>
                </w:p>
              </w:tc>
              <w:tc>
                <w:tcPr>
                  <w:tcW w:w="595" w:type="pct"/>
                  <w:tcBorders>
                    <w:tl2br w:val="nil"/>
                    <w:tr2bl w:val="nil"/>
                  </w:tcBorders>
                  <w:vAlign w:val="center"/>
                </w:tcPr>
                <w:p w14:paraId="78A84B25">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r>
                    <w:rPr>
                      <w:rFonts w:hint="eastAsia"/>
                      <w:color w:val="auto"/>
                      <w:kern w:val="0"/>
                      <w:sz w:val="21"/>
                      <w:szCs w:val="21"/>
                    </w:rPr>
                    <w:t>新建</w:t>
                  </w:r>
                </w:p>
              </w:tc>
            </w:tr>
          </w:tbl>
          <w:p w14:paraId="44E34B68">
            <w:pPr>
              <w:autoSpaceDE w:val="0"/>
              <w:autoSpaceDN w:val="0"/>
              <w:adjustRightInd w:val="0"/>
              <w:snapToGrid w:val="0"/>
              <w:spacing w:line="360" w:lineRule="auto"/>
              <w:jc w:val="left"/>
              <w:rPr>
                <w:rFonts w:cs="宋体"/>
                <w:b/>
                <w:bCs/>
                <w:color w:val="auto"/>
              </w:rPr>
            </w:pPr>
            <w:r>
              <w:rPr>
                <w:rFonts w:hint="eastAsia" w:cs="宋体"/>
                <w:b/>
                <w:bCs/>
                <w:color w:val="auto"/>
              </w:rPr>
              <w:t>2.1.4 主要生产设备</w:t>
            </w:r>
          </w:p>
          <w:p w14:paraId="4F3364E1">
            <w:pPr>
              <w:adjustRightInd w:val="0"/>
              <w:snapToGrid w:val="0"/>
              <w:spacing w:line="360" w:lineRule="auto"/>
              <w:ind w:firstLine="420" w:firstLineChars="200"/>
              <w:rPr>
                <w:rFonts w:cs="宋体"/>
                <w:color w:val="auto"/>
              </w:rPr>
            </w:pPr>
            <w:r>
              <w:rPr>
                <w:rFonts w:hint="eastAsia" w:cs="宋体"/>
                <w:color w:val="auto"/>
              </w:rPr>
              <w:t>本项目主要设备情况见下表。</w:t>
            </w:r>
          </w:p>
          <w:p w14:paraId="5890BDBE">
            <w:pPr>
              <w:pStyle w:val="17"/>
              <w:keepNext/>
              <w:adjustRightInd w:val="0"/>
              <w:snapToGrid w:val="0"/>
              <w:jc w:val="center"/>
              <w:rPr>
                <w:rFonts w:ascii="Times New Roman" w:hAnsi="Times New Roman" w:eastAsia="宋体"/>
                <w:b/>
                <w:color w:val="auto"/>
                <w:sz w:val="21"/>
                <w:szCs w:val="21"/>
              </w:rPr>
            </w:pPr>
            <w:bookmarkStart w:id="11" w:name="_Hlk38892495"/>
            <w:r>
              <w:rPr>
                <w:rFonts w:hint="eastAsia" w:ascii="Times New Roman" w:hAnsi="Times New Roman" w:eastAsia="宋体" w:cs="宋体"/>
                <w:b/>
                <w:color w:val="auto"/>
                <w:sz w:val="21"/>
                <w:szCs w:val="21"/>
              </w:rPr>
              <w:t>表2-</w:t>
            </w:r>
            <w:r>
              <w:rPr>
                <w:rFonts w:hint="eastAsia" w:ascii="Times New Roman" w:hAnsi="Times New Roman" w:eastAsia="宋体" w:cs="宋体"/>
                <w:b/>
                <w:color w:val="auto"/>
                <w:sz w:val="21"/>
                <w:szCs w:val="21"/>
                <w:lang w:val="en-US" w:eastAsia="zh-CN"/>
              </w:rPr>
              <w:t>3</w:t>
            </w:r>
            <w:r>
              <w:rPr>
                <w:rFonts w:hint="eastAsia" w:ascii="Times New Roman" w:hAnsi="Times New Roman" w:eastAsia="宋体" w:cs="宋体"/>
                <w:b/>
                <w:color w:val="auto"/>
                <w:sz w:val="21"/>
                <w:szCs w:val="21"/>
              </w:rPr>
              <w:t xml:space="preserve">   主要设备清单</w:t>
            </w:r>
          </w:p>
          <w:bookmarkEnd w:id="11"/>
          <w:tbl>
            <w:tblPr>
              <w:tblStyle w:val="59"/>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87"/>
              <w:gridCol w:w="1953"/>
              <w:gridCol w:w="1770"/>
              <w:gridCol w:w="925"/>
              <w:gridCol w:w="925"/>
              <w:gridCol w:w="927"/>
              <w:gridCol w:w="1259"/>
            </w:tblGrid>
            <w:tr w14:paraId="5529E95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0" w:type="pct"/>
                  <w:vMerge w:val="restart"/>
                  <w:vAlign w:val="center"/>
                </w:tcPr>
                <w:p w14:paraId="5BE9EACD">
                  <w:pPr>
                    <w:keepNext w:val="0"/>
                    <w:keepLines w:val="0"/>
                    <w:pageBreakBefore w:val="0"/>
                    <w:widowControl w:val="0"/>
                    <w:kinsoku/>
                    <w:overflowPunct/>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生产单元</w:t>
                  </w:r>
                </w:p>
              </w:tc>
              <w:tc>
                <w:tcPr>
                  <w:tcW w:w="1142" w:type="pct"/>
                  <w:vMerge w:val="restart"/>
                  <w:vAlign w:val="center"/>
                </w:tcPr>
                <w:p w14:paraId="608BF3D4">
                  <w:pPr>
                    <w:keepNext w:val="0"/>
                    <w:keepLines w:val="0"/>
                    <w:pageBreakBefore w:val="0"/>
                    <w:widowControl w:val="0"/>
                    <w:kinsoku/>
                    <w:overflowPunct/>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设备名称</w:t>
                  </w:r>
                </w:p>
              </w:tc>
              <w:tc>
                <w:tcPr>
                  <w:tcW w:w="1035" w:type="pct"/>
                  <w:vMerge w:val="restart"/>
                  <w:vAlign w:val="center"/>
                </w:tcPr>
                <w:p w14:paraId="14CF5DE7">
                  <w:pPr>
                    <w:keepNext w:val="0"/>
                    <w:keepLines w:val="0"/>
                    <w:pageBreakBefore w:val="0"/>
                    <w:widowControl w:val="0"/>
                    <w:kinsoku/>
                    <w:overflowPunct/>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规格型号</w:t>
                  </w:r>
                </w:p>
              </w:tc>
              <w:tc>
                <w:tcPr>
                  <w:tcW w:w="1624" w:type="pct"/>
                  <w:gridSpan w:val="3"/>
                  <w:vAlign w:val="center"/>
                </w:tcPr>
                <w:p w14:paraId="52151D8A">
                  <w:pPr>
                    <w:keepNext w:val="0"/>
                    <w:keepLines w:val="0"/>
                    <w:pageBreakBefore w:val="0"/>
                    <w:widowControl w:val="0"/>
                    <w:kinsoku/>
                    <w:overflowPunct/>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数量（台/套）</w:t>
                  </w:r>
                </w:p>
              </w:tc>
              <w:tc>
                <w:tcPr>
                  <w:tcW w:w="736" w:type="pct"/>
                  <w:vMerge w:val="restart"/>
                  <w:vAlign w:val="center"/>
                </w:tcPr>
                <w:p w14:paraId="1BF8D2BD">
                  <w:pPr>
                    <w:keepNext w:val="0"/>
                    <w:keepLines w:val="0"/>
                    <w:pageBreakBefore w:val="0"/>
                    <w:widowControl w:val="0"/>
                    <w:kinsoku/>
                    <w:overflowPunct/>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用途</w:t>
                  </w:r>
                  <w:r>
                    <w:rPr>
                      <w:rStyle w:val="71"/>
                      <w:rFonts w:hint="default" w:ascii="Times New Roman" w:hAnsi="Times New Roman" w:eastAsia="宋体" w:cs="Times New Roman"/>
                      <w:color w:val="auto"/>
                      <w:kern w:val="0"/>
                      <w:sz w:val="21"/>
                      <w:szCs w:val="21"/>
                    </w:rPr>
                    <w:t>/</w:t>
                  </w:r>
                  <w:r>
                    <w:rPr>
                      <w:rFonts w:hint="default" w:ascii="Times New Roman" w:hAnsi="Times New Roman" w:eastAsia="宋体" w:cs="Times New Roman"/>
                      <w:b/>
                      <w:bCs/>
                      <w:color w:val="auto"/>
                      <w:kern w:val="0"/>
                      <w:sz w:val="21"/>
                      <w:szCs w:val="21"/>
                    </w:rPr>
                    <w:t>备注</w:t>
                  </w:r>
                </w:p>
              </w:tc>
            </w:tr>
            <w:tr w14:paraId="1BBD924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0" w:type="pct"/>
                  <w:vMerge w:val="continue"/>
                  <w:vAlign w:val="center"/>
                </w:tcPr>
                <w:p w14:paraId="7F8536A1">
                  <w:pPr>
                    <w:keepNext w:val="0"/>
                    <w:keepLines w:val="0"/>
                    <w:pageBreakBefore w:val="0"/>
                    <w:widowControl w:val="0"/>
                    <w:kinsoku/>
                    <w:overflowPunct/>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b/>
                      <w:bCs/>
                      <w:color w:val="auto"/>
                      <w:kern w:val="0"/>
                      <w:sz w:val="21"/>
                      <w:szCs w:val="21"/>
                    </w:rPr>
                  </w:pPr>
                </w:p>
              </w:tc>
              <w:tc>
                <w:tcPr>
                  <w:tcW w:w="1142" w:type="pct"/>
                  <w:vMerge w:val="continue"/>
                  <w:vAlign w:val="center"/>
                </w:tcPr>
                <w:p w14:paraId="188078AC">
                  <w:pPr>
                    <w:keepNext w:val="0"/>
                    <w:keepLines w:val="0"/>
                    <w:pageBreakBefore w:val="0"/>
                    <w:widowControl w:val="0"/>
                    <w:kinsoku/>
                    <w:overflowPunct/>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b/>
                      <w:bCs/>
                      <w:color w:val="auto"/>
                      <w:kern w:val="0"/>
                      <w:sz w:val="21"/>
                      <w:szCs w:val="21"/>
                    </w:rPr>
                  </w:pPr>
                </w:p>
              </w:tc>
              <w:tc>
                <w:tcPr>
                  <w:tcW w:w="1035" w:type="pct"/>
                  <w:vMerge w:val="continue"/>
                  <w:vAlign w:val="center"/>
                </w:tcPr>
                <w:p w14:paraId="0178010B">
                  <w:pPr>
                    <w:keepNext w:val="0"/>
                    <w:keepLines w:val="0"/>
                    <w:pageBreakBefore w:val="0"/>
                    <w:widowControl w:val="0"/>
                    <w:kinsoku/>
                    <w:overflowPunct/>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b/>
                      <w:bCs/>
                      <w:color w:val="auto"/>
                      <w:kern w:val="0"/>
                      <w:sz w:val="21"/>
                      <w:szCs w:val="21"/>
                    </w:rPr>
                  </w:pPr>
                </w:p>
              </w:tc>
              <w:tc>
                <w:tcPr>
                  <w:tcW w:w="541" w:type="pct"/>
                  <w:vAlign w:val="center"/>
                </w:tcPr>
                <w:p w14:paraId="789C3D3C">
                  <w:pPr>
                    <w:keepNext w:val="0"/>
                    <w:keepLines w:val="0"/>
                    <w:pageBreakBefore w:val="0"/>
                    <w:widowControl w:val="0"/>
                    <w:kinsoku/>
                    <w:overflowPunct/>
                    <w:topLinePunct w:val="0"/>
                    <w:autoSpaceDE/>
                    <w:autoSpaceDN/>
                    <w:bidi w:val="0"/>
                    <w:adjustRightInd w:val="0"/>
                    <w:snapToGrid w:val="0"/>
                    <w:spacing w:line="240" w:lineRule="auto"/>
                    <w:ind w:left="0" w:firstLine="0" w:firstLineChars="0"/>
                    <w:jc w:val="center"/>
                    <w:rPr>
                      <w:rFonts w:hint="eastAsia" w:ascii="Times New Roman" w:hAnsi="Times New Roman" w:eastAsia="宋体" w:cs="Times New Roman"/>
                      <w:b/>
                      <w:bCs/>
                      <w:color w:val="auto"/>
                      <w:kern w:val="0"/>
                      <w:sz w:val="21"/>
                      <w:szCs w:val="21"/>
                      <w:lang w:val="en-US" w:eastAsia="zh-CN"/>
                    </w:rPr>
                  </w:pPr>
                  <w:r>
                    <w:rPr>
                      <w:rFonts w:hint="eastAsia" w:cs="Times New Roman"/>
                      <w:b/>
                      <w:bCs/>
                      <w:color w:val="auto"/>
                      <w:kern w:val="0"/>
                      <w:sz w:val="21"/>
                      <w:szCs w:val="21"/>
                      <w:lang w:val="en-US" w:eastAsia="zh-CN"/>
                    </w:rPr>
                    <w:t>迁建前</w:t>
                  </w:r>
                </w:p>
              </w:tc>
              <w:tc>
                <w:tcPr>
                  <w:tcW w:w="541" w:type="pct"/>
                  <w:vAlign w:val="center"/>
                </w:tcPr>
                <w:p w14:paraId="78B9CC3F">
                  <w:pPr>
                    <w:keepNext w:val="0"/>
                    <w:keepLines w:val="0"/>
                    <w:pageBreakBefore w:val="0"/>
                    <w:widowControl w:val="0"/>
                    <w:kinsoku/>
                    <w:overflowPunct/>
                    <w:topLinePunct w:val="0"/>
                    <w:autoSpaceDE/>
                    <w:autoSpaceDN/>
                    <w:bidi w:val="0"/>
                    <w:adjustRightInd w:val="0"/>
                    <w:snapToGrid w:val="0"/>
                    <w:spacing w:line="240" w:lineRule="auto"/>
                    <w:ind w:left="0" w:firstLine="0" w:firstLineChars="0"/>
                    <w:jc w:val="center"/>
                    <w:rPr>
                      <w:rFonts w:hint="eastAsia" w:ascii="Times New Roman" w:hAnsi="Times New Roman" w:eastAsia="宋体" w:cs="Times New Roman"/>
                      <w:b/>
                      <w:bCs/>
                      <w:color w:val="auto"/>
                      <w:kern w:val="0"/>
                      <w:sz w:val="21"/>
                      <w:szCs w:val="21"/>
                      <w:lang w:val="en-US" w:eastAsia="zh-CN"/>
                    </w:rPr>
                  </w:pPr>
                  <w:r>
                    <w:rPr>
                      <w:rFonts w:hint="eastAsia" w:cs="Times New Roman"/>
                      <w:b/>
                      <w:bCs/>
                      <w:color w:val="auto"/>
                      <w:kern w:val="0"/>
                      <w:sz w:val="21"/>
                      <w:szCs w:val="21"/>
                      <w:lang w:val="en-US" w:eastAsia="zh-CN"/>
                    </w:rPr>
                    <w:t>迁建后</w:t>
                  </w:r>
                </w:p>
              </w:tc>
              <w:tc>
                <w:tcPr>
                  <w:tcW w:w="542" w:type="pct"/>
                  <w:vAlign w:val="center"/>
                </w:tcPr>
                <w:p w14:paraId="3A248DF1">
                  <w:pPr>
                    <w:keepNext w:val="0"/>
                    <w:keepLines w:val="0"/>
                    <w:pageBreakBefore w:val="0"/>
                    <w:widowControl w:val="0"/>
                    <w:kinsoku/>
                    <w:overflowPunct/>
                    <w:topLinePunct w:val="0"/>
                    <w:autoSpaceDE/>
                    <w:autoSpaceDN/>
                    <w:bidi w:val="0"/>
                    <w:adjustRightInd w:val="0"/>
                    <w:snapToGrid w:val="0"/>
                    <w:spacing w:line="240" w:lineRule="auto"/>
                    <w:ind w:left="0" w:firstLine="0" w:firstLineChars="0"/>
                    <w:jc w:val="center"/>
                    <w:rPr>
                      <w:rFonts w:hint="eastAsia" w:ascii="Times New Roman" w:hAnsi="Times New Roman" w:eastAsia="宋体" w:cs="Times New Roman"/>
                      <w:b/>
                      <w:bCs/>
                      <w:color w:val="auto"/>
                      <w:kern w:val="0"/>
                      <w:sz w:val="21"/>
                      <w:szCs w:val="21"/>
                      <w:lang w:val="en-US" w:eastAsia="zh-CN"/>
                    </w:rPr>
                  </w:pPr>
                  <w:r>
                    <w:rPr>
                      <w:rFonts w:hint="eastAsia" w:cs="Times New Roman"/>
                      <w:b/>
                      <w:bCs/>
                      <w:color w:val="auto"/>
                      <w:kern w:val="0"/>
                      <w:sz w:val="21"/>
                      <w:szCs w:val="21"/>
                      <w:lang w:val="en-US" w:eastAsia="zh-CN"/>
                    </w:rPr>
                    <w:t>变化量</w:t>
                  </w:r>
                </w:p>
              </w:tc>
              <w:tc>
                <w:tcPr>
                  <w:tcW w:w="736" w:type="pct"/>
                  <w:vMerge w:val="continue"/>
                  <w:vAlign w:val="center"/>
                </w:tcPr>
                <w:p w14:paraId="4E812A9D">
                  <w:pPr>
                    <w:keepNext w:val="0"/>
                    <w:keepLines w:val="0"/>
                    <w:pageBreakBefore w:val="0"/>
                    <w:widowControl w:val="0"/>
                    <w:kinsoku/>
                    <w:overflowPunct/>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b/>
                      <w:bCs/>
                      <w:color w:val="auto"/>
                      <w:kern w:val="0"/>
                      <w:sz w:val="21"/>
                      <w:szCs w:val="21"/>
                    </w:rPr>
                  </w:pPr>
                </w:p>
              </w:tc>
            </w:tr>
            <w:tr w14:paraId="241BCEA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0" w:type="pct"/>
                  <w:vMerge w:val="restart"/>
                  <w:vAlign w:val="center"/>
                </w:tcPr>
                <w:p w14:paraId="760400F0">
                  <w:pPr>
                    <w:pStyle w:val="688"/>
                    <w:keepNext w:val="0"/>
                    <w:keepLines w:val="0"/>
                    <w:pageBreakBefore w:val="0"/>
                    <w:widowControl w:val="0"/>
                    <w:kinsoku/>
                    <w:overflowPunct/>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生产车间</w:t>
                  </w:r>
                </w:p>
              </w:tc>
              <w:tc>
                <w:tcPr>
                  <w:tcW w:w="1142" w:type="pct"/>
                  <w:vAlign w:val="center"/>
                </w:tcPr>
                <w:p w14:paraId="6D45ED4F">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color w:val="auto"/>
                      <w:kern w:val="0"/>
                      <w:sz w:val="21"/>
                      <w:szCs w:val="21"/>
                    </w:rPr>
                  </w:pPr>
                  <w:r>
                    <w:rPr>
                      <w:rFonts w:hint="eastAsia" w:ascii="Times New Roman" w:hAnsi="Times New Roman"/>
                      <w:color w:val="auto"/>
                      <w:kern w:val="0"/>
                      <w:sz w:val="21"/>
                      <w:szCs w:val="21"/>
                      <w:lang w:bidi="ar"/>
                    </w:rPr>
                    <w:t>裁板机</w:t>
                  </w:r>
                </w:p>
              </w:tc>
              <w:tc>
                <w:tcPr>
                  <w:tcW w:w="1035" w:type="pct"/>
                  <w:vAlign w:val="center"/>
                </w:tcPr>
                <w:p w14:paraId="11AFBD43">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color w:val="auto"/>
                      <w:kern w:val="0"/>
                      <w:sz w:val="21"/>
                      <w:szCs w:val="21"/>
                    </w:rPr>
                  </w:pPr>
                  <w:r>
                    <w:rPr>
                      <w:rFonts w:ascii="Times New Roman" w:hAnsi="Times New Roman"/>
                      <w:color w:val="auto"/>
                      <w:kern w:val="0"/>
                      <w:sz w:val="21"/>
                      <w:szCs w:val="21"/>
                      <w:lang w:bidi="ar"/>
                    </w:rPr>
                    <w:t>HPP180</w:t>
                  </w:r>
                </w:p>
              </w:tc>
              <w:tc>
                <w:tcPr>
                  <w:tcW w:w="541" w:type="pct"/>
                  <w:vAlign w:val="center"/>
                </w:tcPr>
                <w:p w14:paraId="595E7FAE">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1</w:t>
                  </w:r>
                </w:p>
              </w:tc>
              <w:tc>
                <w:tcPr>
                  <w:tcW w:w="541" w:type="pct"/>
                  <w:shd w:val="clear" w:color="auto" w:fill="auto"/>
                  <w:vAlign w:val="center"/>
                </w:tcPr>
                <w:p w14:paraId="53F5DE06">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snapToGrid w:val="0"/>
                      <w:color w:val="auto"/>
                      <w:kern w:val="0"/>
                      <w:sz w:val="21"/>
                      <w:szCs w:val="21"/>
                      <w:lang w:val="en-US" w:eastAsia="zh-CN" w:bidi="ar-SA"/>
                    </w:rPr>
                  </w:pPr>
                  <w:r>
                    <w:rPr>
                      <w:rFonts w:ascii="Times New Roman" w:hAnsi="Times New Roman"/>
                      <w:color w:val="auto"/>
                      <w:kern w:val="0"/>
                      <w:sz w:val="21"/>
                      <w:szCs w:val="21"/>
                      <w:lang w:bidi="ar"/>
                    </w:rPr>
                    <w:t>1</w:t>
                  </w:r>
                </w:p>
              </w:tc>
              <w:tc>
                <w:tcPr>
                  <w:tcW w:w="542" w:type="pct"/>
                  <w:vAlign w:val="center"/>
                </w:tcPr>
                <w:p w14:paraId="1509C44F">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ascii="Times New Roman" w:hAnsi="Times New Roman"/>
                      <w:color w:val="auto"/>
                      <w:kern w:val="0"/>
                      <w:sz w:val="21"/>
                      <w:szCs w:val="21"/>
                      <w:lang w:bidi="ar"/>
                    </w:rPr>
                  </w:pPr>
                  <w:r>
                    <w:rPr>
                      <w:rFonts w:hint="eastAsia" w:ascii="Times New Roman" w:hAnsi="Times New Roman" w:cs="Times New Roman"/>
                      <w:color w:val="auto"/>
                      <w:kern w:val="0"/>
                      <w:sz w:val="21"/>
                      <w:szCs w:val="21"/>
                      <w:lang w:val="en-US" w:eastAsia="zh-CN"/>
                    </w:rPr>
                    <w:t>0</w:t>
                  </w:r>
                </w:p>
              </w:tc>
              <w:tc>
                <w:tcPr>
                  <w:tcW w:w="736" w:type="pct"/>
                  <w:vMerge w:val="restart"/>
                  <w:vAlign w:val="center"/>
                </w:tcPr>
                <w:p w14:paraId="54897A61">
                  <w:pPr>
                    <w:pStyle w:val="2"/>
                    <w:keepNext w:val="0"/>
                    <w:keepLines w:val="0"/>
                    <w:pageBreakBefore w:val="0"/>
                    <w:kinsoku/>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kern w:val="0"/>
                      <w:sz w:val="21"/>
                      <w:szCs w:val="21"/>
                      <w:lang w:val="en-US"/>
                    </w:rPr>
                  </w:pPr>
                  <w:r>
                    <w:rPr>
                      <w:rFonts w:ascii="Times New Roman" w:hAnsi="Times New Roman"/>
                      <w:bCs/>
                      <w:color w:val="auto"/>
                      <w:kern w:val="0"/>
                      <w:sz w:val="21"/>
                      <w:szCs w:val="21"/>
                    </w:rPr>
                    <w:t>开料</w:t>
                  </w:r>
                  <w:r>
                    <w:rPr>
                      <w:rFonts w:hint="eastAsia"/>
                      <w:bCs/>
                      <w:color w:val="auto"/>
                      <w:kern w:val="0"/>
                      <w:sz w:val="21"/>
                      <w:szCs w:val="21"/>
                      <w:lang w:eastAsia="zh-CN"/>
                    </w:rPr>
                    <w:t>，</w:t>
                  </w:r>
                  <w:r>
                    <w:rPr>
                      <w:rFonts w:hint="eastAsia"/>
                      <w:bCs/>
                      <w:color w:val="auto"/>
                      <w:kern w:val="0"/>
                      <w:sz w:val="21"/>
                      <w:szCs w:val="21"/>
                      <w:lang w:val="en-US" w:eastAsia="zh-CN"/>
                    </w:rPr>
                    <w:t>迁建</w:t>
                  </w:r>
                </w:p>
              </w:tc>
            </w:tr>
            <w:tr w14:paraId="4E91C97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0" w:type="pct"/>
                  <w:vMerge w:val="continue"/>
                  <w:vAlign w:val="center"/>
                </w:tcPr>
                <w:p w14:paraId="59C04E1D">
                  <w:pPr>
                    <w:pStyle w:val="688"/>
                    <w:keepNext w:val="0"/>
                    <w:keepLines w:val="0"/>
                    <w:pageBreakBefore w:val="0"/>
                    <w:widowControl w:val="0"/>
                    <w:kinsoku/>
                    <w:overflowPunct/>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rPr>
                  </w:pPr>
                </w:p>
              </w:tc>
              <w:tc>
                <w:tcPr>
                  <w:tcW w:w="1142" w:type="pct"/>
                  <w:vAlign w:val="center"/>
                </w:tcPr>
                <w:p w14:paraId="3E12C5B6">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color w:val="auto"/>
                      <w:kern w:val="0"/>
                      <w:sz w:val="21"/>
                      <w:szCs w:val="21"/>
                    </w:rPr>
                  </w:pPr>
                  <w:r>
                    <w:rPr>
                      <w:rFonts w:ascii="Times New Roman" w:hAnsi="Times New Roman"/>
                      <w:color w:val="auto"/>
                      <w:kern w:val="0"/>
                      <w:sz w:val="21"/>
                      <w:szCs w:val="21"/>
                      <w:lang w:bidi="ar"/>
                    </w:rPr>
                    <w:t>推台锯</w:t>
                  </w:r>
                </w:p>
              </w:tc>
              <w:tc>
                <w:tcPr>
                  <w:tcW w:w="1035" w:type="pct"/>
                  <w:vAlign w:val="center"/>
                </w:tcPr>
                <w:p w14:paraId="5FBB037B">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color w:val="auto"/>
                      <w:kern w:val="0"/>
                      <w:sz w:val="21"/>
                      <w:szCs w:val="21"/>
                    </w:rPr>
                  </w:pPr>
                  <w:r>
                    <w:rPr>
                      <w:rFonts w:ascii="Times New Roman" w:hAnsi="Times New Roman"/>
                      <w:color w:val="auto"/>
                      <w:kern w:val="0"/>
                      <w:sz w:val="21"/>
                      <w:szCs w:val="21"/>
                      <w:lang w:bidi="ar"/>
                    </w:rPr>
                    <w:t>HK3501</w:t>
                  </w:r>
                </w:p>
              </w:tc>
              <w:tc>
                <w:tcPr>
                  <w:tcW w:w="541" w:type="pct"/>
                  <w:vAlign w:val="center"/>
                </w:tcPr>
                <w:p w14:paraId="296445F4">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5</w:t>
                  </w:r>
                </w:p>
              </w:tc>
              <w:tc>
                <w:tcPr>
                  <w:tcW w:w="541" w:type="pct"/>
                  <w:shd w:val="clear" w:color="auto" w:fill="auto"/>
                  <w:vAlign w:val="center"/>
                </w:tcPr>
                <w:p w14:paraId="4BFC2655">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bCs/>
                      <w:snapToGrid w:val="0"/>
                      <w:color w:val="auto"/>
                      <w:kern w:val="0"/>
                      <w:sz w:val="21"/>
                      <w:szCs w:val="21"/>
                      <w:lang w:val="en-US" w:eastAsia="zh-CN" w:bidi="ar-SA"/>
                    </w:rPr>
                  </w:pPr>
                  <w:r>
                    <w:rPr>
                      <w:rFonts w:ascii="Times New Roman" w:hAnsi="Times New Roman"/>
                      <w:color w:val="auto"/>
                      <w:kern w:val="0"/>
                      <w:sz w:val="21"/>
                      <w:szCs w:val="21"/>
                      <w:lang w:bidi="ar"/>
                    </w:rPr>
                    <w:t>5</w:t>
                  </w:r>
                </w:p>
              </w:tc>
              <w:tc>
                <w:tcPr>
                  <w:tcW w:w="542" w:type="pct"/>
                  <w:vAlign w:val="center"/>
                </w:tcPr>
                <w:p w14:paraId="68379537">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ascii="Times New Roman" w:hAnsi="Times New Roman"/>
                      <w:color w:val="auto"/>
                      <w:kern w:val="0"/>
                      <w:sz w:val="21"/>
                      <w:szCs w:val="21"/>
                      <w:lang w:bidi="ar"/>
                    </w:rPr>
                  </w:pPr>
                  <w:r>
                    <w:rPr>
                      <w:rFonts w:hint="eastAsia" w:ascii="Times New Roman" w:hAnsi="Times New Roman" w:cs="Times New Roman"/>
                      <w:color w:val="auto"/>
                      <w:kern w:val="0"/>
                      <w:sz w:val="21"/>
                      <w:szCs w:val="21"/>
                      <w:lang w:val="en-US" w:eastAsia="zh-CN"/>
                    </w:rPr>
                    <w:t>0</w:t>
                  </w:r>
                </w:p>
              </w:tc>
              <w:tc>
                <w:tcPr>
                  <w:tcW w:w="736" w:type="pct"/>
                  <w:vMerge w:val="continue"/>
                  <w:vAlign w:val="center"/>
                </w:tcPr>
                <w:p w14:paraId="02F444A2">
                  <w:pPr>
                    <w:pStyle w:val="2"/>
                    <w:keepNext w:val="0"/>
                    <w:keepLines w:val="0"/>
                    <w:pageBreakBefore w:val="0"/>
                    <w:kinsoku/>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kern w:val="0"/>
                      <w:sz w:val="21"/>
                      <w:szCs w:val="21"/>
                    </w:rPr>
                  </w:pPr>
                </w:p>
              </w:tc>
            </w:tr>
            <w:tr w14:paraId="79F1ED9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0" w:type="pct"/>
                  <w:vMerge w:val="continue"/>
                  <w:vAlign w:val="center"/>
                </w:tcPr>
                <w:p w14:paraId="16AAF37C">
                  <w:pPr>
                    <w:pStyle w:val="688"/>
                    <w:keepNext w:val="0"/>
                    <w:keepLines w:val="0"/>
                    <w:pageBreakBefore w:val="0"/>
                    <w:widowControl w:val="0"/>
                    <w:kinsoku/>
                    <w:overflowPunct/>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rPr>
                  </w:pPr>
                </w:p>
              </w:tc>
              <w:tc>
                <w:tcPr>
                  <w:tcW w:w="1142" w:type="pct"/>
                  <w:shd w:val="clear" w:color="auto" w:fill="auto"/>
                  <w:vAlign w:val="center"/>
                </w:tcPr>
                <w:p w14:paraId="5E7485A7">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单面开料机</w:t>
                  </w:r>
                </w:p>
              </w:tc>
              <w:tc>
                <w:tcPr>
                  <w:tcW w:w="1035" w:type="pct"/>
                  <w:shd w:val="clear" w:color="auto" w:fill="auto"/>
                  <w:vAlign w:val="center"/>
                </w:tcPr>
                <w:p w14:paraId="452CE729">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IMJ153</w:t>
                  </w:r>
                </w:p>
              </w:tc>
              <w:tc>
                <w:tcPr>
                  <w:tcW w:w="541" w:type="pct"/>
                  <w:shd w:val="clear" w:color="auto" w:fill="auto"/>
                  <w:vAlign w:val="center"/>
                </w:tcPr>
                <w:p w14:paraId="77B9BC4C">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0"/>
                      <w:sz w:val="21"/>
                      <w:szCs w:val="21"/>
                      <w:lang w:val="en-US" w:eastAsia="zh-CN" w:bidi="ar-SA"/>
                    </w:rPr>
                  </w:pPr>
                  <w:r>
                    <w:rPr>
                      <w:rFonts w:hint="eastAsia" w:cs="Times New Roman"/>
                      <w:b w:val="0"/>
                      <w:bCs w:val="0"/>
                      <w:snapToGrid w:val="0"/>
                      <w:color w:val="auto"/>
                      <w:kern w:val="0"/>
                      <w:sz w:val="21"/>
                      <w:szCs w:val="21"/>
                      <w:lang w:val="en-US" w:eastAsia="zh-CN" w:bidi="ar-SA"/>
                    </w:rPr>
                    <w:t>1</w:t>
                  </w:r>
                </w:p>
              </w:tc>
              <w:tc>
                <w:tcPr>
                  <w:tcW w:w="541" w:type="pct"/>
                  <w:shd w:val="clear" w:color="auto" w:fill="auto"/>
                  <w:vAlign w:val="center"/>
                </w:tcPr>
                <w:p w14:paraId="01EDDD43">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1</w:t>
                  </w:r>
                </w:p>
              </w:tc>
              <w:tc>
                <w:tcPr>
                  <w:tcW w:w="542" w:type="pct"/>
                  <w:shd w:val="clear" w:color="auto" w:fill="auto"/>
                  <w:vAlign w:val="center"/>
                </w:tcPr>
                <w:p w14:paraId="51F11055">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ascii="Times New Roman" w:hAnsi="Times New Roman"/>
                      <w:color w:val="auto"/>
                      <w:kern w:val="0"/>
                      <w:sz w:val="21"/>
                      <w:szCs w:val="21"/>
                      <w:lang w:bidi="ar"/>
                    </w:rPr>
                  </w:pPr>
                  <w:r>
                    <w:rPr>
                      <w:rFonts w:hint="eastAsia" w:ascii="Times New Roman" w:hAnsi="Times New Roman" w:cs="Times New Roman"/>
                      <w:color w:val="auto"/>
                      <w:kern w:val="0"/>
                      <w:sz w:val="21"/>
                      <w:szCs w:val="21"/>
                      <w:lang w:val="en-US" w:eastAsia="zh-CN"/>
                    </w:rPr>
                    <w:t>0</w:t>
                  </w:r>
                </w:p>
              </w:tc>
              <w:tc>
                <w:tcPr>
                  <w:tcW w:w="736" w:type="pct"/>
                  <w:vMerge w:val="continue"/>
                  <w:shd w:val="clear" w:color="auto" w:fill="auto"/>
                  <w:vAlign w:val="center"/>
                </w:tcPr>
                <w:p w14:paraId="7E3F4A54">
                  <w:pPr>
                    <w:pStyle w:val="2"/>
                    <w:keepNext w:val="0"/>
                    <w:keepLines w:val="0"/>
                    <w:pageBreakBefore w:val="0"/>
                    <w:kinsoku/>
                    <w:overflowPunct/>
                    <w:topLinePunct w:val="0"/>
                    <w:autoSpaceDE/>
                    <w:autoSpaceDN/>
                    <w:bidi w:val="0"/>
                    <w:adjustRightInd w:val="0"/>
                    <w:snapToGrid w:val="0"/>
                    <w:spacing w:line="240" w:lineRule="auto"/>
                    <w:jc w:val="center"/>
                    <w:rPr>
                      <w:rFonts w:hint="eastAsia" w:ascii="Times New Roman" w:hAnsi="Times New Roman" w:eastAsia="宋体" w:cs="Times New Roman"/>
                      <w:snapToGrid w:val="0"/>
                      <w:color w:val="auto"/>
                      <w:kern w:val="0"/>
                      <w:sz w:val="21"/>
                      <w:szCs w:val="21"/>
                      <w:lang w:val="en-US" w:eastAsia="zh-CN" w:bidi="ar-SA"/>
                    </w:rPr>
                  </w:pPr>
                </w:p>
              </w:tc>
            </w:tr>
            <w:tr w14:paraId="098BBEE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0" w:type="pct"/>
                  <w:vMerge w:val="continue"/>
                  <w:vAlign w:val="center"/>
                </w:tcPr>
                <w:p w14:paraId="6DFB0309">
                  <w:pPr>
                    <w:pStyle w:val="688"/>
                    <w:keepNext w:val="0"/>
                    <w:keepLines w:val="0"/>
                    <w:pageBreakBefore w:val="0"/>
                    <w:widowControl w:val="0"/>
                    <w:kinsoku/>
                    <w:overflowPunct/>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rPr>
                  </w:pPr>
                </w:p>
              </w:tc>
              <w:tc>
                <w:tcPr>
                  <w:tcW w:w="1142" w:type="pct"/>
                  <w:shd w:val="clear" w:color="auto" w:fill="auto"/>
                  <w:vAlign w:val="center"/>
                </w:tcPr>
                <w:p w14:paraId="4C393B05">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带锯</w:t>
                  </w:r>
                </w:p>
              </w:tc>
              <w:tc>
                <w:tcPr>
                  <w:tcW w:w="1035" w:type="pct"/>
                  <w:shd w:val="clear" w:color="auto" w:fill="auto"/>
                  <w:vAlign w:val="center"/>
                </w:tcPr>
                <w:p w14:paraId="715B5C96">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MB503A</w:t>
                  </w:r>
                </w:p>
              </w:tc>
              <w:tc>
                <w:tcPr>
                  <w:tcW w:w="541" w:type="pct"/>
                  <w:shd w:val="clear" w:color="auto" w:fill="auto"/>
                  <w:vAlign w:val="center"/>
                </w:tcPr>
                <w:p w14:paraId="10C1F8AE">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0"/>
                      <w:sz w:val="21"/>
                      <w:szCs w:val="21"/>
                      <w:lang w:val="en-US" w:eastAsia="zh-CN" w:bidi="ar-SA"/>
                    </w:rPr>
                  </w:pPr>
                  <w:r>
                    <w:rPr>
                      <w:rFonts w:hint="eastAsia" w:cs="Times New Roman"/>
                      <w:b w:val="0"/>
                      <w:bCs w:val="0"/>
                      <w:snapToGrid w:val="0"/>
                      <w:color w:val="auto"/>
                      <w:kern w:val="0"/>
                      <w:sz w:val="21"/>
                      <w:szCs w:val="21"/>
                      <w:lang w:val="en-US" w:eastAsia="zh-CN" w:bidi="ar-SA"/>
                    </w:rPr>
                    <w:t>1</w:t>
                  </w:r>
                </w:p>
              </w:tc>
              <w:tc>
                <w:tcPr>
                  <w:tcW w:w="541" w:type="pct"/>
                  <w:shd w:val="clear" w:color="auto" w:fill="auto"/>
                  <w:vAlign w:val="center"/>
                </w:tcPr>
                <w:p w14:paraId="47304112">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1</w:t>
                  </w:r>
                </w:p>
              </w:tc>
              <w:tc>
                <w:tcPr>
                  <w:tcW w:w="542" w:type="pct"/>
                  <w:shd w:val="clear" w:color="auto" w:fill="auto"/>
                  <w:vAlign w:val="center"/>
                </w:tcPr>
                <w:p w14:paraId="2D20A09E">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ascii="Times New Roman" w:hAnsi="Times New Roman"/>
                      <w:color w:val="auto"/>
                      <w:kern w:val="0"/>
                      <w:sz w:val="21"/>
                      <w:szCs w:val="21"/>
                      <w:lang w:bidi="ar"/>
                    </w:rPr>
                  </w:pPr>
                  <w:r>
                    <w:rPr>
                      <w:rFonts w:hint="eastAsia" w:ascii="Times New Roman" w:hAnsi="Times New Roman" w:cs="Times New Roman"/>
                      <w:color w:val="auto"/>
                      <w:kern w:val="0"/>
                      <w:sz w:val="21"/>
                      <w:szCs w:val="21"/>
                      <w:lang w:val="en-US" w:eastAsia="zh-CN"/>
                    </w:rPr>
                    <w:t>0</w:t>
                  </w:r>
                </w:p>
              </w:tc>
              <w:tc>
                <w:tcPr>
                  <w:tcW w:w="736" w:type="pct"/>
                  <w:vMerge w:val="continue"/>
                  <w:shd w:val="clear" w:color="auto" w:fill="auto"/>
                  <w:vAlign w:val="center"/>
                </w:tcPr>
                <w:p w14:paraId="7D477180">
                  <w:pPr>
                    <w:pStyle w:val="2"/>
                    <w:keepNext w:val="0"/>
                    <w:keepLines w:val="0"/>
                    <w:pageBreakBefore w:val="0"/>
                    <w:kinsoku/>
                    <w:overflowPunct/>
                    <w:topLinePunct w:val="0"/>
                    <w:autoSpaceDE/>
                    <w:autoSpaceDN/>
                    <w:bidi w:val="0"/>
                    <w:adjustRightInd w:val="0"/>
                    <w:snapToGrid w:val="0"/>
                    <w:spacing w:line="240" w:lineRule="auto"/>
                    <w:jc w:val="center"/>
                    <w:rPr>
                      <w:rFonts w:hint="eastAsia" w:ascii="Times New Roman" w:hAnsi="Times New Roman" w:eastAsia="宋体" w:cs="Times New Roman"/>
                      <w:snapToGrid w:val="0"/>
                      <w:color w:val="auto"/>
                      <w:kern w:val="0"/>
                      <w:sz w:val="21"/>
                      <w:szCs w:val="21"/>
                      <w:lang w:val="en-US" w:eastAsia="zh-CN" w:bidi="ar-SA"/>
                    </w:rPr>
                  </w:pPr>
                </w:p>
              </w:tc>
            </w:tr>
            <w:tr w14:paraId="2E3B472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0" w:type="pct"/>
                  <w:vMerge w:val="continue"/>
                  <w:vAlign w:val="center"/>
                </w:tcPr>
                <w:p w14:paraId="60788228">
                  <w:pPr>
                    <w:pStyle w:val="688"/>
                    <w:keepNext w:val="0"/>
                    <w:keepLines w:val="0"/>
                    <w:pageBreakBefore w:val="0"/>
                    <w:widowControl w:val="0"/>
                    <w:kinsoku/>
                    <w:overflowPunct/>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rPr>
                  </w:pPr>
                </w:p>
              </w:tc>
              <w:tc>
                <w:tcPr>
                  <w:tcW w:w="1142" w:type="pct"/>
                  <w:shd w:val="clear" w:color="auto" w:fill="auto"/>
                  <w:vAlign w:val="center"/>
                </w:tcPr>
                <w:p w14:paraId="6DF9BC41">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四工序数控开料机</w:t>
                  </w:r>
                </w:p>
              </w:tc>
              <w:tc>
                <w:tcPr>
                  <w:tcW w:w="1035" w:type="pct"/>
                  <w:shd w:val="clear" w:color="auto" w:fill="auto"/>
                  <w:vAlign w:val="center"/>
                </w:tcPr>
                <w:p w14:paraId="687F329D">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DM-A4</w:t>
                  </w:r>
                </w:p>
              </w:tc>
              <w:tc>
                <w:tcPr>
                  <w:tcW w:w="541" w:type="pct"/>
                  <w:shd w:val="clear" w:color="auto" w:fill="auto"/>
                  <w:vAlign w:val="center"/>
                </w:tcPr>
                <w:p w14:paraId="339703E2">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0"/>
                      <w:sz w:val="21"/>
                      <w:szCs w:val="21"/>
                      <w:lang w:val="en-US" w:eastAsia="zh-CN" w:bidi="ar-SA"/>
                    </w:rPr>
                  </w:pPr>
                  <w:r>
                    <w:rPr>
                      <w:rFonts w:hint="eastAsia" w:cs="Times New Roman"/>
                      <w:b w:val="0"/>
                      <w:bCs w:val="0"/>
                      <w:snapToGrid w:val="0"/>
                      <w:color w:val="auto"/>
                      <w:kern w:val="0"/>
                      <w:sz w:val="21"/>
                      <w:szCs w:val="21"/>
                      <w:lang w:val="en-US" w:eastAsia="zh-CN" w:bidi="ar-SA"/>
                    </w:rPr>
                    <w:t>1</w:t>
                  </w:r>
                </w:p>
              </w:tc>
              <w:tc>
                <w:tcPr>
                  <w:tcW w:w="541" w:type="pct"/>
                  <w:shd w:val="clear" w:color="auto" w:fill="auto"/>
                  <w:vAlign w:val="center"/>
                </w:tcPr>
                <w:p w14:paraId="2586FD93">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1</w:t>
                  </w:r>
                </w:p>
              </w:tc>
              <w:tc>
                <w:tcPr>
                  <w:tcW w:w="542" w:type="pct"/>
                  <w:shd w:val="clear" w:color="auto" w:fill="auto"/>
                  <w:vAlign w:val="center"/>
                </w:tcPr>
                <w:p w14:paraId="78A5CCBC">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ascii="Times New Roman" w:hAnsi="Times New Roman"/>
                      <w:color w:val="auto"/>
                      <w:kern w:val="0"/>
                      <w:sz w:val="21"/>
                      <w:szCs w:val="21"/>
                      <w:lang w:bidi="ar"/>
                    </w:rPr>
                  </w:pPr>
                  <w:r>
                    <w:rPr>
                      <w:rFonts w:hint="eastAsia" w:ascii="Times New Roman" w:hAnsi="Times New Roman" w:cs="Times New Roman"/>
                      <w:color w:val="auto"/>
                      <w:kern w:val="0"/>
                      <w:sz w:val="21"/>
                      <w:szCs w:val="21"/>
                      <w:lang w:val="en-US" w:eastAsia="zh-CN"/>
                    </w:rPr>
                    <w:t>0</w:t>
                  </w:r>
                </w:p>
              </w:tc>
              <w:tc>
                <w:tcPr>
                  <w:tcW w:w="736" w:type="pct"/>
                  <w:vMerge w:val="continue"/>
                  <w:shd w:val="clear" w:color="auto" w:fill="auto"/>
                  <w:vAlign w:val="center"/>
                </w:tcPr>
                <w:p w14:paraId="41AEF0E5">
                  <w:pPr>
                    <w:pStyle w:val="2"/>
                    <w:keepNext w:val="0"/>
                    <w:keepLines w:val="0"/>
                    <w:pageBreakBefore w:val="0"/>
                    <w:kinsoku/>
                    <w:overflowPunct/>
                    <w:topLinePunct w:val="0"/>
                    <w:autoSpaceDE/>
                    <w:autoSpaceDN/>
                    <w:bidi w:val="0"/>
                    <w:adjustRightInd w:val="0"/>
                    <w:snapToGrid w:val="0"/>
                    <w:spacing w:line="240" w:lineRule="auto"/>
                    <w:jc w:val="center"/>
                    <w:rPr>
                      <w:rFonts w:hint="eastAsia" w:ascii="Times New Roman" w:hAnsi="Times New Roman" w:eastAsia="宋体" w:cs="Times New Roman"/>
                      <w:snapToGrid w:val="0"/>
                      <w:color w:val="auto"/>
                      <w:kern w:val="0"/>
                      <w:sz w:val="21"/>
                      <w:szCs w:val="21"/>
                      <w:lang w:val="en-US" w:eastAsia="zh-CN" w:bidi="ar-SA"/>
                    </w:rPr>
                  </w:pPr>
                </w:p>
              </w:tc>
            </w:tr>
            <w:tr w14:paraId="405E81E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0" w:type="pct"/>
                  <w:vMerge w:val="continue"/>
                  <w:vAlign w:val="center"/>
                </w:tcPr>
                <w:p w14:paraId="4C666909">
                  <w:pPr>
                    <w:pStyle w:val="688"/>
                    <w:keepNext w:val="0"/>
                    <w:keepLines w:val="0"/>
                    <w:pageBreakBefore w:val="0"/>
                    <w:widowControl w:val="0"/>
                    <w:kinsoku/>
                    <w:overflowPunct/>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rPr>
                  </w:pPr>
                </w:p>
              </w:tc>
              <w:tc>
                <w:tcPr>
                  <w:tcW w:w="1142" w:type="pct"/>
                  <w:shd w:val="clear" w:color="auto" w:fill="auto"/>
                  <w:vAlign w:val="center"/>
                </w:tcPr>
                <w:p w14:paraId="763749BE">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sz w:val="21"/>
                      <w:szCs w:val="21"/>
                      <w:lang w:val="en-US" w:eastAsia="zh-CN" w:bidi="ar"/>
                    </w:rPr>
                    <w:t>平刨床</w:t>
                  </w:r>
                </w:p>
              </w:tc>
              <w:tc>
                <w:tcPr>
                  <w:tcW w:w="1035" w:type="pct"/>
                  <w:shd w:val="clear" w:color="auto" w:fill="auto"/>
                  <w:vAlign w:val="center"/>
                </w:tcPr>
                <w:p w14:paraId="58DAE56A">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B5031</w:t>
                  </w:r>
                </w:p>
              </w:tc>
              <w:tc>
                <w:tcPr>
                  <w:tcW w:w="541" w:type="pct"/>
                  <w:shd w:val="clear" w:color="auto" w:fill="auto"/>
                  <w:vAlign w:val="center"/>
                </w:tcPr>
                <w:p w14:paraId="2042BF34">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0"/>
                      <w:sz w:val="21"/>
                      <w:szCs w:val="21"/>
                      <w:lang w:val="en-US" w:eastAsia="zh-CN" w:bidi="ar-SA"/>
                    </w:rPr>
                  </w:pPr>
                  <w:r>
                    <w:rPr>
                      <w:rFonts w:hint="eastAsia" w:cs="Times New Roman"/>
                      <w:b w:val="0"/>
                      <w:bCs w:val="0"/>
                      <w:snapToGrid w:val="0"/>
                      <w:color w:val="auto"/>
                      <w:kern w:val="0"/>
                      <w:sz w:val="21"/>
                      <w:szCs w:val="21"/>
                      <w:lang w:val="en-US" w:eastAsia="zh-CN" w:bidi="ar-SA"/>
                    </w:rPr>
                    <w:t>2</w:t>
                  </w:r>
                </w:p>
              </w:tc>
              <w:tc>
                <w:tcPr>
                  <w:tcW w:w="541" w:type="pct"/>
                  <w:shd w:val="clear" w:color="auto" w:fill="auto"/>
                  <w:vAlign w:val="center"/>
                </w:tcPr>
                <w:p w14:paraId="15FAA1CA">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2</w:t>
                  </w:r>
                </w:p>
              </w:tc>
              <w:tc>
                <w:tcPr>
                  <w:tcW w:w="542" w:type="pct"/>
                  <w:shd w:val="clear" w:color="auto" w:fill="auto"/>
                  <w:vAlign w:val="center"/>
                </w:tcPr>
                <w:p w14:paraId="4983D726">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ascii="Times New Roman" w:hAnsi="Times New Roman"/>
                      <w:color w:val="auto"/>
                      <w:kern w:val="0"/>
                      <w:sz w:val="21"/>
                      <w:szCs w:val="21"/>
                      <w:lang w:bidi="ar"/>
                    </w:rPr>
                  </w:pPr>
                  <w:r>
                    <w:rPr>
                      <w:rFonts w:hint="eastAsia" w:ascii="Times New Roman" w:hAnsi="Times New Roman" w:cs="Times New Roman"/>
                      <w:color w:val="auto"/>
                      <w:kern w:val="0"/>
                      <w:sz w:val="21"/>
                      <w:szCs w:val="21"/>
                      <w:lang w:val="en-US" w:eastAsia="zh-CN"/>
                    </w:rPr>
                    <w:t>0</w:t>
                  </w:r>
                </w:p>
              </w:tc>
              <w:tc>
                <w:tcPr>
                  <w:tcW w:w="736" w:type="pct"/>
                  <w:vMerge w:val="restart"/>
                  <w:shd w:val="clear" w:color="auto" w:fill="auto"/>
                  <w:vAlign w:val="center"/>
                </w:tcPr>
                <w:p w14:paraId="6CCE79D9">
                  <w:pPr>
                    <w:pStyle w:val="2"/>
                    <w:keepNext w:val="0"/>
                    <w:keepLines w:val="0"/>
                    <w:pageBreakBefore w:val="0"/>
                    <w:kinsoku/>
                    <w:overflowPunct/>
                    <w:topLinePunct w:val="0"/>
                    <w:autoSpaceDE/>
                    <w:autoSpaceDN/>
                    <w:bidi w:val="0"/>
                    <w:adjustRightInd w:val="0"/>
                    <w:snapToGri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刨平</w:t>
                  </w:r>
                  <w:r>
                    <w:rPr>
                      <w:rFonts w:hint="eastAsia"/>
                      <w:color w:val="auto"/>
                      <w:sz w:val="21"/>
                      <w:szCs w:val="21"/>
                      <w:lang w:eastAsia="zh-CN"/>
                    </w:rPr>
                    <w:t>，</w:t>
                  </w:r>
                  <w:r>
                    <w:rPr>
                      <w:rFonts w:hint="eastAsia"/>
                      <w:color w:val="auto"/>
                      <w:sz w:val="21"/>
                      <w:szCs w:val="21"/>
                      <w:lang w:val="en-US" w:eastAsia="zh-CN"/>
                    </w:rPr>
                    <w:t>迁建</w:t>
                  </w:r>
                </w:p>
              </w:tc>
            </w:tr>
            <w:tr w14:paraId="597C85E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0" w:type="pct"/>
                  <w:vMerge w:val="continue"/>
                  <w:vAlign w:val="center"/>
                </w:tcPr>
                <w:p w14:paraId="17CE8D17">
                  <w:pPr>
                    <w:pStyle w:val="688"/>
                    <w:keepNext w:val="0"/>
                    <w:keepLines w:val="0"/>
                    <w:pageBreakBefore w:val="0"/>
                    <w:widowControl w:val="0"/>
                    <w:kinsoku/>
                    <w:overflowPunct/>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rPr>
                  </w:pPr>
                </w:p>
              </w:tc>
              <w:tc>
                <w:tcPr>
                  <w:tcW w:w="1142" w:type="pct"/>
                  <w:shd w:val="clear" w:color="auto" w:fill="auto"/>
                  <w:vAlign w:val="center"/>
                </w:tcPr>
                <w:p w14:paraId="7B6A2C18">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压刨机</w:t>
                  </w:r>
                </w:p>
              </w:tc>
              <w:tc>
                <w:tcPr>
                  <w:tcW w:w="1035" w:type="pct"/>
                  <w:shd w:val="clear" w:color="auto" w:fill="auto"/>
                  <w:vAlign w:val="center"/>
                </w:tcPr>
                <w:p w14:paraId="39042F63">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MB103KG</w:t>
                  </w:r>
                </w:p>
              </w:tc>
              <w:tc>
                <w:tcPr>
                  <w:tcW w:w="541" w:type="pct"/>
                  <w:shd w:val="clear" w:color="auto" w:fill="auto"/>
                  <w:vAlign w:val="center"/>
                </w:tcPr>
                <w:p w14:paraId="201A02B0">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0"/>
                      <w:sz w:val="21"/>
                      <w:szCs w:val="21"/>
                      <w:lang w:val="en-US" w:eastAsia="zh-CN" w:bidi="ar-SA"/>
                    </w:rPr>
                  </w:pPr>
                  <w:r>
                    <w:rPr>
                      <w:rFonts w:hint="eastAsia" w:cs="Times New Roman"/>
                      <w:b w:val="0"/>
                      <w:bCs w:val="0"/>
                      <w:snapToGrid w:val="0"/>
                      <w:color w:val="auto"/>
                      <w:kern w:val="0"/>
                      <w:sz w:val="21"/>
                      <w:szCs w:val="21"/>
                      <w:lang w:val="en-US" w:eastAsia="zh-CN" w:bidi="ar-SA"/>
                    </w:rPr>
                    <w:t>1</w:t>
                  </w:r>
                </w:p>
              </w:tc>
              <w:tc>
                <w:tcPr>
                  <w:tcW w:w="541" w:type="pct"/>
                  <w:shd w:val="clear" w:color="auto" w:fill="auto"/>
                  <w:vAlign w:val="center"/>
                </w:tcPr>
                <w:p w14:paraId="020970BD">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1</w:t>
                  </w:r>
                </w:p>
              </w:tc>
              <w:tc>
                <w:tcPr>
                  <w:tcW w:w="542" w:type="pct"/>
                  <w:shd w:val="clear" w:color="auto" w:fill="auto"/>
                  <w:vAlign w:val="center"/>
                </w:tcPr>
                <w:p w14:paraId="5B8B6DAE">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ascii="Times New Roman" w:hAnsi="Times New Roman"/>
                      <w:color w:val="auto"/>
                      <w:kern w:val="0"/>
                      <w:sz w:val="21"/>
                      <w:szCs w:val="21"/>
                      <w:lang w:bidi="ar"/>
                    </w:rPr>
                  </w:pPr>
                  <w:r>
                    <w:rPr>
                      <w:rFonts w:hint="eastAsia" w:ascii="Times New Roman" w:hAnsi="Times New Roman" w:cs="Times New Roman"/>
                      <w:color w:val="auto"/>
                      <w:kern w:val="0"/>
                      <w:sz w:val="21"/>
                      <w:szCs w:val="21"/>
                      <w:lang w:val="en-US" w:eastAsia="zh-CN"/>
                    </w:rPr>
                    <w:t>0</w:t>
                  </w:r>
                </w:p>
              </w:tc>
              <w:tc>
                <w:tcPr>
                  <w:tcW w:w="736" w:type="pct"/>
                  <w:vMerge w:val="continue"/>
                  <w:shd w:val="clear" w:color="auto" w:fill="auto"/>
                  <w:vAlign w:val="center"/>
                </w:tcPr>
                <w:p w14:paraId="43E4CEF0">
                  <w:pPr>
                    <w:pStyle w:val="2"/>
                    <w:keepNext w:val="0"/>
                    <w:keepLines w:val="0"/>
                    <w:pageBreakBefore w:val="0"/>
                    <w:kinsoku/>
                    <w:overflowPunct/>
                    <w:topLinePunct w:val="0"/>
                    <w:autoSpaceDE/>
                    <w:autoSpaceDN/>
                    <w:bidi w:val="0"/>
                    <w:adjustRightInd w:val="0"/>
                    <w:snapToGrid w:val="0"/>
                    <w:spacing w:line="240" w:lineRule="auto"/>
                    <w:jc w:val="center"/>
                    <w:rPr>
                      <w:rFonts w:hint="eastAsia" w:ascii="Times New Roman" w:hAnsi="Times New Roman" w:eastAsia="宋体" w:cs="Times New Roman"/>
                      <w:snapToGrid w:val="0"/>
                      <w:color w:val="auto"/>
                      <w:kern w:val="0"/>
                      <w:sz w:val="21"/>
                      <w:szCs w:val="21"/>
                      <w:lang w:val="en-US" w:eastAsia="zh-CN" w:bidi="ar-SA"/>
                    </w:rPr>
                  </w:pPr>
                </w:p>
              </w:tc>
            </w:tr>
            <w:tr w14:paraId="3401408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0" w:type="pct"/>
                  <w:vMerge w:val="continue"/>
                  <w:vAlign w:val="center"/>
                </w:tcPr>
                <w:p w14:paraId="46B76676">
                  <w:pPr>
                    <w:pStyle w:val="688"/>
                    <w:keepNext w:val="0"/>
                    <w:keepLines w:val="0"/>
                    <w:pageBreakBefore w:val="0"/>
                    <w:widowControl w:val="0"/>
                    <w:kinsoku/>
                    <w:overflowPunct/>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rPr>
                  </w:pPr>
                </w:p>
              </w:tc>
              <w:tc>
                <w:tcPr>
                  <w:tcW w:w="1142" w:type="pct"/>
                  <w:shd w:val="clear" w:color="auto" w:fill="auto"/>
                  <w:vAlign w:val="center"/>
                </w:tcPr>
                <w:p w14:paraId="489776B3">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双</w:t>
                  </w:r>
                  <w:r>
                    <w:rPr>
                      <w:rFonts w:hint="eastAsia"/>
                      <w:color w:val="auto"/>
                      <w:kern w:val="0"/>
                      <w:sz w:val="21"/>
                      <w:szCs w:val="21"/>
                      <w:lang w:val="en-US" w:eastAsia="zh-CN" w:bidi="ar"/>
                    </w:rPr>
                    <w:t>头</w:t>
                  </w:r>
                  <w:r>
                    <w:rPr>
                      <w:rFonts w:ascii="Times New Roman" w:hAnsi="Times New Roman"/>
                      <w:color w:val="auto"/>
                      <w:kern w:val="0"/>
                      <w:sz w:val="21"/>
                      <w:szCs w:val="21"/>
                      <w:lang w:bidi="ar"/>
                    </w:rPr>
                    <w:t>铣床</w:t>
                  </w:r>
                </w:p>
              </w:tc>
              <w:tc>
                <w:tcPr>
                  <w:tcW w:w="1035" w:type="pct"/>
                  <w:shd w:val="clear" w:color="auto" w:fill="auto"/>
                  <w:vAlign w:val="center"/>
                </w:tcPr>
                <w:p w14:paraId="00EC8B8F">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MX5118</w:t>
                  </w:r>
                </w:p>
              </w:tc>
              <w:tc>
                <w:tcPr>
                  <w:tcW w:w="541" w:type="pct"/>
                  <w:shd w:val="clear" w:color="auto" w:fill="auto"/>
                  <w:vAlign w:val="center"/>
                </w:tcPr>
                <w:p w14:paraId="5263C253">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0"/>
                      <w:sz w:val="21"/>
                      <w:szCs w:val="21"/>
                      <w:lang w:val="en-US" w:eastAsia="zh-CN" w:bidi="ar-SA"/>
                    </w:rPr>
                  </w:pPr>
                  <w:r>
                    <w:rPr>
                      <w:rFonts w:hint="eastAsia" w:cs="Times New Roman"/>
                      <w:b w:val="0"/>
                      <w:bCs w:val="0"/>
                      <w:snapToGrid w:val="0"/>
                      <w:color w:val="auto"/>
                      <w:kern w:val="0"/>
                      <w:sz w:val="21"/>
                      <w:szCs w:val="21"/>
                      <w:lang w:val="en-US" w:eastAsia="zh-CN" w:bidi="ar-SA"/>
                    </w:rPr>
                    <w:t>1</w:t>
                  </w:r>
                </w:p>
              </w:tc>
              <w:tc>
                <w:tcPr>
                  <w:tcW w:w="541" w:type="pct"/>
                  <w:shd w:val="clear" w:color="auto" w:fill="auto"/>
                  <w:vAlign w:val="center"/>
                </w:tcPr>
                <w:p w14:paraId="53733EFB">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1</w:t>
                  </w:r>
                </w:p>
              </w:tc>
              <w:tc>
                <w:tcPr>
                  <w:tcW w:w="542" w:type="pct"/>
                  <w:shd w:val="clear" w:color="auto" w:fill="auto"/>
                  <w:vAlign w:val="center"/>
                </w:tcPr>
                <w:p w14:paraId="4BB48547">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ascii="Times New Roman" w:hAnsi="Times New Roman"/>
                      <w:color w:val="auto"/>
                      <w:kern w:val="0"/>
                      <w:sz w:val="21"/>
                      <w:szCs w:val="21"/>
                      <w:lang w:bidi="ar"/>
                    </w:rPr>
                  </w:pPr>
                  <w:r>
                    <w:rPr>
                      <w:rFonts w:hint="eastAsia" w:ascii="Times New Roman" w:hAnsi="Times New Roman" w:cs="Times New Roman"/>
                      <w:color w:val="auto"/>
                      <w:kern w:val="0"/>
                      <w:sz w:val="21"/>
                      <w:szCs w:val="21"/>
                      <w:lang w:val="en-US" w:eastAsia="zh-CN"/>
                    </w:rPr>
                    <w:t>0</w:t>
                  </w:r>
                </w:p>
              </w:tc>
              <w:tc>
                <w:tcPr>
                  <w:tcW w:w="736" w:type="pct"/>
                  <w:vMerge w:val="restart"/>
                  <w:shd w:val="clear" w:color="auto" w:fill="auto"/>
                  <w:vAlign w:val="center"/>
                </w:tcPr>
                <w:p w14:paraId="42190760">
                  <w:pPr>
                    <w:pStyle w:val="2"/>
                    <w:keepNext w:val="0"/>
                    <w:keepLines w:val="0"/>
                    <w:pageBreakBefore w:val="0"/>
                    <w:kinsoku/>
                    <w:overflowPunct/>
                    <w:topLinePunct w:val="0"/>
                    <w:autoSpaceDE/>
                    <w:autoSpaceDN/>
                    <w:bidi w:val="0"/>
                    <w:adjustRightInd w:val="0"/>
                    <w:snapToGri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bCs/>
                      <w:color w:val="auto"/>
                      <w:kern w:val="0"/>
                      <w:sz w:val="21"/>
                      <w:szCs w:val="21"/>
                    </w:rPr>
                    <w:t>铣型</w:t>
                  </w:r>
                  <w:r>
                    <w:rPr>
                      <w:rFonts w:hint="eastAsia"/>
                      <w:bCs/>
                      <w:color w:val="auto"/>
                      <w:kern w:val="0"/>
                      <w:sz w:val="21"/>
                      <w:szCs w:val="21"/>
                      <w:lang w:eastAsia="zh-CN"/>
                    </w:rPr>
                    <w:t>，</w:t>
                  </w:r>
                  <w:r>
                    <w:rPr>
                      <w:rFonts w:hint="eastAsia"/>
                      <w:bCs/>
                      <w:color w:val="auto"/>
                      <w:kern w:val="0"/>
                      <w:sz w:val="21"/>
                      <w:szCs w:val="21"/>
                      <w:lang w:val="en-US" w:eastAsia="zh-CN"/>
                    </w:rPr>
                    <w:t>迁建</w:t>
                  </w:r>
                </w:p>
              </w:tc>
            </w:tr>
            <w:tr w14:paraId="7712856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0" w:type="pct"/>
                  <w:vMerge w:val="continue"/>
                  <w:vAlign w:val="center"/>
                </w:tcPr>
                <w:p w14:paraId="62692FC0">
                  <w:pPr>
                    <w:pStyle w:val="688"/>
                    <w:keepNext w:val="0"/>
                    <w:keepLines w:val="0"/>
                    <w:pageBreakBefore w:val="0"/>
                    <w:widowControl w:val="0"/>
                    <w:kinsoku/>
                    <w:overflowPunct/>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rPr>
                  </w:pPr>
                </w:p>
              </w:tc>
              <w:tc>
                <w:tcPr>
                  <w:tcW w:w="1142" w:type="pct"/>
                  <w:shd w:val="clear" w:color="auto" w:fill="auto"/>
                  <w:vAlign w:val="center"/>
                </w:tcPr>
                <w:p w14:paraId="5D531F10">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sz w:val="21"/>
                      <w:szCs w:val="21"/>
                      <w:lang w:val="en-US" w:eastAsia="zh-CN" w:bidi="ar"/>
                    </w:rPr>
                    <w:t>单头</w:t>
                  </w:r>
                  <w:r>
                    <w:rPr>
                      <w:rFonts w:ascii="Times New Roman" w:hAnsi="Times New Roman"/>
                      <w:color w:val="auto"/>
                      <w:kern w:val="0"/>
                      <w:sz w:val="21"/>
                      <w:szCs w:val="21"/>
                      <w:lang w:bidi="ar"/>
                    </w:rPr>
                    <w:t>铣床</w:t>
                  </w:r>
                </w:p>
              </w:tc>
              <w:tc>
                <w:tcPr>
                  <w:tcW w:w="1035" w:type="pct"/>
                  <w:shd w:val="clear" w:color="auto" w:fill="auto"/>
                  <w:vAlign w:val="center"/>
                </w:tcPr>
                <w:p w14:paraId="5CF136CA">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MX100A</w:t>
                  </w:r>
                </w:p>
              </w:tc>
              <w:tc>
                <w:tcPr>
                  <w:tcW w:w="541" w:type="pct"/>
                  <w:shd w:val="clear" w:color="auto" w:fill="auto"/>
                  <w:vAlign w:val="center"/>
                </w:tcPr>
                <w:p w14:paraId="5A99456D">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0"/>
                      <w:sz w:val="21"/>
                      <w:szCs w:val="21"/>
                      <w:lang w:val="en-US" w:eastAsia="zh-CN" w:bidi="ar-SA"/>
                    </w:rPr>
                  </w:pPr>
                  <w:r>
                    <w:rPr>
                      <w:rFonts w:hint="eastAsia" w:cs="Times New Roman"/>
                      <w:b w:val="0"/>
                      <w:bCs w:val="0"/>
                      <w:snapToGrid w:val="0"/>
                      <w:color w:val="auto"/>
                      <w:kern w:val="0"/>
                      <w:sz w:val="21"/>
                      <w:szCs w:val="21"/>
                      <w:lang w:val="en-US" w:eastAsia="zh-CN" w:bidi="ar-SA"/>
                    </w:rPr>
                    <w:t>1</w:t>
                  </w:r>
                </w:p>
              </w:tc>
              <w:tc>
                <w:tcPr>
                  <w:tcW w:w="541" w:type="pct"/>
                  <w:shd w:val="clear" w:color="auto" w:fill="auto"/>
                  <w:vAlign w:val="center"/>
                </w:tcPr>
                <w:p w14:paraId="7F37A2AE">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1</w:t>
                  </w:r>
                </w:p>
              </w:tc>
              <w:tc>
                <w:tcPr>
                  <w:tcW w:w="542" w:type="pct"/>
                  <w:shd w:val="clear" w:color="auto" w:fill="auto"/>
                  <w:vAlign w:val="center"/>
                </w:tcPr>
                <w:p w14:paraId="2A357E25">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ascii="Times New Roman" w:hAnsi="Times New Roman"/>
                      <w:color w:val="auto"/>
                      <w:kern w:val="0"/>
                      <w:sz w:val="21"/>
                      <w:szCs w:val="21"/>
                      <w:lang w:bidi="ar"/>
                    </w:rPr>
                  </w:pPr>
                  <w:r>
                    <w:rPr>
                      <w:rFonts w:hint="eastAsia" w:ascii="Times New Roman" w:hAnsi="Times New Roman" w:cs="Times New Roman"/>
                      <w:color w:val="auto"/>
                      <w:kern w:val="0"/>
                      <w:sz w:val="21"/>
                      <w:szCs w:val="21"/>
                      <w:lang w:val="en-US" w:eastAsia="zh-CN"/>
                    </w:rPr>
                    <w:t>0</w:t>
                  </w:r>
                </w:p>
              </w:tc>
              <w:tc>
                <w:tcPr>
                  <w:tcW w:w="736" w:type="pct"/>
                  <w:vMerge w:val="continue"/>
                  <w:shd w:val="clear" w:color="auto" w:fill="auto"/>
                  <w:vAlign w:val="center"/>
                </w:tcPr>
                <w:p w14:paraId="3ACA675A">
                  <w:pPr>
                    <w:pStyle w:val="2"/>
                    <w:keepNext w:val="0"/>
                    <w:keepLines w:val="0"/>
                    <w:pageBreakBefore w:val="0"/>
                    <w:kinsoku/>
                    <w:overflowPunct/>
                    <w:topLinePunct w:val="0"/>
                    <w:autoSpaceDE/>
                    <w:autoSpaceDN/>
                    <w:bidi w:val="0"/>
                    <w:adjustRightInd w:val="0"/>
                    <w:snapToGrid w:val="0"/>
                    <w:spacing w:line="240" w:lineRule="auto"/>
                    <w:jc w:val="center"/>
                    <w:rPr>
                      <w:rFonts w:hint="eastAsia" w:ascii="Times New Roman" w:hAnsi="Times New Roman" w:eastAsia="宋体" w:cs="Times New Roman"/>
                      <w:snapToGrid w:val="0"/>
                      <w:color w:val="auto"/>
                      <w:kern w:val="0"/>
                      <w:sz w:val="21"/>
                      <w:szCs w:val="21"/>
                      <w:lang w:val="en-US" w:eastAsia="zh-CN" w:bidi="ar-SA"/>
                    </w:rPr>
                  </w:pPr>
                </w:p>
              </w:tc>
            </w:tr>
            <w:tr w14:paraId="106B170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0" w:type="pct"/>
                  <w:vMerge w:val="continue"/>
                  <w:vAlign w:val="center"/>
                </w:tcPr>
                <w:p w14:paraId="2D50D1BB">
                  <w:pPr>
                    <w:pStyle w:val="688"/>
                    <w:keepNext w:val="0"/>
                    <w:keepLines w:val="0"/>
                    <w:pageBreakBefore w:val="0"/>
                    <w:widowControl w:val="0"/>
                    <w:kinsoku/>
                    <w:overflowPunct/>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rPr>
                  </w:pPr>
                </w:p>
              </w:tc>
              <w:tc>
                <w:tcPr>
                  <w:tcW w:w="1142" w:type="pct"/>
                  <w:shd w:val="clear" w:color="auto" w:fill="auto"/>
                  <w:vAlign w:val="center"/>
                </w:tcPr>
                <w:p w14:paraId="6EEC7245">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sz w:val="21"/>
                      <w:szCs w:val="21"/>
                      <w:lang w:val="en-US" w:eastAsia="zh-CN" w:bidi="ar"/>
                    </w:rPr>
                    <w:t>镂机</w:t>
                  </w:r>
                </w:p>
              </w:tc>
              <w:tc>
                <w:tcPr>
                  <w:tcW w:w="1035" w:type="pct"/>
                  <w:shd w:val="clear" w:color="auto" w:fill="auto"/>
                  <w:vAlign w:val="center"/>
                </w:tcPr>
                <w:p w14:paraId="23FC542E">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MX5068</w:t>
                  </w:r>
                  <w:r>
                    <w:rPr>
                      <w:rFonts w:hint="eastAsia"/>
                      <w:color w:val="auto"/>
                      <w:kern w:val="0"/>
                      <w:sz w:val="21"/>
                      <w:szCs w:val="21"/>
                      <w:lang w:val="en-US" w:eastAsia="zh-CN" w:bidi="ar"/>
                    </w:rPr>
                    <w:t>/MX515</w:t>
                  </w:r>
                </w:p>
              </w:tc>
              <w:tc>
                <w:tcPr>
                  <w:tcW w:w="541" w:type="pct"/>
                  <w:shd w:val="clear" w:color="auto" w:fill="auto"/>
                  <w:vAlign w:val="center"/>
                </w:tcPr>
                <w:p w14:paraId="22C7C96B">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0"/>
                      <w:sz w:val="21"/>
                      <w:szCs w:val="21"/>
                      <w:lang w:val="en-US" w:eastAsia="zh-CN" w:bidi="ar-SA"/>
                    </w:rPr>
                  </w:pPr>
                  <w:r>
                    <w:rPr>
                      <w:rFonts w:hint="eastAsia" w:cs="Times New Roman"/>
                      <w:b w:val="0"/>
                      <w:bCs w:val="0"/>
                      <w:snapToGrid w:val="0"/>
                      <w:color w:val="auto"/>
                      <w:kern w:val="0"/>
                      <w:sz w:val="21"/>
                      <w:szCs w:val="21"/>
                      <w:lang w:val="en-US" w:eastAsia="zh-CN" w:bidi="ar-SA"/>
                    </w:rPr>
                    <w:t>2</w:t>
                  </w:r>
                </w:p>
              </w:tc>
              <w:tc>
                <w:tcPr>
                  <w:tcW w:w="541" w:type="pct"/>
                  <w:shd w:val="clear" w:color="auto" w:fill="auto"/>
                  <w:vAlign w:val="center"/>
                </w:tcPr>
                <w:p w14:paraId="72D66F52">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color w:val="auto"/>
                      <w:kern w:val="0"/>
                      <w:sz w:val="21"/>
                      <w:szCs w:val="21"/>
                      <w:lang w:val="en-US" w:eastAsia="zh-CN" w:bidi="ar"/>
                    </w:rPr>
                    <w:t>2</w:t>
                  </w:r>
                </w:p>
              </w:tc>
              <w:tc>
                <w:tcPr>
                  <w:tcW w:w="542" w:type="pct"/>
                  <w:shd w:val="clear" w:color="auto" w:fill="auto"/>
                  <w:vAlign w:val="center"/>
                </w:tcPr>
                <w:p w14:paraId="1B0511D9">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ascii="Times New Roman" w:hAnsi="Times New Roman"/>
                      <w:color w:val="auto"/>
                      <w:kern w:val="0"/>
                      <w:sz w:val="21"/>
                      <w:szCs w:val="21"/>
                      <w:lang w:bidi="ar"/>
                    </w:rPr>
                  </w:pPr>
                  <w:r>
                    <w:rPr>
                      <w:rFonts w:hint="eastAsia" w:ascii="Times New Roman" w:hAnsi="Times New Roman" w:cs="Times New Roman"/>
                      <w:color w:val="auto"/>
                      <w:kern w:val="0"/>
                      <w:sz w:val="21"/>
                      <w:szCs w:val="21"/>
                      <w:lang w:val="en-US" w:eastAsia="zh-CN"/>
                    </w:rPr>
                    <w:t>0</w:t>
                  </w:r>
                </w:p>
              </w:tc>
              <w:tc>
                <w:tcPr>
                  <w:tcW w:w="736" w:type="pct"/>
                  <w:vMerge w:val="continue"/>
                  <w:shd w:val="clear" w:color="auto" w:fill="auto"/>
                  <w:vAlign w:val="center"/>
                </w:tcPr>
                <w:p w14:paraId="1B808A13">
                  <w:pPr>
                    <w:pStyle w:val="2"/>
                    <w:keepNext w:val="0"/>
                    <w:keepLines w:val="0"/>
                    <w:pageBreakBefore w:val="0"/>
                    <w:kinsoku/>
                    <w:overflowPunct/>
                    <w:topLinePunct w:val="0"/>
                    <w:autoSpaceDE/>
                    <w:autoSpaceDN/>
                    <w:bidi w:val="0"/>
                    <w:adjustRightInd w:val="0"/>
                    <w:snapToGrid w:val="0"/>
                    <w:spacing w:line="240" w:lineRule="auto"/>
                    <w:jc w:val="center"/>
                    <w:rPr>
                      <w:rFonts w:hint="eastAsia" w:ascii="Times New Roman" w:hAnsi="Times New Roman" w:eastAsia="宋体" w:cs="Times New Roman"/>
                      <w:snapToGrid w:val="0"/>
                      <w:color w:val="auto"/>
                      <w:kern w:val="0"/>
                      <w:sz w:val="21"/>
                      <w:szCs w:val="21"/>
                      <w:lang w:val="en-US" w:eastAsia="zh-CN" w:bidi="ar-SA"/>
                    </w:rPr>
                  </w:pPr>
                </w:p>
              </w:tc>
            </w:tr>
            <w:tr w14:paraId="2345D7F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0" w:type="pct"/>
                  <w:vMerge w:val="continue"/>
                  <w:vAlign w:val="center"/>
                </w:tcPr>
                <w:p w14:paraId="5E584DA1">
                  <w:pPr>
                    <w:pStyle w:val="688"/>
                    <w:keepNext w:val="0"/>
                    <w:keepLines w:val="0"/>
                    <w:pageBreakBefore w:val="0"/>
                    <w:widowControl w:val="0"/>
                    <w:kinsoku/>
                    <w:overflowPunct/>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eastAsia="zh-CN"/>
                    </w:rPr>
                  </w:pPr>
                </w:p>
              </w:tc>
              <w:tc>
                <w:tcPr>
                  <w:tcW w:w="1142" w:type="pct"/>
                  <w:shd w:val="clear" w:color="auto" w:fill="auto"/>
                  <w:vAlign w:val="center"/>
                </w:tcPr>
                <w:p w14:paraId="0FC897B2">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砂光机</w:t>
                  </w:r>
                </w:p>
              </w:tc>
              <w:tc>
                <w:tcPr>
                  <w:tcW w:w="1035" w:type="pct"/>
                  <w:shd w:val="clear" w:color="auto" w:fill="auto"/>
                  <w:vAlign w:val="center"/>
                </w:tcPr>
                <w:p w14:paraId="48D7DAD0">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1300</w:t>
                  </w:r>
                </w:p>
              </w:tc>
              <w:tc>
                <w:tcPr>
                  <w:tcW w:w="541" w:type="pct"/>
                  <w:shd w:val="clear" w:color="auto" w:fill="auto"/>
                  <w:vAlign w:val="center"/>
                </w:tcPr>
                <w:p w14:paraId="62D7288B">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0"/>
                      <w:sz w:val="21"/>
                      <w:szCs w:val="21"/>
                      <w:lang w:val="en-US" w:eastAsia="zh-CN" w:bidi="ar-SA"/>
                    </w:rPr>
                  </w:pPr>
                  <w:r>
                    <w:rPr>
                      <w:rFonts w:hint="eastAsia" w:cs="Times New Roman"/>
                      <w:b w:val="0"/>
                      <w:bCs w:val="0"/>
                      <w:snapToGrid w:val="0"/>
                      <w:color w:val="auto"/>
                      <w:kern w:val="0"/>
                      <w:sz w:val="21"/>
                      <w:szCs w:val="21"/>
                      <w:lang w:val="en-US" w:eastAsia="zh-CN" w:bidi="ar-SA"/>
                    </w:rPr>
                    <w:t>1</w:t>
                  </w:r>
                </w:p>
              </w:tc>
              <w:tc>
                <w:tcPr>
                  <w:tcW w:w="541" w:type="pct"/>
                  <w:shd w:val="clear" w:color="auto" w:fill="auto"/>
                  <w:vAlign w:val="center"/>
                </w:tcPr>
                <w:p w14:paraId="3846930E">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1</w:t>
                  </w:r>
                </w:p>
              </w:tc>
              <w:tc>
                <w:tcPr>
                  <w:tcW w:w="542" w:type="pct"/>
                  <w:shd w:val="clear" w:color="auto" w:fill="auto"/>
                  <w:vAlign w:val="center"/>
                </w:tcPr>
                <w:p w14:paraId="4FDCEB7E">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ascii="Times New Roman" w:hAnsi="Times New Roman"/>
                      <w:color w:val="auto"/>
                      <w:kern w:val="0"/>
                      <w:sz w:val="21"/>
                      <w:szCs w:val="21"/>
                      <w:lang w:bidi="ar"/>
                    </w:rPr>
                  </w:pPr>
                  <w:r>
                    <w:rPr>
                      <w:rFonts w:hint="eastAsia" w:ascii="Times New Roman" w:hAnsi="Times New Roman" w:cs="Times New Roman"/>
                      <w:color w:val="auto"/>
                      <w:kern w:val="0"/>
                      <w:sz w:val="21"/>
                      <w:szCs w:val="21"/>
                      <w:lang w:val="en-US" w:eastAsia="zh-CN"/>
                    </w:rPr>
                    <w:t>0</w:t>
                  </w:r>
                </w:p>
              </w:tc>
              <w:tc>
                <w:tcPr>
                  <w:tcW w:w="736" w:type="pct"/>
                  <w:vMerge w:val="restart"/>
                  <w:shd w:val="clear" w:color="auto" w:fill="auto"/>
                  <w:vAlign w:val="center"/>
                </w:tcPr>
                <w:p w14:paraId="2DDC7462">
                  <w:pPr>
                    <w:pStyle w:val="2"/>
                    <w:keepNext w:val="0"/>
                    <w:keepLines w:val="0"/>
                    <w:pageBreakBefore w:val="0"/>
                    <w:kinsoku/>
                    <w:overflowPunct/>
                    <w:topLinePunct w:val="0"/>
                    <w:autoSpaceDE/>
                    <w:autoSpaceDN/>
                    <w:bidi w:val="0"/>
                    <w:adjustRightInd w:val="0"/>
                    <w:snapToGri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bCs/>
                      <w:color w:val="auto"/>
                      <w:kern w:val="0"/>
                      <w:sz w:val="21"/>
                      <w:szCs w:val="21"/>
                    </w:rPr>
                    <w:t>砂磨</w:t>
                  </w:r>
                  <w:r>
                    <w:rPr>
                      <w:rFonts w:hint="eastAsia"/>
                      <w:color w:val="auto"/>
                      <w:sz w:val="21"/>
                      <w:szCs w:val="21"/>
                      <w:lang w:eastAsia="zh-CN"/>
                    </w:rPr>
                    <w:t>，</w:t>
                  </w:r>
                  <w:r>
                    <w:rPr>
                      <w:rFonts w:hint="eastAsia"/>
                      <w:color w:val="auto"/>
                      <w:sz w:val="21"/>
                      <w:szCs w:val="21"/>
                      <w:lang w:val="en-US" w:eastAsia="zh-CN"/>
                    </w:rPr>
                    <w:t>迁建</w:t>
                  </w:r>
                </w:p>
              </w:tc>
            </w:tr>
            <w:tr w14:paraId="3E9730D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0" w:type="pct"/>
                  <w:vMerge w:val="continue"/>
                  <w:vAlign w:val="center"/>
                </w:tcPr>
                <w:p w14:paraId="6035912B">
                  <w:pPr>
                    <w:pStyle w:val="688"/>
                    <w:keepNext w:val="0"/>
                    <w:keepLines w:val="0"/>
                    <w:pageBreakBefore w:val="0"/>
                    <w:widowControl w:val="0"/>
                    <w:kinsoku/>
                    <w:overflowPunct/>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rPr>
                  </w:pPr>
                </w:p>
              </w:tc>
              <w:tc>
                <w:tcPr>
                  <w:tcW w:w="1142" w:type="pct"/>
                  <w:shd w:val="clear" w:color="auto" w:fill="auto"/>
                  <w:vAlign w:val="center"/>
                </w:tcPr>
                <w:p w14:paraId="1ACD5D6A">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振荡砂光机</w:t>
                  </w:r>
                </w:p>
              </w:tc>
              <w:tc>
                <w:tcPr>
                  <w:tcW w:w="1035" w:type="pct"/>
                  <w:shd w:val="clear" w:color="auto" w:fill="auto"/>
                  <w:vAlign w:val="center"/>
                </w:tcPr>
                <w:p w14:paraId="57DA80DE">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SR-P1300</w:t>
                  </w:r>
                </w:p>
              </w:tc>
              <w:tc>
                <w:tcPr>
                  <w:tcW w:w="541" w:type="pct"/>
                  <w:shd w:val="clear" w:color="auto" w:fill="auto"/>
                  <w:vAlign w:val="center"/>
                </w:tcPr>
                <w:p w14:paraId="501F53B5">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0"/>
                      <w:sz w:val="21"/>
                      <w:szCs w:val="21"/>
                      <w:lang w:val="en-US" w:eastAsia="zh-CN" w:bidi="ar-SA"/>
                    </w:rPr>
                  </w:pPr>
                  <w:r>
                    <w:rPr>
                      <w:rFonts w:hint="eastAsia" w:cs="Times New Roman"/>
                      <w:b w:val="0"/>
                      <w:bCs w:val="0"/>
                      <w:snapToGrid w:val="0"/>
                      <w:color w:val="auto"/>
                      <w:kern w:val="0"/>
                      <w:sz w:val="21"/>
                      <w:szCs w:val="21"/>
                      <w:lang w:val="en-US" w:eastAsia="zh-CN" w:bidi="ar-SA"/>
                    </w:rPr>
                    <w:t>1</w:t>
                  </w:r>
                </w:p>
              </w:tc>
              <w:tc>
                <w:tcPr>
                  <w:tcW w:w="541" w:type="pct"/>
                  <w:shd w:val="clear" w:color="auto" w:fill="auto"/>
                  <w:vAlign w:val="center"/>
                </w:tcPr>
                <w:p w14:paraId="06C329D3">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1</w:t>
                  </w:r>
                </w:p>
              </w:tc>
              <w:tc>
                <w:tcPr>
                  <w:tcW w:w="542" w:type="pct"/>
                  <w:shd w:val="clear" w:color="auto" w:fill="auto"/>
                  <w:vAlign w:val="center"/>
                </w:tcPr>
                <w:p w14:paraId="7318379F">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ascii="Times New Roman" w:hAnsi="Times New Roman"/>
                      <w:color w:val="auto"/>
                      <w:kern w:val="0"/>
                      <w:sz w:val="21"/>
                      <w:szCs w:val="21"/>
                      <w:lang w:bidi="ar"/>
                    </w:rPr>
                  </w:pPr>
                  <w:r>
                    <w:rPr>
                      <w:rFonts w:hint="eastAsia" w:ascii="Times New Roman" w:hAnsi="Times New Roman" w:cs="Times New Roman"/>
                      <w:color w:val="auto"/>
                      <w:kern w:val="0"/>
                      <w:sz w:val="21"/>
                      <w:szCs w:val="21"/>
                      <w:lang w:val="en-US" w:eastAsia="zh-CN"/>
                    </w:rPr>
                    <w:t>0</w:t>
                  </w:r>
                </w:p>
              </w:tc>
              <w:tc>
                <w:tcPr>
                  <w:tcW w:w="736" w:type="pct"/>
                  <w:vMerge w:val="continue"/>
                  <w:shd w:val="clear" w:color="auto" w:fill="auto"/>
                  <w:vAlign w:val="center"/>
                </w:tcPr>
                <w:p w14:paraId="5EEA4C48">
                  <w:pPr>
                    <w:pStyle w:val="2"/>
                    <w:keepNext w:val="0"/>
                    <w:keepLines w:val="0"/>
                    <w:pageBreakBefore w:val="0"/>
                    <w:kinsoku/>
                    <w:overflowPunct/>
                    <w:topLinePunct w:val="0"/>
                    <w:autoSpaceDE/>
                    <w:autoSpaceDN/>
                    <w:bidi w:val="0"/>
                    <w:adjustRightInd w:val="0"/>
                    <w:snapToGrid w:val="0"/>
                    <w:spacing w:line="240" w:lineRule="auto"/>
                    <w:jc w:val="center"/>
                    <w:rPr>
                      <w:rFonts w:hint="eastAsia" w:ascii="Times New Roman" w:hAnsi="Times New Roman" w:eastAsia="宋体" w:cs="Times New Roman"/>
                      <w:snapToGrid w:val="0"/>
                      <w:color w:val="auto"/>
                      <w:kern w:val="0"/>
                      <w:sz w:val="21"/>
                      <w:szCs w:val="21"/>
                      <w:lang w:val="en-US" w:eastAsia="zh-CN" w:bidi="ar-SA"/>
                    </w:rPr>
                  </w:pPr>
                </w:p>
              </w:tc>
            </w:tr>
            <w:tr w14:paraId="0F3CABF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0" w:type="pct"/>
                  <w:vMerge w:val="continue"/>
                  <w:vAlign w:val="center"/>
                </w:tcPr>
                <w:p w14:paraId="7F769B18">
                  <w:pPr>
                    <w:pStyle w:val="688"/>
                    <w:keepNext w:val="0"/>
                    <w:keepLines w:val="0"/>
                    <w:pageBreakBefore w:val="0"/>
                    <w:widowControl w:val="0"/>
                    <w:kinsoku/>
                    <w:overflowPunct/>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rPr>
                  </w:pPr>
                </w:p>
              </w:tc>
              <w:tc>
                <w:tcPr>
                  <w:tcW w:w="1142" w:type="pct"/>
                  <w:shd w:val="clear" w:color="auto" w:fill="auto"/>
                  <w:vAlign w:val="center"/>
                </w:tcPr>
                <w:p w14:paraId="6B1D3868">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冷压机</w:t>
                  </w:r>
                </w:p>
              </w:tc>
              <w:tc>
                <w:tcPr>
                  <w:tcW w:w="1035" w:type="pct"/>
                  <w:shd w:val="clear" w:color="auto" w:fill="auto"/>
                  <w:vAlign w:val="center"/>
                </w:tcPr>
                <w:p w14:paraId="2AE7474F">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ACTP-PD-032</w:t>
                  </w:r>
                </w:p>
              </w:tc>
              <w:tc>
                <w:tcPr>
                  <w:tcW w:w="541" w:type="pct"/>
                  <w:shd w:val="clear" w:color="auto" w:fill="auto"/>
                  <w:vAlign w:val="center"/>
                </w:tcPr>
                <w:p w14:paraId="2AC259FC">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0"/>
                      <w:sz w:val="21"/>
                      <w:szCs w:val="21"/>
                      <w:lang w:val="en-US" w:eastAsia="zh-CN" w:bidi="ar-SA"/>
                    </w:rPr>
                  </w:pPr>
                  <w:r>
                    <w:rPr>
                      <w:rFonts w:hint="eastAsia" w:cs="Times New Roman"/>
                      <w:b w:val="0"/>
                      <w:bCs w:val="0"/>
                      <w:snapToGrid w:val="0"/>
                      <w:color w:val="auto"/>
                      <w:kern w:val="0"/>
                      <w:sz w:val="21"/>
                      <w:szCs w:val="21"/>
                      <w:lang w:val="en-US" w:eastAsia="zh-CN" w:bidi="ar-SA"/>
                    </w:rPr>
                    <w:t>5</w:t>
                  </w:r>
                </w:p>
              </w:tc>
              <w:tc>
                <w:tcPr>
                  <w:tcW w:w="541" w:type="pct"/>
                  <w:shd w:val="clear" w:color="auto" w:fill="auto"/>
                  <w:vAlign w:val="center"/>
                </w:tcPr>
                <w:p w14:paraId="47C3E872">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5</w:t>
                  </w:r>
                </w:p>
              </w:tc>
              <w:tc>
                <w:tcPr>
                  <w:tcW w:w="542" w:type="pct"/>
                  <w:shd w:val="clear" w:color="auto" w:fill="auto"/>
                  <w:vAlign w:val="center"/>
                </w:tcPr>
                <w:p w14:paraId="36824D25">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ascii="Times New Roman" w:hAnsi="Times New Roman"/>
                      <w:color w:val="auto"/>
                      <w:kern w:val="0"/>
                      <w:sz w:val="21"/>
                      <w:szCs w:val="21"/>
                      <w:lang w:bidi="ar"/>
                    </w:rPr>
                  </w:pPr>
                  <w:r>
                    <w:rPr>
                      <w:rFonts w:hint="eastAsia" w:ascii="Times New Roman" w:hAnsi="Times New Roman" w:cs="Times New Roman"/>
                      <w:color w:val="auto"/>
                      <w:kern w:val="0"/>
                      <w:sz w:val="21"/>
                      <w:szCs w:val="21"/>
                      <w:lang w:val="en-US" w:eastAsia="zh-CN"/>
                    </w:rPr>
                    <w:t>0</w:t>
                  </w:r>
                </w:p>
              </w:tc>
              <w:tc>
                <w:tcPr>
                  <w:tcW w:w="736" w:type="pct"/>
                  <w:shd w:val="clear" w:color="auto" w:fill="auto"/>
                  <w:vAlign w:val="center"/>
                </w:tcPr>
                <w:p w14:paraId="1842E002">
                  <w:pPr>
                    <w:pStyle w:val="2"/>
                    <w:keepNext w:val="0"/>
                    <w:keepLines w:val="0"/>
                    <w:pageBreakBefore w:val="0"/>
                    <w:kinsoku/>
                    <w:overflowPunct/>
                    <w:topLinePunct w:val="0"/>
                    <w:autoSpaceDE/>
                    <w:autoSpaceDN/>
                    <w:bidi w:val="0"/>
                    <w:adjustRightInd w:val="0"/>
                    <w:snapToGri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bCs/>
                      <w:color w:val="auto"/>
                      <w:kern w:val="0"/>
                      <w:sz w:val="21"/>
                      <w:szCs w:val="21"/>
                    </w:rPr>
                    <w:t>冷压</w:t>
                  </w:r>
                  <w:r>
                    <w:rPr>
                      <w:rFonts w:hint="eastAsia"/>
                      <w:bCs/>
                      <w:color w:val="auto"/>
                      <w:kern w:val="0"/>
                      <w:sz w:val="21"/>
                      <w:szCs w:val="21"/>
                      <w:lang w:eastAsia="zh-CN"/>
                    </w:rPr>
                    <w:t>，</w:t>
                  </w:r>
                  <w:r>
                    <w:rPr>
                      <w:rFonts w:hint="eastAsia"/>
                      <w:bCs/>
                      <w:color w:val="auto"/>
                      <w:kern w:val="0"/>
                      <w:sz w:val="21"/>
                      <w:szCs w:val="21"/>
                      <w:lang w:val="en-US" w:eastAsia="zh-CN"/>
                    </w:rPr>
                    <w:t>迁建</w:t>
                  </w:r>
                </w:p>
              </w:tc>
            </w:tr>
            <w:tr w14:paraId="3A94FEE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0" w:type="pct"/>
                  <w:vMerge w:val="continue"/>
                  <w:vAlign w:val="center"/>
                </w:tcPr>
                <w:p w14:paraId="68906834">
                  <w:pPr>
                    <w:pStyle w:val="688"/>
                    <w:keepNext w:val="0"/>
                    <w:keepLines w:val="0"/>
                    <w:pageBreakBefore w:val="0"/>
                    <w:widowControl w:val="0"/>
                    <w:kinsoku/>
                    <w:overflowPunct/>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rPr>
                  </w:pPr>
                </w:p>
              </w:tc>
              <w:tc>
                <w:tcPr>
                  <w:tcW w:w="1142" w:type="pct"/>
                  <w:shd w:val="clear" w:color="auto" w:fill="auto"/>
                  <w:vAlign w:val="center"/>
                </w:tcPr>
                <w:p w14:paraId="07E7BE17">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涂胶机</w:t>
                  </w:r>
                </w:p>
              </w:tc>
              <w:tc>
                <w:tcPr>
                  <w:tcW w:w="1035" w:type="pct"/>
                  <w:shd w:val="clear" w:color="auto" w:fill="auto"/>
                  <w:vAlign w:val="center"/>
                </w:tcPr>
                <w:p w14:paraId="2CDF3643">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MH6213</w:t>
                  </w:r>
                </w:p>
              </w:tc>
              <w:tc>
                <w:tcPr>
                  <w:tcW w:w="541" w:type="pct"/>
                  <w:shd w:val="clear" w:color="auto" w:fill="auto"/>
                  <w:vAlign w:val="center"/>
                </w:tcPr>
                <w:p w14:paraId="7B4C4DFF">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0"/>
                      <w:sz w:val="21"/>
                      <w:szCs w:val="21"/>
                      <w:lang w:val="en-US" w:eastAsia="zh-CN" w:bidi="ar-SA"/>
                    </w:rPr>
                  </w:pPr>
                  <w:r>
                    <w:rPr>
                      <w:rFonts w:hint="eastAsia" w:cs="Times New Roman"/>
                      <w:b w:val="0"/>
                      <w:bCs w:val="0"/>
                      <w:snapToGrid w:val="0"/>
                      <w:color w:val="auto"/>
                      <w:kern w:val="0"/>
                      <w:sz w:val="21"/>
                      <w:szCs w:val="21"/>
                      <w:lang w:val="en-US" w:eastAsia="zh-CN" w:bidi="ar-SA"/>
                    </w:rPr>
                    <w:t>1</w:t>
                  </w:r>
                </w:p>
              </w:tc>
              <w:tc>
                <w:tcPr>
                  <w:tcW w:w="541" w:type="pct"/>
                  <w:shd w:val="clear" w:color="auto" w:fill="auto"/>
                  <w:vAlign w:val="center"/>
                </w:tcPr>
                <w:p w14:paraId="798E021D">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1</w:t>
                  </w:r>
                </w:p>
              </w:tc>
              <w:tc>
                <w:tcPr>
                  <w:tcW w:w="542" w:type="pct"/>
                  <w:shd w:val="clear" w:color="auto" w:fill="auto"/>
                  <w:vAlign w:val="center"/>
                </w:tcPr>
                <w:p w14:paraId="333E74EB">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ascii="Times New Roman" w:hAnsi="Times New Roman"/>
                      <w:color w:val="auto"/>
                      <w:kern w:val="0"/>
                      <w:sz w:val="21"/>
                      <w:szCs w:val="21"/>
                      <w:lang w:bidi="ar"/>
                    </w:rPr>
                  </w:pPr>
                  <w:r>
                    <w:rPr>
                      <w:rFonts w:hint="eastAsia" w:ascii="Times New Roman" w:hAnsi="Times New Roman" w:cs="Times New Roman"/>
                      <w:color w:val="auto"/>
                      <w:kern w:val="0"/>
                      <w:sz w:val="21"/>
                      <w:szCs w:val="21"/>
                      <w:lang w:val="en-US" w:eastAsia="zh-CN"/>
                    </w:rPr>
                    <w:t>0</w:t>
                  </w:r>
                </w:p>
              </w:tc>
              <w:tc>
                <w:tcPr>
                  <w:tcW w:w="736" w:type="pct"/>
                  <w:shd w:val="clear" w:color="auto" w:fill="auto"/>
                  <w:vAlign w:val="center"/>
                </w:tcPr>
                <w:p w14:paraId="5EECB427">
                  <w:pPr>
                    <w:pStyle w:val="2"/>
                    <w:keepNext w:val="0"/>
                    <w:keepLines w:val="0"/>
                    <w:pageBreakBefore w:val="0"/>
                    <w:kinsoku/>
                    <w:overflowPunct/>
                    <w:topLinePunct w:val="0"/>
                    <w:autoSpaceDE/>
                    <w:autoSpaceDN/>
                    <w:bidi w:val="0"/>
                    <w:adjustRightInd w:val="0"/>
                    <w:snapToGri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bCs/>
                      <w:color w:val="auto"/>
                      <w:kern w:val="0"/>
                      <w:sz w:val="21"/>
                      <w:szCs w:val="21"/>
                    </w:rPr>
                    <w:t>粘贴</w:t>
                  </w:r>
                  <w:r>
                    <w:rPr>
                      <w:rFonts w:hint="eastAsia"/>
                      <w:bCs/>
                      <w:color w:val="auto"/>
                      <w:kern w:val="0"/>
                      <w:sz w:val="21"/>
                      <w:szCs w:val="21"/>
                      <w:lang w:eastAsia="zh-CN"/>
                    </w:rPr>
                    <w:t>，</w:t>
                  </w:r>
                  <w:r>
                    <w:rPr>
                      <w:rFonts w:hint="eastAsia"/>
                      <w:bCs/>
                      <w:color w:val="auto"/>
                      <w:kern w:val="0"/>
                      <w:sz w:val="21"/>
                      <w:szCs w:val="21"/>
                      <w:lang w:val="en-US" w:eastAsia="zh-CN"/>
                    </w:rPr>
                    <w:t>迁建</w:t>
                  </w:r>
                </w:p>
              </w:tc>
            </w:tr>
            <w:tr w14:paraId="65B11A1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0" w:type="pct"/>
                  <w:vMerge w:val="continue"/>
                  <w:vAlign w:val="center"/>
                </w:tcPr>
                <w:p w14:paraId="33197C99">
                  <w:pPr>
                    <w:pStyle w:val="688"/>
                    <w:keepNext w:val="0"/>
                    <w:keepLines w:val="0"/>
                    <w:pageBreakBefore w:val="0"/>
                    <w:widowControl w:val="0"/>
                    <w:kinsoku/>
                    <w:overflowPunct/>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rPr>
                  </w:pPr>
                </w:p>
              </w:tc>
              <w:tc>
                <w:tcPr>
                  <w:tcW w:w="1142" w:type="pct"/>
                  <w:shd w:val="clear" w:color="auto" w:fill="auto"/>
                  <w:vAlign w:val="center"/>
                </w:tcPr>
                <w:p w14:paraId="6D0F78EB">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加工中心</w:t>
                  </w:r>
                </w:p>
              </w:tc>
              <w:tc>
                <w:tcPr>
                  <w:tcW w:w="1035" w:type="pct"/>
                  <w:shd w:val="clear" w:color="auto" w:fill="auto"/>
                  <w:vAlign w:val="center"/>
                </w:tcPr>
                <w:p w14:paraId="098CA484">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PTP160</w:t>
                  </w:r>
                </w:p>
              </w:tc>
              <w:tc>
                <w:tcPr>
                  <w:tcW w:w="541" w:type="pct"/>
                  <w:shd w:val="clear" w:color="auto" w:fill="auto"/>
                  <w:vAlign w:val="center"/>
                </w:tcPr>
                <w:p w14:paraId="1E9AE453">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0"/>
                      <w:sz w:val="21"/>
                      <w:szCs w:val="21"/>
                      <w:lang w:val="en-US" w:eastAsia="zh-CN" w:bidi="ar-SA"/>
                    </w:rPr>
                  </w:pPr>
                  <w:r>
                    <w:rPr>
                      <w:rFonts w:hint="eastAsia" w:cs="Times New Roman"/>
                      <w:b w:val="0"/>
                      <w:bCs w:val="0"/>
                      <w:snapToGrid w:val="0"/>
                      <w:color w:val="auto"/>
                      <w:kern w:val="0"/>
                      <w:sz w:val="21"/>
                      <w:szCs w:val="21"/>
                      <w:lang w:val="en-US" w:eastAsia="zh-CN" w:bidi="ar-SA"/>
                    </w:rPr>
                    <w:t>1</w:t>
                  </w:r>
                </w:p>
              </w:tc>
              <w:tc>
                <w:tcPr>
                  <w:tcW w:w="541" w:type="pct"/>
                  <w:shd w:val="clear" w:color="auto" w:fill="auto"/>
                  <w:vAlign w:val="center"/>
                </w:tcPr>
                <w:p w14:paraId="119A7D1D">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sz w:val="21"/>
                      <w:szCs w:val="21"/>
                      <w:lang w:val="en-US" w:eastAsia="zh-CN" w:bidi="ar"/>
                    </w:rPr>
                    <w:t>2</w:t>
                  </w:r>
                </w:p>
              </w:tc>
              <w:tc>
                <w:tcPr>
                  <w:tcW w:w="542" w:type="pct"/>
                  <w:shd w:val="clear" w:color="auto" w:fill="auto"/>
                  <w:vAlign w:val="center"/>
                </w:tcPr>
                <w:p w14:paraId="62FCF98C">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default"/>
                      <w:color w:val="auto"/>
                      <w:kern w:val="0"/>
                      <w:sz w:val="21"/>
                      <w:szCs w:val="21"/>
                      <w:lang w:val="en-US" w:eastAsia="zh-CN" w:bidi="ar"/>
                    </w:rPr>
                  </w:pPr>
                  <w:r>
                    <w:rPr>
                      <w:rFonts w:hint="eastAsia" w:ascii="Times New Roman" w:hAnsi="Times New Roman" w:cs="Times New Roman"/>
                      <w:color w:val="auto"/>
                      <w:kern w:val="0"/>
                      <w:sz w:val="21"/>
                      <w:szCs w:val="21"/>
                      <w:lang w:val="en-US" w:eastAsia="zh-CN"/>
                    </w:rPr>
                    <w:t>+1</w:t>
                  </w:r>
                </w:p>
              </w:tc>
              <w:tc>
                <w:tcPr>
                  <w:tcW w:w="736" w:type="pct"/>
                  <w:vMerge w:val="restart"/>
                  <w:shd w:val="clear" w:color="auto" w:fill="auto"/>
                  <w:vAlign w:val="center"/>
                </w:tcPr>
                <w:p w14:paraId="2FE88FA3">
                  <w:pPr>
                    <w:pStyle w:val="2"/>
                    <w:keepNext w:val="0"/>
                    <w:keepLines w:val="0"/>
                    <w:pageBreakBefore w:val="0"/>
                    <w:kinsoku/>
                    <w:overflowPunct/>
                    <w:topLinePunct w:val="0"/>
                    <w:autoSpaceDE/>
                    <w:autoSpaceDN/>
                    <w:bidi w:val="0"/>
                    <w:adjustRightInd w:val="0"/>
                    <w:snapToGri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bCs/>
                      <w:color w:val="auto"/>
                      <w:kern w:val="0"/>
                      <w:sz w:val="21"/>
                      <w:szCs w:val="21"/>
                    </w:rPr>
                    <w:t>齐边</w:t>
                  </w:r>
                  <w:r>
                    <w:rPr>
                      <w:rFonts w:hint="eastAsia"/>
                      <w:bCs/>
                      <w:color w:val="auto"/>
                      <w:kern w:val="0"/>
                      <w:sz w:val="21"/>
                      <w:szCs w:val="21"/>
                      <w:lang w:eastAsia="zh-CN"/>
                    </w:rPr>
                    <w:t>，</w:t>
                  </w:r>
                  <w:r>
                    <w:rPr>
                      <w:rFonts w:hint="eastAsia"/>
                      <w:bCs/>
                      <w:color w:val="auto"/>
                      <w:kern w:val="0"/>
                      <w:sz w:val="21"/>
                      <w:szCs w:val="21"/>
                      <w:lang w:val="en-US" w:eastAsia="zh-CN"/>
                    </w:rPr>
                    <w:t>迁建</w:t>
                  </w:r>
                </w:p>
              </w:tc>
            </w:tr>
            <w:tr w14:paraId="14FB768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0" w:type="pct"/>
                  <w:vMerge w:val="continue"/>
                  <w:vAlign w:val="center"/>
                </w:tcPr>
                <w:p w14:paraId="747B888B">
                  <w:pPr>
                    <w:pStyle w:val="688"/>
                    <w:keepNext w:val="0"/>
                    <w:keepLines w:val="0"/>
                    <w:pageBreakBefore w:val="0"/>
                    <w:widowControl w:val="0"/>
                    <w:kinsoku/>
                    <w:overflowPunct/>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rPr>
                  </w:pPr>
                </w:p>
              </w:tc>
              <w:tc>
                <w:tcPr>
                  <w:tcW w:w="1142" w:type="pct"/>
                  <w:shd w:val="clear" w:color="auto" w:fill="auto"/>
                  <w:vAlign w:val="center"/>
                </w:tcPr>
                <w:p w14:paraId="270E4A2F">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车床</w:t>
                  </w:r>
                </w:p>
              </w:tc>
              <w:tc>
                <w:tcPr>
                  <w:tcW w:w="1035" w:type="pct"/>
                  <w:shd w:val="clear" w:color="auto" w:fill="auto"/>
                  <w:vAlign w:val="center"/>
                </w:tcPr>
                <w:p w14:paraId="42AF0606">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HS320A-G</w:t>
                  </w:r>
                </w:p>
              </w:tc>
              <w:tc>
                <w:tcPr>
                  <w:tcW w:w="541" w:type="pct"/>
                  <w:shd w:val="clear" w:color="auto" w:fill="auto"/>
                  <w:vAlign w:val="center"/>
                </w:tcPr>
                <w:p w14:paraId="4DA4AB15">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0"/>
                      <w:sz w:val="21"/>
                      <w:szCs w:val="21"/>
                      <w:lang w:val="en-US" w:eastAsia="zh-CN" w:bidi="ar-SA"/>
                    </w:rPr>
                  </w:pPr>
                  <w:r>
                    <w:rPr>
                      <w:rFonts w:hint="eastAsia" w:cs="Times New Roman"/>
                      <w:b w:val="0"/>
                      <w:bCs w:val="0"/>
                      <w:snapToGrid w:val="0"/>
                      <w:color w:val="auto"/>
                      <w:kern w:val="0"/>
                      <w:sz w:val="21"/>
                      <w:szCs w:val="21"/>
                      <w:lang w:val="en-US" w:eastAsia="zh-CN" w:bidi="ar-SA"/>
                    </w:rPr>
                    <w:t>1</w:t>
                  </w:r>
                </w:p>
              </w:tc>
              <w:tc>
                <w:tcPr>
                  <w:tcW w:w="541" w:type="pct"/>
                  <w:shd w:val="clear" w:color="auto" w:fill="auto"/>
                  <w:vAlign w:val="center"/>
                </w:tcPr>
                <w:p w14:paraId="7F9F3617">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1</w:t>
                  </w:r>
                </w:p>
              </w:tc>
              <w:tc>
                <w:tcPr>
                  <w:tcW w:w="542" w:type="pct"/>
                  <w:shd w:val="clear" w:color="auto" w:fill="auto"/>
                  <w:vAlign w:val="center"/>
                </w:tcPr>
                <w:p w14:paraId="41B16C4A">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ascii="Times New Roman" w:hAnsi="Times New Roman"/>
                      <w:color w:val="auto"/>
                      <w:kern w:val="0"/>
                      <w:sz w:val="21"/>
                      <w:szCs w:val="21"/>
                      <w:lang w:bidi="ar"/>
                    </w:rPr>
                  </w:pPr>
                  <w:r>
                    <w:rPr>
                      <w:rFonts w:hint="eastAsia" w:ascii="Times New Roman" w:hAnsi="Times New Roman" w:cs="Times New Roman"/>
                      <w:color w:val="auto"/>
                      <w:kern w:val="0"/>
                      <w:sz w:val="21"/>
                      <w:szCs w:val="21"/>
                      <w:lang w:val="en-US" w:eastAsia="zh-CN"/>
                    </w:rPr>
                    <w:t>0</w:t>
                  </w:r>
                </w:p>
              </w:tc>
              <w:tc>
                <w:tcPr>
                  <w:tcW w:w="736" w:type="pct"/>
                  <w:vMerge w:val="continue"/>
                  <w:shd w:val="clear" w:color="auto" w:fill="auto"/>
                  <w:vAlign w:val="center"/>
                </w:tcPr>
                <w:p w14:paraId="17574D6C">
                  <w:pPr>
                    <w:pStyle w:val="2"/>
                    <w:keepNext w:val="0"/>
                    <w:keepLines w:val="0"/>
                    <w:pageBreakBefore w:val="0"/>
                    <w:kinsoku/>
                    <w:overflowPunct/>
                    <w:topLinePunct w:val="0"/>
                    <w:autoSpaceDE/>
                    <w:autoSpaceDN/>
                    <w:bidi w:val="0"/>
                    <w:adjustRightInd w:val="0"/>
                    <w:snapToGrid w:val="0"/>
                    <w:spacing w:line="240" w:lineRule="auto"/>
                    <w:jc w:val="center"/>
                    <w:rPr>
                      <w:rFonts w:hint="eastAsia" w:ascii="Times New Roman" w:hAnsi="Times New Roman" w:eastAsia="宋体" w:cs="Times New Roman"/>
                      <w:snapToGrid w:val="0"/>
                      <w:color w:val="auto"/>
                      <w:kern w:val="0"/>
                      <w:sz w:val="21"/>
                      <w:szCs w:val="21"/>
                      <w:lang w:val="en-US" w:eastAsia="zh-CN" w:bidi="ar-SA"/>
                    </w:rPr>
                  </w:pPr>
                </w:p>
              </w:tc>
            </w:tr>
            <w:tr w14:paraId="40DE248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0" w:type="pct"/>
                  <w:vMerge w:val="continue"/>
                  <w:vAlign w:val="center"/>
                </w:tcPr>
                <w:p w14:paraId="68DF779A">
                  <w:pPr>
                    <w:pStyle w:val="688"/>
                    <w:keepNext w:val="0"/>
                    <w:keepLines w:val="0"/>
                    <w:pageBreakBefore w:val="0"/>
                    <w:widowControl w:val="0"/>
                    <w:kinsoku/>
                    <w:overflowPunct/>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rPr>
                  </w:pPr>
                </w:p>
              </w:tc>
              <w:tc>
                <w:tcPr>
                  <w:tcW w:w="1142" w:type="pct"/>
                  <w:shd w:val="clear" w:color="auto" w:fill="auto"/>
                  <w:vAlign w:val="center"/>
                </w:tcPr>
                <w:p w14:paraId="2A4DD1E7">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cs="Times New Roman"/>
                      <w:snapToGrid w:val="0"/>
                      <w:color w:val="auto"/>
                      <w:kern w:val="0"/>
                      <w:sz w:val="21"/>
                      <w:szCs w:val="21"/>
                      <w:lang w:val="en-US" w:eastAsia="zh-CN" w:bidi="ar-SA"/>
                    </w:rPr>
                  </w:pPr>
                  <w:r>
                    <w:rPr>
                      <w:rFonts w:ascii="Times New Roman" w:hAnsi="Times New Roman"/>
                      <w:color w:val="auto"/>
                      <w:kern w:val="0"/>
                      <w:sz w:val="21"/>
                      <w:szCs w:val="21"/>
                      <w:lang w:bidi="ar"/>
                    </w:rPr>
                    <w:t>封边机</w:t>
                  </w:r>
                </w:p>
              </w:tc>
              <w:tc>
                <w:tcPr>
                  <w:tcW w:w="1035" w:type="pct"/>
                  <w:shd w:val="clear" w:color="auto" w:fill="auto"/>
                  <w:vAlign w:val="center"/>
                </w:tcPr>
                <w:p w14:paraId="47D8C93E">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cs="Times New Roman"/>
                      <w:color w:val="auto"/>
                      <w:kern w:val="0"/>
                      <w:sz w:val="21"/>
                      <w:szCs w:val="21"/>
                      <w:lang w:val="en-US" w:eastAsia="zh-CN"/>
                    </w:rPr>
                  </w:pPr>
                  <w:r>
                    <w:rPr>
                      <w:rFonts w:ascii="Times New Roman" w:hAnsi="Times New Roman"/>
                      <w:color w:val="auto"/>
                      <w:kern w:val="0"/>
                      <w:sz w:val="21"/>
                      <w:szCs w:val="21"/>
                      <w:lang w:bidi="ar"/>
                    </w:rPr>
                    <w:t>NB7CJ</w:t>
                  </w:r>
                </w:p>
              </w:tc>
              <w:tc>
                <w:tcPr>
                  <w:tcW w:w="541" w:type="pct"/>
                  <w:shd w:val="clear" w:color="auto" w:fill="auto"/>
                  <w:vAlign w:val="center"/>
                </w:tcPr>
                <w:p w14:paraId="644A32B9">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val="0"/>
                      <w:bCs w:val="0"/>
                      <w:snapToGrid w:val="0"/>
                      <w:color w:val="auto"/>
                      <w:kern w:val="0"/>
                      <w:sz w:val="21"/>
                      <w:szCs w:val="21"/>
                      <w:lang w:val="en-US" w:eastAsia="zh-CN" w:bidi="ar-SA"/>
                    </w:rPr>
                  </w:pPr>
                  <w:r>
                    <w:rPr>
                      <w:rFonts w:hint="eastAsia" w:cs="Times New Roman"/>
                      <w:b w:val="0"/>
                      <w:bCs w:val="0"/>
                      <w:snapToGrid w:val="0"/>
                      <w:color w:val="auto"/>
                      <w:kern w:val="0"/>
                      <w:sz w:val="21"/>
                      <w:szCs w:val="21"/>
                      <w:lang w:val="en-US" w:eastAsia="zh-CN" w:bidi="ar-SA"/>
                    </w:rPr>
                    <w:t>2</w:t>
                  </w:r>
                </w:p>
              </w:tc>
              <w:tc>
                <w:tcPr>
                  <w:tcW w:w="541" w:type="pct"/>
                  <w:shd w:val="clear" w:color="auto" w:fill="auto"/>
                  <w:vAlign w:val="center"/>
                </w:tcPr>
                <w:p w14:paraId="4DFB7173">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2</w:t>
                  </w:r>
                </w:p>
              </w:tc>
              <w:tc>
                <w:tcPr>
                  <w:tcW w:w="542" w:type="pct"/>
                  <w:shd w:val="clear" w:color="auto" w:fill="auto"/>
                  <w:vAlign w:val="center"/>
                </w:tcPr>
                <w:p w14:paraId="36982FE6">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ascii="Times New Roman" w:hAnsi="Times New Roman"/>
                      <w:color w:val="auto"/>
                      <w:kern w:val="0"/>
                      <w:sz w:val="21"/>
                      <w:szCs w:val="21"/>
                      <w:lang w:bidi="ar"/>
                    </w:rPr>
                  </w:pPr>
                  <w:r>
                    <w:rPr>
                      <w:rFonts w:hint="eastAsia" w:ascii="Times New Roman" w:hAnsi="Times New Roman" w:cs="Times New Roman"/>
                      <w:color w:val="auto"/>
                      <w:kern w:val="0"/>
                      <w:sz w:val="21"/>
                      <w:szCs w:val="21"/>
                      <w:lang w:val="en-US" w:eastAsia="zh-CN"/>
                    </w:rPr>
                    <w:t>0</w:t>
                  </w:r>
                </w:p>
              </w:tc>
              <w:tc>
                <w:tcPr>
                  <w:tcW w:w="736" w:type="pct"/>
                  <w:shd w:val="clear" w:color="auto" w:fill="auto"/>
                  <w:vAlign w:val="center"/>
                </w:tcPr>
                <w:p w14:paraId="1DF3A5F9">
                  <w:pPr>
                    <w:pStyle w:val="2"/>
                    <w:keepNext w:val="0"/>
                    <w:keepLines w:val="0"/>
                    <w:pageBreakBefore w:val="0"/>
                    <w:kinsoku/>
                    <w:overflowPunct/>
                    <w:topLinePunct w:val="0"/>
                    <w:autoSpaceDE/>
                    <w:autoSpaceDN/>
                    <w:bidi w:val="0"/>
                    <w:adjustRightInd w:val="0"/>
                    <w:snapToGri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bCs/>
                      <w:color w:val="auto"/>
                      <w:kern w:val="0"/>
                      <w:sz w:val="21"/>
                      <w:szCs w:val="21"/>
                    </w:rPr>
                    <w:t>封边</w:t>
                  </w:r>
                  <w:r>
                    <w:rPr>
                      <w:rFonts w:hint="eastAsia"/>
                      <w:bCs/>
                      <w:color w:val="auto"/>
                      <w:kern w:val="0"/>
                      <w:sz w:val="21"/>
                      <w:szCs w:val="21"/>
                      <w:lang w:eastAsia="zh-CN"/>
                    </w:rPr>
                    <w:t>，</w:t>
                  </w:r>
                  <w:r>
                    <w:rPr>
                      <w:rFonts w:hint="eastAsia"/>
                      <w:bCs/>
                      <w:color w:val="auto"/>
                      <w:kern w:val="0"/>
                      <w:sz w:val="21"/>
                      <w:szCs w:val="21"/>
                      <w:lang w:val="en-US" w:eastAsia="zh-CN"/>
                    </w:rPr>
                    <w:t>迁建</w:t>
                  </w:r>
                </w:p>
              </w:tc>
            </w:tr>
            <w:tr w14:paraId="37789A8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0" w:type="pct"/>
                  <w:vMerge w:val="continue"/>
                  <w:vAlign w:val="center"/>
                </w:tcPr>
                <w:p w14:paraId="73B27479">
                  <w:pPr>
                    <w:pStyle w:val="688"/>
                    <w:keepNext w:val="0"/>
                    <w:keepLines w:val="0"/>
                    <w:pageBreakBefore w:val="0"/>
                    <w:widowControl w:val="0"/>
                    <w:kinsoku/>
                    <w:overflowPunct/>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rPr>
                  </w:pPr>
                </w:p>
              </w:tc>
              <w:tc>
                <w:tcPr>
                  <w:tcW w:w="1142" w:type="pct"/>
                  <w:shd w:val="clear" w:color="auto" w:fill="auto"/>
                  <w:vAlign w:val="center"/>
                </w:tcPr>
                <w:p w14:paraId="511C3BA5">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cs="Times New Roman"/>
                      <w:snapToGrid w:val="0"/>
                      <w:color w:val="auto"/>
                      <w:kern w:val="0"/>
                      <w:sz w:val="21"/>
                      <w:szCs w:val="21"/>
                      <w:lang w:val="en-US" w:eastAsia="zh-CN" w:bidi="ar-SA"/>
                    </w:rPr>
                  </w:pPr>
                  <w:r>
                    <w:rPr>
                      <w:rFonts w:hint="eastAsia" w:ascii="Times New Roman" w:hAnsi="Times New Roman"/>
                      <w:color w:val="auto"/>
                      <w:kern w:val="0"/>
                      <w:sz w:val="21"/>
                      <w:szCs w:val="21"/>
                      <w:lang w:eastAsia="zh-CN" w:bidi="ar"/>
                    </w:rPr>
                    <w:t>四排轴木工钻床</w:t>
                  </w:r>
                </w:p>
              </w:tc>
              <w:tc>
                <w:tcPr>
                  <w:tcW w:w="1035" w:type="pct"/>
                  <w:shd w:val="clear" w:color="auto" w:fill="auto"/>
                  <w:vAlign w:val="center"/>
                </w:tcPr>
                <w:p w14:paraId="6784DD6F">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cs="Times New Roman"/>
                      <w:color w:val="auto"/>
                      <w:kern w:val="0"/>
                      <w:sz w:val="21"/>
                      <w:szCs w:val="21"/>
                      <w:lang w:val="en-US" w:eastAsia="zh-CN"/>
                    </w:rPr>
                  </w:pPr>
                  <w:r>
                    <w:rPr>
                      <w:rFonts w:ascii="Times New Roman" w:hAnsi="Times New Roman"/>
                      <w:color w:val="auto"/>
                      <w:kern w:val="0"/>
                      <w:sz w:val="21"/>
                      <w:szCs w:val="21"/>
                      <w:lang w:bidi="ar"/>
                    </w:rPr>
                    <w:t>MZB73224</w:t>
                  </w:r>
                </w:p>
              </w:tc>
              <w:tc>
                <w:tcPr>
                  <w:tcW w:w="541" w:type="pct"/>
                  <w:shd w:val="clear" w:color="auto" w:fill="auto"/>
                  <w:vAlign w:val="center"/>
                </w:tcPr>
                <w:p w14:paraId="550C8DCB">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val="0"/>
                      <w:bCs w:val="0"/>
                      <w:snapToGrid w:val="0"/>
                      <w:color w:val="auto"/>
                      <w:kern w:val="0"/>
                      <w:sz w:val="21"/>
                      <w:szCs w:val="21"/>
                      <w:lang w:val="en-US" w:eastAsia="zh-CN" w:bidi="ar-SA"/>
                    </w:rPr>
                  </w:pPr>
                  <w:r>
                    <w:rPr>
                      <w:rFonts w:hint="eastAsia" w:cs="Times New Roman"/>
                      <w:b w:val="0"/>
                      <w:bCs w:val="0"/>
                      <w:snapToGrid w:val="0"/>
                      <w:color w:val="auto"/>
                      <w:kern w:val="0"/>
                      <w:sz w:val="21"/>
                      <w:szCs w:val="21"/>
                      <w:lang w:val="en-US" w:eastAsia="zh-CN" w:bidi="ar-SA"/>
                    </w:rPr>
                    <w:t>1</w:t>
                  </w:r>
                </w:p>
              </w:tc>
              <w:tc>
                <w:tcPr>
                  <w:tcW w:w="541" w:type="pct"/>
                  <w:shd w:val="clear" w:color="auto" w:fill="auto"/>
                  <w:vAlign w:val="center"/>
                </w:tcPr>
                <w:p w14:paraId="52761D88">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1</w:t>
                  </w:r>
                </w:p>
              </w:tc>
              <w:tc>
                <w:tcPr>
                  <w:tcW w:w="542" w:type="pct"/>
                  <w:shd w:val="clear" w:color="auto" w:fill="auto"/>
                  <w:vAlign w:val="center"/>
                </w:tcPr>
                <w:p w14:paraId="3C4C5490">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ascii="Times New Roman" w:hAnsi="Times New Roman"/>
                      <w:color w:val="auto"/>
                      <w:kern w:val="0"/>
                      <w:sz w:val="21"/>
                      <w:szCs w:val="21"/>
                      <w:lang w:bidi="ar"/>
                    </w:rPr>
                  </w:pPr>
                  <w:r>
                    <w:rPr>
                      <w:rFonts w:hint="eastAsia" w:ascii="Times New Roman" w:hAnsi="Times New Roman" w:cs="Times New Roman"/>
                      <w:color w:val="auto"/>
                      <w:kern w:val="0"/>
                      <w:sz w:val="21"/>
                      <w:szCs w:val="21"/>
                      <w:lang w:val="en-US" w:eastAsia="zh-CN"/>
                    </w:rPr>
                    <w:t>0</w:t>
                  </w:r>
                </w:p>
              </w:tc>
              <w:tc>
                <w:tcPr>
                  <w:tcW w:w="736" w:type="pct"/>
                  <w:vMerge w:val="restart"/>
                  <w:shd w:val="clear" w:color="auto" w:fill="auto"/>
                  <w:vAlign w:val="center"/>
                </w:tcPr>
                <w:p w14:paraId="4002A475">
                  <w:pPr>
                    <w:pStyle w:val="2"/>
                    <w:keepNext w:val="0"/>
                    <w:keepLines w:val="0"/>
                    <w:pageBreakBefore w:val="0"/>
                    <w:kinsoku/>
                    <w:overflowPunct/>
                    <w:topLinePunct w:val="0"/>
                    <w:autoSpaceDE/>
                    <w:autoSpaceDN/>
                    <w:bidi w:val="0"/>
                    <w:adjustRightInd w:val="0"/>
                    <w:snapToGri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bCs/>
                      <w:color w:val="auto"/>
                      <w:kern w:val="0"/>
                      <w:sz w:val="21"/>
                      <w:szCs w:val="21"/>
                    </w:rPr>
                    <w:t>钻孔</w:t>
                  </w:r>
                  <w:r>
                    <w:rPr>
                      <w:rFonts w:hint="eastAsia"/>
                      <w:bCs/>
                      <w:color w:val="auto"/>
                      <w:kern w:val="0"/>
                      <w:sz w:val="21"/>
                      <w:szCs w:val="21"/>
                      <w:lang w:eastAsia="zh-CN"/>
                    </w:rPr>
                    <w:t>，</w:t>
                  </w:r>
                  <w:r>
                    <w:rPr>
                      <w:rFonts w:hint="eastAsia"/>
                      <w:bCs/>
                      <w:color w:val="auto"/>
                      <w:kern w:val="0"/>
                      <w:sz w:val="21"/>
                      <w:szCs w:val="21"/>
                      <w:lang w:val="en-US" w:eastAsia="zh-CN"/>
                    </w:rPr>
                    <w:t>迁建</w:t>
                  </w:r>
                </w:p>
              </w:tc>
            </w:tr>
            <w:tr w14:paraId="0B26900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0" w:type="pct"/>
                  <w:vMerge w:val="continue"/>
                  <w:vAlign w:val="center"/>
                </w:tcPr>
                <w:p w14:paraId="725BAD0F">
                  <w:pPr>
                    <w:pStyle w:val="688"/>
                    <w:keepNext w:val="0"/>
                    <w:keepLines w:val="0"/>
                    <w:pageBreakBefore w:val="0"/>
                    <w:widowControl w:val="0"/>
                    <w:kinsoku/>
                    <w:overflowPunct/>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rPr>
                  </w:pPr>
                </w:p>
              </w:tc>
              <w:tc>
                <w:tcPr>
                  <w:tcW w:w="1142" w:type="pct"/>
                  <w:shd w:val="clear" w:color="auto" w:fill="auto"/>
                  <w:vAlign w:val="center"/>
                </w:tcPr>
                <w:p w14:paraId="23638E87">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侧孔钻</w:t>
                  </w:r>
                </w:p>
              </w:tc>
              <w:tc>
                <w:tcPr>
                  <w:tcW w:w="1035" w:type="pct"/>
                  <w:shd w:val="clear" w:color="auto" w:fill="auto"/>
                  <w:vAlign w:val="center"/>
                </w:tcPr>
                <w:p w14:paraId="79192F94">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MZB4211</w:t>
                  </w:r>
                </w:p>
              </w:tc>
              <w:tc>
                <w:tcPr>
                  <w:tcW w:w="541" w:type="pct"/>
                  <w:shd w:val="clear" w:color="auto" w:fill="auto"/>
                  <w:vAlign w:val="center"/>
                </w:tcPr>
                <w:p w14:paraId="4975F428">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0"/>
                      <w:sz w:val="21"/>
                      <w:szCs w:val="21"/>
                      <w:lang w:val="en-US" w:eastAsia="zh-CN" w:bidi="ar-SA"/>
                    </w:rPr>
                  </w:pPr>
                  <w:r>
                    <w:rPr>
                      <w:rFonts w:hint="eastAsia" w:cs="Times New Roman"/>
                      <w:b w:val="0"/>
                      <w:bCs w:val="0"/>
                      <w:snapToGrid w:val="0"/>
                      <w:color w:val="auto"/>
                      <w:kern w:val="0"/>
                      <w:sz w:val="21"/>
                      <w:szCs w:val="21"/>
                      <w:lang w:val="en-US" w:eastAsia="zh-CN" w:bidi="ar-SA"/>
                    </w:rPr>
                    <w:t>1</w:t>
                  </w:r>
                </w:p>
              </w:tc>
              <w:tc>
                <w:tcPr>
                  <w:tcW w:w="541" w:type="pct"/>
                  <w:shd w:val="clear" w:color="auto" w:fill="auto"/>
                  <w:vAlign w:val="center"/>
                </w:tcPr>
                <w:p w14:paraId="60041E42">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1</w:t>
                  </w:r>
                </w:p>
              </w:tc>
              <w:tc>
                <w:tcPr>
                  <w:tcW w:w="542" w:type="pct"/>
                  <w:shd w:val="clear" w:color="auto" w:fill="auto"/>
                  <w:vAlign w:val="center"/>
                </w:tcPr>
                <w:p w14:paraId="1445A395">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ascii="Times New Roman" w:hAnsi="Times New Roman"/>
                      <w:color w:val="auto"/>
                      <w:kern w:val="0"/>
                      <w:sz w:val="21"/>
                      <w:szCs w:val="21"/>
                      <w:lang w:bidi="ar"/>
                    </w:rPr>
                  </w:pPr>
                  <w:r>
                    <w:rPr>
                      <w:rFonts w:hint="eastAsia" w:ascii="Times New Roman" w:hAnsi="Times New Roman" w:cs="Times New Roman"/>
                      <w:color w:val="auto"/>
                      <w:kern w:val="0"/>
                      <w:sz w:val="21"/>
                      <w:szCs w:val="21"/>
                      <w:lang w:val="en-US" w:eastAsia="zh-CN"/>
                    </w:rPr>
                    <w:t>0</w:t>
                  </w:r>
                </w:p>
              </w:tc>
              <w:tc>
                <w:tcPr>
                  <w:tcW w:w="736" w:type="pct"/>
                  <w:vMerge w:val="continue"/>
                  <w:shd w:val="clear" w:color="auto" w:fill="auto"/>
                  <w:vAlign w:val="center"/>
                </w:tcPr>
                <w:p w14:paraId="31487BBB">
                  <w:pPr>
                    <w:pStyle w:val="2"/>
                    <w:keepNext w:val="0"/>
                    <w:keepLines w:val="0"/>
                    <w:pageBreakBefore w:val="0"/>
                    <w:kinsoku/>
                    <w:overflowPunct/>
                    <w:topLinePunct w:val="0"/>
                    <w:autoSpaceDE/>
                    <w:autoSpaceDN/>
                    <w:bidi w:val="0"/>
                    <w:adjustRightInd w:val="0"/>
                    <w:snapToGrid w:val="0"/>
                    <w:spacing w:line="240" w:lineRule="auto"/>
                    <w:jc w:val="center"/>
                    <w:rPr>
                      <w:rFonts w:hint="eastAsia" w:ascii="Times New Roman" w:hAnsi="Times New Roman" w:eastAsia="宋体" w:cs="Times New Roman"/>
                      <w:snapToGrid w:val="0"/>
                      <w:color w:val="auto"/>
                      <w:kern w:val="0"/>
                      <w:sz w:val="21"/>
                      <w:szCs w:val="21"/>
                      <w:lang w:val="en-US" w:eastAsia="zh-CN" w:bidi="ar-SA"/>
                    </w:rPr>
                  </w:pPr>
                </w:p>
              </w:tc>
            </w:tr>
            <w:tr w14:paraId="0A8A359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0" w:type="pct"/>
                  <w:vMerge w:val="continue"/>
                  <w:vAlign w:val="center"/>
                </w:tcPr>
                <w:p w14:paraId="1689F997">
                  <w:pPr>
                    <w:pStyle w:val="688"/>
                    <w:keepNext w:val="0"/>
                    <w:keepLines w:val="0"/>
                    <w:pageBreakBefore w:val="0"/>
                    <w:widowControl w:val="0"/>
                    <w:kinsoku/>
                    <w:overflowPunct/>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rPr>
                  </w:pPr>
                </w:p>
              </w:tc>
              <w:tc>
                <w:tcPr>
                  <w:tcW w:w="1142" w:type="pct"/>
                  <w:shd w:val="clear" w:color="auto" w:fill="auto"/>
                  <w:vAlign w:val="center"/>
                </w:tcPr>
                <w:p w14:paraId="44605266">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台钻</w:t>
                  </w:r>
                </w:p>
              </w:tc>
              <w:tc>
                <w:tcPr>
                  <w:tcW w:w="1035" w:type="pct"/>
                  <w:shd w:val="clear" w:color="auto" w:fill="auto"/>
                  <w:vAlign w:val="center"/>
                </w:tcPr>
                <w:p w14:paraId="2E14D518">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JD2-16E</w:t>
                  </w:r>
                </w:p>
              </w:tc>
              <w:tc>
                <w:tcPr>
                  <w:tcW w:w="541" w:type="pct"/>
                  <w:shd w:val="clear" w:color="auto" w:fill="auto"/>
                  <w:vAlign w:val="center"/>
                </w:tcPr>
                <w:p w14:paraId="5F8E3ADF">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0"/>
                      <w:sz w:val="21"/>
                      <w:szCs w:val="21"/>
                      <w:lang w:val="en-US" w:eastAsia="zh-CN" w:bidi="ar-SA"/>
                    </w:rPr>
                  </w:pPr>
                  <w:r>
                    <w:rPr>
                      <w:rFonts w:hint="eastAsia" w:cs="Times New Roman"/>
                      <w:b w:val="0"/>
                      <w:bCs w:val="0"/>
                      <w:snapToGrid w:val="0"/>
                      <w:color w:val="auto"/>
                      <w:kern w:val="0"/>
                      <w:sz w:val="21"/>
                      <w:szCs w:val="21"/>
                      <w:lang w:val="en-US" w:eastAsia="zh-CN" w:bidi="ar-SA"/>
                    </w:rPr>
                    <w:t>2</w:t>
                  </w:r>
                </w:p>
              </w:tc>
              <w:tc>
                <w:tcPr>
                  <w:tcW w:w="541" w:type="pct"/>
                  <w:shd w:val="clear" w:color="auto" w:fill="auto"/>
                  <w:vAlign w:val="center"/>
                </w:tcPr>
                <w:p w14:paraId="0F071985">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2</w:t>
                  </w:r>
                </w:p>
              </w:tc>
              <w:tc>
                <w:tcPr>
                  <w:tcW w:w="542" w:type="pct"/>
                  <w:shd w:val="clear" w:color="auto" w:fill="auto"/>
                  <w:vAlign w:val="center"/>
                </w:tcPr>
                <w:p w14:paraId="2DF6E546">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ascii="Times New Roman" w:hAnsi="Times New Roman"/>
                      <w:color w:val="auto"/>
                      <w:kern w:val="0"/>
                      <w:sz w:val="21"/>
                      <w:szCs w:val="21"/>
                      <w:lang w:bidi="ar"/>
                    </w:rPr>
                  </w:pPr>
                  <w:r>
                    <w:rPr>
                      <w:rFonts w:hint="eastAsia" w:ascii="Times New Roman" w:hAnsi="Times New Roman" w:cs="Times New Roman"/>
                      <w:color w:val="auto"/>
                      <w:kern w:val="0"/>
                      <w:sz w:val="21"/>
                      <w:szCs w:val="21"/>
                      <w:lang w:val="en-US" w:eastAsia="zh-CN"/>
                    </w:rPr>
                    <w:t>0</w:t>
                  </w:r>
                </w:p>
              </w:tc>
              <w:tc>
                <w:tcPr>
                  <w:tcW w:w="736" w:type="pct"/>
                  <w:vMerge w:val="continue"/>
                  <w:shd w:val="clear" w:color="auto" w:fill="auto"/>
                  <w:vAlign w:val="center"/>
                </w:tcPr>
                <w:p w14:paraId="4737E6D8">
                  <w:pPr>
                    <w:pStyle w:val="2"/>
                    <w:keepNext w:val="0"/>
                    <w:keepLines w:val="0"/>
                    <w:pageBreakBefore w:val="0"/>
                    <w:kinsoku/>
                    <w:overflowPunct/>
                    <w:topLinePunct w:val="0"/>
                    <w:autoSpaceDE/>
                    <w:autoSpaceDN/>
                    <w:bidi w:val="0"/>
                    <w:adjustRightInd w:val="0"/>
                    <w:snapToGrid w:val="0"/>
                    <w:spacing w:line="240" w:lineRule="auto"/>
                    <w:jc w:val="center"/>
                    <w:rPr>
                      <w:rFonts w:hint="eastAsia" w:ascii="Times New Roman" w:hAnsi="Times New Roman" w:eastAsia="宋体" w:cs="Times New Roman"/>
                      <w:snapToGrid w:val="0"/>
                      <w:color w:val="auto"/>
                      <w:kern w:val="0"/>
                      <w:sz w:val="21"/>
                      <w:szCs w:val="21"/>
                      <w:lang w:val="en-US" w:eastAsia="zh-CN" w:bidi="ar-SA"/>
                    </w:rPr>
                  </w:pPr>
                </w:p>
              </w:tc>
            </w:tr>
            <w:tr w14:paraId="388F06C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0" w:type="pct"/>
                  <w:vMerge w:val="continue"/>
                  <w:vAlign w:val="center"/>
                </w:tcPr>
                <w:p w14:paraId="195B1FED">
                  <w:pPr>
                    <w:pStyle w:val="688"/>
                    <w:keepNext w:val="0"/>
                    <w:keepLines w:val="0"/>
                    <w:pageBreakBefore w:val="0"/>
                    <w:widowControl w:val="0"/>
                    <w:kinsoku/>
                    <w:overflowPunct/>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rPr>
                  </w:pPr>
                </w:p>
              </w:tc>
              <w:tc>
                <w:tcPr>
                  <w:tcW w:w="1142" w:type="pct"/>
                  <w:shd w:val="clear" w:color="auto" w:fill="auto"/>
                  <w:vAlign w:val="center"/>
                </w:tcPr>
                <w:p w14:paraId="6393C2F2">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实木飞榫机</w:t>
                  </w:r>
                </w:p>
              </w:tc>
              <w:tc>
                <w:tcPr>
                  <w:tcW w:w="1035" w:type="pct"/>
                  <w:shd w:val="clear" w:color="auto" w:fill="auto"/>
                  <w:vAlign w:val="center"/>
                </w:tcPr>
                <w:p w14:paraId="69C9960F">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SCJ50*100-50</w:t>
                  </w:r>
                </w:p>
              </w:tc>
              <w:tc>
                <w:tcPr>
                  <w:tcW w:w="541" w:type="pct"/>
                  <w:shd w:val="clear" w:color="auto" w:fill="auto"/>
                  <w:vAlign w:val="center"/>
                </w:tcPr>
                <w:p w14:paraId="7D1C9D4C">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val="0"/>
                      <w:snapToGrid w:val="0"/>
                      <w:color w:val="auto"/>
                      <w:kern w:val="0"/>
                      <w:sz w:val="21"/>
                      <w:szCs w:val="21"/>
                      <w:lang w:val="en-US" w:eastAsia="zh-CN" w:bidi="ar-SA"/>
                    </w:rPr>
                  </w:pPr>
                  <w:r>
                    <w:rPr>
                      <w:rFonts w:hint="eastAsia" w:cs="Times New Roman"/>
                      <w:b w:val="0"/>
                      <w:bCs w:val="0"/>
                      <w:snapToGrid w:val="0"/>
                      <w:color w:val="auto"/>
                      <w:kern w:val="0"/>
                      <w:sz w:val="21"/>
                      <w:szCs w:val="21"/>
                      <w:lang w:val="en-US" w:eastAsia="zh-CN" w:bidi="ar-SA"/>
                    </w:rPr>
                    <w:t>1</w:t>
                  </w:r>
                </w:p>
              </w:tc>
              <w:tc>
                <w:tcPr>
                  <w:tcW w:w="541" w:type="pct"/>
                  <w:shd w:val="clear" w:color="auto" w:fill="auto"/>
                  <w:vAlign w:val="center"/>
                </w:tcPr>
                <w:p w14:paraId="20D5B0D8">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1</w:t>
                  </w:r>
                </w:p>
              </w:tc>
              <w:tc>
                <w:tcPr>
                  <w:tcW w:w="542" w:type="pct"/>
                  <w:shd w:val="clear" w:color="auto" w:fill="auto"/>
                  <w:vAlign w:val="center"/>
                </w:tcPr>
                <w:p w14:paraId="34A2CC71">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ascii="Times New Roman" w:hAnsi="Times New Roman"/>
                      <w:color w:val="auto"/>
                      <w:kern w:val="0"/>
                      <w:sz w:val="21"/>
                      <w:szCs w:val="21"/>
                      <w:lang w:bidi="ar"/>
                    </w:rPr>
                  </w:pPr>
                  <w:r>
                    <w:rPr>
                      <w:rFonts w:hint="eastAsia" w:ascii="Times New Roman" w:hAnsi="Times New Roman" w:cs="Times New Roman"/>
                      <w:color w:val="auto"/>
                      <w:kern w:val="0"/>
                      <w:sz w:val="21"/>
                      <w:szCs w:val="21"/>
                      <w:lang w:val="en-US" w:eastAsia="zh-CN"/>
                    </w:rPr>
                    <w:t>0</w:t>
                  </w:r>
                </w:p>
              </w:tc>
              <w:tc>
                <w:tcPr>
                  <w:tcW w:w="736" w:type="pct"/>
                  <w:shd w:val="clear" w:color="auto" w:fill="auto"/>
                  <w:vAlign w:val="center"/>
                </w:tcPr>
                <w:p w14:paraId="13920580">
                  <w:pPr>
                    <w:pStyle w:val="2"/>
                    <w:keepNext w:val="0"/>
                    <w:keepLines w:val="0"/>
                    <w:pageBreakBefore w:val="0"/>
                    <w:kinsoku/>
                    <w:overflowPunct/>
                    <w:topLinePunct w:val="0"/>
                    <w:autoSpaceDE/>
                    <w:autoSpaceDN/>
                    <w:bidi w:val="0"/>
                    <w:adjustRightInd w:val="0"/>
                    <w:snapToGri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bCs/>
                      <w:color w:val="auto"/>
                      <w:kern w:val="0"/>
                      <w:sz w:val="21"/>
                      <w:szCs w:val="21"/>
                    </w:rPr>
                    <w:t>组装</w:t>
                  </w:r>
                  <w:r>
                    <w:rPr>
                      <w:rFonts w:hint="eastAsia"/>
                      <w:bCs/>
                      <w:color w:val="auto"/>
                      <w:kern w:val="0"/>
                      <w:sz w:val="21"/>
                      <w:szCs w:val="21"/>
                      <w:lang w:eastAsia="zh-CN"/>
                    </w:rPr>
                    <w:t>，</w:t>
                  </w:r>
                  <w:r>
                    <w:rPr>
                      <w:rFonts w:hint="eastAsia"/>
                      <w:bCs/>
                      <w:color w:val="auto"/>
                      <w:kern w:val="0"/>
                      <w:sz w:val="21"/>
                      <w:szCs w:val="21"/>
                      <w:lang w:val="en-US" w:eastAsia="zh-CN"/>
                    </w:rPr>
                    <w:t>迁建</w:t>
                  </w:r>
                </w:p>
              </w:tc>
            </w:tr>
            <w:tr w14:paraId="013C548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0" w:type="pct"/>
                  <w:vMerge w:val="continue"/>
                  <w:vAlign w:val="center"/>
                </w:tcPr>
                <w:p w14:paraId="794AC153">
                  <w:pPr>
                    <w:pStyle w:val="688"/>
                    <w:keepNext w:val="0"/>
                    <w:keepLines w:val="0"/>
                    <w:pageBreakBefore w:val="0"/>
                    <w:widowControl w:val="0"/>
                    <w:kinsoku/>
                    <w:overflowPunct/>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rPr>
                  </w:pPr>
                </w:p>
              </w:tc>
              <w:tc>
                <w:tcPr>
                  <w:tcW w:w="1142" w:type="pct"/>
                  <w:shd w:val="clear" w:color="auto" w:fill="auto"/>
                  <w:vAlign w:val="center"/>
                </w:tcPr>
                <w:p w14:paraId="21DB2383">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cs="Times New Roman"/>
                      <w:snapToGrid w:val="0"/>
                      <w:color w:val="auto"/>
                      <w:kern w:val="0"/>
                      <w:sz w:val="21"/>
                      <w:szCs w:val="21"/>
                      <w:lang w:val="en-US" w:eastAsia="zh-CN" w:bidi="ar-SA"/>
                    </w:rPr>
                  </w:pPr>
                  <w:r>
                    <w:rPr>
                      <w:rFonts w:ascii="Times New Roman" w:hAnsi="Times New Roman"/>
                      <w:color w:val="auto"/>
                      <w:kern w:val="0"/>
                      <w:sz w:val="21"/>
                      <w:szCs w:val="21"/>
                      <w:lang w:bidi="ar"/>
                    </w:rPr>
                    <w:t>空压机</w:t>
                  </w:r>
                </w:p>
              </w:tc>
              <w:tc>
                <w:tcPr>
                  <w:tcW w:w="1035" w:type="pct"/>
                  <w:shd w:val="clear" w:color="auto" w:fill="auto"/>
                  <w:vAlign w:val="center"/>
                </w:tcPr>
                <w:p w14:paraId="43C1C567">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cs="Times New Roman"/>
                      <w:color w:val="auto"/>
                      <w:kern w:val="0"/>
                      <w:sz w:val="21"/>
                      <w:szCs w:val="21"/>
                      <w:lang w:val="en-US" w:eastAsia="zh-CN"/>
                    </w:rPr>
                  </w:pPr>
                  <w:r>
                    <w:rPr>
                      <w:rFonts w:ascii="Times New Roman" w:hAnsi="Times New Roman"/>
                      <w:color w:val="auto"/>
                      <w:kern w:val="0"/>
                      <w:sz w:val="21"/>
                      <w:szCs w:val="21"/>
                      <w:lang w:bidi="ar"/>
                    </w:rPr>
                    <w:t>0.6/0.88</w:t>
                  </w:r>
                </w:p>
              </w:tc>
              <w:tc>
                <w:tcPr>
                  <w:tcW w:w="541" w:type="pct"/>
                  <w:shd w:val="clear" w:color="auto" w:fill="auto"/>
                  <w:vAlign w:val="center"/>
                </w:tcPr>
                <w:p w14:paraId="734C80F1">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val="0"/>
                      <w:bCs w:val="0"/>
                      <w:snapToGrid w:val="0"/>
                      <w:color w:val="auto"/>
                      <w:kern w:val="0"/>
                      <w:sz w:val="21"/>
                      <w:szCs w:val="21"/>
                      <w:lang w:val="en-US" w:eastAsia="zh-CN" w:bidi="ar-SA"/>
                    </w:rPr>
                  </w:pPr>
                  <w:r>
                    <w:rPr>
                      <w:rFonts w:hint="eastAsia" w:cs="Times New Roman"/>
                      <w:b w:val="0"/>
                      <w:bCs w:val="0"/>
                      <w:snapToGrid w:val="0"/>
                      <w:color w:val="auto"/>
                      <w:kern w:val="0"/>
                      <w:sz w:val="21"/>
                      <w:szCs w:val="21"/>
                      <w:lang w:val="en-US" w:eastAsia="zh-CN" w:bidi="ar-SA"/>
                    </w:rPr>
                    <w:t>2</w:t>
                  </w:r>
                </w:p>
              </w:tc>
              <w:tc>
                <w:tcPr>
                  <w:tcW w:w="541" w:type="pct"/>
                  <w:shd w:val="clear" w:color="auto" w:fill="auto"/>
                  <w:vAlign w:val="center"/>
                </w:tcPr>
                <w:p w14:paraId="7A8C1120">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2</w:t>
                  </w:r>
                </w:p>
              </w:tc>
              <w:tc>
                <w:tcPr>
                  <w:tcW w:w="542" w:type="pct"/>
                  <w:shd w:val="clear" w:color="auto" w:fill="auto"/>
                  <w:vAlign w:val="center"/>
                </w:tcPr>
                <w:p w14:paraId="56147434">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ascii="Times New Roman" w:hAnsi="Times New Roman"/>
                      <w:color w:val="auto"/>
                      <w:kern w:val="0"/>
                      <w:sz w:val="21"/>
                      <w:szCs w:val="21"/>
                      <w:lang w:bidi="ar"/>
                    </w:rPr>
                  </w:pPr>
                  <w:r>
                    <w:rPr>
                      <w:rFonts w:hint="eastAsia" w:ascii="Times New Roman" w:hAnsi="Times New Roman" w:cs="Times New Roman"/>
                      <w:color w:val="auto"/>
                      <w:kern w:val="0"/>
                      <w:sz w:val="21"/>
                      <w:szCs w:val="21"/>
                      <w:lang w:val="en-US" w:eastAsia="zh-CN"/>
                    </w:rPr>
                    <w:t>0</w:t>
                  </w:r>
                </w:p>
              </w:tc>
              <w:tc>
                <w:tcPr>
                  <w:tcW w:w="736" w:type="pct"/>
                  <w:shd w:val="clear" w:color="auto" w:fill="auto"/>
                  <w:vAlign w:val="center"/>
                </w:tcPr>
                <w:p w14:paraId="12D1958B">
                  <w:pPr>
                    <w:pStyle w:val="2"/>
                    <w:keepNext w:val="0"/>
                    <w:keepLines w:val="0"/>
                    <w:pageBreakBefore w:val="0"/>
                    <w:kinsoku/>
                    <w:overflowPunct/>
                    <w:topLinePunct w:val="0"/>
                    <w:autoSpaceDE/>
                    <w:autoSpaceDN/>
                    <w:bidi w:val="0"/>
                    <w:adjustRightInd w:val="0"/>
                    <w:snapToGri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bCs/>
                      <w:color w:val="auto"/>
                      <w:kern w:val="0"/>
                      <w:sz w:val="21"/>
                      <w:szCs w:val="21"/>
                    </w:rPr>
                    <w:t>辅助设备</w:t>
                  </w:r>
                  <w:r>
                    <w:rPr>
                      <w:rFonts w:hint="eastAsia"/>
                      <w:bCs/>
                      <w:color w:val="auto"/>
                      <w:kern w:val="0"/>
                      <w:sz w:val="21"/>
                      <w:szCs w:val="21"/>
                      <w:lang w:eastAsia="zh-CN"/>
                    </w:rPr>
                    <w:t>，</w:t>
                  </w:r>
                  <w:r>
                    <w:rPr>
                      <w:rFonts w:hint="eastAsia"/>
                      <w:bCs/>
                      <w:color w:val="auto"/>
                      <w:kern w:val="0"/>
                      <w:sz w:val="21"/>
                      <w:szCs w:val="21"/>
                      <w:lang w:val="en-US" w:eastAsia="zh-CN"/>
                    </w:rPr>
                    <w:t>迁建</w:t>
                  </w:r>
                </w:p>
              </w:tc>
            </w:tr>
            <w:tr w14:paraId="7954687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0" w:type="pct"/>
                  <w:vMerge w:val="continue"/>
                  <w:vAlign w:val="center"/>
                </w:tcPr>
                <w:p w14:paraId="716D73F5">
                  <w:pPr>
                    <w:pStyle w:val="688"/>
                    <w:keepNext w:val="0"/>
                    <w:keepLines w:val="0"/>
                    <w:pageBreakBefore w:val="0"/>
                    <w:widowControl w:val="0"/>
                    <w:kinsoku/>
                    <w:overflowPunct/>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rPr>
                  </w:pPr>
                </w:p>
              </w:tc>
              <w:tc>
                <w:tcPr>
                  <w:tcW w:w="1142" w:type="pct"/>
                  <w:shd w:val="clear" w:color="auto" w:fill="auto"/>
                  <w:vAlign w:val="center"/>
                </w:tcPr>
                <w:p w14:paraId="757A8413">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olor w:val="auto"/>
                      <w:kern w:val="0"/>
                      <w:sz w:val="21"/>
                      <w:szCs w:val="21"/>
                      <w:lang w:val="en-US" w:eastAsia="zh-CN" w:bidi="ar"/>
                    </w:rPr>
                  </w:pPr>
                  <w:r>
                    <w:rPr>
                      <w:rFonts w:hint="eastAsia"/>
                      <w:color w:val="auto"/>
                      <w:kern w:val="0"/>
                      <w:sz w:val="21"/>
                      <w:szCs w:val="21"/>
                      <w:lang w:val="en-US" w:eastAsia="zh-CN" w:bidi="ar"/>
                    </w:rPr>
                    <w:t>调漆房</w:t>
                  </w:r>
                </w:p>
              </w:tc>
              <w:tc>
                <w:tcPr>
                  <w:tcW w:w="1035" w:type="pct"/>
                  <w:shd w:val="clear" w:color="auto" w:fill="auto"/>
                  <w:vAlign w:val="center"/>
                </w:tcPr>
                <w:p w14:paraId="020B8E00">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ascii="Times New Roman" w:hAnsi="Times New Roman"/>
                      <w:color w:val="auto"/>
                      <w:kern w:val="0"/>
                      <w:sz w:val="21"/>
                      <w:szCs w:val="21"/>
                      <w:lang w:bidi="ar"/>
                    </w:rPr>
                  </w:pPr>
                  <w:r>
                    <w:rPr>
                      <w:rFonts w:hint="default" w:ascii="Times New Roman" w:hAnsi="Times New Roman" w:cs="Times New Roman"/>
                      <w:bCs/>
                      <w:color w:val="auto"/>
                      <w:kern w:val="0"/>
                      <w:sz w:val="21"/>
                      <w:szCs w:val="21"/>
                      <w:lang w:val="en-US" w:eastAsia="zh-CN"/>
                    </w:rPr>
                    <w:t>3×8×3m</w:t>
                  </w:r>
                </w:p>
              </w:tc>
              <w:tc>
                <w:tcPr>
                  <w:tcW w:w="541" w:type="pct"/>
                  <w:shd w:val="clear" w:color="auto" w:fill="auto"/>
                  <w:vAlign w:val="center"/>
                </w:tcPr>
                <w:p w14:paraId="666B751A">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default" w:ascii="Times New Roman" w:hAnsi="Times New Roman" w:eastAsia="宋体"/>
                      <w:b w:val="0"/>
                      <w:bCs w:val="0"/>
                      <w:color w:val="auto"/>
                      <w:kern w:val="0"/>
                      <w:sz w:val="21"/>
                      <w:szCs w:val="21"/>
                      <w:lang w:val="en-US" w:eastAsia="zh-CN" w:bidi="ar"/>
                    </w:rPr>
                  </w:pPr>
                  <w:r>
                    <w:rPr>
                      <w:rFonts w:hint="eastAsia"/>
                      <w:b w:val="0"/>
                      <w:bCs w:val="0"/>
                      <w:color w:val="auto"/>
                      <w:kern w:val="0"/>
                      <w:sz w:val="21"/>
                      <w:szCs w:val="21"/>
                      <w:lang w:val="en-US" w:eastAsia="zh-CN" w:bidi="ar"/>
                    </w:rPr>
                    <w:t>0</w:t>
                  </w:r>
                </w:p>
              </w:tc>
              <w:tc>
                <w:tcPr>
                  <w:tcW w:w="541" w:type="pct"/>
                  <w:shd w:val="clear" w:color="auto" w:fill="auto"/>
                  <w:vAlign w:val="center"/>
                </w:tcPr>
                <w:p w14:paraId="575024DB">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
                    </w:rPr>
                  </w:pPr>
                  <w:r>
                    <w:rPr>
                      <w:rFonts w:hint="eastAsia"/>
                      <w:color w:val="auto"/>
                      <w:kern w:val="0"/>
                      <w:sz w:val="21"/>
                      <w:szCs w:val="21"/>
                      <w:lang w:val="en-US" w:eastAsia="zh-CN" w:bidi="ar"/>
                    </w:rPr>
                    <w:t>1</w:t>
                  </w:r>
                </w:p>
              </w:tc>
              <w:tc>
                <w:tcPr>
                  <w:tcW w:w="542" w:type="pct"/>
                  <w:shd w:val="clear" w:color="auto" w:fill="auto"/>
                  <w:vAlign w:val="center"/>
                </w:tcPr>
                <w:p w14:paraId="3CD8EF17">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default"/>
                      <w:color w:val="auto"/>
                      <w:kern w:val="0"/>
                      <w:sz w:val="21"/>
                      <w:szCs w:val="21"/>
                      <w:lang w:val="en-US" w:eastAsia="zh-CN" w:bidi="ar"/>
                    </w:rPr>
                  </w:pPr>
                  <w:r>
                    <w:rPr>
                      <w:rFonts w:hint="eastAsia"/>
                      <w:color w:val="auto"/>
                      <w:kern w:val="0"/>
                      <w:sz w:val="21"/>
                      <w:szCs w:val="21"/>
                      <w:lang w:val="en-US" w:eastAsia="zh-CN" w:bidi="ar"/>
                    </w:rPr>
                    <w:t>+1</w:t>
                  </w:r>
                </w:p>
              </w:tc>
              <w:tc>
                <w:tcPr>
                  <w:tcW w:w="736" w:type="pct"/>
                  <w:shd w:val="clear" w:color="auto" w:fill="auto"/>
                  <w:vAlign w:val="center"/>
                </w:tcPr>
                <w:p w14:paraId="35794C16">
                  <w:pPr>
                    <w:pStyle w:val="2"/>
                    <w:keepNext w:val="0"/>
                    <w:keepLines w:val="0"/>
                    <w:pageBreakBefore w:val="0"/>
                    <w:kinsoku/>
                    <w:overflowPunct/>
                    <w:topLinePunct w:val="0"/>
                    <w:autoSpaceDE/>
                    <w:autoSpaceDN/>
                    <w:bidi w:val="0"/>
                    <w:adjustRightInd w:val="0"/>
                    <w:snapToGrid w:val="0"/>
                    <w:spacing w:line="240" w:lineRule="auto"/>
                    <w:jc w:val="center"/>
                    <w:rPr>
                      <w:rFonts w:hint="default" w:ascii="Times New Roman" w:hAnsi="Times New Roman" w:eastAsia="宋体"/>
                      <w:bCs/>
                      <w:color w:val="auto"/>
                      <w:kern w:val="0"/>
                      <w:sz w:val="21"/>
                      <w:szCs w:val="21"/>
                      <w:lang w:val="en-US" w:eastAsia="zh-CN"/>
                    </w:rPr>
                  </w:pPr>
                  <w:r>
                    <w:rPr>
                      <w:rFonts w:hint="eastAsia"/>
                      <w:bCs/>
                      <w:color w:val="auto"/>
                      <w:kern w:val="0"/>
                      <w:sz w:val="21"/>
                      <w:szCs w:val="21"/>
                      <w:lang w:val="en-US" w:eastAsia="zh-CN"/>
                    </w:rPr>
                    <w:t>调漆，新建</w:t>
                  </w:r>
                </w:p>
              </w:tc>
            </w:tr>
            <w:tr w14:paraId="7018B84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0" w:type="pct"/>
                  <w:vMerge w:val="continue"/>
                  <w:vAlign w:val="center"/>
                </w:tcPr>
                <w:p w14:paraId="63041774">
                  <w:pPr>
                    <w:pStyle w:val="688"/>
                    <w:keepNext w:val="0"/>
                    <w:keepLines w:val="0"/>
                    <w:pageBreakBefore w:val="0"/>
                    <w:widowControl w:val="0"/>
                    <w:kinsoku/>
                    <w:overflowPunct/>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rPr>
                  </w:pPr>
                </w:p>
              </w:tc>
              <w:tc>
                <w:tcPr>
                  <w:tcW w:w="1142" w:type="pct"/>
                  <w:shd w:val="clear" w:color="auto" w:fill="auto"/>
                  <w:vAlign w:val="center"/>
                </w:tcPr>
                <w:p w14:paraId="6803525A">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olor w:val="auto"/>
                      <w:kern w:val="0"/>
                      <w:sz w:val="21"/>
                      <w:szCs w:val="21"/>
                      <w:lang w:val="en-US" w:eastAsia="zh-CN" w:bidi="ar"/>
                    </w:rPr>
                  </w:pPr>
                  <w:r>
                    <w:rPr>
                      <w:rFonts w:hint="eastAsia"/>
                      <w:color w:val="auto"/>
                      <w:kern w:val="0"/>
                      <w:sz w:val="21"/>
                      <w:szCs w:val="21"/>
                      <w:lang w:val="en-US" w:eastAsia="zh-CN" w:bidi="ar"/>
                    </w:rPr>
                    <w:t>打磨房</w:t>
                  </w:r>
                </w:p>
              </w:tc>
              <w:tc>
                <w:tcPr>
                  <w:tcW w:w="1035" w:type="pct"/>
                  <w:shd w:val="clear" w:color="auto" w:fill="auto"/>
                  <w:vAlign w:val="center"/>
                </w:tcPr>
                <w:p w14:paraId="480A52DC">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ascii="Times New Roman" w:hAnsi="Times New Roman"/>
                      <w:color w:val="auto"/>
                      <w:kern w:val="0"/>
                      <w:sz w:val="21"/>
                      <w:szCs w:val="21"/>
                      <w:lang w:bidi="ar"/>
                    </w:rPr>
                  </w:pPr>
                  <w:r>
                    <w:rPr>
                      <w:rFonts w:hint="eastAsia" w:ascii="Times New Roman" w:hAnsi="Times New Roman" w:cs="Times New Roman"/>
                      <w:bCs/>
                      <w:color w:val="auto"/>
                      <w:kern w:val="0"/>
                      <w:sz w:val="21"/>
                      <w:szCs w:val="21"/>
                      <w:lang w:val="en-US" w:eastAsia="zh-CN"/>
                    </w:rPr>
                    <w:t>6</w:t>
                  </w:r>
                  <w:r>
                    <w:rPr>
                      <w:rFonts w:hint="default" w:ascii="Times New Roman" w:hAnsi="Times New Roman" w:cs="Times New Roman"/>
                      <w:bCs/>
                      <w:color w:val="auto"/>
                      <w:kern w:val="0"/>
                      <w:sz w:val="21"/>
                      <w:szCs w:val="21"/>
                      <w:lang w:val="en-US" w:eastAsia="zh-CN"/>
                    </w:rPr>
                    <w:t>×8×3m</w:t>
                  </w:r>
                </w:p>
              </w:tc>
              <w:tc>
                <w:tcPr>
                  <w:tcW w:w="541" w:type="pct"/>
                  <w:shd w:val="clear" w:color="auto" w:fill="auto"/>
                  <w:vAlign w:val="center"/>
                </w:tcPr>
                <w:p w14:paraId="39A34313">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default" w:ascii="Times New Roman" w:hAnsi="Times New Roman" w:eastAsia="宋体"/>
                      <w:b w:val="0"/>
                      <w:bCs w:val="0"/>
                      <w:color w:val="auto"/>
                      <w:kern w:val="0"/>
                      <w:sz w:val="21"/>
                      <w:szCs w:val="21"/>
                      <w:lang w:val="en-US" w:eastAsia="zh-CN" w:bidi="ar"/>
                    </w:rPr>
                  </w:pPr>
                  <w:r>
                    <w:rPr>
                      <w:rFonts w:hint="eastAsia"/>
                      <w:b w:val="0"/>
                      <w:bCs w:val="0"/>
                      <w:color w:val="auto"/>
                      <w:kern w:val="0"/>
                      <w:sz w:val="21"/>
                      <w:szCs w:val="21"/>
                      <w:lang w:val="en-US" w:eastAsia="zh-CN" w:bidi="ar"/>
                    </w:rPr>
                    <w:t>1</w:t>
                  </w:r>
                </w:p>
              </w:tc>
              <w:tc>
                <w:tcPr>
                  <w:tcW w:w="541" w:type="pct"/>
                  <w:shd w:val="clear" w:color="auto" w:fill="auto"/>
                  <w:vAlign w:val="center"/>
                </w:tcPr>
                <w:p w14:paraId="00A47243">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
                    </w:rPr>
                  </w:pPr>
                  <w:r>
                    <w:rPr>
                      <w:rFonts w:hint="eastAsia"/>
                      <w:color w:val="auto"/>
                      <w:kern w:val="0"/>
                      <w:sz w:val="21"/>
                      <w:szCs w:val="21"/>
                      <w:lang w:val="en-US" w:eastAsia="zh-CN" w:bidi="ar"/>
                    </w:rPr>
                    <w:t>1</w:t>
                  </w:r>
                </w:p>
              </w:tc>
              <w:tc>
                <w:tcPr>
                  <w:tcW w:w="542" w:type="pct"/>
                  <w:shd w:val="clear" w:color="auto" w:fill="auto"/>
                  <w:vAlign w:val="center"/>
                </w:tcPr>
                <w:p w14:paraId="0BEA8EDC">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default"/>
                      <w:color w:val="auto"/>
                      <w:kern w:val="0"/>
                      <w:sz w:val="21"/>
                      <w:szCs w:val="21"/>
                      <w:lang w:val="en-US" w:eastAsia="zh-CN" w:bidi="ar"/>
                    </w:rPr>
                  </w:pPr>
                  <w:r>
                    <w:rPr>
                      <w:rFonts w:hint="eastAsia"/>
                      <w:color w:val="auto"/>
                      <w:kern w:val="0"/>
                      <w:sz w:val="21"/>
                      <w:szCs w:val="21"/>
                      <w:lang w:val="en-US" w:eastAsia="zh-CN" w:bidi="ar"/>
                    </w:rPr>
                    <w:t>+1</w:t>
                  </w:r>
                </w:p>
              </w:tc>
              <w:tc>
                <w:tcPr>
                  <w:tcW w:w="736" w:type="pct"/>
                  <w:shd w:val="clear" w:color="auto" w:fill="auto"/>
                  <w:vAlign w:val="center"/>
                </w:tcPr>
                <w:p w14:paraId="0A77D96E">
                  <w:pPr>
                    <w:pStyle w:val="2"/>
                    <w:keepNext w:val="0"/>
                    <w:keepLines w:val="0"/>
                    <w:pageBreakBefore w:val="0"/>
                    <w:kinsoku/>
                    <w:overflowPunct/>
                    <w:topLinePunct w:val="0"/>
                    <w:autoSpaceDE/>
                    <w:autoSpaceDN/>
                    <w:bidi w:val="0"/>
                    <w:adjustRightInd w:val="0"/>
                    <w:snapToGrid w:val="0"/>
                    <w:spacing w:line="240" w:lineRule="auto"/>
                    <w:jc w:val="center"/>
                    <w:rPr>
                      <w:rFonts w:hint="default" w:ascii="Times New Roman" w:hAnsi="Times New Roman" w:eastAsia="宋体"/>
                      <w:bCs/>
                      <w:color w:val="auto"/>
                      <w:kern w:val="0"/>
                      <w:sz w:val="21"/>
                      <w:szCs w:val="21"/>
                      <w:lang w:val="en-US" w:eastAsia="zh-CN"/>
                    </w:rPr>
                  </w:pPr>
                  <w:r>
                    <w:rPr>
                      <w:rFonts w:hint="eastAsia"/>
                      <w:bCs/>
                      <w:color w:val="auto"/>
                      <w:kern w:val="0"/>
                      <w:sz w:val="21"/>
                      <w:szCs w:val="21"/>
                      <w:lang w:val="en-US" w:eastAsia="zh-CN"/>
                    </w:rPr>
                    <w:t>磨光，新建</w:t>
                  </w:r>
                </w:p>
              </w:tc>
            </w:tr>
            <w:tr w14:paraId="0F9D6A6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0" w:type="pct"/>
                  <w:vMerge w:val="continue"/>
                  <w:vAlign w:val="center"/>
                </w:tcPr>
                <w:p w14:paraId="7D6A2F9A">
                  <w:pPr>
                    <w:pStyle w:val="688"/>
                    <w:keepNext w:val="0"/>
                    <w:keepLines w:val="0"/>
                    <w:pageBreakBefore w:val="0"/>
                    <w:widowControl w:val="0"/>
                    <w:kinsoku/>
                    <w:overflowPunct/>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rPr>
                  </w:pPr>
                </w:p>
              </w:tc>
              <w:tc>
                <w:tcPr>
                  <w:tcW w:w="1142" w:type="pct"/>
                  <w:shd w:val="clear" w:color="auto" w:fill="auto"/>
                  <w:vAlign w:val="center"/>
                </w:tcPr>
                <w:p w14:paraId="03DF5C84">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cs="Times New Roman"/>
                      <w:snapToGrid w:val="0"/>
                      <w:color w:val="auto"/>
                      <w:kern w:val="0"/>
                      <w:sz w:val="21"/>
                      <w:szCs w:val="21"/>
                      <w:lang w:val="en-US" w:eastAsia="zh-CN" w:bidi="ar-SA"/>
                    </w:rPr>
                  </w:pPr>
                  <w:r>
                    <w:rPr>
                      <w:rFonts w:ascii="Times New Roman" w:hAnsi="Times New Roman"/>
                      <w:color w:val="auto"/>
                      <w:kern w:val="0"/>
                      <w:sz w:val="21"/>
                      <w:szCs w:val="21"/>
                      <w:lang w:bidi="ar"/>
                    </w:rPr>
                    <w:t>底漆房</w:t>
                  </w:r>
                </w:p>
              </w:tc>
              <w:tc>
                <w:tcPr>
                  <w:tcW w:w="1035" w:type="pct"/>
                  <w:shd w:val="clear" w:color="auto" w:fill="auto"/>
                  <w:vAlign w:val="center"/>
                </w:tcPr>
                <w:p w14:paraId="687CD4CB">
                  <w:pPr>
                    <w:keepNext w:val="0"/>
                    <w:keepLines w:val="0"/>
                    <w:pageBreakBefore w:val="0"/>
                    <w:kinsoku/>
                    <w:overflowPunct/>
                    <w:topLinePunct w:val="0"/>
                    <w:autoSpaceDE/>
                    <w:autoSpaceDN/>
                    <w:bidi w:val="0"/>
                    <w:adjustRightInd w:val="0"/>
                    <w:snapToGrid w:val="0"/>
                    <w:spacing w:line="240" w:lineRule="auto"/>
                    <w:jc w:val="center"/>
                    <w:rPr>
                      <w:rFonts w:hint="eastAsia" w:cs="Times New Roman"/>
                      <w:color w:val="auto"/>
                      <w:kern w:val="0"/>
                      <w:sz w:val="21"/>
                      <w:szCs w:val="21"/>
                      <w:lang w:val="en-US" w:eastAsia="zh-CN"/>
                    </w:rPr>
                  </w:pPr>
                  <w:r>
                    <w:rPr>
                      <w:rFonts w:hint="eastAsia" w:ascii="Times New Roman" w:hAnsi="Times New Roman" w:cs="Times New Roman"/>
                      <w:bCs/>
                      <w:color w:val="auto"/>
                      <w:kern w:val="0"/>
                      <w:sz w:val="21"/>
                      <w:szCs w:val="21"/>
                      <w:lang w:val="en-US" w:eastAsia="zh-CN"/>
                    </w:rPr>
                    <w:t>5</w:t>
                  </w:r>
                  <w:r>
                    <w:rPr>
                      <w:rFonts w:hint="default" w:ascii="Times New Roman" w:hAnsi="Times New Roman" w:cs="Times New Roman"/>
                      <w:bCs/>
                      <w:color w:val="auto"/>
                      <w:kern w:val="0"/>
                      <w:sz w:val="21"/>
                      <w:szCs w:val="21"/>
                      <w:lang w:val="en-US" w:eastAsia="zh-CN"/>
                    </w:rPr>
                    <w:t>×8×3m</w:t>
                  </w:r>
                </w:p>
              </w:tc>
              <w:tc>
                <w:tcPr>
                  <w:tcW w:w="541" w:type="pct"/>
                  <w:shd w:val="clear" w:color="auto" w:fill="auto"/>
                  <w:vAlign w:val="center"/>
                </w:tcPr>
                <w:p w14:paraId="598AB4B7">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val="0"/>
                      <w:bCs w:val="0"/>
                      <w:snapToGrid w:val="0"/>
                      <w:color w:val="auto"/>
                      <w:kern w:val="0"/>
                      <w:sz w:val="21"/>
                      <w:szCs w:val="21"/>
                      <w:lang w:val="en-US" w:eastAsia="zh-CN" w:bidi="ar-SA"/>
                    </w:rPr>
                  </w:pPr>
                  <w:r>
                    <w:rPr>
                      <w:rFonts w:hint="eastAsia" w:cs="Times New Roman"/>
                      <w:b w:val="0"/>
                      <w:bCs w:val="0"/>
                      <w:snapToGrid w:val="0"/>
                      <w:color w:val="auto"/>
                      <w:kern w:val="0"/>
                      <w:sz w:val="21"/>
                      <w:szCs w:val="21"/>
                      <w:lang w:val="en-US" w:eastAsia="zh-CN" w:bidi="ar-SA"/>
                    </w:rPr>
                    <w:t>1</w:t>
                  </w:r>
                </w:p>
              </w:tc>
              <w:tc>
                <w:tcPr>
                  <w:tcW w:w="541" w:type="pct"/>
                  <w:shd w:val="clear" w:color="auto" w:fill="auto"/>
                  <w:vAlign w:val="center"/>
                </w:tcPr>
                <w:p w14:paraId="49E510F2">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1</w:t>
                  </w:r>
                </w:p>
              </w:tc>
              <w:tc>
                <w:tcPr>
                  <w:tcW w:w="542" w:type="pct"/>
                  <w:shd w:val="clear" w:color="auto" w:fill="auto"/>
                  <w:vAlign w:val="center"/>
                </w:tcPr>
                <w:p w14:paraId="58744752">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ascii="Times New Roman" w:hAnsi="Times New Roman"/>
                      <w:color w:val="auto"/>
                      <w:kern w:val="0"/>
                      <w:sz w:val="21"/>
                      <w:szCs w:val="21"/>
                      <w:lang w:bidi="ar"/>
                    </w:rPr>
                  </w:pPr>
                  <w:r>
                    <w:rPr>
                      <w:rFonts w:hint="eastAsia" w:ascii="Times New Roman" w:hAnsi="Times New Roman" w:cs="Times New Roman"/>
                      <w:color w:val="auto"/>
                      <w:kern w:val="0"/>
                      <w:sz w:val="21"/>
                      <w:szCs w:val="21"/>
                      <w:lang w:val="en-US" w:eastAsia="zh-CN"/>
                    </w:rPr>
                    <w:t>0</w:t>
                  </w:r>
                </w:p>
              </w:tc>
              <w:tc>
                <w:tcPr>
                  <w:tcW w:w="736" w:type="pct"/>
                  <w:shd w:val="clear" w:color="auto" w:fill="auto"/>
                  <w:vAlign w:val="center"/>
                </w:tcPr>
                <w:p w14:paraId="18134E99">
                  <w:pPr>
                    <w:pStyle w:val="2"/>
                    <w:keepNext w:val="0"/>
                    <w:keepLines w:val="0"/>
                    <w:pageBreakBefore w:val="0"/>
                    <w:kinsoku/>
                    <w:overflowPunct/>
                    <w:topLinePunct w:val="0"/>
                    <w:autoSpaceDE/>
                    <w:autoSpaceDN/>
                    <w:bidi w:val="0"/>
                    <w:adjustRightInd w:val="0"/>
                    <w:snapToGri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bCs/>
                      <w:color w:val="auto"/>
                      <w:kern w:val="0"/>
                      <w:sz w:val="21"/>
                      <w:szCs w:val="21"/>
                    </w:rPr>
                    <w:t>刷/喷底漆</w:t>
                  </w:r>
                  <w:r>
                    <w:rPr>
                      <w:rFonts w:hint="eastAsia"/>
                      <w:bCs/>
                      <w:color w:val="auto"/>
                      <w:kern w:val="0"/>
                      <w:sz w:val="21"/>
                      <w:szCs w:val="21"/>
                      <w:lang w:eastAsia="zh-CN"/>
                    </w:rPr>
                    <w:t>，</w:t>
                  </w:r>
                  <w:r>
                    <w:rPr>
                      <w:rFonts w:hint="eastAsia"/>
                      <w:bCs/>
                      <w:color w:val="auto"/>
                      <w:kern w:val="0"/>
                      <w:sz w:val="21"/>
                      <w:szCs w:val="21"/>
                      <w:lang w:val="en-US" w:eastAsia="zh-CN"/>
                    </w:rPr>
                    <w:t>新建</w:t>
                  </w:r>
                </w:p>
              </w:tc>
            </w:tr>
            <w:tr w14:paraId="718B99A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0" w:type="pct"/>
                  <w:vMerge w:val="continue"/>
                  <w:vAlign w:val="center"/>
                </w:tcPr>
                <w:p w14:paraId="6EB5FE71">
                  <w:pPr>
                    <w:pStyle w:val="688"/>
                    <w:keepNext w:val="0"/>
                    <w:keepLines w:val="0"/>
                    <w:pageBreakBefore w:val="0"/>
                    <w:widowControl w:val="0"/>
                    <w:kinsoku/>
                    <w:overflowPunct/>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rPr>
                  </w:pPr>
                </w:p>
              </w:tc>
              <w:tc>
                <w:tcPr>
                  <w:tcW w:w="1142" w:type="pct"/>
                  <w:shd w:val="clear" w:color="auto" w:fill="auto"/>
                  <w:vAlign w:val="center"/>
                </w:tcPr>
                <w:p w14:paraId="18FB8029">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cs="Times New Roman"/>
                      <w:snapToGrid w:val="0"/>
                      <w:color w:val="auto"/>
                      <w:kern w:val="0"/>
                      <w:sz w:val="21"/>
                      <w:szCs w:val="21"/>
                      <w:lang w:val="en-US" w:eastAsia="zh-CN" w:bidi="ar-SA"/>
                    </w:rPr>
                  </w:pPr>
                  <w:r>
                    <w:rPr>
                      <w:rFonts w:ascii="Times New Roman" w:hAnsi="Times New Roman"/>
                      <w:color w:val="auto"/>
                      <w:kern w:val="0"/>
                      <w:sz w:val="21"/>
                      <w:szCs w:val="21"/>
                      <w:lang w:bidi="ar"/>
                    </w:rPr>
                    <w:t>面漆房</w:t>
                  </w:r>
                </w:p>
              </w:tc>
              <w:tc>
                <w:tcPr>
                  <w:tcW w:w="1035" w:type="pct"/>
                  <w:shd w:val="clear" w:color="auto" w:fill="auto"/>
                  <w:vAlign w:val="center"/>
                </w:tcPr>
                <w:p w14:paraId="3C048E88">
                  <w:pPr>
                    <w:keepNext w:val="0"/>
                    <w:keepLines w:val="0"/>
                    <w:pageBreakBefore w:val="0"/>
                    <w:kinsoku/>
                    <w:overflowPunct/>
                    <w:topLinePunct w:val="0"/>
                    <w:autoSpaceDE/>
                    <w:autoSpaceDN/>
                    <w:bidi w:val="0"/>
                    <w:adjustRightInd w:val="0"/>
                    <w:snapToGrid w:val="0"/>
                    <w:spacing w:line="240" w:lineRule="auto"/>
                    <w:jc w:val="center"/>
                    <w:rPr>
                      <w:rFonts w:hint="eastAsia" w:cs="Times New Roman"/>
                      <w:color w:val="auto"/>
                      <w:kern w:val="0"/>
                      <w:sz w:val="21"/>
                      <w:szCs w:val="21"/>
                      <w:lang w:val="en-US" w:eastAsia="zh-CN"/>
                    </w:rPr>
                  </w:pPr>
                  <w:r>
                    <w:rPr>
                      <w:rFonts w:hint="eastAsia" w:ascii="Times New Roman" w:hAnsi="Times New Roman" w:cs="Times New Roman"/>
                      <w:bCs/>
                      <w:color w:val="auto"/>
                      <w:kern w:val="0"/>
                      <w:sz w:val="21"/>
                      <w:szCs w:val="21"/>
                      <w:lang w:val="en-US" w:eastAsia="zh-CN"/>
                    </w:rPr>
                    <w:t>5</w:t>
                  </w:r>
                  <w:r>
                    <w:rPr>
                      <w:rFonts w:hint="default" w:ascii="Times New Roman" w:hAnsi="Times New Roman" w:cs="Times New Roman"/>
                      <w:bCs/>
                      <w:color w:val="auto"/>
                      <w:kern w:val="0"/>
                      <w:sz w:val="21"/>
                      <w:szCs w:val="21"/>
                      <w:lang w:val="en-US" w:eastAsia="zh-CN"/>
                    </w:rPr>
                    <w:t>×8×3m</w:t>
                  </w:r>
                </w:p>
              </w:tc>
              <w:tc>
                <w:tcPr>
                  <w:tcW w:w="541" w:type="pct"/>
                  <w:shd w:val="clear" w:color="auto" w:fill="auto"/>
                  <w:vAlign w:val="center"/>
                </w:tcPr>
                <w:p w14:paraId="1CE0F559">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val="0"/>
                      <w:bCs w:val="0"/>
                      <w:snapToGrid w:val="0"/>
                      <w:color w:val="auto"/>
                      <w:kern w:val="0"/>
                      <w:sz w:val="21"/>
                      <w:szCs w:val="21"/>
                      <w:lang w:val="en-US" w:eastAsia="zh-CN" w:bidi="ar-SA"/>
                    </w:rPr>
                  </w:pPr>
                  <w:r>
                    <w:rPr>
                      <w:rFonts w:hint="eastAsia" w:cs="Times New Roman"/>
                      <w:b w:val="0"/>
                      <w:bCs w:val="0"/>
                      <w:snapToGrid w:val="0"/>
                      <w:color w:val="auto"/>
                      <w:kern w:val="0"/>
                      <w:sz w:val="21"/>
                      <w:szCs w:val="21"/>
                      <w:lang w:val="en-US" w:eastAsia="zh-CN" w:bidi="ar-SA"/>
                    </w:rPr>
                    <w:t>1</w:t>
                  </w:r>
                </w:p>
              </w:tc>
              <w:tc>
                <w:tcPr>
                  <w:tcW w:w="541" w:type="pct"/>
                  <w:shd w:val="clear" w:color="auto" w:fill="auto"/>
                  <w:vAlign w:val="center"/>
                </w:tcPr>
                <w:p w14:paraId="3263A486">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1</w:t>
                  </w:r>
                </w:p>
              </w:tc>
              <w:tc>
                <w:tcPr>
                  <w:tcW w:w="542" w:type="pct"/>
                  <w:shd w:val="clear" w:color="auto" w:fill="auto"/>
                  <w:vAlign w:val="center"/>
                </w:tcPr>
                <w:p w14:paraId="30B64501">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ascii="Times New Roman" w:hAnsi="Times New Roman"/>
                      <w:color w:val="auto"/>
                      <w:kern w:val="0"/>
                      <w:sz w:val="21"/>
                      <w:szCs w:val="21"/>
                      <w:lang w:bidi="ar"/>
                    </w:rPr>
                  </w:pPr>
                  <w:r>
                    <w:rPr>
                      <w:rFonts w:hint="eastAsia" w:ascii="Times New Roman" w:hAnsi="Times New Roman" w:cs="Times New Roman"/>
                      <w:color w:val="auto"/>
                      <w:kern w:val="0"/>
                      <w:sz w:val="21"/>
                      <w:szCs w:val="21"/>
                      <w:lang w:val="en-US" w:eastAsia="zh-CN"/>
                    </w:rPr>
                    <w:t>0</w:t>
                  </w:r>
                </w:p>
              </w:tc>
              <w:tc>
                <w:tcPr>
                  <w:tcW w:w="736" w:type="pct"/>
                  <w:shd w:val="clear" w:color="auto" w:fill="auto"/>
                  <w:vAlign w:val="center"/>
                </w:tcPr>
                <w:p w14:paraId="0C79E5A0">
                  <w:pPr>
                    <w:pStyle w:val="2"/>
                    <w:keepNext w:val="0"/>
                    <w:keepLines w:val="0"/>
                    <w:pageBreakBefore w:val="0"/>
                    <w:kinsoku/>
                    <w:overflowPunct/>
                    <w:topLinePunct w:val="0"/>
                    <w:autoSpaceDE/>
                    <w:autoSpaceDN/>
                    <w:bidi w:val="0"/>
                    <w:adjustRightInd w:val="0"/>
                    <w:snapToGri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bCs/>
                      <w:color w:val="auto"/>
                      <w:kern w:val="0"/>
                      <w:sz w:val="21"/>
                      <w:szCs w:val="21"/>
                    </w:rPr>
                    <w:t>喷面漆</w:t>
                  </w:r>
                  <w:r>
                    <w:rPr>
                      <w:rFonts w:hint="eastAsia"/>
                      <w:bCs/>
                      <w:color w:val="auto"/>
                      <w:kern w:val="0"/>
                      <w:sz w:val="21"/>
                      <w:szCs w:val="21"/>
                      <w:lang w:eastAsia="zh-CN"/>
                    </w:rPr>
                    <w:t>，</w:t>
                  </w:r>
                  <w:r>
                    <w:rPr>
                      <w:rFonts w:hint="eastAsia"/>
                      <w:bCs/>
                      <w:color w:val="auto"/>
                      <w:kern w:val="0"/>
                      <w:sz w:val="21"/>
                      <w:szCs w:val="21"/>
                      <w:lang w:val="en-US" w:eastAsia="zh-CN"/>
                    </w:rPr>
                    <w:t>新建</w:t>
                  </w:r>
                </w:p>
              </w:tc>
            </w:tr>
            <w:tr w14:paraId="4A47A46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0" w:type="pct"/>
                  <w:vMerge w:val="continue"/>
                  <w:vAlign w:val="center"/>
                </w:tcPr>
                <w:p w14:paraId="379411DA">
                  <w:pPr>
                    <w:pStyle w:val="688"/>
                    <w:keepNext w:val="0"/>
                    <w:keepLines w:val="0"/>
                    <w:pageBreakBefore w:val="0"/>
                    <w:widowControl w:val="0"/>
                    <w:kinsoku/>
                    <w:overflowPunct/>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rPr>
                  </w:pPr>
                </w:p>
              </w:tc>
              <w:tc>
                <w:tcPr>
                  <w:tcW w:w="1142" w:type="pct"/>
                  <w:shd w:val="clear" w:color="auto" w:fill="auto"/>
                  <w:vAlign w:val="center"/>
                </w:tcPr>
                <w:p w14:paraId="0A233E8F">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cs="Times New Roman"/>
                      <w:snapToGrid w:val="0"/>
                      <w:color w:val="auto"/>
                      <w:kern w:val="0"/>
                      <w:sz w:val="21"/>
                      <w:szCs w:val="21"/>
                      <w:lang w:val="en-US" w:eastAsia="zh-CN" w:bidi="ar-SA"/>
                    </w:rPr>
                  </w:pPr>
                  <w:r>
                    <w:rPr>
                      <w:rFonts w:ascii="Times New Roman" w:hAnsi="Times New Roman"/>
                      <w:color w:val="auto"/>
                      <w:kern w:val="0"/>
                      <w:sz w:val="21"/>
                      <w:szCs w:val="21"/>
                      <w:lang w:bidi="ar"/>
                    </w:rPr>
                    <w:t>晾干房</w:t>
                  </w:r>
                </w:p>
              </w:tc>
              <w:tc>
                <w:tcPr>
                  <w:tcW w:w="1035" w:type="pct"/>
                  <w:shd w:val="clear" w:color="auto" w:fill="auto"/>
                  <w:vAlign w:val="center"/>
                </w:tcPr>
                <w:p w14:paraId="3398296F">
                  <w:pPr>
                    <w:keepNext w:val="0"/>
                    <w:keepLines w:val="0"/>
                    <w:pageBreakBefore w:val="0"/>
                    <w:kinsoku/>
                    <w:overflowPunct/>
                    <w:topLinePunct w:val="0"/>
                    <w:autoSpaceDE/>
                    <w:autoSpaceDN/>
                    <w:bidi w:val="0"/>
                    <w:adjustRightInd w:val="0"/>
                    <w:snapToGrid w:val="0"/>
                    <w:spacing w:line="240" w:lineRule="auto"/>
                    <w:jc w:val="center"/>
                    <w:rPr>
                      <w:rFonts w:hint="eastAsia" w:cs="Times New Roman"/>
                      <w:color w:val="auto"/>
                      <w:kern w:val="0"/>
                      <w:sz w:val="21"/>
                      <w:szCs w:val="21"/>
                      <w:lang w:val="en-US" w:eastAsia="zh-CN"/>
                    </w:rPr>
                  </w:pPr>
                  <w:r>
                    <w:rPr>
                      <w:rFonts w:hint="eastAsia" w:ascii="Times New Roman" w:hAnsi="Times New Roman" w:cs="Times New Roman"/>
                      <w:bCs/>
                      <w:color w:val="auto"/>
                      <w:kern w:val="0"/>
                      <w:sz w:val="21"/>
                      <w:szCs w:val="21"/>
                      <w:lang w:val="en-US" w:eastAsia="zh-CN"/>
                    </w:rPr>
                    <w:t>8</w:t>
                  </w:r>
                  <w:r>
                    <w:rPr>
                      <w:rFonts w:hint="default" w:ascii="Times New Roman" w:hAnsi="Times New Roman" w:cs="Times New Roman"/>
                      <w:bCs/>
                      <w:color w:val="auto"/>
                      <w:kern w:val="0"/>
                      <w:sz w:val="21"/>
                      <w:szCs w:val="21"/>
                      <w:lang w:val="en-US" w:eastAsia="zh-CN"/>
                    </w:rPr>
                    <w:t>×8×3m</w:t>
                  </w:r>
                </w:p>
              </w:tc>
              <w:tc>
                <w:tcPr>
                  <w:tcW w:w="541" w:type="pct"/>
                  <w:shd w:val="clear" w:color="auto" w:fill="auto"/>
                  <w:vAlign w:val="center"/>
                </w:tcPr>
                <w:p w14:paraId="70CA6C50">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val="0"/>
                      <w:bCs w:val="0"/>
                      <w:snapToGrid w:val="0"/>
                      <w:color w:val="auto"/>
                      <w:kern w:val="0"/>
                      <w:sz w:val="21"/>
                      <w:szCs w:val="21"/>
                      <w:lang w:val="en-US" w:eastAsia="zh-CN" w:bidi="ar-SA"/>
                    </w:rPr>
                  </w:pPr>
                  <w:r>
                    <w:rPr>
                      <w:rFonts w:hint="eastAsia" w:cs="Times New Roman"/>
                      <w:b w:val="0"/>
                      <w:bCs w:val="0"/>
                      <w:snapToGrid w:val="0"/>
                      <w:color w:val="auto"/>
                      <w:kern w:val="0"/>
                      <w:sz w:val="21"/>
                      <w:szCs w:val="21"/>
                      <w:lang w:val="en-US" w:eastAsia="zh-CN" w:bidi="ar-SA"/>
                    </w:rPr>
                    <w:t>1</w:t>
                  </w:r>
                </w:p>
              </w:tc>
              <w:tc>
                <w:tcPr>
                  <w:tcW w:w="541" w:type="pct"/>
                  <w:shd w:val="clear" w:color="auto" w:fill="auto"/>
                  <w:vAlign w:val="center"/>
                </w:tcPr>
                <w:p w14:paraId="3C889E4C">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 w:val="21"/>
                      <w:szCs w:val="21"/>
                      <w:lang w:bidi="ar"/>
                    </w:rPr>
                    <w:t>1</w:t>
                  </w:r>
                </w:p>
              </w:tc>
              <w:tc>
                <w:tcPr>
                  <w:tcW w:w="542" w:type="pct"/>
                  <w:shd w:val="clear" w:color="auto" w:fill="auto"/>
                  <w:vAlign w:val="center"/>
                </w:tcPr>
                <w:p w14:paraId="5115FD15">
                  <w:pPr>
                    <w:keepNext w:val="0"/>
                    <w:keepLines w:val="0"/>
                    <w:pageBreakBefore w:val="0"/>
                    <w:widowControl/>
                    <w:kinsoku/>
                    <w:overflowPunct/>
                    <w:topLinePunct w:val="0"/>
                    <w:autoSpaceDE/>
                    <w:autoSpaceDN/>
                    <w:bidi w:val="0"/>
                    <w:adjustRightInd w:val="0"/>
                    <w:snapToGrid w:val="0"/>
                    <w:spacing w:line="240" w:lineRule="auto"/>
                    <w:jc w:val="center"/>
                    <w:textAlignment w:val="center"/>
                    <w:rPr>
                      <w:rFonts w:ascii="Times New Roman" w:hAnsi="Times New Roman"/>
                      <w:color w:val="auto"/>
                      <w:kern w:val="0"/>
                      <w:sz w:val="21"/>
                      <w:szCs w:val="21"/>
                      <w:lang w:bidi="ar"/>
                    </w:rPr>
                  </w:pPr>
                  <w:r>
                    <w:rPr>
                      <w:rFonts w:hint="eastAsia" w:ascii="Times New Roman" w:hAnsi="Times New Roman" w:cs="Times New Roman"/>
                      <w:color w:val="auto"/>
                      <w:kern w:val="0"/>
                      <w:sz w:val="21"/>
                      <w:szCs w:val="21"/>
                      <w:lang w:val="en-US" w:eastAsia="zh-CN"/>
                    </w:rPr>
                    <w:t>0</w:t>
                  </w:r>
                </w:p>
              </w:tc>
              <w:tc>
                <w:tcPr>
                  <w:tcW w:w="736" w:type="pct"/>
                  <w:shd w:val="clear" w:color="auto" w:fill="auto"/>
                  <w:vAlign w:val="center"/>
                </w:tcPr>
                <w:p w14:paraId="119E73E2">
                  <w:pPr>
                    <w:pStyle w:val="2"/>
                    <w:keepNext w:val="0"/>
                    <w:keepLines w:val="0"/>
                    <w:pageBreakBefore w:val="0"/>
                    <w:kinsoku/>
                    <w:overflowPunct/>
                    <w:topLinePunct w:val="0"/>
                    <w:autoSpaceDE/>
                    <w:autoSpaceDN/>
                    <w:bidi w:val="0"/>
                    <w:adjustRightInd w:val="0"/>
                    <w:snapToGrid w:val="0"/>
                    <w:spacing w:line="240" w:lineRule="auto"/>
                    <w:jc w:val="center"/>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bCs/>
                      <w:color w:val="auto"/>
                      <w:kern w:val="0"/>
                      <w:sz w:val="21"/>
                      <w:szCs w:val="21"/>
                    </w:rPr>
                    <w:t>晾干</w:t>
                  </w:r>
                  <w:r>
                    <w:rPr>
                      <w:rFonts w:hint="eastAsia"/>
                      <w:bCs/>
                      <w:color w:val="auto"/>
                      <w:kern w:val="0"/>
                      <w:sz w:val="21"/>
                      <w:szCs w:val="21"/>
                      <w:lang w:eastAsia="zh-CN"/>
                    </w:rPr>
                    <w:t>，</w:t>
                  </w:r>
                  <w:r>
                    <w:rPr>
                      <w:rFonts w:hint="eastAsia"/>
                      <w:bCs/>
                      <w:color w:val="auto"/>
                      <w:kern w:val="0"/>
                      <w:sz w:val="21"/>
                      <w:szCs w:val="21"/>
                      <w:lang w:val="en-US" w:eastAsia="zh-CN"/>
                    </w:rPr>
                    <w:t>新建</w:t>
                  </w:r>
                </w:p>
              </w:tc>
            </w:tr>
            <w:tr w14:paraId="600910F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0" w:type="pct"/>
                  <w:vMerge w:val="restart"/>
                  <w:vAlign w:val="center"/>
                </w:tcPr>
                <w:p w14:paraId="6C7DCBC3">
                  <w:pPr>
                    <w:pStyle w:val="688"/>
                    <w:keepNext w:val="0"/>
                    <w:keepLines w:val="0"/>
                    <w:pageBreakBefore w:val="0"/>
                    <w:widowControl w:val="0"/>
                    <w:kinsoku/>
                    <w:overflowPunct/>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环保设备</w:t>
                  </w:r>
                </w:p>
              </w:tc>
              <w:tc>
                <w:tcPr>
                  <w:tcW w:w="1142" w:type="pct"/>
                  <w:vAlign w:val="center"/>
                </w:tcPr>
                <w:p w14:paraId="270EA4A3">
                  <w:pPr>
                    <w:pStyle w:val="688"/>
                    <w:keepNext w:val="0"/>
                    <w:keepLines w:val="0"/>
                    <w:pageBreakBefore w:val="0"/>
                    <w:widowControl w:val="0"/>
                    <w:kinsoku/>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移动式烟尘净化器</w:t>
                  </w:r>
                </w:p>
              </w:tc>
              <w:tc>
                <w:tcPr>
                  <w:tcW w:w="1035" w:type="pct"/>
                  <w:vAlign w:val="center"/>
                </w:tcPr>
                <w:p w14:paraId="4170DDBF">
                  <w:pPr>
                    <w:keepNext w:val="0"/>
                    <w:keepLines w:val="0"/>
                    <w:pageBreakBefore w:val="0"/>
                    <w:widowControl w:val="0"/>
                    <w:kinsoku/>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c>
                <w:tcPr>
                  <w:tcW w:w="541" w:type="pct"/>
                  <w:vAlign w:val="center"/>
                </w:tcPr>
                <w:p w14:paraId="75A3309F">
                  <w:pPr>
                    <w:pStyle w:val="688"/>
                    <w:keepNext w:val="0"/>
                    <w:keepLines w:val="0"/>
                    <w:pageBreakBefore w:val="0"/>
                    <w:widowControl w:val="0"/>
                    <w:kinsoku/>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cs="Times New Roman"/>
                      <w:b w:val="0"/>
                      <w:bCs w:val="0"/>
                      <w:color w:val="auto"/>
                      <w:kern w:val="0"/>
                      <w:sz w:val="21"/>
                      <w:szCs w:val="21"/>
                      <w:lang w:val="en-US" w:eastAsia="zh-CN"/>
                    </w:rPr>
                    <w:t>0</w:t>
                  </w:r>
                </w:p>
              </w:tc>
              <w:tc>
                <w:tcPr>
                  <w:tcW w:w="541" w:type="pct"/>
                  <w:shd w:val="clear" w:color="auto" w:fill="auto"/>
                  <w:vAlign w:val="center"/>
                </w:tcPr>
                <w:p w14:paraId="1347E349">
                  <w:pPr>
                    <w:pStyle w:val="688"/>
                    <w:keepNext w:val="0"/>
                    <w:keepLines w:val="0"/>
                    <w:pageBreakBefore w:val="0"/>
                    <w:widowControl w:val="0"/>
                    <w:kinsoku/>
                    <w:overflowPunct/>
                    <w:topLinePunct w:val="0"/>
                    <w:autoSpaceDE/>
                    <w:autoSpaceDN/>
                    <w:bidi w:val="0"/>
                    <w:adjustRightInd w:val="0"/>
                    <w:snapToGrid w:val="0"/>
                    <w:spacing w:line="240" w:lineRule="auto"/>
                    <w:ind w:left="0" w:leftChars="0" w:firstLine="0" w:firstLineChars="0"/>
                    <w:jc w:val="center"/>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13</w:t>
                  </w:r>
                </w:p>
              </w:tc>
              <w:tc>
                <w:tcPr>
                  <w:tcW w:w="542" w:type="pct"/>
                  <w:vAlign w:val="center"/>
                </w:tcPr>
                <w:p w14:paraId="32A4B6DE">
                  <w:pPr>
                    <w:pStyle w:val="688"/>
                    <w:keepNext w:val="0"/>
                    <w:keepLines w:val="0"/>
                    <w:pageBreakBefore w:val="0"/>
                    <w:widowControl w:val="0"/>
                    <w:kinsoku/>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+13</w:t>
                  </w:r>
                </w:p>
              </w:tc>
              <w:tc>
                <w:tcPr>
                  <w:tcW w:w="736" w:type="pct"/>
                  <w:vMerge w:val="restart"/>
                  <w:vAlign w:val="center"/>
                </w:tcPr>
                <w:p w14:paraId="4F9BE691">
                  <w:pPr>
                    <w:pStyle w:val="688"/>
                    <w:keepNext w:val="0"/>
                    <w:keepLines w:val="0"/>
                    <w:pageBreakBefore w:val="0"/>
                    <w:widowControl w:val="0"/>
                    <w:kinsoku/>
                    <w:overflowPunct/>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废气治理</w:t>
                  </w:r>
                </w:p>
              </w:tc>
            </w:tr>
            <w:tr w14:paraId="2A6C93D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0" w:type="pct"/>
                  <w:vMerge w:val="continue"/>
                  <w:vAlign w:val="center"/>
                </w:tcPr>
                <w:p w14:paraId="79CE6BC3">
                  <w:pPr>
                    <w:pStyle w:val="688"/>
                    <w:keepNext w:val="0"/>
                    <w:keepLines w:val="0"/>
                    <w:pageBreakBefore w:val="0"/>
                    <w:widowControl w:val="0"/>
                    <w:kinsoku/>
                    <w:overflowPunct/>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rPr>
                  </w:pPr>
                </w:p>
              </w:tc>
              <w:tc>
                <w:tcPr>
                  <w:tcW w:w="1142" w:type="pct"/>
                  <w:vAlign w:val="center"/>
                </w:tcPr>
                <w:p w14:paraId="7C82DA96">
                  <w:pPr>
                    <w:pStyle w:val="688"/>
                    <w:keepNext w:val="0"/>
                    <w:keepLines w:val="0"/>
                    <w:pageBreakBefore w:val="0"/>
                    <w:widowControl w:val="0"/>
                    <w:kinsoku/>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水帘装置</w:t>
                  </w:r>
                </w:p>
              </w:tc>
              <w:tc>
                <w:tcPr>
                  <w:tcW w:w="1035" w:type="pct"/>
                  <w:vAlign w:val="center"/>
                </w:tcPr>
                <w:p w14:paraId="27C36D61">
                  <w:pPr>
                    <w:keepNext w:val="0"/>
                    <w:keepLines w:val="0"/>
                    <w:pageBreakBefore w:val="0"/>
                    <w:widowControl w:val="0"/>
                    <w:kinsoku/>
                    <w:overflowPunct/>
                    <w:topLinePunct w:val="0"/>
                    <w:autoSpaceDE/>
                    <w:autoSpaceDN/>
                    <w:bidi w:val="0"/>
                    <w:adjustRightInd w:val="0"/>
                    <w:snapToGrid w:val="0"/>
                    <w:spacing w:line="240" w:lineRule="auto"/>
                    <w:ind w:left="0" w:leftChars="0" w:firstLine="0" w:firstLine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541" w:type="pct"/>
                  <w:vAlign w:val="center"/>
                </w:tcPr>
                <w:p w14:paraId="2118F509">
                  <w:pPr>
                    <w:pStyle w:val="688"/>
                    <w:keepNext w:val="0"/>
                    <w:keepLines w:val="0"/>
                    <w:pageBreakBefore w:val="0"/>
                    <w:widowControl w:val="0"/>
                    <w:kinsoku/>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lang w:val="en-US" w:eastAsia="zh-CN"/>
                    </w:rPr>
                  </w:pPr>
                  <w:r>
                    <w:rPr>
                      <w:rFonts w:hint="eastAsia" w:ascii="Times New Roman" w:hAnsi="Times New Roman" w:cs="Times New Roman"/>
                      <w:b w:val="0"/>
                      <w:bCs w:val="0"/>
                      <w:color w:val="auto"/>
                      <w:kern w:val="0"/>
                      <w:sz w:val="21"/>
                      <w:szCs w:val="21"/>
                      <w:lang w:val="en-US" w:eastAsia="zh-CN"/>
                    </w:rPr>
                    <w:t>2</w:t>
                  </w:r>
                </w:p>
              </w:tc>
              <w:tc>
                <w:tcPr>
                  <w:tcW w:w="541" w:type="pct"/>
                  <w:shd w:val="clear" w:color="auto" w:fill="auto"/>
                  <w:vAlign w:val="center"/>
                </w:tcPr>
                <w:p w14:paraId="6592A321">
                  <w:pPr>
                    <w:pStyle w:val="688"/>
                    <w:keepNext w:val="0"/>
                    <w:keepLines w:val="0"/>
                    <w:pageBreakBefore w:val="0"/>
                    <w:widowControl w:val="0"/>
                    <w:kinsoku/>
                    <w:overflowPunct/>
                    <w:topLinePunct w:val="0"/>
                    <w:autoSpaceDE/>
                    <w:autoSpaceDN/>
                    <w:bidi w:val="0"/>
                    <w:adjustRightInd w:val="0"/>
                    <w:snapToGrid w:val="0"/>
                    <w:spacing w:line="240" w:lineRule="auto"/>
                    <w:ind w:left="0" w:leftChars="0" w:firstLine="0" w:firstLineChars="0"/>
                    <w:jc w:val="center"/>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2</w:t>
                  </w:r>
                </w:p>
              </w:tc>
              <w:tc>
                <w:tcPr>
                  <w:tcW w:w="542" w:type="pct"/>
                  <w:vAlign w:val="center"/>
                </w:tcPr>
                <w:p w14:paraId="1F1ABA45">
                  <w:pPr>
                    <w:pStyle w:val="688"/>
                    <w:keepNext w:val="0"/>
                    <w:keepLines w:val="0"/>
                    <w:pageBreakBefore w:val="0"/>
                    <w:widowControl w:val="0"/>
                    <w:kinsoku/>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736" w:type="pct"/>
                  <w:vMerge w:val="continue"/>
                  <w:vAlign w:val="center"/>
                </w:tcPr>
                <w:p w14:paraId="3334A6D4">
                  <w:pPr>
                    <w:pStyle w:val="688"/>
                    <w:keepNext w:val="0"/>
                    <w:keepLines w:val="0"/>
                    <w:pageBreakBefore w:val="0"/>
                    <w:widowControl w:val="0"/>
                    <w:kinsoku/>
                    <w:overflowPunct/>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rPr>
                  </w:pPr>
                </w:p>
              </w:tc>
            </w:tr>
            <w:tr w14:paraId="07A0E58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60" w:type="pct"/>
                  <w:vMerge w:val="continue"/>
                  <w:vAlign w:val="center"/>
                </w:tcPr>
                <w:p w14:paraId="7BEB88CD">
                  <w:pPr>
                    <w:pStyle w:val="688"/>
                    <w:keepNext w:val="0"/>
                    <w:keepLines w:val="0"/>
                    <w:pageBreakBefore w:val="0"/>
                    <w:widowControl w:val="0"/>
                    <w:kinsoku/>
                    <w:overflowPunct/>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rPr>
                  </w:pPr>
                </w:p>
              </w:tc>
              <w:tc>
                <w:tcPr>
                  <w:tcW w:w="1142" w:type="pct"/>
                  <w:vAlign w:val="center"/>
                </w:tcPr>
                <w:p w14:paraId="440EA180">
                  <w:pPr>
                    <w:pStyle w:val="688"/>
                    <w:keepNext w:val="0"/>
                    <w:keepLines w:val="0"/>
                    <w:pageBreakBefore w:val="0"/>
                    <w:widowControl w:val="0"/>
                    <w:kinsoku/>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二级活性炭装置</w:t>
                  </w:r>
                </w:p>
              </w:tc>
              <w:tc>
                <w:tcPr>
                  <w:tcW w:w="1035" w:type="pct"/>
                  <w:vAlign w:val="center"/>
                </w:tcPr>
                <w:p w14:paraId="13F1937B">
                  <w:pPr>
                    <w:keepNext w:val="0"/>
                    <w:keepLines w:val="0"/>
                    <w:pageBreakBefore w:val="0"/>
                    <w:widowControl w:val="0"/>
                    <w:kinsoku/>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c>
                <w:tcPr>
                  <w:tcW w:w="541" w:type="pct"/>
                  <w:vAlign w:val="center"/>
                </w:tcPr>
                <w:p w14:paraId="3C4DA2E0">
                  <w:pPr>
                    <w:pStyle w:val="688"/>
                    <w:keepNext w:val="0"/>
                    <w:keepLines w:val="0"/>
                    <w:pageBreakBefore w:val="0"/>
                    <w:widowControl w:val="0"/>
                    <w:kinsoku/>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cs="Times New Roman"/>
                      <w:b w:val="0"/>
                      <w:bCs w:val="0"/>
                      <w:color w:val="auto"/>
                      <w:kern w:val="0"/>
                      <w:sz w:val="21"/>
                      <w:szCs w:val="21"/>
                      <w:lang w:val="en-US" w:eastAsia="zh-CN"/>
                    </w:rPr>
                    <w:t>1</w:t>
                  </w:r>
                </w:p>
              </w:tc>
              <w:tc>
                <w:tcPr>
                  <w:tcW w:w="541" w:type="pct"/>
                  <w:shd w:val="clear" w:color="auto" w:fill="auto"/>
                  <w:vAlign w:val="center"/>
                </w:tcPr>
                <w:p w14:paraId="54CDE5E8">
                  <w:pPr>
                    <w:pStyle w:val="688"/>
                    <w:keepNext w:val="0"/>
                    <w:keepLines w:val="0"/>
                    <w:pageBreakBefore w:val="0"/>
                    <w:widowControl w:val="0"/>
                    <w:kinsoku/>
                    <w:overflowPunct/>
                    <w:topLinePunct w:val="0"/>
                    <w:autoSpaceDE/>
                    <w:autoSpaceDN/>
                    <w:bidi w:val="0"/>
                    <w:adjustRightInd w:val="0"/>
                    <w:snapToGrid w:val="0"/>
                    <w:spacing w:line="240" w:lineRule="auto"/>
                    <w:ind w:left="0" w:leftChars="0" w:firstLine="0" w:firstLineChars="0"/>
                    <w:jc w:val="center"/>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1</w:t>
                  </w:r>
                </w:p>
              </w:tc>
              <w:tc>
                <w:tcPr>
                  <w:tcW w:w="542" w:type="pct"/>
                  <w:vAlign w:val="center"/>
                </w:tcPr>
                <w:p w14:paraId="5CC52AF8">
                  <w:pPr>
                    <w:pStyle w:val="688"/>
                    <w:keepNext w:val="0"/>
                    <w:keepLines w:val="0"/>
                    <w:pageBreakBefore w:val="0"/>
                    <w:widowControl w:val="0"/>
                    <w:kinsoku/>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736" w:type="pct"/>
                  <w:vMerge w:val="continue"/>
                  <w:vAlign w:val="center"/>
                </w:tcPr>
                <w:p w14:paraId="558ACB52">
                  <w:pPr>
                    <w:pStyle w:val="688"/>
                    <w:keepNext w:val="0"/>
                    <w:keepLines w:val="0"/>
                    <w:pageBreakBefore w:val="0"/>
                    <w:widowControl w:val="0"/>
                    <w:kinsoku/>
                    <w:overflowPunct/>
                    <w:topLinePunct w:val="0"/>
                    <w:autoSpaceDE/>
                    <w:autoSpaceDN/>
                    <w:bidi w:val="0"/>
                    <w:adjustRightInd w:val="0"/>
                    <w:snapToGrid w:val="0"/>
                    <w:spacing w:line="240" w:lineRule="auto"/>
                    <w:ind w:left="0" w:firstLine="0" w:firstLineChars="0"/>
                    <w:jc w:val="center"/>
                    <w:rPr>
                      <w:rFonts w:hint="default" w:ascii="Times New Roman" w:hAnsi="Times New Roman" w:eastAsia="宋体" w:cs="Times New Roman"/>
                      <w:color w:val="auto"/>
                      <w:kern w:val="0"/>
                      <w:sz w:val="21"/>
                      <w:szCs w:val="21"/>
                      <w:lang w:val="en-US" w:eastAsia="zh-CN"/>
                    </w:rPr>
                  </w:pPr>
                </w:p>
              </w:tc>
            </w:tr>
          </w:tbl>
          <w:p w14:paraId="516F317C">
            <w:pPr>
              <w:autoSpaceDE w:val="0"/>
              <w:autoSpaceDN w:val="0"/>
              <w:adjustRightInd w:val="0"/>
              <w:snapToGrid w:val="0"/>
              <w:spacing w:line="360" w:lineRule="auto"/>
              <w:jc w:val="left"/>
              <w:rPr>
                <w:rFonts w:cs="宋体"/>
                <w:b/>
                <w:bCs/>
                <w:color w:val="auto"/>
              </w:rPr>
            </w:pPr>
            <w:r>
              <w:rPr>
                <w:rFonts w:hint="eastAsia" w:cs="宋体"/>
                <w:b/>
                <w:bCs/>
                <w:color w:val="auto"/>
              </w:rPr>
              <w:t>2.1.5 原辅材料</w:t>
            </w:r>
          </w:p>
          <w:p w14:paraId="4A69E221">
            <w:pPr>
              <w:autoSpaceDE w:val="0"/>
              <w:autoSpaceDN w:val="0"/>
              <w:adjustRightInd w:val="0"/>
              <w:snapToGrid w:val="0"/>
              <w:spacing w:line="360" w:lineRule="auto"/>
              <w:ind w:firstLine="420" w:firstLineChars="200"/>
              <w:jc w:val="left"/>
              <w:rPr>
                <w:rFonts w:cs="宋体"/>
                <w:bCs/>
                <w:color w:val="auto"/>
              </w:rPr>
            </w:pPr>
            <w:r>
              <w:rPr>
                <w:rFonts w:hint="eastAsia" w:cs="宋体"/>
                <w:bCs/>
                <w:color w:val="auto"/>
              </w:rPr>
              <w:t>本项目主要原辅材料见表2-</w:t>
            </w:r>
            <w:r>
              <w:rPr>
                <w:rFonts w:hint="eastAsia" w:cs="宋体"/>
                <w:bCs/>
                <w:color w:val="auto"/>
                <w:lang w:val="en-US" w:eastAsia="zh-CN"/>
              </w:rPr>
              <w:t>4</w:t>
            </w:r>
            <w:r>
              <w:rPr>
                <w:rFonts w:hint="eastAsia" w:cs="宋体"/>
                <w:bCs/>
                <w:color w:val="auto"/>
              </w:rPr>
              <w:t>，原辅料理化性质见表2-</w:t>
            </w:r>
            <w:r>
              <w:rPr>
                <w:rFonts w:hint="eastAsia" w:cs="宋体"/>
                <w:bCs/>
                <w:color w:val="auto"/>
                <w:lang w:val="en-US" w:eastAsia="zh-CN"/>
              </w:rPr>
              <w:t>5</w:t>
            </w:r>
            <w:r>
              <w:rPr>
                <w:rFonts w:hint="eastAsia" w:cs="宋体"/>
                <w:bCs/>
                <w:color w:val="auto"/>
              </w:rPr>
              <w:t>。</w:t>
            </w:r>
          </w:p>
          <w:p w14:paraId="6388781F">
            <w:pPr>
              <w:pStyle w:val="17"/>
              <w:keepNext/>
              <w:adjustRightInd w:val="0"/>
              <w:snapToGrid w:val="0"/>
              <w:jc w:val="center"/>
              <w:rPr>
                <w:rFonts w:ascii="Times New Roman" w:hAnsi="Times New Roman" w:eastAsia="宋体" w:cs="宋体"/>
                <w:color w:val="auto"/>
                <w:sz w:val="21"/>
                <w:szCs w:val="21"/>
              </w:rPr>
            </w:pPr>
            <w:r>
              <w:rPr>
                <w:rFonts w:hint="eastAsia" w:ascii="Times New Roman" w:hAnsi="Times New Roman" w:eastAsia="宋体" w:cs="宋体"/>
                <w:b/>
                <w:color w:val="auto"/>
                <w:sz w:val="21"/>
                <w:szCs w:val="21"/>
              </w:rPr>
              <w:t>表2-</w:t>
            </w:r>
            <w:r>
              <w:rPr>
                <w:rFonts w:hint="eastAsia" w:ascii="Times New Roman" w:hAnsi="Times New Roman" w:eastAsia="宋体" w:cs="宋体"/>
                <w:b/>
                <w:color w:val="auto"/>
                <w:sz w:val="21"/>
                <w:szCs w:val="21"/>
                <w:lang w:val="en-US" w:eastAsia="zh-CN"/>
              </w:rPr>
              <w:t>4</w:t>
            </w:r>
            <w:r>
              <w:rPr>
                <w:rFonts w:hint="eastAsia" w:ascii="Times New Roman" w:hAnsi="Times New Roman" w:eastAsia="宋体" w:cs="宋体"/>
                <w:b/>
                <w:color w:val="auto"/>
                <w:sz w:val="21"/>
                <w:szCs w:val="21"/>
              </w:rPr>
              <w:t xml:space="preserve">   主要原辅材料消耗情况</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1691"/>
              <w:gridCol w:w="2310"/>
              <w:gridCol w:w="739"/>
              <w:gridCol w:w="739"/>
              <w:gridCol w:w="740"/>
              <w:gridCol w:w="570"/>
              <w:gridCol w:w="915"/>
              <w:gridCol w:w="840"/>
            </w:tblGrid>
            <w:tr w14:paraId="1F51644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89" w:type="pct"/>
                  <w:vMerge w:val="restart"/>
                  <w:tcBorders>
                    <w:tl2br w:val="nil"/>
                    <w:tr2bl w:val="nil"/>
                  </w:tcBorders>
                  <w:vAlign w:val="center"/>
                </w:tcPr>
                <w:p w14:paraId="67111EED">
                  <w:pPr>
                    <w:pStyle w:val="693"/>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名称</w:t>
                  </w:r>
                </w:p>
              </w:tc>
              <w:tc>
                <w:tcPr>
                  <w:tcW w:w="1351" w:type="pct"/>
                  <w:vMerge w:val="restart"/>
                  <w:tcBorders>
                    <w:tl2br w:val="nil"/>
                    <w:tr2bl w:val="nil"/>
                  </w:tcBorders>
                  <w:vAlign w:val="center"/>
                </w:tcPr>
                <w:p w14:paraId="189B7811">
                  <w:pPr>
                    <w:pStyle w:val="693"/>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组份</w:t>
                  </w:r>
                </w:p>
              </w:tc>
              <w:tc>
                <w:tcPr>
                  <w:tcW w:w="1297" w:type="pct"/>
                  <w:gridSpan w:val="3"/>
                  <w:tcBorders>
                    <w:tl2br w:val="nil"/>
                    <w:tr2bl w:val="nil"/>
                  </w:tcBorders>
                  <w:vAlign w:val="center"/>
                </w:tcPr>
                <w:p w14:paraId="60FE563F">
                  <w:pPr>
                    <w:pStyle w:val="693"/>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用量t/a</w:t>
                  </w:r>
                </w:p>
              </w:tc>
              <w:tc>
                <w:tcPr>
                  <w:tcW w:w="333" w:type="pct"/>
                  <w:vMerge w:val="restart"/>
                  <w:tcBorders>
                    <w:tl2br w:val="nil"/>
                    <w:tr2bl w:val="nil"/>
                  </w:tcBorders>
                  <w:vAlign w:val="center"/>
                </w:tcPr>
                <w:p w14:paraId="5B8678A5">
                  <w:pPr>
                    <w:pStyle w:val="693"/>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物料形态</w:t>
                  </w:r>
                </w:p>
              </w:tc>
              <w:tc>
                <w:tcPr>
                  <w:tcW w:w="535" w:type="pct"/>
                  <w:vMerge w:val="restart"/>
                  <w:tcBorders>
                    <w:tl2br w:val="nil"/>
                    <w:tr2bl w:val="nil"/>
                  </w:tcBorders>
                  <w:vAlign w:val="center"/>
                </w:tcPr>
                <w:p w14:paraId="5752884E">
                  <w:pPr>
                    <w:pStyle w:val="693"/>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包装规格</w:t>
                  </w:r>
                </w:p>
              </w:tc>
              <w:tc>
                <w:tcPr>
                  <w:tcW w:w="491" w:type="pct"/>
                  <w:vMerge w:val="restart"/>
                  <w:tcBorders>
                    <w:tl2br w:val="nil"/>
                    <w:tr2bl w:val="nil"/>
                  </w:tcBorders>
                  <w:vAlign w:val="center"/>
                </w:tcPr>
                <w:p w14:paraId="2766CBE7">
                  <w:pPr>
                    <w:pStyle w:val="693"/>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最大储存量t</w:t>
                  </w:r>
                </w:p>
              </w:tc>
            </w:tr>
            <w:tr w14:paraId="2B6EAF5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89" w:type="pct"/>
                  <w:vMerge w:val="continue"/>
                  <w:tcBorders>
                    <w:tl2br w:val="nil"/>
                    <w:tr2bl w:val="nil"/>
                  </w:tcBorders>
                  <w:vAlign w:val="center"/>
                </w:tcPr>
                <w:p w14:paraId="69985F6A">
                  <w:pPr>
                    <w:pStyle w:val="693"/>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0"/>
                      <w:sz w:val="21"/>
                      <w:szCs w:val="21"/>
                    </w:rPr>
                  </w:pPr>
                </w:p>
              </w:tc>
              <w:tc>
                <w:tcPr>
                  <w:tcW w:w="1351" w:type="pct"/>
                  <w:vMerge w:val="continue"/>
                  <w:tcBorders>
                    <w:tl2br w:val="nil"/>
                    <w:tr2bl w:val="nil"/>
                  </w:tcBorders>
                  <w:vAlign w:val="center"/>
                </w:tcPr>
                <w:p w14:paraId="72555A37">
                  <w:pPr>
                    <w:pStyle w:val="693"/>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0"/>
                      <w:sz w:val="21"/>
                      <w:szCs w:val="21"/>
                    </w:rPr>
                  </w:pPr>
                </w:p>
              </w:tc>
              <w:tc>
                <w:tcPr>
                  <w:tcW w:w="432" w:type="pct"/>
                  <w:tcBorders>
                    <w:tl2br w:val="nil"/>
                    <w:tr2bl w:val="nil"/>
                  </w:tcBorders>
                  <w:vAlign w:val="center"/>
                </w:tcPr>
                <w:p w14:paraId="54D8DC18">
                  <w:pPr>
                    <w:pStyle w:val="693"/>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迁建前</w:t>
                  </w:r>
                </w:p>
              </w:tc>
              <w:tc>
                <w:tcPr>
                  <w:tcW w:w="432" w:type="pct"/>
                  <w:tcBorders>
                    <w:tl2br w:val="nil"/>
                    <w:tr2bl w:val="nil"/>
                  </w:tcBorders>
                  <w:vAlign w:val="center"/>
                </w:tcPr>
                <w:p w14:paraId="16E7F3AB">
                  <w:pPr>
                    <w:pStyle w:val="693"/>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迁建后</w:t>
                  </w:r>
                </w:p>
              </w:tc>
              <w:tc>
                <w:tcPr>
                  <w:tcW w:w="433" w:type="pct"/>
                  <w:tcBorders>
                    <w:tl2br w:val="nil"/>
                    <w:tr2bl w:val="nil"/>
                  </w:tcBorders>
                  <w:vAlign w:val="center"/>
                </w:tcPr>
                <w:p w14:paraId="07506A31">
                  <w:pPr>
                    <w:pStyle w:val="693"/>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变化量</w:t>
                  </w:r>
                </w:p>
              </w:tc>
              <w:tc>
                <w:tcPr>
                  <w:tcW w:w="333" w:type="pct"/>
                  <w:vMerge w:val="continue"/>
                  <w:tcBorders>
                    <w:tl2br w:val="nil"/>
                    <w:tr2bl w:val="nil"/>
                  </w:tcBorders>
                  <w:vAlign w:val="center"/>
                </w:tcPr>
                <w:p w14:paraId="282818A7">
                  <w:pPr>
                    <w:pStyle w:val="693"/>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0"/>
                      <w:sz w:val="21"/>
                      <w:szCs w:val="21"/>
                    </w:rPr>
                  </w:pPr>
                </w:p>
              </w:tc>
              <w:tc>
                <w:tcPr>
                  <w:tcW w:w="535" w:type="pct"/>
                  <w:vMerge w:val="continue"/>
                  <w:tcBorders>
                    <w:tl2br w:val="nil"/>
                    <w:tr2bl w:val="nil"/>
                  </w:tcBorders>
                  <w:vAlign w:val="center"/>
                </w:tcPr>
                <w:p w14:paraId="6630884C">
                  <w:pPr>
                    <w:pStyle w:val="693"/>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0"/>
                      <w:sz w:val="21"/>
                      <w:szCs w:val="21"/>
                    </w:rPr>
                  </w:pPr>
                </w:p>
              </w:tc>
              <w:tc>
                <w:tcPr>
                  <w:tcW w:w="491" w:type="pct"/>
                  <w:vMerge w:val="continue"/>
                  <w:tcBorders>
                    <w:tl2br w:val="nil"/>
                    <w:tr2bl w:val="nil"/>
                  </w:tcBorders>
                  <w:vAlign w:val="center"/>
                </w:tcPr>
                <w:p w14:paraId="523F2575">
                  <w:pPr>
                    <w:pStyle w:val="693"/>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0"/>
                      <w:sz w:val="21"/>
                      <w:szCs w:val="21"/>
                    </w:rPr>
                  </w:pPr>
                </w:p>
              </w:tc>
            </w:tr>
            <w:tr w14:paraId="6EE5C28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89" w:type="pct"/>
                  <w:tcBorders>
                    <w:tl2br w:val="nil"/>
                    <w:tr2bl w:val="nil"/>
                  </w:tcBorders>
                  <w:shd w:val="clear" w:color="auto" w:fill="auto"/>
                  <w:vAlign w:val="center"/>
                </w:tcPr>
                <w:p w14:paraId="3B639B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Cs w:val="21"/>
                    </w:rPr>
                    <w:t>多层板</w:t>
                  </w:r>
                </w:p>
              </w:tc>
              <w:tc>
                <w:tcPr>
                  <w:tcW w:w="1351" w:type="pct"/>
                  <w:tcBorders>
                    <w:tl2br w:val="nil"/>
                    <w:tr2bl w:val="nil"/>
                  </w:tcBorders>
                  <w:shd w:val="clear" w:color="auto" w:fill="auto"/>
                  <w:vAlign w:val="center"/>
                </w:tcPr>
                <w:p w14:paraId="531BF2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Cs w:val="21"/>
                    </w:rPr>
                    <w:t>植物纤维</w:t>
                  </w:r>
                </w:p>
              </w:tc>
              <w:tc>
                <w:tcPr>
                  <w:tcW w:w="432" w:type="pct"/>
                  <w:tcBorders>
                    <w:tl2br w:val="nil"/>
                    <w:tr2bl w:val="nil"/>
                  </w:tcBorders>
                  <w:shd w:val="clear" w:color="auto" w:fill="auto"/>
                  <w:vAlign w:val="center"/>
                </w:tcPr>
                <w:p w14:paraId="5084C2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Cs w:val="21"/>
                    </w:rPr>
                    <w:t>8000张</w:t>
                  </w:r>
                </w:p>
              </w:tc>
              <w:tc>
                <w:tcPr>
                  <w:tcW w:w="432" w:type="pct"/>
                  <w:tcBorders>
                    <w:tl2br w:val="nil"/>
                    <w:tr2bl w:val="nil"/>
                  </w:tcBorders>
                  <w:shd w:val="clear" w:color="auto" w:fill="auto"/>
                  <w:vAlign w:val="center"/>
                </w:tcPr>
                <w:p w14:paraId="51DFD9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Cs w:val="21"/>
                    </w:rPr>
                    <w:t>8000张</w:t>
                  </w:r>
                </w:p>
              </w:tc>
              <w:tc>
                <w:tcPr>
                  <w:tcW w:w="433" w:type="pct"/>
                  <w:tcBorders>
                    <w:tl2br w:val="nil"/>
                    <w:tr2bl w:val="nil"/>
                  </w:tcBorders>
                  <w:shd w:val="clear" w:color="auto" w:fill="auto"/>
                  <w:vAlign w:val="center"/>
                </w:tcPr>
                <w:p w14:paraId="7E2CED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kern w:val="0"/>
                      <w:szCs w:val="21"/>
                    </w:rPr>
                  </w:pPr>
                  <w:r>
                    <w:rPr>
                      <w:rFonts w:hint="eastAsia" w:cs="Times New Roman"/>
                      <w:color w:val="auto"/>
                      <w:kern w:val="0"/>
                      <w:sz w:val="21"/>
                      <w:szCs w:val="21"/>
                      <w:lang w:val="en-US" w:eastAsia="zh-CN"/>
                    </w:rPr>
                    <w:t>0</w:t>
                  </w:r>
                </w:p>
              </w:tc>
              <w:tc>
                <w:tcPr>
                  <w:tcW w:w="333" w:type="pct"/>
                  <w:tcBorders>
                    <w:tl2br w:val="nil"/>
                    <w:tr2bl w:val="nil"/>
                  </w:tcBorders>
                  <w:vAlign w:val="center"/>
                </w:tcPr>
                <w:p w14:paraId="62F0CE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固</w:t>
                  </w:r>
                </w:p>
              </w:tc>
              <w:tc>
                <w:tcPr>
                  <w:tcW w:w="535" w:type="pct"/>
                  <w:vMerge w:val="restart"/>
                  <w:tcBorders>
                    <w:tl2br w:val="nil"/>
                    <w:tr2bl w:val="nil"/>
                  </w:tcBorders>
                  <w:vAlign w:val="center"/>
                </w:tcPr>
                <w:p w14:paraId="372E00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rPr>
                  </w:pPr>
                  <w:r>
                    <w:rPr>
                      <w:rFonts w:ascii="Times New Roman" w:hAnsi="Times New Roman"/>
                      <w:color w:val="auto"/>
                      <w:kern w:val="0"/>
                      <w:szCs w:val="21"/>
                    </w:rPr>
                    <w:t>2.4m×1.2m×0.018m</w:t>
                  </w:r>
                </w:p>
              </w:tc>
              <w:tc>
                <w:tcPr>
                  <w:tcW w:w="491" w:type="pct"/>
                  <w:tcBorders>
                    <w:tl2br w:val="nil"/>
                    <w:tr2bl w:val="nil"/>
                  </w:tcBorders>
                  <w:shd w:val="clear" w:color="auto" w:fill="auto"/>
                  <w:vAlign w:val="center"/>
                </w:tcPr>
                <w:p w14:paraId="1572E827">
                  <w:pPr>
                    <w:pStyle w:val="7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color w:val="auto"/>
                      <w:kern w:val="0"/>
                      <w:lang w:val="en-US" w:eastAsia="zh-CN"/>
                    </w:rPr>
                    <w:t>500张</w:t>
                  </w:r>
                </w:p>
              </w:tc>
            </w:tr>
            <w:tr w14:paraId="311F4A9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89" w:type="pct"/>
                  <w:tcBorders>
                    <w:tl2br w:val="nil"/>
                    <w:tr2bl w:val="nil"/>
                  </w:tcBorders>
                  <w:shd w:val="clear" w:color="auto" w:fill="auto"/>
                  <w:vAlign w:val="center"/>
                </w:tcPr>
                <w:p w14:paraId="23372D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Cs w:val="21"/>
                    </w:rPr>
                    <w:t>实木板</w:t>
                  </w:r>
                </w:p>
              </w:tc>
              <w:tc>
                <w:tcPr>
                  <w:tcW w:w="1351" w:type="pct"/>
                  <w:tcBorders>
                    <w:tl2br w:val="nil"/>
                    <w:tr2bl w:val="nil"/>
                  </w:tcBorders>
                  <w:shd w:val="clear" w:color="auto" w:fill="auto"/>
                  <w:vAlign w:val="center"/>
                </w:tcPr>
                <w:p w14:paraId="0C17F7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Cs w:val="21"/>
                    </w:rPr>
                    <w:t>植物纤维</w:t>
                  </w:r>
                </w:p>
              </w:tc>
              <w:tc>
                <w:tcPr>
                  <w:tcW w:w="432" w:type="pct"/>
                  <w:tcBorders>
                    <w:tl2br w:val="nil"/>
                    <w:tr2bl w:val="nil"/>
                  </w:tcBorders>
                  <w:shd w:val="clear" w:color="auto" w:fill="auto"/>
                  <w:vAlign w:val="center"/>
                </w:tcPr>
                <w:p w14:paraId="5ACAE7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Cs w:val="21"/>
                    </w:rPr>
                    <w:t>80m</w:t>
                  </w:r>
                  <w:r>
                    <w:rPr>
                      <w:rFonts w:ascii="Times New Roman" w:hAnsi="Times New Roman"/>
                      <w:color w:val="auto"/>
                      <w:kern w:val="0"/>
                      <w:szCs w:val="21"/>
                      <w:vertAlign w:val="superscript"/>
                    </w:rPr>
                    <w:t>3</w:t>
                  </w:r>
                </w:p>
              </w:tc>
              <w:tc>
                <w:tcPr>
                  <w:tcW w:w="432" w:type="pct"/>
                  <w:tcBorders>
                    <w:tl2br w:val="nil"/>
                    <w:tr2bl w:val="nil"/>
                  </w:tcBorders>
                  <w:shd w:val="clear" w:color="auto" w:fill="auto"/>
                  <w:vAlign w:val="center"/>
                </w:tcPr>
                <w:p w14:paraId="37E877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Cs w:val="21"/>
                    </w:rPr>
                    <w:t>80m</w:t>
                  </w:r>
                  <w:r>
                    <w:rPr>
                      <w:rFonts w:ascii="Times New Roman" w:hAnsi="Times New Roman"/>
                      <w:color w:val="auto"/>
                      <w:kern w:val="0"/>
                      <w:szCs w:val="21"/>
                      <w:vertAlign w:val="superscript"/>
                    </w:rPr>
                    <w:t>3</w:t>
                  </w:r>
                </w:p>
              </w:tc>
              <w:tc>
                <w:tcPr>
                  <w:tcW w:w="433" w:type="pct"/>
                  <w:tcBorders>
                    <w:tl2br w:val="nil"/>
                    <w:tr2bl w:val="nil"/>
                  </w:tcBorders>
                  <w:shd w:val="clear" w:color="auto" w:fill="auto"/>
                  <w:vAlign w:val="center"/>
                </w:tcPr>
                <w:p w14:paraId="3A3AF2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kern w:val="0"/>
                      <w:szCs w:val="21"/>
                    </w:rPr>
                  </w:pPr>
                  <w:r>
                    <w:rPr>
                      <w:rFonts w:hint="eastAsia" w:cs="Times New Roman"/>
                      <w:color w:val="auto"/>
                      <w:kern w:val="0"/>
                      <w:sz w:val="21"/>
                      <w:szCs w:val="21"/>
                      <w:lang w:val="en-US" w:eastAsia="zh-CN"/>
                    </w:rPr>
                    <w:t>0</w:t>
                  </w:r>
                </w:p>
              </w:tc>
              <w:tc>
                <w:tcPr>
                  <w:tcW w:w="333" w:type="pct"/>
                  <w:tcBorders>
                    <w:tl2br w:val="nil"/>
                    <w:tr2bl w:val="nil"/>
                  </w:tcBorders>
                  <w:vAlign w:val="center"/>
                </w:tcPr>
                <w:p w14:paraId="27AF1D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固</w:t>
                  </w:r>
                </w:p>
              </w:tc>
              <w:tc>
                <w:tcPr>
                  <w:tcW w:w="535" w:type="pct"/>
                  <w:vMerge w:val="continue"/>
                  <w:tcBorders>
                    <w:tl2br w:val="nil"/>
                    <w:tr2bl w:val="nil"/>
                  </w:tcBorders>
                  <w:vAlign w:val="center"/>
                </w:tcPr>
                <w:p w14:paraId="5C7D28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rPr>
                  </w:pPr>
                </w:p>
              </w:tc>
              <w:tc>
                <w:tcPr>
                  <w:tcW w:w="491" w:type="pct"/>
                  <w:tcBorders>
                    <w:tl2br w:val="nil"/>
                    <w:tr2bl w:val="nil"/>
                  </w:tcBorders>
                  <w:shd w:val="clear" w:color="auto" w:fill="auto"/>
                  <w:vAlign w:val="center"/>
                </w:tcPr>
                <w:p w14:paraId="2B4E7585">
                  <w:pPr>
                    <w:pStyle w:val="7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color w:val="auto"/>
                      <w:kern w:val="0"/>
                      <w:lang w:val="en-US" w:eastAsia="zh-CN"/>
                    </w:rPr>
                    <w:t>6</w:t>
                  </w:r>
                  <w:r>
                    <w:rPr>
                      <w:rFonts w:ascii="Times New Roman" w:hAnsi="Times New Roman"/>
                      <w:color w:val="auto"/>
                      <w:kern w:val="0"/>
                      <w:szCs w:val="21"/>
                    </w:rPr>
                    <w:t>m</w:t>
                  </w:r>
                  <w:r>
                    <w:rPr>
                      <w:rFonts w:ascii="Times New Roman" w:hAnsi="Times New Roman"/>
                      <w:color w:val="auto"/>
                      <w:kern w:val="0"/>
                      <w:szCs w:val="21"/>
                      <w:vertAlign w:val="superscript"/>
                    </w:rPr>
                    <w:t>3</w:t>
                  </w:r>
                </w:p>
              </w:tc>
            </w:tr>
            <w:tr w14:paraId="081BC13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89" w:type="pct"/>
                  <w:tcBorders>
                    <w:tl2br w:val="nil"/>
                    <w:tr2bl w:val="nil"/>
                  </w:tcBorders>
                  <w:shd w:val="clear" w:color="auto" w:fill="auto"/>
                  <w:vAlign w:val="center"/>
                </w:tcPr>
                <w:p w14:paraId="2FB571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Cs w:val="21"/>
                    </w:rPr>
                    <w:t>集成材板</w:t>
                  </w:r>
                </w:p>
              </w:tc>
              <w:tc>
                <w:tcPr>
                  <w:tcW w:w="1351" w:type="pct"/>
                  <w:tcBorders>
                    <w:tl2br w:val="nil"/>
                    <w:tr2bl w:val="nil"/>
                  </w:tcBorders>
                  <w:shd w:val="clear" w:color="auto" w:fill="auto"/>
                  <w:vAlign w:val="center"/>
                </w:tcPr>
                <w:p w14:paraId="03B6B4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Cs w:val="21"/>
                    </w:rPr>
                    <w:t>植物纤维</w:t>
                  </w:r>
                </w:p>
              </w:tc>
              <w:tc>
                <w:tcPr>
                  <w:tcW w:w="432" w:type="pct"/>
                  <w:tcBorders>
                    <w:tl2br w:val="nil"/>
                    <w:tr2bl w:val="nil"/>
                  </w:tcBorders>
                  <w:shd w:val="clear" w:color="auto" w:fill="auto"/>
                  <w:vAlign w:val="center"/>
                </w:tcPr>
                <w:p w14:paraId="6CC86D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Cs w:val="21"/>
                    </w:rPr>
                    <w:t>10m</w:t>
                  </w:r>
                  <w:r>
                    <w:rPr>
                      <w:rFonts w:ascii="Times New Roman" w:hAnsi="Times New Roman"/>
                      <w:color w:val="auto"/>
                      <w:kern w:val="0"/>
                      <w:szCs w:val="21"/>
                      <w:vertAlign w:val="superscript"/>
                    </w:rPr>
                    <w:t>3</w:t>
                  </w:r>
                </w:p>
              </w:tc>
              <w:tc>
                <w:tcPr>
                  <w:tcW w:w="432" w:type="pct"/>
                  <w:tcBorders>
                    <w:tl2br w:val="nil"/>
                    <w:tr2bl w:val="nil"/>
                  </w:tcBorders>
                  <w:shd w:val="clear" w:color="auto" w:fill="auto"/>
                  <w:vAlign w:val="center"/>
                </w:tcPr>
                <w:p w14:paraId="3F99A0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Cs w:val="21"/>
                    </w:rPr>
                    <w:t>10m</w:t>
                  </w:r>
                  <w:r>
                    <w:rPr>
                      <w:rFonts w:ascii="Times New Roman" w:hAnsi="Times New Roman"/>
                      <w:color w:val="auto"/>
                      <w:kern w:val="0"/>
                      <w:szCs w:val="21"/>
                      <w:vertAlign w:val="superscript"/>
                    </w:rPr>
                    <w:t>3</w:t>
                  </w:r>
                </w:p>
              </w:tc>
              <w:tc>
                <w:tcPr>
                  <w:tcW w:w="433" w:type="pct"/>
                  <w:tcBorders>
                    <w:tl2br w:val="nil"/>
                    <w:tr2bl w:val="nil"/>
                  </w:tcBorders>
                  <w:shd w:val="clear" w:color="auto" w:fill="auto"/>
                  <w:vAlign w:val="center"/>
                </w:tcPr>
                <w:p w14:paraId="19D17D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kern w:val="0"/>
                      <w:szCs w:val="21"/>
                    </w:rPr>
                  </w:pPr>
                  <w:r>
                    <w:rPr>
                      <w:rFonts w:hint="eastAsia" w:cs="Times New Roman"/>
                      <w:color w:val="auto"/>
                      <w:kern w:val="0"/>
                      <w:sz w:val="21"/>
                      <w:szCs w:val="21"/>
                      <w:lang w:val="en-US" w:eastAsia="zh-CN"/>
                    </w:rPr>
                    <w:t>0</w:t>
                  </w:r>
                </w:p>
              </w:tc>
              <w:tc>
                <w:tcPr>
                  <w:tcW w:w="333" w:type="pct"/>
                  <w:tcBorders>
                    <w:tl2br w:val="nil"/>
                    <w:tr2bl w:val="nil"/>
                  </w:tcBorders>
                  <w:vAlign w:val="center"/>
                </w:tcPr>
                <w:p w14:paraId="75109C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固</w:t>
                  </w:r>
                </w:p>
              </w:tc>
              <w:tc>
                <w:tcPr>
                  <w:tcW w:w="535" w:type="pct"/>
                  <w:vMerge w:val="continue"/>
                  <w:tcBorders>
                    <w:tl2br w:val="nil"/>
                    <w:tr2bl w:val="nil"/>
                  </w:tcBorders>
                  <w:vAlign w:val="center"/>
                </w:tcPr>
                <w:p w14:paraId="0DAA3E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rPr>
                  </w:pPr>
                </w:p>
              </w:tc>
              <w:tc>
                <w:tcPr>
                  <w:tcW w:w="491" w:type="pct"/>
                  <w:tcBorders>
                    <w:tl2br w:val="nil"/>
                    <w:tr2bl w:val="nil"/>
                  </w:tcBorders>
                  <w:shd w:val="clear" w:color="auto" w:fill="auto"/>
                  <w:vAlign w:val="center"/>
                </w:tcPr>
                <w:p w14:paraId="37978218">
                  <w:pPr>
                    <w:pStyle w:val="7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color w:val="auto"/>
                      <w:kern w:val="0"/>
                      <w:lang w:val="en-US" w:eastAsia="zh-CN"/>
                    </w:rPr>
                    <w:t>2</w:t>
                  </w:r>
                  <w:r>
                    <w:rPr>
                      <w:rFonts w:ascii="Times New Roman" w:hAnsi="Times New Roman"/>
                      <w:color w:val="auto"/>
                      <w:kern w:val="0"/>
                      <w:szCs w:val="21"/>
                    </w:rPr>
                    <w:t>m</w:t>
                  </w:r>
                  <w:r>
                    <w:rPr>
                      <w:rFonts w:ascii="Times New Roman" w:hAnsi="Times New Roman"/>
                      <w:color w:val="auto"/>
                      <w:kern w:val="0"/>
                      <w:szCs w:val="21"/>
                      <w:vertAlign w:val="superscript"/>
                    </w:rPr>
                    <w:t>3</w:t>
                  </w:r>
                </w:p>
              </w:tc>
            </w:tr>
            <w:tr w14:paraId="5D92574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89" w:type="pct"/>
                  <w:tcBorders>
                    <w:tl2br w:val="nil"/>
                    <w:tr2bl w:val="nil"/>
                  </w:tcBorders>
                  <w:shd w:val="clear" w:color="auto" w:fill="auto"/>
                  <w:vAlign w:val="center"/>
                </w:tcPr>
                <w:p w14:paraId="5C32B2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Cs w:val="21"/>
                    </w:rPr>
                    <w:t>颗粒免漆板</w:t>
                  </w:r>
                </w:p>
              </w:tc>
              <w:tc>
                <w:tcPr>
                  <w:tcW w:w="1351" w:type="pct"/>
                  <w:tcBorders>
                    <w:tl2br w:val="nil"/>
                    <w:tr2bl w:val="nil"/>
                  </w:tcBorders>
                  <w:shd w:val="clear" w:color="auto" w:fill="auto"/>
                  <w:vAlign w:val="center"/>
                </w:tcPr>
                <w:p w14:paraId="0B23F7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Cs w:val="21"/>
                    </w:rPr>
                    <w:t>植物纤维</w:t>
                  </w:r>
                </w:p>
              </w:tc>
              <w:tc>
                <w:tcPr>
                  <w:tcW w:w="432" w:type="pct"/>
                  <w:tcBorders>
                    <w:tl2br w:val="nil"/>
                    <w:tr2bl w:val="nil"/>
                  </w:tcBorders>
                  <w:shd w:val="clear" w:color="auto" w:fill="auto"/>
                  <w:vAlign w:val="center"/>
                </w:tcPr>
                <w:p w14:paraId="6BFE3F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Cs w:val="21"/>
                    </w:rPr>
                    <w:t>10000张</w:t>
                  </w:r>
                </w:p>
              </w:tc>
              <w:tc>
                <w:tcPr>
                  <w:tcW w:w="432" w:type="pct"/>
                  <w:tcBorders>
                    <w:tl2br w:val="nil"/>
                    <w:tr2bl w:val="nil"/>
                  </w:tcBorders>
                  <w:shd w:val="clear" w:color="auto" w:fill="auto"/>
                  <w:vAlign w:val="center"/>
                </w:tcPr>
                <w:p w14:paraId="3D38AE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Cs w:val="21"/>
                    </w:rPr>
                    <w:t>10000张</w:t>
                  </w:r>
                </w:p>
              </w:tc>
              <w:tc>
                <w:tcPr>
                  <w:tcW w:w="433" w:type="pct"/>
                  <w:tcBorders>
                    <w:tl2br w:val="nil"/>
                    <w:tr2bl w:val="nil"/>
                  </w:tcBorders>
                  <w:shd w:val="clear" w:color="auto" w:fill="auto"/>
                  <w:vAlign w:val="center"/>
                </w:tcPr>
                <w:p w14:paraId="72510E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kern w:val="0"/>
                      <w:szCs w:val="21"/>
                    </w:rPr>
                  </w:pPr>
                  <w:r>
                    <w:rPr>
                      <w:rFonts w:hint="eastAsia" w:cs="Times New Roman"/>
                      <w:color w:val="auto"/>
                      <w:kern w:val="0"/>
                      <w:sz w:val="21"/>
                      <w:szCs w:val="21"/>
                      <w:lang w:val="en-US" w:eastAsia="zh-CN"/>
                    </w:rPr>
                    <w:t>0</w:t>
                  </w:r>
                </w:p>
              </w:tc>
              <w:tc>
                <w:tcPr>
                  <w:tcW w:w="333" w:type="pct"/>
                  <w:tcBorders>
                    <w:tl2br w:val="nil"/>
                    <w:tr2bl w:val="nil"/>
                  </w:tcBorders>
                  <w:vAlign w:val="center"/>
                </w:tcPr>
                <w:p w14:paraId="14EA0F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固</w:t>
                  </w:r>
                </w:p>
              </w:tc>
              <w:tc>
                <w:tcPr>
                  <w:tcW w:w="535" w:type="pct"/>
                  <w:vMerge w:val="continue"/>
                  <w:tcBorders>
                    <w:tl2br w:val="nil"/>
                    <w:tr2bl w:val="nil"/>
                  </w:tcBorders>
                  <w:vAlign w:val="center"/>
                </w:tcPr>
                <w:p w14:paraId="2FE2C1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rPr>
                  </w:pPr>
                </w:p>
              </w:tc>
              <w:tc>
                <w:tcPr>
                  <w:tcW w:w="491" w:type="pct"/>
                  <w:tcBorders>
                    <w:tl2br w:val="nil"/>
                    <w:tr2bl w:val="nil"/>
                  </w:tcBorders>
                  <w:shd w:val="clear" w:color="auto" w:fill="auto"/>
                  <w:vAlign w:val="center"/>
                </w:tcPr>
                <w:p w14:paraId="0EF3312F">
                  <w:pPr>
                    <w:pStyle w:val="7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color w:val="auto"/>
                      <w:kern w:val="0"/>
                      <w:lang w:val="en-US" w:eastAsia="zh-CN"/>
                    </w:rPr>
                    <w:t>800张</w:t>
                  </w:r>
                </w:p>
              </w:tc>
            </w:tr>
            <w:tr w14:paraId="71940B8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89" w:type="pct"/>
                  <w:tcBorders>
                    <w:tl2br w:val="nil"/>
                    <w:tr2bl w:val="nil"/>
                  </w:tcBorders>
                  <w:shd w:val="clear" w:color="auto" w:fill="auto"/>
                  <w:vAlign w:val="center"/>
                </w:tcPr>
                <w:p w14:paraId="5382A7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Cs w:val="21"/>
                    </w:rPr>
                    <w:t>防火板</w:t>
                  </w:r>
                </w:p>
              </w:tc>
              <w:tc>
                <w:tcPr>
                  <w:tcW w:w="1351" w:type="pct"/>
                  <w:tcBorders>
                    <w:tl2br w:val="nil"/>
                    <w:tr2bl w:val="nil"/>
                  </w:tcBorders>
                  <w:shd w:val="clear" w:color="auto" w:fill="auto"/>
                  <w:vAlign w:val="center"/>
                </w:tcPr>
                <w:p w14:paraId="73B3E7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Cs w:val="21"/>
                    </w:rPr>
                    <w:t>植物纤维</w:t>
                  </w:r>
                </w:p>
              </w:tc>
              <w:tc>
                <w:tcPr>
                  <w:tcW w:w="432" w:type="pct"/>
                  <w:tcBorders>
                    <w:tl2br w:val="nil"/>
                    <w:tr2bl w:val="nil"/>
                  </w:tcBorders>
                  <w:shd w:val="clear" w:color="auto" w:fill="auto"/>
                  <w:vAlign w:val="center"/>
                </w:tcPr>
                <w:p w14:paraId="33EEA8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Cs w:val="21"/>
                    </w:rPr>
                    <w:t>3000张</w:t>
                  </w:r>
                </w:p>
              </w:tc>
              <w:tc>
                <w:tcPr>
                  <w:tcW w:w="432" w:type="pct"/>
                  <w:tcBorders>
                    <w:tl2br w:val="nil"/>
                    <w:tr2bl w:val="nil"/>
                  </w:tcBorders>
                  <w:shd w:val="clear" w:color="auto" w:fill="auto"/>
                  <w:vAlign w:val="center"/>
                </w:tcPr>
                <w:p w14:paraId="3B921A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Cs w:val="21"/>
                    </w:rPr>
                    <w:t>3000张</w:t>
                  </w:r>
                </w:p>
              </w:tc>
              <w:tc>
                <w:tcPr>
                  <w:tcW w:w="433" w:type="pct"/>
                  <w:tcBorders>
                    <w:tl2br w:val="nil"/>
                    <w:tr2bl w:val="nil"/>
                  </w:tcBorders>
                  <w:shd w:val="clear" w:color="auto" w:fill="auto"/>
                  <w:vAlign w:val="center"/>
                </w:tcPr>
                <w:p w14:paraId="61D7A9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kern w:val="0"/>
                      <w:szCs w:val="21"/>
                    </w:rPr>
                  </w:pPr>
                  <w:r>
                    <w:rPr>
                      <w:rFonts w:hint="eastAsia" w:cs="Times New Roman"/>
                      <w:color w:val="auto"/>
                      <w:kern w:val="0"/>
                      <w:sz w:val="21"/>
                      <w:szCs w:val="21"/>
                      <w:lang w:val="en-US" w:eastAsia="zh-CN"/>
                    </w:rPr>
                    <w:t>0</w:t>
                  </w:r>
                </w:p>
              </w:tc>
              <w:tc>
                <w:tcPr>
                  <w:tcW w:w="333" w:type="pct"/>
                  <w:tcBorders>
                    <w:tl2br w:val="nil"/>
                    <w:tr2bl w:val="nil"/>
                  </w:tcBorders>
                  <w:vAlign w:val="center"/>
                </w:tcPr>
                <w:p w14:paraId="572364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固</w:t>
                  </w:r>
                </w:p>
              </w:tc>
              <w:tc>
                <w:tcPr>
                  <w:tcW w:w="535" w:type="pct"/>
                  <w:vMerge w:val="continue"/>
                  <w:tcBorders>
                    <w:tl2br w:val="nil"/>
                    <w:tr2bl w:val="nil"/>
                  </w:tcBorders>
                  <w:vAlign w:val="center"/>
                </w:tcPr>
                <w:p w14:paraId="2BC498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rPr>
                  </w:pPr>
                </w:p>
              </w:tc>
              <w:tc>
                <w:tcPr>
                  <w:tcW w:w="491" w:type="pct"/>
                  <w:tcBorders>
                    <w:tl2br w:val="nil"/>
                    <w:tr2bl w:val="nil"/>
                  </w:tcBorders>
                  <w:shd w:val="clear" w:color="auto" w:fill="auto"/>
                  <w:vAlign w:val="center"/>
                </w:tcPr>
                <w:p w14:paraId="0B2E6AD4">
                  <w:pPr>
                    <w:pStyle w:val="7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color w:val="auto"/>
                      <w:kern w:val="0"/>
                      <w:lang w:val="en-US" w:eastAsia="zh-CN"/>
                    </w:rPr>
                    <w:t>250张</w:t>
                  </w:r>
                </w:p>
              </w:tc>
            </w:tr>
            <w:tr w14:paraId="640D8E6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89" w:type="pct"/>
                  <w:tcBorders>
                    <w:tl2br w:val="nil"/>
                    <w:tr2bl w:val="nil"/>
                  </w:tcBorders>
                  <w:shd w:val="clear" w:color="auto" w:fill="auto"/>
                  <w:vAlign w:val="center"/>
                </w:tcPr>
                <w:p w14:paraId="43B8BE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Cs w:val="21"/>
                    </w:rPr>
                    <w:t>双面多层免漆板</w:t>
                  </w:r>
                </w:p>
              </w:tc>
              <w:tc>
                <w:tcPr>
                  <w:tcW w:w="1351" w:type="pct"/>
                  <w:tcBorders>
                    <w:tl2br w:val="nil"/>
                    <w:tr2bl w:val="nil"/>
                  </w:tcBorders>
                  <w:shd w:val="clear" w:color="auto" w:fill="auto"/>
                  <w:vAlign w:val="center"/>
                </w:tcPr>
                <w:p w14:paraId="7D666C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Cs w:val="21"/>
                    </w:rPr>
                    <w:t>植物纤维</w:t>
                  </w:r>
                </w:p>
              </w:tc>
              <w:tc>
                <w:tcPr>
                  <w:tcW w:w="432" w:type="pct"/>
                  <w:tcBorders>
                    <w:tl2br w:val="nil"/>
                    <w:tr2bl w:val="nil"/>
                  </w:tcBorders>
                  <w:shd w:val="clear" w:color="auto" w:fill="auto"/>
                  <w:vAlign w:val="center"/>
                </w:tcPr>
                <w:p w14:paraId="595FC1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Cs w:val="21"/>
                    </w:rPr>
                    <w:t>2500张</w:t>
                  </w:r>
                </w:p>
              </w:tc>
              <w:tc>
                <w:tcPr>
                  <w:tcW w:w="432" w:type="pct"/>
                  <w:tcBorders>
                    <w:tl2br w:val="nil"/>
                    <w:tr2bl w:val="nil"/>
                  </w:tcBorders>
                  <w:shd w:val="clear" w:color="auto" w:fill="auto"/>
                  <w:vAlign w:val="center"/>
                </w:tcPr>
                <w:p w14:paraId="7482A8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Cs w:val="21"/>
                    </w:rPr>
                    <w:t>2500张</w:t>
                  </w:r>
                </w:p>
              </w:tc>
              <w:tc>
                <w:tcPr>
                  <w:tcW w:w="433" w:type="pct"/>
                  <w:tcBorders>
                    <w:tl2br w:val="nil"/>
                    <w:tr2bl w:val="nil"/>
                  </w:tcBorders>
                  <w:shd w:val="clear" w:color="auto" w:fill="auto"/>
                  <w:vAlign w:val="center"/>
                </w:tcPr>
                <w:p w14:paraId="0B7BB5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kern w:val="0"/>
                      <w:szCs w:val="21"/>
                    </w:rPr>
                  </w:pPr>
                  <w:r>
                    <w:rPr>
                      <w:rFonts w:hint="eastAsia" w:cs="Times New Roman"/>
                      <w:color w:val="auto"/>
                      <w:kern w:val="0"/>
                      <w:sz w:val="21"/>
                      <w:szCs w:val="21"/>
                      <w:lang w:val="en-US" w:eastAsia="zh-CN"/>
                    </w:rPr>
                    <w:t>0</w:t>
                  </w:r>
                </w:p>
              </w:tc>
              <w:tc>
                <w:tcPr>
                  <w:tcW w:w="333" w:type="pct"/>
                  <w:tcBorders>
                    <w:tl2br w:val="nil"/>
                    <w:tr2bl w:val="nil"/>
                  </w:tcBorders>
                  <w:vAlign w:val="center"/>
                </w:tcPr>
                <w:p w14:paraId="57BFF0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固</w:t>
                  </w:r>
                </w:p>
              </w:tc>
              <w:tc>
                <w:tcPr>
                  <w:tcW w:w="535" w:type="pct"/>
                  <w:vMerge w:val="continue"/>
                  <w:tcBorders>
                    <w:tl2br w:val="nil"/>
                    <w:tr2bl w:val="nil"/>
                  </w:tcBorders>
                  <w:vAlign w:val="center"/>
                </w:tcPr>
                <w:p w14:paraId="101526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p>
              </w:tc>
              <w:tc>
                <w:tcPr>
                  <w:tcW w:w="491" w:type="pct"/>
                  <w:tcBorders>
                    <w:tl2br w:val="nil"/>
                    <w:tr2bl w:val="nil"/>
                  </w:tcBorders>
                  <w:shd w:val="clear" w:color="auto" w:fill="auto"/>
                  <w:vAlign w:val="center"/>
                </w:tcPr>
                <w:p w14:paraId="42107E22">
                  <w:pPr>
                    <w:pStyle w:val="7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color w:val="auto"/>
                      <w:kern w:val="0"/>
                      <w:lang w:val="en-US" w:eastAsia="zh-CN"/>
                    </w:rPr>
                    <w:t>200张</w:t>
                  </w:r>
                </w:p>
              </w:tc>
            </w:tr>
            <w:tr w14:paraId="588A877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89" w:type="pct"/>
                  <w:tcBorders>
                    <w:tl2br w:val="nil"/>
                    <w:tr2bl w:val="nil"/>
                  </w:tcBorders>
                  <w:shd w:val="clear" w:color="auto" w:fill="auto"/>
                  <w:vAlign w:val="center"/>
                </w:tcPr>
                <w:p w14:paraId="62B52D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Cs w:val="21"/>
                    </w:rPr>
                    <w:t>白乳胶</w:t>
                  </w:r>
                </w:p>
              </w:tc>
              <w:tc>
                <w:tcPr>
                  <w:tcW w:w="1351" w:type="pct"/>
                  <w:tcBorders>
                    <w:tl2br w:val="nil"/>
                    <w:tr2bl w:val="nil"/>
                  </w:tcBorders>
                  <w:shd w:val="clear" w:color="auto" w:fill="auto"/>
                  <w:vAlign w:val="center"/>
                </w:tcPr>
                <w:p w14:paraId="5FF789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eastAsia"/>
                      <w:color w:val="auto"/>
                      <w:kern w:val="0"/>
                      <w:szCs w:val="21"/>
                      <w:lang w:val="en-US" w:eastAsia="zh-CN"/>
                    </w:rPr>
                    <w:t>改性合成PVAC树脂乳液25-45%、聚乙烯醇5-20%、消泡剂0.1-1%、成膜剂0.1-2%、水20-45%</w:t>
                  </w:r>
                </w:p>
              </w:tc>
              <w:tc>
                <w:tcPr>
                  <w:tcW w:w="432" w:type="pct"/>
                  <w:tcBorders>
                    <w:tl2br w:val="nil"/>
                    <w:tr2bl w:val="nil"/>
                  </w:tcBorders>
                  <w:shd w:val="clear" w:color="auto" w:fill="auto"/>
                  <w:vAlign w:val="center"/>
                </w:tcPr>
                <w:p w14:paraId="542EBA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Cs w:val="21"/>
                    </w:rPr>
                    <w:t>1.5</w:t>
                  </w:r>
                </w:p>
              </w:tc>
              <w:tc>
                <w:tcPr>
                  <w:tcW w:w="432" w:type="pct"/>
                  <w:tcBorders>
                    <w:tl2br w:val="nil"/>
                    <w:tr2bl w:val="nil"/>
                  </w:tcBorders>
                  <w:shd w:val="clear" w:color="auto" w:fill="auto"/>
                  <w:vAlign w:val="center"/>
                </w:tcPr>
                <w:p w14:paraId="160E5F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Cs w:val="21"/>
                    </w:rPr>
                    <w:t>1.5</w:t>
                  </w:r>
                </w:p>
              </w:tc>
              <w:tc>
                <w:tcPr>
                  <w:tcW w:w="433" w:type="pct"/>
                  <w:tcBorders>
                    <w:tl2br w:val="nil"/>
                    <w:tr2bl w:val="nil"/>
                  </w:tcBorders>
                  <w:shd w:val="clear" w:color="auto" w:fill="auto"/>
                  <w:vAlign w:val="center"/>
                </w:tcPr>
                <w:p w14:paraId="3D751F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kern w:val="0"/>
                      <w:szCs w:val="21"/>
                    </w:rPr>
                  </w:pPr>
                  <w:r>
                    <w:rPr>
                      <w:rFonts w:hint="eastAsia" w:cs="Times New Roman"/>
                      <w:color w:val="auto"/>
                      <w:kern w:val="0"/>
                      <w:sz w:val="21"/>
                      <w:szCs w:val="21"/>
                      <w:lang w:val="en-US" w:eastAsia="zh-CN"/>
                    </w:rPr>
                    <w:t>0</w:t>
                  </w:r>
                </w:p>
              </w:tc>
              <w:tc>
                <w:tcPr>
                  <w:tcW w:w="333" w:type="pct"/>
                  <w:tcBorders>
                    <w:tl2br w:val="nil"/>
                    <w:tr2bl w:val="nil"/>
                  </w:tcBorders>
                  <w:vAlign w:val="center"/>
                </w:tcPr>
                <w:p w14:paraId="707ADA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液</w:t>
                  </w:r>
                </w:p>
              </w:tc>
              <w:tc>
                <w:tcPr>
                  <w:tcW w:w="535" w:type="pct"/>
                  <w:tcBorders>
                    <w:tl2br w:val="nil"/>
                    <w:tr2bl w:val="nil"/>
                  </w:tcBorders>
                  <w:vAlign w:val="center"/>
                </w:tcPr>
                <w:p w14:paraId="437625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15kg/桶</w:t>
                  </w:r>
                </w:p>
              </w:tc>
              <w:tc>
                <w:tcPr>
                  <w:tcW w:w="491" w:type="pct"/>
                  <w:tcBorders>
                    <w:tl2br w:val="nil"/>
                    <w:tr2bl w:val="nil"/>
                  </w:tcBorders>
                  <w:shd w:val="clear" w:color="auto" w:fill="auto"/>
                  <w:vAlign w:val="center"/>
                </w:tcPr>
                <w:p w14:paraId="32F080C7">
                  <w:pPr>
                    <w:pStyle w:val="7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color w:val="auto"/>
                      <w:kern w:val="0"/>
                      <w:lang w:val="en-US" w:eastAsia="zh-CN"/>
                    </w:rPr>
                    <w:t>0.2</w:t>
                  </w:r>
                </w:p>
              </w:tc>
            </w:tr>
            <w:tr w14:paraId="0D25331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89" w:type="pct"/>
                  <w:tcBorders>
                    <w:tl2br w:val="nil"/>
                    <w:tr2bl w:val="nil"/>
                  </w:tcBorders>
                  <w:shd w:val="clear" w:color="auto" w:fill="auto"/>
                  <w:vAlign w:val="center"/>
                </w:tcPr>
                <w:p w14:paraId="485595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Cs w:val="21"/>
                    </w:rPr>
                    <w:t>热熔胶</w:t>
                  </w:r>
                </w:p>
              </w:tc>
              <w:tc>
                <w:tcPr>
                  <w:tcW w:w="1351" w:type="pct"/>
                  <w:tcBorders>
                    <w:tl2br w:val="nil"/>
                    <w:tr2bl w:val="nil"/>
                  </w:tcBorders>
                  <w:shd w:val="clear" w:color="auto" w:fill="auto"/>
                  <w:vAlign w:val="center"/>
                </w:tcPr>
                <w:p w14:paraId="2B2973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Cs w:val="21"/>
                    </w:rPr>
                    <w:t>EVA</w:t>
                  </w:r>
                </w:p>
              </w:tc>
              <w:tc>
                <w:tcPr>
                  <w:tcW w:w="432" w:type="pct"/>
                  <w:tcBorders>
                    <w:tl2br w:val="nil"/>
                    <w:tr2bl w:val="nil"/>
                  </w:tcBorders>
                  <w:shd w:val="clear" w:color="auto" w:fill="auto"/>
                  <w:vAlign w:val="center"/>
                </w:tcPr>
                <w:p w14:paraId="050359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Cs w:val="21"/>
                    </w:rPr>
                    <w:t>0.8</w:t>
                  </w:r>
                </w:p>
              </w:tc>
              <w:tc>
                <w:tcPr>
                  <w:tcW w:w="432" w:type="pct"/>
                  <w:tcBorders>
                    <w:tl2br w:val="nil"/>
                    <w:tr2bl w:val="nil"/>
                  </w:tcBorders>
                  <w:shd w:val="clear" w:color="auto" w:fill="auto"/>
                  <w:vAlign w:val="center"/>
                </w:tcPr>
                <w:p w14:paraId="45CD23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ascii="Times New Roman" w:hAnsi="Times New Roman"/>
                      <w:color w:val="auto"/>
                      <w:kern w:val="0"/>
                      <w:szCs w:val="21"/>
                    </w:rPr>
                    <w:t>0.8</w:t>
                  </w:r>
                </w:p>
              </w:tc>
              <w:tc>
                <w:tcPr>
                  <w:tcW w:w="433" w:type="pct"/>
                  <w:tcBorders>
                    <w:tl2br w:val="nil"/>
                    <w:tr2bl w:val="nil"/>
                  </w:tcBorders>
                  <w:shd w:val="clear" w:color="auto" w:fill="auto"/>
                  <w:vAlign w:val="center"/>
                </w:tcPr>
                <w:p w14:paraId="08C920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kern w:val="0"/>
                      <w:szCs w:val="21"/>
                    </w:rPr>
                  </w:pPr>
                  <w:r>
                    <w:rPr>
                      <w:rFonts w:hint="eastAsia" w:cs="Times New Roman"/>
                      <w:color w:val="auto"/>
                      <w:kern w:val="0"/>
                      <w:sz w:val="21"/>
                      <w:szCs w:val="21"/>
                      <w:lang w:val="en-US" w:eastAsia="zh-CN"/>
                    </w:rPr>
                    <w:t>0</w:t>
                  </w:r>
                </w:p>
              </w:tc>
              <w:tc>
                <w:tcPr>
                  <w:tcW w:w="333" w:type="pct"/>
                  <w:tcBorders>
                    <w:tl2br w:val="nil"/>
                    <w:tr2bl w:val="nil"/>
                  </w:tcBorders>
                  <w:vAlign w:val="center"/>
                </w:tcPr>
                <w:p w14:paraId="47062B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固</w:t>
                  </w:r>
                </w:p>
              </w:tc>
              <w:tc>
                <w:tcPr>
                  <w:tcW w:w="535" w:type="pct"/>
                  <w:tcBorders>
                    <w:tl2br w:val="nil"/>
                    <w:tr2bl w:val="nil"/>
                  </w:tcBorders>
                  <w:vAlign w:val="center"/>
                </w:tcPr>
                <w:p w14:paraId="0BEA3D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c>
                <w:tcPr>
                  <w:tcW w:w="491" w:type="pct"/>
                  <w:tcBorders>
                    <w:tl2br w:val="nil"/>
                    <w:tr2bl w:val="nil"/>
                  </w:tcBorders>
                  <w:shd w:val="clear" w:color="auto" w:fill="auto"/>
                  <w:vAlign w:val="center"/>
                </w:tcPr>
                <w:p w14:paraId="5381494D">
                  <w:pPr>
                    <w:pStyle w:val="7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cs="Times New Roman"/>
                      <w:color w:val="auto"/>
                      <w:kern w:val="0"/>
                      <w:lang w:val="en-US" w:eastAsia="zh-CN"/>
                    </w:rPr>
                    <w:t>0.2</w:t>
                  </w:r>
                </w:p>
              </w:tc>
            </w:tr>
            <w:tr w14:paraId="07ADC20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89" w:type="pct"/>
                  <w:tcBorders>
                    <w:tl2br w:val="nil"/>
                    <w:tr2bl w:val="nil"/>
                  </w:tcBorders>
                  <w:shd w:val="clear" w:color="auto" w:fill="auto"/>
                  <w:vAlign w:val="center"/>
                </w:tcPr>
                <w:p w14:paraId="098197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olor w:val="auto"/>
                      <w:kern w:val="0"/>
                      <w:szCs w:val="21"/>
                      <w:lang w:val="en-US" w:eastAsia="zh-CN"/>
                    </w:rPr>
                  </w:pPr>
                  <w:r>
                    <w:rPr>
                      <w:rFonts w:hint="eastAsia"/>
                      <w:color w:val="auto"/>
                      <w:kern w:val="0"/>
                      <w:szCs w:val="21"/>
                      <w:lang w:val="en-US" w:eastAsia="zh-CN"/>
                    </w:rPr>
                    <w:t>水性环保封闭底漆</w:t>
                  </w:r>
                </w:p>
              </w:tc>
              <w:tc>
                <w:tcPr>
                  <w:tcW w:w="1351" w:type="pct"/>
                  <w:tcBorders>
                    <w:tl2br w:val="nil"/>
                    <w:tr2bl w:val="nil"/>
                  </w:tcBorders>
                  <w:shd w:val="clear" w:color="auto" w:fill="auto"/>
                  <w:vAlign w:val="center"/>
                </w:tcPr>
                <w:p w14:paraId="5193E5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kern w:val="0"/>
                      <w:szCs w:val="21"/>
                    </w:rPr>
                  </w:pPr>
                  <w:r>
                    <w:rPr>
                      <w:rFonts w:hint="eastAsia" w:ascii="Times New Roman" w:hAnsi="Times New Roman"/>
                      <w:color w:val="auto"/>
                      <w:kern w:val="0"/>
                      <w:szCs w:val="21"/>
                    </w:rPr>
                    <w:t>水性羟基丙烯酸分散体60-70%、表面活性剂5-10%、聚乙烯蜡3-6%、水30-40%、硬脂酸锌5-10%</w:t>
                  </w:r>
                </w:p>
              </w:tc>
              <w:tc>
                <w:tcPr>
                  <w:tcW w:w="432" w:type="pct"/>
                  <w:tcBorders>
                    <w:tl2br w:val="nil"/>
                    <w:tr2bl w:val="nil"/>
                  </w:tcBorders>
                  <w:shd w:val="clear" w:color="auto" w:fill="auto"/>
                  <w:vAlign w:val="center"/>
                </w:tcPr>
                <w:p w14:paraId="007EF1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0.3</w:t>
                  </w:r>
                </w:p>
              </w:tc>
              <w:tc>
                <w:tcPr>
                  <w:tcW w:w="432" w:type="pct"/>
                  <w:tcBorders>
                    <w:tl2br w:val="nil"/>
                    <w:tr2bl w:val="nil"/>
                  </w:tcBorders>
                  <w:shd w:val="clear" w:color="auto" w:fill="auto"/>
                  <w:vAlign w:val="center"/>
                </w:tcPr>
                <w:p w14:paraId="3405ED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0</w:t>
                  </w:r>
                </w:p>
              </w:tc>
              <w:tc>
                <w:tcPr>
                  <w:tcW w:w="433" w:type="pct"/>
                  <w:tcBorders>
                    <w:tl2br w:val="nil"/>
                    <w:tr2bl w:val="nil"/>
                  </w:tcBorders>
                  <w:shd w:val="clear" w:color="auto" w:fill="auto"/>
                  <w:vAlign w:val="center"/>
                </w:tcPr>
                <w:p w14:paraId="72D224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olor w:val="auto"/>
                      <w:kern w:val="0"/>
                      <w:szCs w:val="21"/>
                      <w:lang w:val="en-US" w:eastAsia="zh-CN"/>
                    </w:rPr>
                  </w:pPr>
                  <w:r>
                    <w:rPr>
                      <w:rFonts w:hint="eastAsia"/>
                      <w:color w:val="auto"/>
                      <w:kern w:val="0"/>
                      <w:szCs w:val="21"/>
                      <w:lang w:val="en-US" w:eastAsia="zh-CN"/>
                    </w:rPr>
                    <w:t>-0.3</w:t>
                  </w:r>
                </w:p>
              </w:tc>
              <w:tc>
                <w:tcPr>
                  <w:tcW w:w="333" w:type="pct"/>
                  <w:tcBorders>
                    <w:tl2br w:val="nil"/>
                    <w:tr2bl w:val="nil"/>
                  </w:tcBorders>
                  <w:vAlign w:val="center"/>
                </w:tcPr>
                <w:p w14:paraId="45AFDF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液</w:t>
                  </w:r>
                </w:p>
              </w:tc>
              <w:tc>
                <w:tcPr>
                  <w:tcW w:w="535" w:type="pct"/>
                  <w:tcBorders>
                    <w:tl2br w:val="nil"/>
                    <w:tr2bl w:val="nil"/>
                  </w:tcBorders>
                  <w:vAlign w:val="center"/>
                </w:tcPr>
                <w:p w14:paraId="03A8E5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15L/桶</w:t>
                  </w:r>
                </w:p>
              </w:tc>
              <w:tc>
                <w:tcPr>
                  <w:tcW w:w="491" w:type="pct"/>
                  <w:tcBorders>
                    <w:tl2br w:val="nil"/>
                    <w:tr2bl w:val="nil"/>
                  </w:tcBorders>
                  <w:shd w:val="clear" w:color="auto" w:fill="auto"/>
                  <w:vAlign w:val="center"/>
                </w:tcPr>
                <w:p w14:paraId="20164036">
                  <w:pPr>
                    <w:pStyle w:val="7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kern w:val="0"/>
                      <w:lang w:val="en-US" w:eastAsia="zh-CN"/>
                    </w:rPr>
                  </w:pPr>
                  <w:r>
                    <w:rPr>
                      <w:rFonts w:hint="eastAsia" w:cs="Times New Roman"/>
                      <w:color w:val="auto"/>
                      <w:kern w:val="0"/>
                      <w:lang w:val="en-US" w:eastAsia="zh-CN"/>
                    </w:rPr>
                    <w:t>--</w:t>
                  </w:r>
                </w:p>
              </w:tc>
            </w:tr>
            <w:tr w14:paraId="7519EF4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89" w:type="pct"/>
                  <w:tcBorders>
                    <w:tl2br w:val="nil"/>
                    <w:tr2bl w:val="nil"/>
                  </w:tcBorders>
                  <w:shd w:val="clear" w:color="auto" w:fill="auto"/>
                  <w:vAlign w:val="center"/>
                </w:tcPr>
                <w:p w14:paraId="4F8A4A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olor w:val="auto"/>
                      <w:kern w:val="0"/>
                      <w:szCs w:val="21"/>
                      <w:lang w:val="en-US" w:eastAsia="zh-CN"/>
                    </w:rPr>
                  </w:pPr>
                  <w:r>
                    <w:rPr>
                      <w:rFonts w:hint="eastAsia"/>
                      <w:color w:val="auto"/>
                      <w:kern w:val="0"/>
                      <w:szCs w:val="21"/>
                      <w:lang w:val="en-US" w:eastAsia="zh-CN"/>
                    </w:rPr>
                    <w:t>水性环保透明底漆</w:t>
                  </w:r>
                </w:p>
              </w:tc>
              <w:tc>
                <w:tcPr>
                  <w:tcW w:w="1351" w:type="pct"/>
                  <w:tcBorders>
                    <w:tl2br w:val="nil"/>
                    <w:tr2bl w:val="nil"/>
                  </w:tcBorders>
                  <w:shd w:val="clear" w:color="auto" w:fill="auto"/>
                  <w:vAlign w:val="center"/>
                </w:tcPr>
                <w:p w14:paraId="4C8D9C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kern w:val="0"/>
                      <w:szCs w:val="21"/>
                    </w:rPr>
                  </w:pPr>
                  <w:r>
                    <w:rPr>
                      <w:rFonts w:hint="eastAsia" w:ascii="Times New Roman" w:hAnsi="Times New Roman"/>
                      <w:color w:val="auto"/>
                      <w:kern w:val="0"/>
                      <w:szCs w:val="21"/>
                    </w:rPr>
                    <w:t>水性羟基丙烯酸分散体65-75%、表面活性剂3-8%、聚乙烯蜡3-6%、水25-35%、硬脂酸锌3-6%</w:t>
                  </w:r>
                </w:p>
              </w:tc>
              <w:tc>
                <w:tcPr>
                  <w:tcW w:w="432" w:type="pct"/>
                  <w:tcBorders>
                    <w:tl2br w:val="nil"/>
                    <w:tr2bl w:val="nil"/>
                  </w:tcBorders>
                  <w:shd w:val="clear" w:color="auto" w:fill="auto"/>
                  <w:vAlign w:val="center"/>
                </w:tcPr>
                <w:p w14:paraId="65CB38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1.13</w:t>
                  </w:r>
                </w:p>
              </w:tc>
              <w:tc>
                <w:tcPr>
                  <w:tcW w:w="432" w:type="pct"/>
                  <w:tcBorders>
                    <w:tl2br w:val="nil"/>
                    <w:tr2bl w:val="nil"/>
                  </w:tcBorders>
                  <w:shd w:val="clear" w:color="auto" w:fill="auto"/>
                  <w:vAlign w:val="center"/>
                </w:tcPr>
                <w:p w14:paraId="7CA31E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0</w:t>
                  </w:r>
                </w:p>
              </w:tc>
              <w:tc>
                <w:tcPr>
                  <w:tcW w:w="433" w:type="pct"/>
                  <w:tcBorders>
                    <w:tl2br w:val="nil"/>
                    <w:tr2bl w:val="nil"/>
                  </w:tcBorders>
                  <w:shd w:val="clear" w:color="auto" w:fill="auto"/>
                  <w:vAlign w:val="center"/>
                </w:tcPr>
                <w:p w14:paraId="7A36F2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olor w:val="auto"/>
                      <w:kern w:val="0"/>
                      <w:szCs w:val="21"/>
                      <w:lang w:val="en-US" w:eastAsia="zh-CN"/>
                    </w:rPr>
                  </w:pPr>
                  <w:r>
                    <w:rPr>
                      <w:rFonts w:hint="eastAsia"/>
                      <w:color w:val="auto"/>
                      <w:kern w:val="0"/>
                      <w:szCs w:val="21"/>
                      <w:lang w:val="en-US" w:eastAsia="zh-CN"/>
                    </w:rPr>
                    <w:t>-1.13</w:t>
                  </w:r>
                </w:p>
              </w:tc>
              <w:tc>
                <w:tcPr>
                  <w:tcW w:w="333" w:type="pct"/>
                  <w:tcBorders>
                    <w:tl2br w:val="nil"/>
                    <w:tr2bl w:val="nil"/>
                  </w:tcBorders>
                  <w:vAlign w:val="center"/>
                </w:tcPr>
                <w:p w14:paraId="4BC54B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液</w:t>
                  </w:r>
                </w:p>
              </w:tc>
              <w:tc>
                <w:tcPr>
                  <w:tcW w:w="535" w:type="pct"/>
                  <w:tcBorders>
                    <w:tl2br w:val="nil"/>
                    <w:tr2bl w:val="nil"/>
                  </w:tcBorders>
                  <w:vAlign w:val="center"/>
                </w:tcPr>
                <w:p w14:paraId="7904DA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15L/桶</w:t>
                  </w:r>
                </w:p>
              </w:tc>
              <w:tc>
                <w:tcPr>
                  <w:tcW w:w="491" w:type="pct"/>
                  <w:tcBorders>
                    <w:tl2br w:val="nil"/>
                    <w:tr2bl w:val="nil"/>
                  </w:tcBorders>
                  <w:shd w:val="clear" w:color="auto" w:fill="auto"/>
                  <w:vAlign w:val="center"/>
                </w:tcPr>
                <w:p w14:paraId="42AD17CE">
                  <w:pPr>
                    <w:pStyle w:val="7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kern w:val="0"/>
                      <w:lang w:val="en-US" w:eastAsia="zh-CN"/>
                    </w:rPr>
                  </w:pPr>
                  <w:r>
                    <w:rPr>
                      <w:rFonts w:hint="eastAsia" w:cs="Times New Roman"/>
                      <w:color w:val="auto"/>
                      <w:kern w:val="0"/>
                      <w:lang w:val="en-US" w:eastAsia="zh-CN"/>
                    </w:rPr>
                    <w:t>--</w:t>
                  </w:r>
                </w:p>
              </w:tc>
            </w:tr>
            <w:tr w14:paraId="48D8D95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89" w:type="pct"/>
                  <w:tcBorders>
                    <w:tl2br w:val="nil"/>
                    <w:tr2bl w:val="nil"/>
                  </w:tcBorders>
                  <w:shd w:val="clear" w:color="auto" w:fill="auto"/>
                  <w:vAlign w:val="center"/>
                </w:tcPr>
                <w:p w14:paraId="2EF8C2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olor w:val="auto"/>
                      <w:kern w:val="0"/>
                      <w:szCs w:val="21"/>
                      <w:lang w:val="en-US" w:eastAsia="zh-CN"/>
                    </w:rPr>
                  </w:pPr>
                  <w:r>
                    <w:rPr>
                      <w:rFonts w:hint="eastAsia"/>
                      <w:color w:val="auto"/>
                      <w:kern w:val="0"/>
                      <w:szCs w:val="21"/>
                      <w:lang w:val="en-US" w:eastAsia="zh-CN"/>
                    </w:rPr>
                    <w:t>水性双组份封闭底漆</w:t>
                  </w:r>
                </w:p>
              </w:tc>
              <w:tc>
                <w:tcPr>
                  <w:tcW w:w="1351" w:type="pct"/>
                  <w:tcBorders>
                    <w:tl2br w:val="nil"/>
                    <w:tr2bl w:val="nil"/>
                  </w:tcBorders>
                  <w:shd w:val="clear" w:color="auto" w:fill="auto"/>
                  <w:vAlign w:val="center"/>
                </w:tcPr>
                <w:p w14:paraId="542610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kern w:val="0"/>
                      <w:szCs w:val="21"/>
                    </w:rPr>
                  </w:pPr>
                  <w:r>
                    <w:rPr>
                      <w:rFonts w:hint="eastAsia" w:ascii="Times New Roman" w:hAnsi="Times New Roman"/>
                      <w:color w:val="auto"/>
                      <w:kern w:val="0"/>
                      <w:szCs w:val="21"/>
                    </w:rPr>
                    <w:t>水性羟基丙烯酸分散体50-60%、表面活性剂10-15%、水35-45%、硬脂酸锌5-10%</w:t>
                  </w:r>
                </w:p>
              </w:tc>
              <w:tc>
                <w:tcPr>
                  <w:tcW w:w="432" w:type="pct"/>
                  <w:tcBorders>
                    <w:tl2br w:val="nil"/>
                    <w:tr2bl w:val="nil"/>
                  </w:tcBorders>
                  <w:shd w:val="clear" w:color="auto" w:fill="auto"/>
                  <w:vAlign w:val="center"/>
                </w:tcPr>
                <w:p w14:paraId="0E6247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0.22</w:t>
                  </w:r>
                </w:p>
              </w:tc>
              <w:tc>
                <w:tcPr>
                  <w:tcW w:w="432" w:type="pct"/>
                  <w:tcBorders>
                    <w:tl2br w:val="nil"/>
                    <w:tr2bl w:val="nil"/>
                  </w:tcBorders>
                  <w:shd w:val="clear" w:color="auto" w:fill="auto"/>
                  <w:vAlign w:val="center"/>
                </w:tcPr>
                <w:p w14:paraId="339EA1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0</w:t>
                  </w:r>
                </w:p>
              </w:tc>
              <w:tc>
                <w:tcPr>
                  <w:tcW w:w="433" w:type="pct"/>
                  <w:tcBorders>
                    <w:tl2br w:val="nil"/>
                    <w:tr2bl w:val="nil"/>
                  </w:tcBorders>
                  <w:shd w:val="clear" w:color="auto" w:fill="auto"/>
                  <w:vAlign w:val="center"/>
                </w:tcPr>
                <w:p w14:paraId="0C2907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olor w:val="auto"/>
                      <w:kern w:val="0"/>
                      <w:szCs w:val="21"/>
                      <w:lang w:val="en-US" w:eastAsia="zh-CN"/>
                    </w:rPr>
                  </w:pPr>
                  <w:r>
                    <w:rPr>
                      <w:rFonts w:hint="eastAsia"/>
                      <w:color w:val="auto"/>
                      <w:kern w:val="0"/>
                      <w:szCs w:val="21"/>
                      <w:lang w:val="en-US" w:eastAsia="zh-CN"/>
                    </w:rPr>
                    <w:t>-0.22</w:t>
                  </w:r>
                </w:p>
              </w:tc>
              <w:tc>
                <w:tcPr>
                  <w:tcW w:w="333" w:type="pct"/>
                  <w:tcBorders>
                    <w:tl2br w:val="nil"/>
                    <w:tr2bl w:val="nil"/>
                  </w:tcBorders>
                  <w:vAlign w:val="center"/>
                </w:tcPr>
                <w:p w14:paraId="3CA0BA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液</w:t>
                  </w:r>
                </w:p>
              </w:tc>
              <w:tc>
                <w:tcPr>
                  <w:tcW w:w="535" w:type="pct"/>
                  <w:tcBorders>
                    <w:tl2br w:val="nil"/>
                    <w:tr2bl w:val="nil"/>
                  </w:tcBorders>
                  <w:vAlign w:val="center"/>
                </w:tcPr>
                <w:p w14:paraId="195731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15L/桶</w:t>
                  </w:r>
                </w:p>
              </w:tc>
              <w:tc>
                <w:tcPr>
                  <w:tcW w:w="491" w:type="pct"/>
                  <w:tcBorders>
                    <w:tl2br w:val="nil"/>
                    <w:tr2bl w:val="nil"/>
                  </w:tcBorders>
                  <w:shd w:val="clear" w:color="auto" w:fill="auto"/>
                  <w:vAlign w:val="center"/>
                </w:tcPr>
                <w:p w14:paraId="212699D2">
                  <w:pPr>
                    <w:pStyle w:val="7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cs="Times New Roman"/>
                      <w:color w:val="auto"/>
                      <w:kern w:val="0"/>
                      <w:lang w:val="en-US" w:eastAsia="zh-CN"/>
                    </w:rPr>
                  </w:pPr>
                  <w:r>
                    <w:rPr>
                      <w:rFonts w:hint="eastAsia" w:cs="Times New Roman"/>
                      <w:color w:val="auto"/>
                      <w:kern w:val="0"/>
                      <w:lang w:val="en-US" w:eastAsia="zh-CN"/>
                    </w:rPr>
                    <w:t>--</w:t>
                  </w:r>
                </w:p>
              </w:tc>
            </w:tr>
            <w:tr w14:paraId="6D50B41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89" w:type="pct"/>
                  <w:tcBorders>
                    <w:tl2br w:val="nil"/>
                    <w:tr2bl w:val="nil"/>
                  </w:tcBorders>
                  <w:shd w:val="clear" w:color="auto" w:fill="auto"/>
                  <w:vAlign w:val="center"/>
                </w:tcPr>
                <w:p w14:paraId="3AC12F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szCs w:val="21"/>
                      <w:lang w:val="en-US" w:eastAsia="zh-CN"/>
                    </w:rPr>
                  </w:pPr>
                  <w:r>
                    <w:rPr>
                      <w:rFonts w:hint="eastAsia"/>
                      <w:color w:val="auto"/>
                      <w:kern w:val="0"/>
                      <w:szCs w:val="21"/>
                      <w:lang w:val="en-US" w:eastAsia="zh-CN"/>
                    </w:rPr>
                    <w:t>水性双组份清底漆</w:t>
                  </w:r>
                </w:p>
              </w:tc>
              <w:tc>
                <w:tcPr>
                  <w:tcW w:w="1351" w:type="pct"/>
                  <w:tcBorders>
                    <w:tl2br w:val="nil"/>
                    <w:tr2bl w:val="nil"/>
                  </w:tcBorders>
                  <w:shd w:val="clear" w:color="auto" w:fill="auto"/>
                  <w:vAlign w:val="center"/>
                </w:tcPr>
                <w:p w14:paraId="16C8D5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olor w:val="auto"/>
                      <w:kern w:val="0"/>
                      <w:szCs w:val="21"/>
                    </w:rPr>
                  </w:pPr>
                  <w:r>
                    <w:rPr>
                      <w:rFonts w:hint="eastAsia" w:ascii="Times New Roman" w:hAnsi="Times New Roman"/>
                      <w:color w:val="auto"/>
                      <w:kern w:val="0"/>
                      <w:szCs w:val="21"/>
                    </w:rPr>
                    <w:t>水性羟基丙烯酸分散体55-65%、表面活性剂5-10%、水35-45%、硬脂酸锌3-5%</w:t>
                  </w:r>
                </w:p>
              </w:tc>
              <w:tc>
                <w:tcPr>
                  <w:tcW w:w="432" w:type="pct"/>
                  <w:tcBorders>
                    <w:tl2br w:val="nil"/>
                    <w:tr2bl w:val="nil"/>
                  </w:tcBorders>
                  <w:shd w:val="clear" w:color="auto" w:fill="auto"/>
                  <w:vAlign w:val="center"/>
                </w:tcPr>
                <w:p w14:paraId="10F197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olor w:val="auto"/>
                      <w:kern w:val="0"/>
                      <w:szCs w:val="21"/>
                      <w:lang w:val="en-US" w:eastAsia="zh-CN"/>
                    </w:rPr>
                  </w:pPr>
                  <w:r>
                    <w:rPr>
                      <w:rFonts w:hint="eastAsia" w:ascii="Times New Roman" w:hAnsi="Times New Roman"/>
                      <w:color w:val="auto"/>
                      <w:kern w:val="0"/>
                      <w:szCs w:val="21"/>
                      <w:lang w:val="en-US" w:eastAsia="zh-CN"/>
                    </w:rPr>
                    <w:t>0.67</w:t>
                  </w:r>
                </w:p>
              </w:tc>
              <w:tc>
                <w:tcPr>
                  <w:tcW w:w="432" w:type="pct"/>
                  <w:tcBorders>
                    <w:tl2br w:val="nil"/>
                    <w:tr2bl w:val="nil"/>
                  </w:tcBorders>
                  <w:shd w:val="clear" w:color="auto" w:fill="auto"/>
                  <w:vAlign w:val="center"/>
                </w:tcPr>
                <w:p w14:paraId="15510C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olor w:val="auto"/>
                      <w:kern w:val="0"/>
                      <w:szCs w:val="21"/>
                      <w:lang w:val="en-US" w:eastAsia="zh-CN"/>
                    </w:rPr>
                  </w:pPr>
                  <w:r>
                    <w:rPr>
                      <w:rFonts w:hint="eastAsia" w:ascii="Times New Roman" w:hAnsi="Times New Roman"/>
                      <w:color w:val="auto"/>
                      <w:kern w:val="0"/>
                      <w:szCs w:val="21"/>
                      <w:lang w:val="en-US" w:eastAsia="zh-CN"/>
                    </w:rPr>
                    <w:t>0</w:t>
                  </w:r>
                </w:p>
              </w:tc>
              <w:tc>
                <w:tcPr>
                  <w:tcW w:w="433" w:type="pct"/>
                  <w:tcBorders>
                    <w:tl2br w:val="nil"/>
                    <w:tr2bl w:val="nil"/>
                  </w:tcBorders>
                  <w:shd w:val="clear" w:color="auto" w:fill="auto"/>
                  <w:vAlign w:val="center"/>
                </w:tcPr>
                <w:p w14:paraId="7BB129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szCs w:val="21"/>
                      <w:lang w:val="en-US" w:eastAsia="zh-CN"/>
                    </w:rPr>
                  </w:pPr>
                  <w:r>
                    <w:rPr>
                      <w:rFonts w:hint="eastAsia"/>
                      <w:color w:val="auto"/>
                      <w:kern w:val="0"/>
                      <w:szCs w:val="21"/>
                      <w:lang w:val="en-US" w:eastAsia="zh-CN"/>
                    </w:rPr>
                    <w:t>-0.67</w:t>
                  </w:r>
                </w:p>
              </w:tc>
              <w:tc>
                <w:tcPr>
                  <w:tcW w:w="333" w:type="pct"/>
                  <w:tcBorders>
                    <w:tl2br w:val="nil"/>
                    <w:tr2bl w:val="nil"/>
                  </w:tcBorders>
                  <w:shd w:val="clear" w:color="auto" w:fill="auto"/>
                  <w:vAlign w:val="center"/>
                </w:tcPr>
                <w:p w14:paraId="20EFFE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cs="Times New Roman"/>
                      <w:color w:val="auto"/>
                      <w:kern w:val="0"/>
                      <w:sz w:val="21"/>
                      <w:szCs w:val="21"/>
                      <w:lang w:val="en-US" w:eastAsia="zh-CN"/>
                    </w:rPr>
                    <w:t>液</w:t>
                  </w:r>
                </w:p>
              </w:tc>
              <w:tc>
                <w:tcPr>
                  <w:tcW w:w="535" w:type="pct"/>
                  <w:tcBorders>
                    <w:tl2br w:val="nil"/>
                    <w:tr2bl w:val="nil"/>
                  </w:tcBorders>
                  <w:shd w:val="clear" w:color="auto" w:fill="auto"/>
                  <w:vAlign w:val="center"/>
                </w:tcPr>
                <w:p w14:paraId="23A123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cs="Times New Roman"/>
                      <w:color w:val="auto"/>
                      <w:kern w:val="0"/>
                      <w:sz w:val="21"/>
                      <w:szCs w:val="21"/>
                      <w:lang w:val="en-US" w:eastAsia="zh-CN"/>
                    </w:rPr>
                    <w:t>15L/桶</w:t>
                  </w:r>
                </w:p>
              </w:tc>
              <w:tc>
                <w:tcPr>
                  <w:tcW w:w="491" w:type="pct"/>
                  <w:tcBorders>
                    <w:tl2br w:val="nil"/>
                    <w:tr2bl w:val="nil"/>
                  </w:tcBorders>
                  <w:shd w:val="clear" w:color="auto" w:fill="auto"/>
                  <w:vAlign w:val="center"/>
                </w:tcPr>
                <w:p w14:paraId="277BC32E">
                  <w:pPr>
                    <w:pStyle w:val="7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cs="Times New Roman"/>
                      <w:color w:val="auto"/>
                      <w:kern w:val="0"/>
                      <w:lang w:val="en-US" w:eastAsia="zh-CN"/>
                    </w:rPr>
                    <w:t>--</w:t>
                  </w:r>
                </w:p>
              </w:tc>
            </w:tr>
            <w:tr w14:paraId="0F4880D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89" w:type="pct"/>
                  <w:tcBorders>
                    <w:tl2br w:val="nil"/>
                    <w:tr2bl w:val="nil"/>
                  </w:tcBorders>
                  <w:shd w:val="clear" w:color="auto" w:fill="auto"/>
                  <w:vAlign w:val="center"/>
                </w:tcPr>
                <w:p w14:paraId="20726C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olor w:val="auto"/>
                      <w:kern w:val="0"/>
                      <w:szCs w:val="21"/>
                      <w:lang w:val="en-US" w:eastAsia="zh-CN"/>
                    </w:rPr>
                  </w:pPr>
                  <w:r>
                    <w:rPr>
                      <w:rFonts w:hint="eastAsia"/>
                      <w:color w:val="auto"/>
                      <w:kern w:val="0"/>
                      <w:szCs w:val="21"/>
                      <w:lang w:val="en-US" w:eastAsia="zh-CN"/>
                    </w:rPr>
                    <w:t>水性双组份耐黄变白底漆</w:t>
                  </w:r>
                </w:p>
              </w:tc>
              <w:tc>
                <w:tcPr>
                  <w:tcW w:w="1351" w:type="pct"/>
                  <w:tcBorders>
                    <w:tl2br w:val="nil"/>
                    <w:tr2bl w:val="nil"/>
                  </w:tcBorders>
                  <w:shd w:val="clear" w:color="auto" w:fill="auto"/>
                  <w:vAlign w:val="center"/>
                </w:tcPr>
                <w:p w14:paraId="56AC0C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kern w:val="0"/>
                      <w:szCs w:val="21"/>
                    </w:rPr>
                  </w:pPr>
                  <w:r>
                    <w:rPr>
                      <w:rFonts w:hint="eastAsia" w:ascii="Times New Roman" w:hAnsi="Times New Roman"/>
                      <w:color w:val="auto"/>
                      <w:kern w:val="0"/>
                      <w:szCs w:val="21"/>
                    </w:rPr>
                    <w:t>水性羟基丙烯酸分散体50-60%、表面活性剂5-7%、硬脂酸锌3-5%、水35-45%、钛白粉14-23%</w:t>
                  </w:r>
                </w:p>
              </w:tc>
              <w:tc>
                <w:tcPr>
                  <w:tcW w:w="432" w:type="pct"/>
                  <w:tcBorders>
                    <w:tl2br w:val="nil"/>
                    <w:tr2bl w:val="nil"/>
                  </w:tcBorders>
                  <w:shd w:val="clear" w:color="auto" w:fill="auto"/>
                  <w:vAlign w:val="center"/>
                </w:tcPr>
                <w:p w14:paraId="67453B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0.29</w:t>
                  </w:r>
                </w:p>
              </w:tc>
              <w:tc>
                <w:tcPr>
                  <w:tcW w:w="432" w:type="pct"/>
                  <w:tcBorders>
                    <w:tl2br w:val="nil"/>
                    <w:tr2bl w:val="nil"/>
                  </w:tcBorders>
                  <w:shd w:val="clear" w:color="auto" w:fill="auto"/>
                  <w:vAlign w:val="center"/>
                </w:tcPr>
                <w:p w14:paraId="460A4A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0</w:t>
                  </w:r>
                </w:p>
              </w:tc>
              <w:tc>
                <w:tcPr>
                  <w:tcW w:w="433" w:type="pct"/>
                  <w:tcBorders>
                    <w:tl2br w:val="nil"/>
                    <w:tr2bl w:val="nil"/>
                  </w:tcBorders>
                  <w:shd w:val="clear" w:color="auto" w:fill="auto"/>
                  <w:vAlign w:val="center"/>
                </w:tcPr>
                <w:p w14:paraId="277E4F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olor w:val="auto"/>
                      <w:kern w:val="0"/>
                      <w:szCs w:val="21"/>
                      <w:lang w:val="en-US" w:eastAsia="zh-CN"/>
                    </w:rPr>
                  </w:pPr>
                  <w:r>
                    <w:rPr>
                      <w:rFonts w:hint="eastAsia"/>
                      <w:color w:val="auto"/>
                      <w:kern w:val="0"/>
                      <w:szCs w:val="21"/>
                      <w:lang w:val="en-US" w:eastAsia="zh-CN"/>
                    </w:rPr>
                    <w:t>-0.29</w:t>
                  </w:r>
                </w:p>
              </w:tc>
              <w:tc>
                <w:tcPr>
                  <w:tcW w:w="333" w:type="pct"/>
                  <w:tcBorders>
                    <w:tl2br w:val="nil"/>
                    <w:tr2bl w:val="nil"/>
                  </w:tcBorders>
                  <w:shd w:val="clear" w:color="auto" w:fill="auto"/>
                  <w:vAlign w:val="center"/>
                </w:tcPr>
                <w:p w14:paraId="0B2E84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cs="Times New Roman"/>
                      <w:color w:val="auto"/>
                      <w:kern w:val="0"/>
                      <w:sz w:val="21"/>
                      <w:szCs w:val="21"/>
                      <w:lang w:val="en-US" w:eastAsia="zh-CN"/>
                    </w:rPr>
                    <w:t>液</w:t>
                  </w:r>
                </w:p>
              </w:tc>
              <w:tc>
                <w:tcPr>
                  <w:tcW w:w="535" w:type="pct"/>
                  <w:tcBorders>
                    <w:tl2br w:val="nil"/>
                    <w:tr2bl w:val="nil"/>
                  </w:tcBorders>
                  <w:shd w:val="clear" w:color="auto" w:fill="auto"/>
                  <w:vAlign w:val="center"/>
                </w:tcPr>
                <w:p w14:paraId="5A7CF8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cs="Times New Roman"/>
                      <w:color w:val="auto"/>
                      <w:kern w:val="0"/>
                      <w:sz w:val="21"/>
                      <w:szCs w:val="21"/>
                      <w:lang w:val="en-US" w:eastAsia="zh-CN"/>
                    </w:rPr>
                    <w:t>15L/桶</w:t>
                  </w:r>
                </w:p>
              </w:tc>
              <w:tc>
                <w:tcPr>
                  <w:tcW w:w="491" w:type="pct"/>
                  <w:tcBorders>
                    <w:tl2br w:val="nil"/>
                    <w:tr2bl w:val="nil"/>
                  </w:tcBorders>
                  <w:shd w:val="clear" w:color="auto" w:fill="auto"/>
                  <w:vAlign w:val="center"/>
                </w:tcPr>
                <w:p w14:paraId="6ABA65F6">
                  <w:pPr>
                    <w:pStyle w:val="7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cs="Times New Roman"/>
                      <w:color w:val="auto"/>
                      <w:kern w:val="0"/>
                      <w:lang w:val="en-US" w:eastAsia="zh-CN"/>
                    </w:rPr>
                    <w:t>--</w:t>
                  </w:r>
                </w:p>
              </w:tc>
            </w:tr>
            <w:tr w14:paraId="2703A71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89" w:type="pct"/>
                  <w:tcBorders>
                    <w:tl2br w:val="nil"/>
                    <w:tr2bl w:val="nil"/>
                  </w:tcBorders>
                  <w:shd w:val="clear" w:color="auto" w:fill="auto"/>
                  <w:vAlign w:val="center"/>
                </w:tcPr>
                <w:p w14:paraId="31EC01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olor w:val="auto"/>
                      <w:kern w:val="0"/>
                      <w:szCs w:val="21"/>
                      <w:lang w:val="en-US" w:eastAsia="zh-CN"/>
                    </w:rPr>
                  </w:pPr>
                  <w:r>
                    <w:rPr>
                      <w:rFonts w:hint="eastAsia"/>
                      <w:color w:val="auto"/>
                      <w:kern w:val="0"/>
                      <w:szCs w:val="21"/>
                      <w:lang w:val="en-US" w:eastAsia="zh-CN"/>
                    </w:rPr>
                    <w:t>水性双组份哑光面漆</w:t>
                  </w:r>
                </w:p>
              </w:tc>
              <w:tc>
                <w:tcPr>
                  <w:tcW w:w="1351" w:type="pct"/>
                  <w:tcBorders>
                    <w:tl2br w:val="nil"/>
                    <w:tr2bl w:val="nil"/>
                  </w:tcBorders>
                  <w:shd w:val="clear" w:color="auto" w:fill="auto"/>
                  <w:vAlign w:val="center"/>
                </w:tcPr>
                <w:p w14:paraId="1E0F3D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kern w:val="0"/>
                      <w:szCs w:val="21"/>
                    </w:rPr>
                  </w:pPr>
                  <w:r>
                    <w:rPr>
                      <w:rFonts w:hint="eastAsia" w:ascii="Times New Roman" w:hAnsi="Times New Roman"/>
                      <w:color w:val="auto"/>
                      <w:kern w:val="0"/>
                      <w:szCs w:val="21"/>
                    </w:rPr>
                    <w:t>水性羟基丙烯酸分散体60-70%、表面活性剂5-8%、聚乙烯蜡3-6%、气相二氧化硅2-6%、水30-40%</w:t>
                  </w:r>
                </w:p>
              </w:tc>
              <w:tc>
                <w:tcPr>
                  <w:tcW w:w="432" w:type="pct"/>
                  <w:tcBorders>
                    <w:tl2br w:val="nil"/>
                    <w:tr2bl w:val="nil"/>
                  </w:tcBorders>
                  <w:shd w:val="clear" w:color="auto" w:fill="auto"/>
                  <w:vAlign w:val="center"/>
                </w:tcPr>
                <w:p w14:paraId="7433E8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1.42</w:t>
                  </w:r>
                </w:p>
              </w:tc>
              <w:tc>
                <w:tcPr>
                  <w:tcW w:w="432" w:type="pct"/>
                  <w:tcBorders>
                    <w:tl2br w:val="nil"/>
                    <w:tr2bl w:val="nil"/>
                  </w:tcBorders>
                  <w:shd w:val="clear" w:color="auto" w:fill="auto"/>
                  <w:vAlign w:val="center"/>
                </w:tcPr>
                <w:p w14:paraId="326472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0</w:t>
                  </w:r>
                </w:p>
              </w:tc>
              <w:tc>
                <w:tcPr>
                  <w:tcW w:w="433" w:type="pct"/>
                  <w:tcBorders>
                    <w:tl2br w:val="nil"/>
                    <w:tr2bl w:val="nil"/>
                  </w:tcBorders>
                  <w:shd w:val="clear" w:color="auto" w:fill="auto"/>
                  <w:vAlign w:val="center"/>
                </w:tcPr>
                <w:p w14:paraId="0E13EE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olor w:val="auto"/>
                      <w:kern w:val="0"/>
                      <w:szCs w:val="21"/>
                      <w:lang w:val="en-US" w:eastAsia="zh-CN"/>
                    </w:rPr>
                  </w:pPr>
                  <w:r>
                    <w:rPr>
                      <w:rFonts w:hint="eastAsia"/>
                      <w:color w:val="auto"/>
                      <w:kern w:val="0"/>
                      <w:szCs w:val="21"/>
                      <w:lang w:val="en-US" w:eastAsia="zh-CN"/>
                    </w:rPr>
                    <w:t>-1.42</w:t>
                  </w:r>
                </w:p>
              </w:tc>
              <w:tc>
                <w:tcPr>
                  <w:tcW w:w="333" w:type="pct"/>
                  <w:tcBorders>
                    <w:tl2br w:val="nil"/>
                    <w:tr2bl w:val="nil"/>
                  </w:tcBorders>
                  <w:shd w:val="clear" w:color="auto" w:fill="auto"/>
                  <w:vAlign w:val="center"/>
                </w:tcPr>
                <w:p w14:paraId="2EAFEF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cs="Times New Roman"/>
                      <w:color w:val="auto"/>
                      <w:kern w:val="0"/>
                      <w:sz w:val="21"/>
                      <w:szCs w:val="21"/>
                      <w:lang w:val="en-US" w:eastAsia="zh-CN"/>
                    </w:rPr>
                    <w:t>液</w:t>
                  </w:r>
                </w:p>
              </w:tc>
              <w:tc>
                <w:tcPr>
                  <w:tcW w:w="535" w:type="pct"/>
                  <w:tcBorders>
                    <w:tl2br w:val="nil"/>
                    <w:tr2bl w:val="nil"/>
                  </w:tcBorders>
                  <w:shd w:val="clear" w:color="auto" w:fill="auto"/>
                  <w:vAlign w:val="center"/>
                </w:tcPr>
                <w:p w14:paraId="0E8147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cs="Times New Roman"/>
                      <w:color w:val="auto"/>
                      <w:kern w:val="0"/>
                      <w:sz w:val="21"/>
                      <w:szCs w:val="21"/>
                      <w:lang w:val="en-US" w:eastAsia="zh-CN"/>
                    </w:rPr>
                    <w:t>15L/桶</w:t>
                  </w:r>
                </w:p>
              </w:tc>
              <w:tc>
                <w:tcPr>
                  <w:tcW w:w="491" w:type="pct"/>
                  <w:tcBorders>
                    <w:tl2br w:val="nil"/>
                    <w:tr2bl w:val="nil"/>
                  </w:tcBorders>
                  <w:shd w:val="clear" w:color="auto" w:fill="auto"/>
                  <w:vAlign w:val="center"/>
                </w:tcPr>
                <w:p w14:paraId="5E13B31E">
                  <w:pPr>
                    <w:pStyle w:val="7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cs="Times New Roman"/>
                      <w:color w:val="auto"/>
                      <w:kern w:val="0"/>
                      <w:lang w:val="en-US" w:eastAsia="zh-CN"/>
                    </w:rPr>
                    <w:t>--</w:t>
                  </w:r>
                </w:p>
              </w:tc>
            </w:tr>
            <w:tr w14:paraId="52C70E9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89" w:type="pct"/>
                  <w:tcBorders>
                    <w:tl2br w:val="nil"/>
                    <w:tr2bl w:val="nil"/>
                  </w:tcBorders>
                  <w:shd w:val="clear" w:color="auto" w:fill="auto"/>
                  <w:vAlign w:val="center"/>
                </w:tcPr>
                <w:p w14:paraId="72609B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olor w:val="auto"/>
                      <w:kern w:val="0"/>
                      <w:szCs w:val="21"/>
                      <w:lang w:val="en-US" w:eastAsia="zh-CN"/>
                    </w:rPr>
                  </w:pPr>
                  <w:r>
                    <w:rPr>
                      <w:rFonts w:hint="eastAsia"/>
                      <w:color w:val="auto"/>
                      <w:kern w:val="0"/>
                      <w:szCs w:val="21"/>
                      <w:lang w:val="en-US" w:eastAsia="zh-CN"/>
                    </w:rPr>
                    <w:t>水性环保透明面漆五分光</w:t>
                  </w:r>
                </w:p>
              </w:tc>
              <w:tc>
                <w:tcPr>
                  <w:tcW w:w="1351" w:type="pct"/>
                  <w:tcBorders>
                    <w:tl2br w:val="nil"/>
                    <w:tr2bl w:val="nil"/>
                  </w:tcBorders>
                  <w:shd w:val="clear" w:color="auto" w:fill="auto"/>
                  <w:vAlign w:val="center"/>
                </w:tcPr>
                <w:p w14:paraId="3F49AD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kern w:val="0"/>
                      <w:szCs w:val="21"/>
                    </w:rPr>
                  </w:pPr>
                  <w:r>
                    <w:rPr>
                      <w:rFonts w:hint="eastAsia" w:ascii="Times New Roman" w:hAnsi="Times New Roman"/>
                      <w:color w:val="auto"/>
                      <w:kern w:val="0"/>
                      <w:szCs w:val="21"/>
                    </w:rPr>
                    <w:t>水性羟基丙烯酸分散体65-75%、表面活性剂3-7%、聚乙烯蜡3-6%、气相二氧化硅0.5-2%、水30-40%</w:t>
                  </w:r>
                </w:p>
              </w:tc>
              <w:tc>
                <w:tcPr>
                  <w:tcW w:w="432" w:type="pct"/>
                  <w:tcBorders>
                    <w:tl2br w:val="nil"/>
                    <w:tr2bl w:val="nil"/>
                  </w:tcBorders>
                  <w:shd w:val="clear" w:color="auto" w:fill="auto"/>
                  <w:vAlign w:val="center"/>
                </w:tcPr>
                <w:p w14:paraId="7ADFB2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1.3</w:t>
                  </w:r>
                </w:p>
              </w:tc>
              <w:tc>
                <w:tcPr>
                  <w:tcW w:w="432" w:type="pct"/>
                  <w:tcBorders>
                    <w:tl2br w:val="nil"/>
                    <w:tr2bl w:val="nil"/>
                  </w:tcBorders>
                  <w:shd w:val="clear" w:color="auto" w:fill="auto"/>
                  <w:vAlign w:val="center"/>
                </w:tcPr>
                <w:p w14:paraId="39CDB1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0</w:t>
                  </w:r>
                </w:p>
              </w:tc>
              <w:tc>
                <w:tcPr>
                  <w:tcW w:w="433" w:type="pct"/>
                  <w:tcBorders>
                    <w:tl2br w:val="nil"/>
                    <w:tr2bl w:val="nil"/>
                  </w:tcBorders>
                  <w:shd w:val="clear" w:color="auto" w:fill="auto"/>
                  <w:vAlign w:val="center"/>
                </w:tcPr>
                <w:p w14:paraId="758A38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olor w:val="auto"/>
                      <w:kern w:val="0"/>
                      <w:szCs w:val="21"/>
                      <w:lang w:val="en-US" w:eastAsia="zh-CN"/>
                    </w:rPr>
                  </w:pPr>
                  <w:r>
                    <w:rPr>
                      <w:rFonts w:hint="eastAsia"/>
                      <w:color w:val="auto"/>
                      <w:kern w:val="0"/>
                      <w:szCs w:val="21"/>
                      <w:lang w:val="en-US" w:eastAsia="zh-CN"/>
                    </w:rPr>
                    <w:t>-1.3</w:t>
                  </w:r>
                </w:p>
              </w:tc>
              <w:tc>
                <w:tcPr>
                  <w:tcW w:w="333" w:type="pct"/>
                  <w:tcBorders>
                    <w:tl2br w:val="nil"/>
                    <w:tr2bl w:val="nil"/>
                  </w:tcBorders>
                  <w:shd w:val="clear" w:color="auto" w:fill="auto"/>
                  <w:vAlign w:val="center"/>
                </w:tcPr>
                <w:p w14:paraId="4DE07E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cs="Times New Roman"/>
                      <w:color w:val="auto"/>
                      <w:kern w:val="0"/>
                      <w:sz w:val="21"/>
                      <w:szCs w:val="21"/>
                      <w:lang w:val="en-US" w:eastAsia="zh-CN"/>
                    </w:rPr>
                    <w:t>液</w:t>
                  </w:r>
                </w:p>
              </w:tc>
              <w:tc>
                <w:tcPr>
                  <w:tcW w:w="535" w:type="pct"/>
                  <w:tcBorders>
                    <w:tl2br w:val="nil"/>
                    <w:tr2bl w:val="nil"/>
                  </w:tcBorders>
                  <w:shd w:val="clear" w:color="auto" w:fill="auto"/>
                  <w:vAlign w:val="center"/>
                </w:tcPr>
                <w:p w14:paraId="55345F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cs="Times New Roman"/>
                      <w:color w:val="auto"/>
                      <w:kern w:val="0"/>
                      <w:sz w:val="21"/>
                      <w:szCs w:val="21"/>
                      <w:lang w:val="en-US" w:eastAsia="zh-CN"/>
                    </w:rPr>
                    <w:t>15L/桶</w:t>
                  </w:r>
                </w:p>
              </w:tc>
              <w:tc>
                <w:tcPr>
                  <w:tcW w:w="491" w:type="pct"/>
                  <w:tcBorders>
                    <w:tl2br w:val="nil"/>
                    <w:tr2bl w:val="nil"/>
                  </w:tcBorders>
                  <w:shd w:val="clear" w:color="auto" w:fill="auto"/>
                  <w:vAlign w:val="center"/>
                </w:tcPr>
                <w:p w14:paraId="5E53123D">
                  <w:pPr>
                    <w:pStyle w:val="7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cs="Times New Roman"/>
                      <w:color w:val="auto"/>
                      <w:kern w:val="0"/>
                      <w:lang w:val="en-US" w:eastAsia="zh-CN"/>
                    </w:rPr>
                    <w:t>--</w:t>
                  </w:r>
                </w:p>
              </w:tc>
            </w:tr>
            <w:tr w14:paraId="163919B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89" w:type="pct"/>
                  <w:tcBorders>
                    <w:tl2br w:val="nil"/>
                    <w:tr2bl w:val="nil"/>
                  </w:tcBorders>
                  <w:shd w:val="clear" w:color="auto" w:fill="auto"/>
                  <w:vAlign w:val="center"/>
                </w:tcPr>
                <w:p w14:paraId="5DE9D8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kern w:val="0"/>
                      <w:szCs w:val="21"/>
                    </w:rPr>
                  </w:pPr>
                  <w:r>
                    <w:rPr>
                      <w:rFonts w:hint="eastAsia" w:ascii="Times New Roman" w:hAnsi="Times New Roman"/>
                      <w:color w:val="auto"/>
                      <w:kern w:val="0"/>
                      <w:szCs w:val="21"/>
                    </w:rPr>
                    <w:t>水性双组份耐黄变亚光白面漆</w:t>
                  </w:r>
                </w:p>
              </w:tc>
              <w:tc>
                <w:tcPr>
                  <w:tcW w:w="1351" w:type="pct"/>
                  <w:tcBorders>
                    <w:tl2br w:val="nil"/>
                    <w:tr2bl w:val="nil"/>
                  </w:tcBorders>
                  <w:shd w:val="clear" w:color="auto" w:fill="auto"/>
                  <w:vAlign w:val="center"/>
                </w:tcPr>
                <w:p w14:paraId="083F05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kern w:val="0"/>
                      <w:szCs w:val="21"/>
                    </w:rPr>
                  </w:pPr>
                  <w:r>
                    <w:rPr>
                      <w:rFonts w:hint="eastAsia" w:ascii="Times New Roman" w:hAnsi="Times New Roman"/>
                      <w:color w:val="auto"/>
                      <w:kern w:val="0"/>
                      <w:szCs w:val="21"/>
                    </w:rPr>
                    <w:t>水性羟基丙烯酸分散体55-65%、表面活性剂3-7%、聚乙烯蜡3-6%、气相二氧化硅0.5-2%、水30-40%、钛白粉10-15%</w:t>
                  </w:r>
                </w:p>
              </w:tc>
              <w:tc>
                <w:tcPr>
                  <w:tcW w:w="432" w:type="pct"/>
                  <w:tcBorders>
                    <w:tl2br w:val="nil"/>
                    <w:tr2bl w:val="nil"/>
                  </w:tcBorders>
                  <w:shd w:val="clear" w:color="auto" w:fill="auto"/>
                  <w:vAlign w:val="center"/>
                </w:tcPr>
                <w:p w14:paraId="6A020F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0.91</w:t>
                  </w:r>
                </w:p>
              </w:tc>
              <w:tc>
                <w:tcPr>
                  <w:tcW w:w="432" w:type="pct"/>
                  <w:tcBorders>
                    <w:tl2br w:val="nil"/>
                    <w:tr2bl w:val="nil"/>
                  </w:tcBorders>
                  <w:shd w:val="clear" w:color="auto" w:fill="auto"/>
                  <w:vAlign w:val="center"/>
                </w:tcPr>
                <w:p w14:paraId="7A2252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0</w:t>
                  </w:r>
                </w:p>
              </w:tc>
              <w:tc>
                <w:tcPr>
                  <w:tcW w:w="433" w:type="pct"/>
                  <w:tcBorders>
                    <w:tl2br w:val="nil"/>
                    <w:tr2bl w:val="nil"/>
                  </w:tcBorders>
                  <w:shd w:val="clear" w:color="auto" w:fill="auto"/>
                  <w:vAlign w:val="center"/>
                </w:tcPr>
                <w:p w14:paraId="340434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olor w:val="auto"/>
                      <w:kern w:val="0"/>
                      <w:szCs w:val="21"/>
                      <w:lang w:val="en-US" w:eastAsia="zh-CN"/>
                    </w:rPr>
                  </w:pPr>
                  <w:r>
                    <w:rPr>
                      <w:rFonts w:hint="eastAsia"/>
                      <w:color w:val="auto"/>
                      <w:kern w:val="0"/>
                      <w:szCs w:val="21"/>
                      <w:lang w:val="en-US" w:eastAsia="zh-CN"/>
                    </w:rPr>
                    <w:t>-0.91</w:t>
                  </w:r>
                </w:p>
              </w:tc>
              <w:tc>
                <w:tcPr>
                  <w:tcW w:w="333" w:type="pct"/>
                  <w:tcBorders>
                    <w:tl2br w:val="nil"/>
                    <w:tr2bl w:val="nil"/>
                  </w:tcBorders>
                  <w:shd w:val="clear" w:color="auto" w:fill="auto"/>
                  <w:vAlign w:val="center"/>
                </w:tcPr>
                <w:p w14:paraId="737A4E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cs="Times New Roman"/>
                      <w:color w:val="auto"/>
                      <w:kern w:val="0"/>
                      <w:sz w:val="21"/>
                      <w:szCs w:val="21"/>
                      <w:lang w:val="en-US" w:eastAsia="zh-CN"/>
                    </w:rPr>
                    <w:t>液</w:t>
                  </w:r>
                </w:p>
              </w:tc>
              <w:tc>
                <w:tcPr>
                  <w:tcW w:w="535" w:type="pct"/>
                  <w:tcBorders>
                    <w:tl2br w:val="nil"/>
                    <w:tr2bl w:val="nil"/>
                  </w:tcBorders>
                  <w:shd w:val="clear" w:color="auto" w:fill="auto"/>
                  <w:vAlign w:val="center"/>
                </w:tcPr>
                <w:p w14:paraId="07651D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cs="Times New Roman"/>
                      <w:color w:val="auto"/>
                      <w:kern w:val="0"/>
                      <w:sz w:val="21"/>
                      <w:szCs w:val="21"/>
                      <w:lang w:val="en-US" w:eastAsia="zh-CN"/>
                    </w:rPr>
                    <w:t>15L/桶</w:t>
                  </w:r>
                </w:p>
              </w:tc>
              <w:tc>
                <w:tcPr>
                  <w:tcW w:w="491" w:type="pct"/>
                  <w:tcBorders>
                    <w:tl2br w:val="nil"/>
                    <w:tr2bl w:val="nil"/>
                  </w:tcBorders>
                  <w:shd w:val="clear" w:color="auto" w:fill="auto"/>
                  <w:vAlign w:val="center"/>
                </w:tcPr>
                <w:p w14:paraId="3872D0AD">
                  <w:pPr>
                    <w:pStyle w:val="7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cs="Times New Roman"/>
                      <w:color w:val="auto"/>
                      <w:kern w:val="0"/>
                      <w:lang w:val="en-US" w:eastAsia="zh-CN"/>
                    </w:rPr>
                    <w:t>--</w:t>
                  </w:r>
                </w:p>
              </w:tc>
            </w:tr>
            <w:tr w14:paraId="0224F65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89" w:type="pct"/>
                  <w:tcBorders>
                    <w:tl2br w:val="nil"/>
                    <w:tr2bl w:val="nil"/>
                  </w:tcBorders>
                  <w:shd w:val="clear" w:color="auto" w:fill="auto"/>
                  <w:vAlign w:val="center"/>
                </w:tcPr>
                <w:p w14:paraId="6FED14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olor w:val="auto"/>
                      <w:kern w:val="0"/>
                      <w:szCs w:val="21"/>
                      <w:lang w:val="en-US" w:eastAsia="zh-CN"/>
                    </w:rPr>
                  </w:pPr>
                  <w:r>
                    <w:rPr>
                      <w:rFonts w:hint="eastAsia"/>
                      <w:color w:val="auto"/>
                      <w:kern w:val="0"/>
                      <w:szCs w:val="21"/>
                      <w:lang w:val="en-US" w:eastAsia="zh-CN"/>
                    </w:rPr>
                    <w:t>水性漆固化剂</w:t>
                  </w:r>
                </w:p>
              </w:tc>
              <w:tc>
                <w:tcPr>
                  <w:tcW w:w="1351" w:type="pct"/>
                  <w:tcBorders>
                    <w:tl2br w:val="nil"/>
                    <w:tr2bl w:val="nil"/>
                  </w:tcBorders>
                  <w:shd w:val="clear" w:color="auto" w:fill="auto"/>
                  <w:vAlign w:val="center"/>
                </w:tcPr>
                <w:p w14:paraId="13F836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kern w:val="0"/>
                      <w:szCs w:val="21"/>
                    </w:rPr>
                  </w:pPr>
                  <w:r>
                    <w:rPr>
                      <w:rFonts w:hint="eastAsia" w:ascii="Times New Roman" w:hAnsi="Times New Roman"/>
                      <w:color w:val="auto"/>
                      <w:kern w:val="0"/>
                      <w:szCs w:val="21"/>
                    </w:rPr>
                    <w:t>固化剂70-80%，丙二醇甲醚乙酸酯20-30%</w:t>
                  </w:r>
                </w:p>
              </w:tc>
              <w:tc>
                <w:tcPr>
                  <w:tcW w:w="432" w:type="pct"/>
                  <w:tcBorders>
                    <w:tl2br w:val="nil"/>
                    <w:tr2bl w:val="nil"/>
                  </w:tcBorders>
                  <w:shd w:val="clear" w:color="auto" w:fill="auto"/>
                  <w:vAlign w:val="center"/>
                </w:tcPr>
                <w:p w14:paraId="34A7D0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0.7</w:t>
                  </w:r>
                </w:p>
              </w:tc>
              <w:tc>
                <w:tcPr>
                  <w:tcW w:w="432" w:type="pct"/>
                  <w:tcBorders>
                    <w:tl2br w:val="nil"/>
                    <w:tr2bl w:val="nil"/>
                  </w:tcBorders>
                  <w:shd w:val="clear" w:color="auto" w:fill="auto"/>
                  <w:vAlign w:val="center"/>
                </w:tcPr>
                <w:p w14:paraId="4CE10E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0</w:t>
                  </w:r>
                </w:p>
              </w:tc>
              <w:tc>
                <w:tcPr>
                  <w:tcW w:w="433" w:type="pct"/>
                  <w:tcBorders>
                    <w:tl2br w:val="nil"/>
                    <w:tr2bl w:val="nil"/>
                  </w:tcBorders>
                  <w:shd w:val="clear" w:color="auto" w:fill="auto"/>
                  <w:vAlign w:val="center"/>
                </w:tcPr>
                <w:p w14:paraId="7997DF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olor w:val="auto"/>
                      <w:kern w:val="0"/>
                      <w:szCs w:val="21"/>
                      <w:lang w:val="en-US" w:eastAsia="zh-CN"/>
                    </w:rPr>
                  </w:pPr>
                  <w:r>
                    <w:rPr>
                      <w:rFonts w:hint="eastAsia"/>
                      <w:color w:val="auto"/>
                      <w:kern w:val="0"/>
                      <w:szCs w:val="21"/>
                      <w:lang w:val="en-US" w:eastAsia="zh-CN"/>
                    </w:rPr>
                    <w:t>-0.7</w:t>
                  </w:r>
                </w:p>
              </w:tc>
              <w:tc>
                <w:tcPr>
                  <w:tcW w:w="333" w:type="pct"/>
                  <w:tcBorders>
                    <w:tl2br w:val="nil"/>
                    <w:tr2bl w:val="nil"/>
                  </w:tcBorders>
                  <w:shd w:val="clear" w:color="auto" w:fill="auto"/>
                  <w:vAlign w:val="center"/>
                </w:tcPr>
                <w:p w14:paraId="411655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cs="Times New Roman"/>
                      <w:color w:val="auto"/>
                      <w:kern w:val="0"/>
                      <w:sz w:val="21"/>
                      <w:szCs w:val="21"/>
                      <w:lang w:val="en-US" w:eastAsia="zh-CN"/>
                    </w:rPr>
                    <w:t>液</w:t>
                  </w:r>
                </w:p>
              </w:tc>
              <w:tc>
                <w:tcPr>
                  <w:tcW w:w="535" w:type="pct"/>
                  <w:tcBorders>
                    <w:tl2br w:val="nil"/>
                    <w:tr2bl w:val="nil"/>
                  </w:tcBorders>
                  <w:shd w:val="clear" w:color="auto" w:fill="auto"/>
                  <w:vAlign w:val="center"/>
                </w:tcPr>
                <w:p w14:paraId="438923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cs="Times New Roman"/>
                      <w:color w:val="auto"/>
                      <w:kern w:val="0"/>
                      <w:sz w:val="21"/>
                      <w:szCs w:val="21"/>
                      <w:lang w:val="en-US" w:eastAsia="zh-CN"/>
                    </w:rPr>
                    <w:t>15L/桶</w:t>
                  </w:r>
                </w:p>
              </w:tc>
              <w:tc>
                <w:tcPr>
                  <w:tcW w:w="491" w:type="pct"/>
                  <w:tcBorders>
                    <w:tl2br w:val="nil"/>
                    <w:tr2bl w:val="nil"/>
                  </w:tcBorders>
                  <w:shd w:val="clear" w:color="auto" w:fill="auto"/>
                  <w:vAlign w:val="center"/>
                </w:tcPr>
                <w:p w14:paraId="2F07D9E6">
                  <w:pPr>
                    <w:pStyle w:val="71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cs="Times New Roman"/>
                      <w:color w:val="auto"/>
                      <w:kern w:val="0"/>
                      <w:lang w:val="en-US" w:eastAsia="zh-CN"/>
                    </w:rPr>
                    <w:t>--</w:t>
                  </w:r>
                </w:p>
              </w:tc>
            </w:tr>
            <w:tr w14:paraId="1413A6C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89" w:type="pct"/>
                  <w:tcBorders>
                    <w:tl2br w:val="nil"/>
                    <w:tr2bl w:val="nil"/>
                  </w:tcBorders>
                  <w:vAlign w:val="center"/>
                </w:tcPr>
                <w:p w14:paraId="52B18C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水性白底漆</w:t>
                  </w:r>
                </w:p>
              </w:tc>
              <w:tc>
                <w:tcPr>
                  <w:tcW w:w="1351" w:type="pct"/>
                  <w:vMerge w:val="restart"/>
                  <w:tcBorders>
                    <w:tl2br w:val="nil"/>
                    <w:tr2bl w:val="nil"/>
                  </w:tcBorders>
                  <w:vAlign w:val="center"/>
                </w:tcPr>
                <w:p w14:paraId="3F7200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聚氨酯丙烯酸酯乳液20-90%、二丙二醇丁醚0-5%、二丙二醇甲醚0-5%、水15-35%、颜填料0-60%、助剂0.1-1%</w:t>
                  </w:r>
                </w:p>
              </w:tc>
              <w:tc>
                <w:tcPr>
                  <w:tcW w:w="432" w:type="pct"/>
                  <w:tcBorders>
                    <w:tl2br w:val="nil"/>
                    <w:tr2bl w:val="nil"/>
                  </w:tcBorders>
                  <w:vAlign w:val="center"/>
                </w:tcPr>
                <w:p w14:paraId="7FC41B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w:t>
                  </w:r>
                </w:p>
              </w:tc>
              <w:tc>
                <w:tcPr>
                  <w:tcW w:w="432" w:type="pct"/>
                  <w:tcBorders>
                    <w:tl2br w:val="nil"/>
                    <w:tr2bl w:val="nil"/>
                  </w:tcBorders>
                  <w:shd w:val="clear" w:color="auto" w:fill="auto"/>
                  <w:vAlign w:val="center"/>
                </w:tcPr>
                <w:p w14:paraId="724452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cs="Times New Roman"/>
                      <w:color w:val="auto"/>
                      <w:kern w:val="0"/>
                      <w:sz w:val="21"/>
                      <w:szCs w:val="21"/>
                      <w:lang w:val="en-US" w:eastAsia="zh-CN"/>
                    </w:rPr>
                    <w:t>0.3</w:t>
                  </w:r>
                </w:p>
              </w:tc>
              <w:tc>
                <w:tcPr>
                  <w:tcW w:w="433" w:type="pct"/>
                  <w:tcBorders>
                    <w:tl2br w:val="nil"/>
                    <w:tr2bl w:val="nil"/>
                  </w:tcBorders>
                  <w:vAlign w:val="center"/>
                </w:tcPr>
                <w:p w14:paraId="6051EF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+0.3</w:t>
                  </w:r>
                </w:p>
              </w:tc>
              <w:tc>
                <w:tcPr>
                  <w:tcW w:w="333" w:type="pct"/>
                  <w:tcBorders>
                    <w:tl2br w:val="nil"/>
                    <w:tr2bl w:val="nil"/>
                  </w:tcBorders>
                  <w:vAlign w:val="center"/>
                </w:tcPr>
                <w:p w14:paraId="4D4F71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液</w:t>
                  </w:r>
                </w:p>
              </w:tc>
              <w:tc>
                <w:tcPr>
                  <w:tcW w:w="535" w:type="pct"/>
                  <w:tcBorders>
                    <w:tl2br w:val="nil"/>
                    <w:tr2bl w:val="nil"/>
                  </w:tcBorders>
                  <w:vAlign w:val="center"/>
                </w:tcPr>
                <w:p w14:paraId="3AA25E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25kg/桶</w:t>
                  </w:r>
                </w:p>
              </w:tc>
              <w:tc>
                <w:tcPr>
                  <w:tcW w:w="491" w:type="pct"/>
                  <w:tcBorders>
                    <w:tl2br w:val="nil"/>
                    <w:tr2bl w:val="nil"/>
                  </w:tcBorders>
                  <w:vAlign w:val="center"/>
                </w:tcPr>
                <w:p w14:paraId="73B8FF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0.1</w:t>
                  </w:r>
                </w:p>
              </w:tc>
            </w:tr>
            <w:tr w14:paraId="7A34BF4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89" w:type="pct"/>
                  <w:tcBorders>
                    <w:tl2br w:val="nil"/>
                    <w:tr2bl w:val="nil"/>
                  </w:tcBorders>
                  <w:vAlign w:val="center"/>
                </w:tcPr>
                <w:p w14:paraId="769488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水性清底漆</w:t>
                  </w:r>
                </w:p>
              </w:tc>
              <w:tc>
                <w:tcPr>
                  <w:tcW w:w="1351" w:type="pct"/>
                  <w:vMerge w:val="continue"/>
                  <w:tcBorders>
                    <w:tl2br w:val="nil"/>
                    <w:tr2bl w:val="nil"/>
                  </w:tcBorders>
                  <w:vAlign w:val="center"/>
                </w:tcPr>
                <w:p w14:paraId="5200F1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p>
              </w:tc>
              <w:tc>
                <w:tcPr>
                  <w:tcW w:w="432" w:type="pct"/>
                  <w:tcBorders>
                    <w:tl2br w:val="nil"/>
                    <w:tr2bl w:val="nil"/>
                  </w:tcBorders>
                  <w:vAlign w:val="center"/>
                </w:tcPr>
                <w:p w14:paraId="41A629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0</w:t>
                  </w:r>
                </w:p>
              </w:tc>
              <w:tc>
                <w:tcPr>
                  <w:tcW w:w="432" w:type="pct"/>
                  <w:tcBorders>
                    <w:tl2br w:val="nil"/>
                    <w:tr2bl w:val="nil"/>
                  </w:tcBorders>
                  <w:shd w:val="clear" w:color="auto" w:fill="auto"/>
                  <w:vAlign w:val="center"/>
                </w:tcPr>
                <w:p w14:paraId="1F9A95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cs="Times New Roman"/>
                      <w:color w:val="auto"/>
                      <w:kern w:val="0"/>
                      <w:sz w:val="21"/>
                      <w:szCs w:val="21"/>
                      <w:lang w:val="en-US" w:eastAsia="zh-CN"/>
                    </w:rPr>
                    <w:t>0.3</w:t>
                  </w:r>
                </w:p>
              </w:tc>
              <w:tc>
                <w:tcPr>
                  <w:tcW w:w="433" w:type="pct"/>
                  <w:tcBorders>
                    <w:tl2br w:val="nil"/>
                    <w:tr2bl w:val="nil"/>
                  </w:tcBorders>
                  <w:vAlign w:val="center"/>
                </w:tcPr>
                <w:p w14:paraId="7B0717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+0.3</w:t>
                  </w:r>
                </w:p>
              </w:tc>
              <w:tc>
                <w:tcPr>
                  <w:tcW w:w="333" w:type="pct"/>
                  <w:tcBorders>
                    <w:tl2br w:val="nil"/>
                    <w:tr2bl w:val="nil"/>
                  </w:tcBorders>
                  <w:vAlign w:val="center"/>
                </w:tcPr>
                <w:p w14:paraId="53C627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液</w:t>
                  </w:r>
                </w:p>
              </w:tc>
              <w:tc>
                <w:tcPr>
                  <w:tcW w:w="535" w:type="pct"/>
                  <w:tcBorders>
                    <w:tl2br w:val="nil"/>
                    <w:tr2bl w:val="nil"/>
                  </w:tcBorders>
                  <w:vAlign w:val="center"/>
                </w:tcPr>
                <w:p w14:paraId="75B7E4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25kg/桶</w:t>
                  </w:r>
                </w:p>
              </w:tc>
              <w:tc>
                <w:tcPr>
                  <w:tcW w:w="491" w:type="pct"/>
                  <w:tcBorders>
                    <w:tl2br w:val="nil"/>
                    <w:tr2bl w:val="nil"/>
                  </w:tcBorders>
                  <w:vAlign w:val="center"/>
                </w:tcPr>
                <w:p w14:paraId="423F72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0.1</w:t>
                  </w:r>
                </w:p>
              </w:tc>
            </w:tr>
            <w:tr w14:paraId="59867F8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89" w:type="pct"/>
                  <w:tcBorders>
                    <w:tl2br w:val="nil"/>
                    <w:tr2bl w:val="nil"/>
                  </w:tcBorders>
                  <w:vAlign w:val="center"/>
                </w:tcPr>
                <w:p w14:paraId="6CEE59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水性双组份清底漆</w:t>
                  </w:r>
                </w:p>
              </w:tc>
              <w:tc>
                <w:tcPr>
                  <w:tcW w:w="1351" w:type="pct"/>
                  <w:vMerge w:val="continue"/>
                  <w:tcBorders>
                    <w:tl2br w:val="nil"/>
                    <w:tr2bl w:val="nil"/>
                  </w:tcBorders>
                  <w:vAlign w:val="center"/>
                </w:tcPr>
                <w:p w14:paraId="35734E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p>
              </w:tc>
              <w:tc>
                <w:tcPr>
                  <w:tcW w:w="432" w:type="pct"/>
                  <w:tcBorders>
                    <w:tl2br w:val="nil"/>
                    <w:tr2bl w:val="nil"/>
                  </w:tcBorders>
                  <w:vAlign w:val="center"/>
                </w:tcPr>
                <w:p w14:paraId="1054EF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0</w:t>
                  </w:r>
                </w:p>
              </w:tc>
              <w:tc>
                <w:tcPr>
                  <w:tcW w:w="432" w:type="pct"/>
                  <w:tcBorders>
                    <w:tl2br w:val="nil"/>
                    <w:tr2bl w:val="nil"/>
                  </w:tcBorders>
                  <w:shd w:val="clear" w:color="auto" w:fill="auto"/>
                  <w:vAlign w:val="center"/>
                </w:tcPr>
                <w:p w14:paraId="362467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cs="Times New Roman"/>
                      <w:color w:val="auto"/>
                      <w:kern w:val="0"/>
                      <w:sz w:val="21"/>
                      <w:szCs w:val="21"/>
                      <w:lang w:val="en-US" w:eastAsia="zh-CN"/>
                    </w:rPr>
                    <w:t>0.4</w:t>
                  </w:r>
                </w:p>
              </w:tc>
              <w:tc>
                <w:tcPr>
                  <w:tcW w:w="433" w:type="pct"/>
                  <w:tcBorders>
                    <w:tl2br w:val="nil"/>
                    <w:tr2bl w:val="nil"/>
                  </w:tcBorders>
                  <w:vAlign w:val="center"/>
                </w:tcPr>
                <w:p w14:paraId="575A5C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+0.4</w:t>
                  </w:r>
                </w:p>
              </w:tc>
              <w:tc>
                <w:tcPr>
                  <w:tcW w:w="333" w:type="pct"/>
                  <w:tcBorders>
                    <w:tl2br w:val="nil"/>
                    <w:tr2bl w:val="nil"/>
                  </w:tcBorders>
                  <w:vAlign w:val="center"/>
                </w:tcPr>
                <w:p w14:paraId="3CEAA6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液</w:t>
                  </w:r>
                </w:p>
              </w:tc>
              <w:tc>
                <w:tcPr>
                  <w:tcW w:w="535" w:type="pct"/>
                  <w:tcBorders>
                    <w:tl2br w:val="nil"/>
                    <w:tr2bl w:val="nil"/>
                  </w:tcBorders>
                  <w:vAlign w:val="center"/>
                </w:tcPr>
                <w:p w14:paraId="381A56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25kg/桶</w:t>
                  </w:r>
                </w:p>
              </w:tc>
              <w:tc>
                <w:tcPr>
                  <w:tcW w:w="491" w:type="pct"/>
                  <w:tcBorders>
                    <w:tl2br w:val="nil"/>
                    <w:tr2bl w:val="nil"/>
                  </w:tcBorders>
                  <w:vAlign w:val="center"/>
                </w:tcPr>
                <w:p w14:paraId="79BC27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0.1</w:t>
                  </w:r>
                </w:p>
              </w:tc>
            </w:tr>
            <w:tr w14:paraId="64823D4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89" w:type="pct"/>
                  <w:tcBorders>
                    <w:tl2br w:val="nil"/>
                    <w:tr2bl w:val="nil"/>
                  </w:tcBorders>
                  <w:vAlign w:val="center"/>
                </w:tcPr>
                <w:p w14:paraId="5C87FD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水性双组份哑光清面漆</w:t>
                  </w:r>
                </w:p>
              </w:tc>
              <w:tc>
                <w:tcPr>
                  <w:tcW w:w="1351" w:type="pct"/>
                  <w:vMerge w:val="continue"/>
                  <w:tcBorders>
                    <w:tl2br w:val="nil"/>
                    <w:tr2bl w:val="nil"/>
                  </w:tcBorders>
                  <w:vAlign w:val="center"/>
                </w:tcPr>
                <w:p w14:paraId="16C1C6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p>
              </w:tc>
              <w:tc>
                <w:tcPr>
                  <w:tcW w:w="432" w:type="pct"/>
                  <w:tcBorders>
                    <w:tl2br w:val="nil"/>
                    <w:tr2bl w:val="nil"/>
                  </w:tcBorders>
                  <w:vAlign w:val="center"/>
                </w:tcPr>
                <w:p w14:paraId="0716FF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0</w:t>
                  </w:r>
                </w:p>
              </w:tc>
              <w:tc>
                <w:tcPr>
                  <w:tcW w:w="432" w:type="pct"/>
                  <w:tcBorders>
                    <w:tl2br w:val="nil"/>
                    <w:tr2bl w:val="nil"/>
                  </w:tcBorders>
                  <w:shd w:val="clear" w:color="auto" w:fill="auto"/>
                  <w:vAlign w:val="center"/>
                </w:tcPr>
                <w:p w14:paraId="092F40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cs="Times New Roman"/>
                      <w:color w:val="auto"/>
                      <w:kern w:val="0"/>
                      <w:sz w:val="21"/>
                      <w:szCs w:val="21"/>
                      <w:lang w:val="en-US" w:eastAsia="zh-CN"/>
                    </w:rPr>
                    <w:t>0.125</w:t>
                  </w:r>
                </w:p>
              </w:tc>
              <w:tc>
                <w:tcPr>
                  <w:tcW w:w="433" w:type="pct"/>
                  <w:tcBorders>
                    <w:tl2br w:val="nil"/>
                    <w:tr2bl w:val="nil"/>
                  </w:tcBorders>
                  <w:vAlign w:val="center"/>
                </w:tcPr>
                <w:p w14:paraId="499851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+0.125</w:t>
                  </w:r>
                </w:p>
              </w:tc>
              <w:tc>
                <w:tcPr>
                  <w:tcW w:w="333" w:type="pct"/>
                  <w:tcBorders>
                    <w:tl2br w:val="nil"/>
                    <w:tr2bl w:val="nil"/>
                  </w:tcBorders>
                  <w:vAlign w:val="center"/>
                </w:tcPr>
                <w:p w14:paraId="0DD52C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液</w:t>
                  </w:r>
                </w:p>
              </w:tc>
              <w:tc>
                <w:tcPr>
                  <w:tcW w:w="535" w:type="pct"/>
                  <w:tcBorders>
                    <w:tl2br w:val="nil"/>
                    <w:tr2bl w:val="nil"/>
                  </w:tcBorders>
                  <w:vAlign w:val="center"/>
                </w:tcPr>
                <w:p w14:paraId="6ED653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25kg/桶</w:t>
                  </w:r>
                </w:p>
              </w:tc>
              <w:tc>
                <w:tcPr>
                  <w:tcW w:w="491" w:type="pct"/>
                  <w:tcBorders>
                    <w:tl2br w:val="nil"/>
                    <w:tr2bl w:val="nil"/>
                  </w:tcBorders>
                  <w:vAlign w:val="center"/>
                </w:tcPr>
                <w:p w14:paraId="19D21B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0.125</w:t>
                  </w:r>
                </w:p>
              </w:tc>
            </w:tr>
            <w:tr w14:paraId="726C054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89" w:type="pct"/>
                  <w:tcBorders>
                    <w:tl2br w:val="nil"/>
                    <w:tr2bl w:val="nil"/>
                  </w:tcBorders>
                  <w:vAlign w:val="center"/>
                </w:tcPr>
                <w:p w14:paraId="403CFD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水性哑光清面漆</w:t>
                  </w:r>
                </w:p>
              </w:tc>
              <w:tc>
                <w:tcPr>
                  <w:tcW w:w="1351" w:type="pct"/>
                  <w:vMerge w:val="continue"/>
                  <w:tcBorders>
                    <w:tl2br w:val="nil"/>
                    <w:tr2bl w:val="nil"/>
                  </w:tcBorders>
                  <w:vAlign w:val="center"/>
                </w:tcPr>
                <w:p w14:paraId="64760D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p>
              </w:tc>
              <w:tc>
                <w:tcPr>
                  <w:tcW w:w="432" w:type="pct"/>
                  <w:tcBorders>
                    <w:tl2br w:val="nil"/>
                    <w:tr2bl w:val="nil"/>
                  </w:tcBorders>
                  <w:vAlign w:val="center"/>
                </w:tcPr>
                <w:p w14:paraId="6854EE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0</w:t>
                  </w:r>
                </w:p>
              </w:tc>
              <w:tc>
                <w:tcPr>
                  <w:tcW w:w="432" w:type="pct"/>
                  <w:tcBorders>
                    <w:tl2br w:val="nil"/>
                    <w:tr2bl w:val="nil"/>
                  </w:tcBorders>
                  <w:shd w:val="clear" w:color="auto" w:fill="auto"/>
                  <w:vAlign w:val="center"/>
                </w:tcPr>
                <w:p w14:paraId="2194A7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cs="Times New Roman"/>
                      <w:color w:val="auto"/>
                      <w:kern w:val="0"/>
                      <w:sz w:val="21"/>
                      <w:szCs w:val="21"/>
                      <w:lang w:val="en-US" w:eastAsia="zh-CN"/>
                    </w:rPr>
                    <w:t>0.125</w:t>
                  </w:r>
                </w:p>
              </w:tc>
              <w:tc>
                <w:tcPr>
                  <w:tcW w:w="433" w:type="pct"/>
                  <w:tcBorders>
                    <w:tl2br w:val="nil"/>
                    <w:tr2bl w:val="nil"/>
                  </w:tcBorders>
                  <w:vAlign w:val="center"/>
                </w:tcPr>
                <w:p w14:paraId="76E29F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+0.125</w:t>
                  </w:r>
                </w:p>
              </w:tc>
              <w:tc>
                <w:tcPr>
                  <w:tcW w:w="333" w:type="pct"/>
                  <w:tcBorders>
                    <w:tl2br w:val="nil"/>
                    <w:tr2bl w:val="nil"/>
                  </w:tcBorders>
                  <w:vAlign w:val="center"/>
                </w:tcPr>
                <w:p w14:paraId="0FA198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液</w:t>
                  </w:r>
                </w:p>
              </w:tc>
              <w:tc>
                <w:tcPr>
                  <w:tcW w:w="535" w:type="pct"/>
                  <w:tcBorders>
                    <w:tl2br w:val="nil"/>
                    <w:tr2bl w:val="nil"/>
                  </w:tcBorders>
                  <w:vAlign w:val="center"/>
                </w:tcPr>
                <w:p w14:paraId="51EB10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25kg/桶</w:t>
                  </w:r>
                </w:p>
              </w:tc>
              <w:tc>
                <w:tcPr>
                  <w:tcW w:w="491" w:type="pct"/>
                  <w:tcBorders>
                    <w:tl2br w:val="nil"/>
                    <w:tr2bl w:val="nil"/>
                  </w:tcBorders>
                  <w:vAlign w:val="center"/>
                </w:tcPr>
                <w:p w14:paraId="4F56AB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0.125</w:t>
                  </w:r>
                </w:p>
              </w:tc>
            </w:tr>
            <w:tr w14:paraId="65EBA36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52" w:hRule="atLeast"/>
                <w:jc w:val="center"/>
              </w:trPr>
              <w:tc>
                <w:tcPr>
                  <w:tcW w:w="989" w:type="pct"/>
                  <w:tcBorders>
                    <w:tl2br w:val="nil"/>
                    <w:tr2bl w:val="nil"/>
                  </w:tcBorders>
                  <w:vAlign w:val="center"/>
                </w:tcPr>
                <w:p w14:paraId="1926E4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清面漆*</w:t>
                  </w:r>
                </w:p>
              </w:tc>
              <w:tc>
                <w:tcPr>
                  <w:tcW w:w="1351" w:type="pct"/>
                  <w:vMerge w:val="restart"/>
                  <w:tcBorders>
                    <w:tl2br w:val="nil"/>
                    <w:tr2bl w:val="nil"/>
                  </w:tcBorders>
                  <w:vAlign w:val="center"/>
                </w:tcPr>
                <w:p w14:paraId="1D5A69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醇酸树脂30~80%、醋酸丁酯0~15%、二甲苯1~35%、丙二醇甲醚醋酸酯0~15%、环己酮0~10%</w:t>
                  </w:r>
                </w:p>
              </w:tc>
              <w:tc>
                <w:tcPr>
                  <w:tcW w:w="432" w:type="pct"/>
                  <w:tcBorders>
                    <w:tl2br w:val="nil"/>
                    <w:tr2bl w:val="nil"/>
                  </w:tcBorders>
                  <w:vAlign w:val="center"/>
                </w:tcPr>
                <w:p w14:paraId="13D850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0</w:t>
                  </w:r>
                </w:p>
              </w:tc>
              <w:tc>
                <w:tcPr>
                  <w:tcW w:w="432" w:type="pct"/>
                  <w:tcBorders>
                    <w:tl2br w:val="nil"/>
                    <w:tr2bl w:val="nil"/>
                  </w:tcBorders>
                  <w:shd w:val="clear" w:color="auto" w:fill="auto"/>
                  <w:vAlign w:val="center"/>
                </w:tcPr>
                <w:p w14:paraId="408C92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cs="Times New Roman"/>
                      <w:color w:val="auto"/>
                      <w:kern w:val="0"/>
                      <w:sz w:val="21"/>
                      <w:szCs w:val="21"/>
                      <w:lang w:val="en-US" w:eastAsia="zh-CN"/>
                    </w:rPr>
                    <w:t>0.5</w:t>
                  </w:r>
                </w:p>
              </w:tc>
              <w:tc>
                <w:tcPr>
                  <w:tcW w:w="433" w:type="pct"/>
                  <w:tcBorders>
                    <w:tl2br w:val="nil"/>
                    <w:tr2bl w:val="nil"/>
                  </w:tcBorders>
                  <w:vAlign w:val="center"/>
                </w:tcPr>
                <w:p w14:paraId="7BE89A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+0.5</w:t>
                  </w:r>
                </w:p>
              </w:tc>
              <w:tc>
                <w:tcPr>
                  <w:tcW w:w="333" w:type="pct"/>
                  <w:tcBorders>
                    <w:tl2br w:val="nil"/>
                    <w:tr2bl w:val="nil"/>
                  </w:tcBorders>
                  <w:vAlign w:val="center"/>
                </w:tcPr>
                <w:p w14:paraId="35964F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液</w:t>
                  </w:r>
                </w:p>
              </w:tc>
              <w:tc>
                <w:tcPr>
                  <w:tcW w:w="535" w:type="pct"/>
                  <w:tcBorders>
                    <w:tl2br w:val="nil"/>
                    <w:tr2bl w:val="nil"/>
                  </w:tcBorders>
                  <w:vAlign w:val="center"/>
                </w:tcPr>
                <w:p w14:paraId="6AFBD0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25kg/桶</w:t>
                  </w:r>
                </w:p>
              </w:tc>
              <w:tc>
                <w:tcPr>
                  <w:tcW w:w="491" w:type="pct"/>
                  <w:tcBorders>
                    <w:tl2br w:val="nil"/>
                    <w:tr2bl w:val="nil"/>
                  </w:tcBorders>
                  <w:vAlign w:val="center"/>
                </w:tcPr>
                <w:p w14:paraId="26775B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0.1</w:t>
                  </w:r>
                </w:p>
              </w:tc>
            </w:tr>
            <w:tr w14:paraId="3464BD5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32" w:hRule="atLeast"/>
                <w:jc w:val="center"/>
              </w:trPr>
              <w:tc>
                <w:tcPr>
                  <w:tcW w:w="989" w:type="pct"/>
                  <w:tcBorders>
                    <w:tl2br w:val="nil"/>
                    <w:tr2bl w:val="nil"/>
                  </w:tcBorders>
                  <w:vAlign w:val="center"/>
                </w:tcPr>
                <w:p w14:paraId="1767A9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白面漆*</w:t>
                  </w:r>
                </w:p>
              </w:tc>
              <w:tc>
                <w:tcPr>
                  <w:tcW w:w="1351" w:type="pct"/>
                  <w:vMerge w:val="continue"/>
                  <w:tcBorders>
                    <w:tl2br w:val="nil"/>
                    <w:tr2bl w:val="nil"/>
                  </w:tcBorders>
                  <w:vAlign w:val="center"/>
                </w:tcPr>
                <w:p w14:paraId="3F745E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p>
              </w:tc>
              <w:tc>
                <w:tcPr>
                  <w:tcW w:w="432" w:type="pct"/>
                  <w:tcBorders>
                    <w:tl2br w:val="nil"/>
                    <w:tr2bl w:val="nil"/>
                  </w:tcBorders>
                  <w:vAlign w:val="center"/>
                </w:tcPr>
                <w:p w14:paraId="76A9E2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0</w:t>
                  </w:r>
                </w:p>
              </w:tc>
              <w:tc>
                <w:tcPr>
                  <w:tcW w:w="432" w:type="pct"/>
                  <w:tcBorders>
                    <w:tl2br w:val="nil"/>
                    <w:tr2bl w:val="nil"/>
                  </w:tcBorders>
                  <w:shd w:val="clear" w:color="auto" w:fill="auto"/>
                  <w:vAlign w:val="center"/>
                </w:tcPr>
                <w:p w14:paraId="0A2D2D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cs="Times New Roman"/>
                      <w:color w:val="auto"/>
                      <w:kern w:val="0"/>
                      <w:sz w:val="21"/>
                      <w:szCs w:val="21"/>
                      <w:lang w:val="en-US" w:eastAsia="zh-CN"/>
                    </w:rPr>
                    <w:t>0.5</w:t>
                  </w:r>
                </w:p>
              </w:tc>
              <w:tc>
                <w:tcPr>
                  <w:tcW w:w="433" w:type="pct"/>
                  <w:tcBorders>
                    <w:tl2br w:val="nil"/>
                    <w:tr2bl w:val="nil"/>
                  </w:tcBorders>
                  <w:vAlign w:val="center"/>
                </w:tcPr>
                <w:p w14:paraId="36983C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+0.5</w:t>
                  </w:r>
                </w:p>
              </w:tc>
              <w:tc>
                <w:tcPr>
                  <w:tcW w:w="333" w:type="pct"/>
                  <w:tcBorders>
                    <w:tl2br w:val="nil"/>
                    <w:tr2bl w:val="nil"/>
                  </w:tcBorders>
                  <w:vAlign w:val="center"/>
                </w:tcPr>
                <w:p w14:paraId="3C4402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液</w:t>
                  </w:r>
                </w:p>
              </w:tc>
              <w:tc>
                <w:tcPr>
                  <w:tcW w:w="535" w:type="pct"/>
                  <w:tcBorders>
                    <w:tl2br w:val="nil"/>
                    <w:tr2bl w:val="nil"/>
                  </w:tcBorders>
                  <w:vAlign w:val="center"/>
                </w:tcPr>
                <w:p w14:paraId="5D89DD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25kg/桶</w:t>
                  </w:r>
                </w:p>
              </w:tc>
              <w:tc>
                <w:tcPr>
                  <w:tcW w:w="491" w:type="pct"/>
                  <w:tcBorders>
                    <w:tl2br w:val="nil"/>
                    <w:tr2bl w:val="nil"/>
                  </w:tcBorders>
                  <w:vAlign w:val="center"/>
                </w:tcPr>
                <w:p w14:paraId="639B4F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0.1</w:t>
                  </w:r>
                </w:p>
              </w:tc>
            </w:tr>
            <w:tr w14:paraId="33AF115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89" w:type="pct"/>
                  <w:tcBorders>
                    <w:tl2br w:val="nil"/>
                    <w:tr2bl w:val="nil"/>
                  </w:tcBorders>
                  <w:vAlign w:val="center"/>
                </w:tcPr>
                <w:p w14:paraId="244EEC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color w:val="auto"/>
                      <w:kern w:val="0"/>
                      <w:sz w:val="21"/>
                      <w:szCs w:val="21"/>
                      <w:lang w:val="en-US" w:eastAsia="zh-CN"/>
                    </w:rPr>
                  </w:pPr>
                  <w:r>
                    <w:rPr>
                      <w:rFonts w:hint="eastAsia" w:cs="Times New Roman"/>
                      <w:color w:val="auto"/>
                      <w:kern w:val="0"/>
                      <w:sz w:val="21"/>
                      <w:szCs w:val="21"/>
                      <w:lang w:val="en-US" w:eastAsia="zh-CN"/>
                    </w:rPr>
                    <w:t>透明底漆</w:t>
                  </w:r>
                  <w:r>
                    <w:rPr>
                      <w:rFonts w:hint="eastAsia"/>
                      <w:color w:val="auto"/>
                      <w:lang w:val="en-US" w:eastAsia="zh-CN"/>
                    </w:rPr>
                    <w:t>*</w:t>
                  </w:r>
                </w:p>
              </w:tc>
              <w:tc>
                <w:tcPr>
                  <w:tcW w:w="1351" w:type="pct"/>
                  <w:vMerge w:val="continue"/>
                  <w:tcBorders>
                    <w:tl2br w:val="nil"/>
                    <w:tr2bl w:val="nil"/>
                  </w:tcBorders>
                  <w:vAlign w:val="center"/>
                </w:tcPr>
                <w:p w14:paraId="42253E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p>
              </w:tc>
              <w:tc>
                <w:tcPr>
                  <w:tcW w:w="432" w:type="pct"/>
                  <w:tcBorders>
                    <w:tl2br w:val="nil"/>
                    <w:tr2bl w:val="nil"/>
                  </w:tcBorders>
                  <w:vAlign w:val="center"/>
                </w:tcPr>
                <w:p w14:paraId="42D12D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0</w:t>
                  </w:r>
                </w:p>
              </w:tc>
              <w:tc>
                <w:tcPr>
                  <w:tcW w:w="432" w:type="pct"/>
                  <w:tcBorders>
                    <w:tl2br w:val="nil"/>
                    <w:tr2bl w:val="nil"/>
                  </w:tcBorders>
                  <w:shd w:val="clear" w:color="auto" w:fill="auto"/>
                  <w:vAlign w:val="center"/>
                </w:tcPr>
                <w:p w14:paraId="596DB6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cs="Times New Roman"/>
                      <w:color w:val="auto"/>
                      <w:kern w:val="0"/>
                      <w:sz w:val="21"/>
                      <w:szCs w:val="21"/>
                      <w:lang w:val="en-US" w:eastAsia="zh-CN"/>
                    </w:rPr>
                    <w:t>0.5</w:t>
                  </w:r>
                </w:p>
              </w:tc>
              <w:tc>
                <w:tcPr>
                  <w:tcW w:w="433" w:type="pct"/>
                  <w:tcBorders>
                    <w:tl2br w:val="nil"/>
                    <w:tr2bl w:val="nil"/>
                  </w:tcBorders>
                  <w:vAlign w:val="center"/>
                </w:tcPr>
                <w:p w14:paraId="0AD3CD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+0.5</w:t>
                  </w:r>
                </w:p>
              </w:tc>
              <w:tc>
                <w:tcPr>
                  <w:tcW w:w="333" w:type="pct"/>
                  <w:tcBorders>
                    <w:tl2br w:val="nil"/>
                    <w:tr2bl w:val="nil"/>
                  </w:tcBorders>
                  <w:vAlign w:val="center"/>
                </w:tcPr>
                <w:p w14:paraId="5570BC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液</w:t>
                  </w:r>
                </w:p>
              </w:tc>
              <w:tc>
                <w:tcPr>
                  <w:tcW w:w="535" w:type="pct"/>
                  <w:tcBorders>
                    <w:tl2br w:val="nil"/>
                    <w:tr2bl w:val="nil"/>
                  </w:tcBorders>
                  <w:vAlign w:val="center"/>
                </w:tcPr>
                <w:p w14:paraId="438F5D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25kg/桶</w:t>
                  </w:r>
                </w:p>
              </w:tc>
              <w:tc>
                <w:tcPr>
                  <w:tcW w:w="491" w:type="pct"/>
                  <w:tcBorders>
                    <w:tl2br w:val="nil"/>
                    <w:tr2bl w:val="nil"/>
                  </w:tcBorders>
                  <w:vAlign w:val="center"/>
                </w:tcPr>
                <w:p w14:paraId="623BB6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0.1</w:t>
                  </w:r>
                </w:p>
              </w:tc>
            </w:tr>
            <w:tr w14:paraId="02BB71A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89" w:type="pct"/>
                  <w:tcBorders>
                    <w:tl2br w:val="nil"/>
                    <w:tr2bl w:val="nil"/>
                  </w:tcBorders>
                  <w:vAlign w:val="center"/>
                </w:tcPr>
                <w:p w14:paraId="77ECF6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固化剂</w:t>
                  </w:r>
                </w:p>
              </w:tc>
              <w:tc>
                <w:tcPr>
                  <w:tcW w:w="1351" w:type="pct"/>
                  <w:tcBorders>
                    <w:tl2br w:val="nil"/>
                    <w:tr2bl w:val="nil"/>
                  </w:tcBorders>
                  <w:vAlign w:val="center"/>
                </w:tcPr>
                <w:p w14:paraId="182160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聚氨酯固化剂25~80%、乙酸丁酯0~50%、乙酸乙酯0~15%、丙二醇甲醚醋酸酯0~35%</w:t>
                  </w:r>
                </w:p>
              </w:tc>
              <w:tc>
                <w:tcPr>
                  <w:tcW w:w="432" w:type="pct"/>
                  <w:tcBorders>
                    <w:tl2br w:val="nil"/>
                    <w:tr2bl w:val="nil"/>
                  </w:tcBorders>
                  <w:vAlign w:val="center"/>
                </w:tcPr>
                <w:p w14:paraId="43EA80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0</w:t>
                  </w:r>
                </w:p>
              </w:tc>
              <w:tc>
                <w:tcPr>
                  <w:tcW w:w="432" w:type="pct"/>
                  <w:tcBorders>
                    <w:tl2br w:val="nil"/>
                    <w:tr2bl w:val="nil"/>
                  </w:tcBorders>
                  <w:shd w:val="clear" w:color="auto" w:fill="auto"/>
                  <w:vAlign w:val="center"/>
                </w:tcPr>
                <w:p w14:paraId="54A9EA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cs="Times New Roman"/>
                      <w:color w:val="auto"/>
                      <w:kern w:val="0"/>
                      <w:sz w:val="21"/>
                      <w:szCs w:val="21"/>
                      <w:lang w:val="en-US" w:eastAsia="zh-CN"/>
                    </w:rPr>
                    <w:t>0.9</w:t>
                  </w:r>
                </w:p>
              </w:tc>
              <w:tc>
                <w:tcPr>
                  <w:tcW w:w="433" w:type="pct"/>
                  <w:tcBorders>
                    <w:tl2br w:val="nil"/>
                    <w:tr2bl w:val="nil"/>
                  </w:tcBorders>
                  <w:vAlign w:val="center"/>
                </w:tcPr>
                <w:p w14:paraId="477288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+0.9</w:t>
                  </w:r>
                </w:p>
              </w:tc>
              <w:tc>
                <w:tcPr>
                  <w:tcW w:w="333" w:type="pct"/>
                  <w:tcBorders>
                    <w:tl2br w:val="nil"/>
                    <w:tr2bl w:val="nil"/>
                  </w:tcBorders>
                  <w:vAlign w:val="center"/>
                </w:tcPr>
                <w:p w14:paraId="54B04C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液</w:t>
                  </w:r>
                </w:p>
              </w:tc>
              <w:tc>
                <w:tcPr>
                  <w:tcW w:w="535" w:type="pct"/>
                  <w:tcBorders>
                    <w:tl2br w:val="nil"/>
                    <w:tr2bl w:val="nil"/>
                  </w:tcBorders>
                  <w:vAlign w:val="center"/>
                </w:tcPr>
                <w:p w14:paraId="064E2F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25kg/桶</w:t>
                  </w:r>
                </w:p>
              </w:tc>
              <w:tc>
                <w:tcPr>
                  <w:tcW w:w="491" w:type="pct"/>
                  <w:tcBorders>
                    <w:tl2br w:val="nil"/>
                    <w:tr2bl w:val="nil"/>
                  </w:tcBorders>
                  <w:vAlign w:val="center"/>
                </w:tcPr>
                <w:p w14:paraId="73A0E9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0.3</w:t>
                  </w:r>
                </w:p>
              </w:tc>
            </w:tr>
            <w:tr w14:paraId="1351532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89" w:type="pct"/>
                  <w:tcBorders>
                    <w:tl2br w:val="nil"/>
                    <w:tr2bl w:val="nil"/>
                  </w:tcBorders>
                  <w:vAlign w:val="center"/>
                </w:tcPr>
                <w:p w14:paraId="6F2F47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稀释剂</w:t>
                  </w:r>
                </w:p>
              </w:tc>
              <w:tc>
                <w:tcPr>
                  <w:tcW w:w="1351" w:type="pct"/>
                  <w:tcBorders>
                    <w:tl2br w:val="nil"/>
                    <w:tr2bl w:val="nil"/>
                  </w:tcBorders>
                  <w:vAlign w:val="center"/>
                </w:tcPr>
                <w:p w14:paraId="628621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二甲苯0~40%、丙二醇甲醚醋酸酯0~50%、乙酸丁酯5~45%、乙酸乙酯0~25%、环己酮0~25%、均三甲苯0~15%</w:t>
                  </w:r>
                </w:p>
              </w:tc>
              <w:tc>
                <w:tcPr>
                  <w:tcW w:w="432" w:type="pct"/>
                  <w:tcBorders>
                    <w:tl2br w:val="nil"/>
                    <w:tr2bl w:val="nil"/>
                  </w:tcBorders>
                  <w:vAlign w:val="center"/>
                </w:tcPr>
                <w:p w14:paraId="24E81C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0</w:t>
                  </w:r>
                </w:p>
              </w:tc>
              <w:tc>
                <w:tcPr>
                  <w:tcW w:w="432" w:type="pct"/>
                  <w:tcBorders>
                    <w:tl2br w:val="nil"/>
                    <w:tr2bl w:val="nil"/>
                  </w:tcBorders>
                  <w:shd w:val="clear" w:color="auto" w:fill="auto"/>
                  <w:vAlign w:val="center"/>
                </w:tcPr>
                <w:p w14:paraId="6829BB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cs="Times New Roman"/>
                      <w:color w:val="auto"/>
                      <w:kern w:val="0"/>
                      <w:sz w:val="21"/>
                      <w:szCs w:val="21"/>
                      <w:lang w:val="en-US" w:eastAsia="zh-CN"/>
                    </w:rPr>
                    <w:t>0.2</w:t>
                  </w:r>
                </w:p>
              </w:tc>
              <w:tc>
                <w:tcPr>
                  <w:tcW w:w="433" w:type="pct"/>
                  <w:tcBorders>
                    <w:tl2br w:val="nil"/>
                    <w:tr2bl w:val="nil"/>
                  </w:tcBorders>
                  <w:vAlign w:val="center"/>
                </w:tcPr>
                <w:p w14:paraId="6E55F1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+0.2</w:t>
                  </w:r>
                </w:p>
              </w:tc>
              <w:tc>
                <w:tcPr>
                  <w:tcW w:w="333" w:type="pct"/>
                  <w:tcBorders>
                    <w:tl2br w:val="nil"/>
                    <w:tr2bl w:val="nil"/>
                  </w:tcBorders>
                  <w:vAlign w:val="center"/>
                </w:tcPr>
                <w:p w14:paraId="4C13A3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液</w:t>
                  </w:r>
                </w:p>
              </w:tc>
              <w:tc>
                <w:tcPr>
                  <w:tcW w:w="535" w:type="pct"/>
                  <w:tcBorders>
                    <w:tl2br w:val="nil"/>
                    <w:tr2bl w:val="nil"/>
                  </w:tcBorders>
                  <w:vAlign w:val="center"/>
                </w:tcPr>
                <w:p w14:paraId="2ADFBE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25kg/桶</w:t>
                  </w:r>
                </w:p>
              </w:tc>
              <w:tc>
                <w:tcPr>
                  <w:tcW w:w="491" w:type="pct"/>
                  <w:tcBorders>
                    <w:tl2br w:val="nil"/>
                    <w:tr2bl w:val="nil"/>
                  </w:tcBorders>
                  <w:vAlign w:val="center"/>
                </w:tcPr>
                <w:p w14:paraId="228286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0.1</w:t>
                  </w:r>
                </w:p>
              </w:tc>
            </w:tr>
            <w:tr w14:paraId="5ED78E9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89" w:type="pct"/>
                  <w:tcBorders>
                    <w:tl2br w:val="nil"/>
                    <w:tr2bl w:val="nil"/>
                  </w:tcBorders>
                  <w:vAlign w:val="center"/>
                </w:tcPr>
                <w:p w14:paraId="4A54CD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格丽斯擦色剂</w:t>
                  </w:r>
                </w:p>
              </w:tc>
              <w:tc>
                <w:tcPr>
                  <w:tcW w:w="1351" w:type="pct"/>
                  <w:tcBorders>
                    <w:tl2br w:val="nil"/>
                    <w:tr2bl w:val="nil"/>
                  </w:tcBorders>
                  <w:vAlign w:val="center"/>
                </w:tcPr>
                <w:p w14:paraId="091727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ascii="Times New Roman" w:hAnsi="Times New Roman"/>
                      <w:color w:val="auto"/>
                      <w:kern w:val="0"/>
                      <w:szCs w:val="21"/>
                    </w:rPr>
                    <w:t>水性丙烯酸</w:t>
                  </w:r>
                  <w:r>
                    <w:rPr>
                      <w:rFonts w:hint="eastAsia" w:ascii="Times New Roman" w:hAnsi="Times New Roman"/>
                      <w:color w:val="auto"/>
                      <w:kern w:val="0"/>
                      <w:szCs w:val="21"/>
                      <w:lang w:eastAsia="zh-CN"/>
                    </w:rPr>
                    <w:t>树脂</w:t>
                  </w:r>
                  <w:r>
                    <w:rPr>
                      <w:rFonts w:ascii="Times New Roman" w:hAnsi="Times New Roman"/>
                      <w:color w:val="auto"/>
                      <w:kern w:val="0"/>
                      <w:szCs w:val="21"/>
                    </w:rPr>
                    <w:t>10-20%、颜填料10-20%、添加剂10-30%、水20-30%</w:t>
                  </w:r>
                </w:p>
              </w:tc>
              <w:tc>
                <w:tcPr>
                  <w:tcW w:w="432" w:type="pct"/>
                  <w:tcBorders>
                    <w:tl2br w:val="nil"/>
                    <w:tr2bl w:val="nil"/>
                  </w:tcBorders>
                  <w:vAlign w:val="center"/>
                </w:tcPr>
                <w:p w14:paraId="57617E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0.3</w:t>
                  </w:r>
                </w:p>
              </w:tc>
              <w:tc>
                <w:tcPr>
                  <w:tcW w:w="432" w:type="pct"/>
                  <w:tcBorders>
                    <w:tl2br w:val="nil"/>
                    <w:tr2bl w:val="nil"/>
                  </w:tcBorders>
                  <w:shd w:val="clear" w:color="auto" w:fill="auto"/>
                  <w:vAlign w:val="center"/>
                </w:tcPr>
                <w:p w14:paraId="3317A9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cs="Times New Roman"/>
                      <w:color w:val="auto"/>
                      <w:kern w:val="0"/>
                      <w:sz w:val="21"/>
                      <w:szCs w:val="21"/>
                      <w:lang w:val="en-US" w:eastAsia="zh-CN"/>
                    </w:rPr>
                    <w:t>0.3</w:t>
                  </w:r>
                </w:p>
              </w:tc>
              <w:tc>
                <w:tcPr>
                  <w:tcW w:w="433" w:type="pct"/>
                  <w:tcBorders>
                    <w:tl2br w:val="nil"/>
                    <w:tr2bl w:val="nil"/>
                  </w:tcBorders>
                  <w:vAlign w:val="center"/>
                </w:tcPr>
                <w:p w14:paraId="1DC9D0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+0.3</w:t>
                  </w:r>
                </w:p>
              </w:tc>
              <w:tc>
                <w:tcPr>
                  <w:tcW w:w="333" w:type="pct"/>
                  <w:tcBorders>
                    <w:tl2br w:val="nil"/>
                    <w:tr2bl w:val="nil"/>
                  </w:tcBorders>
                  <w:vAlign w:val="center"/>
                </w:tcPr>
                <w:p w14:paraId="3205B0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液</w:t>
                  </w:r>
                </w:p>
              </w:tc>
              <w:tc>
                <w:tcPr>
                  <w:tcW w:w="535" w:type="pct"/>
                  <w:tcBorders>
                    <w:tl2br w:val="nil"/>
                    <w:tr2bl w:val="nil"/>
                  </w:tcBorders>
                  <w:vAlign w:val="center"/>
                </w:tcPr>
                <w:p w14:paraId="3A5659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15kg/桶</w:t>
                  </w:r>
                </w:p>
              </w:tc>
              <w:tc>
                <w:tcPr>
                  <w:tcW w:w="491" w:type="pct"/>
                  <w:tcBorders>
                    <w:tl2br w:val="nil"/>
                    <w:tr2bl w:val="nil"/>
                  </w:tcBorders>
                  <w:vAlign w:val="center"/>
                </w:tcPr>
                <w:p w14:paraId="521AE5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0.1</w:t>
                  </w:r>
                </w:p>
              </w:tc>
            </w:tr>
            <w:tr w14:paraId="40078EA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89" w:type="pct"/>
                  <w:tcBorders>
                    <w:tl2br w:val="nil"/>
                    <w:tr2bl w:val="nil"/>
                  </w:tcBorders>
                  <w:vAlign w:val="center"/>
                </w:tcPr>
                <w:p w14:paraId="67B94F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封边带</w:t>
                  </w:r>
                </w:p>
              </w:tc>
              <w:tc>
                <w:tcPr>
                  <w:tcW w:w="1351" w:type="pct"/>
                  <w:tcBorders>
                    <w:tl2br w:val="nil"/>
                    <w:tr2bl w:val="nil"/>
                  </w:tcBorders>
                  <w:vAlign w:val="center"/>
                </w:tcPr>
                <w:p w14:paraId="3C990F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PVC</w:t>
                  </w:r>
                </w:p>
              </w:tc>
              <w:tc>
                <w:tcPr>
                  <w:tcW w:w="432" w:type="pct"/>
                  <w:tcBorders>
                    <w:tl2br w:val="nil"/>
                    <w:tr2bl w:val="nil"/>
                  </w:tcBorders>
                  <w:shd w:val="clear" w:color="auto" w:fill="auto"/>
                  <w:vAlign w:val="center"/>
                </w:tcPr>
                <w:p w14:paraId="1BF234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eastAsia" w:cs="Times New Roman"/>
                      <w:color w:val="auto"/>
                      <w:kern w:val="0"/>
                      <w:sz w:val="21"/>
                      <w:szCs w:val="21"/>
                      <w:lang w:val="en-US" w:eastAsia="zh-CN"/>
                    </w:rPr>
                    <w:t>8万米</w:t>
                  </w:r>
                </w:p>
              </w:tc>
              <w:tc>
                <w:tcPr>
                  <w:tcW w:w="432" w:type="pct"/>
                  <w:tcBorders>
                    <w:tl2br w:val="nil"/>
                    <w:tr2bl w:val="nil"/>
                  </w:tcBorders>
                  <w:shd w:val="clear" w:color="auto" w:fill="auto"/>
                  <w:vAlign w:val="center"/>
                </w:tcPr>
                <w:p w14:paraId="067B6B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cs="Times New Roman"/>
                      <w:color w:val="auto"/>
                      <w:kern w:val="0"/>
                      <w:sz w:val="21"/>
                      <w:szCs w:val="21"/>
                      <w:lang w:val="en-US" w:eastAsia="zh-CN"/>
                    </w:rPr>
                    <w:t>8万米</w:t>
                  </w:r>
                </w:p>
              </w:tc>
              <w:tc>
                <w:tcPr>
                  <w:tcW w:w="433" w:type="pct"/>
                  <w:tcBorders>
                    <w:tl2br w:val="nil"/>
                    <w:tr2bl w:val="nil"/>
                  </w:tcBorders>
                  <w:vAlign w:val="center"/>
                </w:tcPr>
                <w:p w14:paraId="593E0C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0</w:t>
                  </w:r>
                </w:p>
              </w:tc>
              <w:tc>
                <w:tcPr>
                  <w:tcW w:w="333" w:type="pct"/>
                  <w:tcBorders>
                    <w:tl2br w:val="nil"/>
                    <w:tr2bl w:val="nil"/>
                  </w:tcBorders>
                  <w:vAlign w:val="center"/>
                </w:tcPr>
                <w:p w14:paraId="42E74D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固</w:t>
                  </w:r>
                </w:p>
              </w:tc>
              <w:tc>
                <w:tcPr>
                  <w:tcW w:w="535" w:type="pct"/>
                  <w:tcBorders>
                    <w:tl2br w:val="nil"/>
                    <w:tr2bl w:val="nil"/>
                  </w:tcBorders>
                  <w:vAlign w:val="center"/>
                </w:tcPr>
                <w:p w14:paraId="206E12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w:t>
                  </w:r>
                </w:p>
              </w:tc>
              <w:tc>
                <w:tcPr>
                  <w:tcW w:w="491" w:type="pct"/>
                  <w:tcBorders>
                    <w:tl2br w:val="nil"/>
                    <w:tr2bl w:val="nil"/>
                  </w:tcBorders>
                  <w:vAlign w:val="center"/>
                </w:tcPr>
                <w:p w14:paraId="593F13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2万米</w:t>
                  </w:r>
                </w:p>
              </w:tc>
            </w:tr>
            <w:tr w14:paraId="329A5D5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989" w:type="pct"/>
                  <w:tcBorders>
                    <w:tl2br w:val="nil"/>
                    <w:tr2bl w:val="nil"/>
                  </w:tcBorders>
                  <w:vAlign w:val="center"/>
                </w:tcPr>
                <w:p w14:paraId="4EA181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配件</w:t>
                  </w:r>
                </w:p>
              </w:tc>
              <w:tc>
                <w:tcPr>
                  <w:tcW w:w="1351" w:type="pct"/>
                  <w:tcBorders>
                    <w:tl2br w:val="nil"/>
                    <w:tr2bl w:val="nil"/>
                  </w:tcBorders>
                  <w:vAlign w:val="center"/>
                </w:tcPr>
                <w:p w14:paraId="3342CC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钢</w:t>
                  </w:r>
                </w:p>
              </w:tc>
              <w:tc>
                <w:tcPr>
                  <w:tcW w:w="432" w:type="pct"/>
                  <w:tcBorders>
                    <w:tl2br w:val="nil"/>
                    <w:tr2bl w:val="nil"/>
                  </w:tcBorders>
                  <w:shd w:val="clear" w:color="auto" w:fill="auto"/>
                  <w:vAlign w:val="center"/>
                </w:tcPr>
                <w:p w14:paraId="5F0B18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eastAsia" w:cs="Times New Roman"/>
                      <w:color w:val="auto"/>
                      <w:kern w:val="0"/>
                      <w:sz w:val="21"/>
                      <w:szCs w:val="21"/>
                      <w:lang w:val="en-US" w:eastAsia="zh-CN"/>
                    </w:rPr>
                    <w:t>若干</w:t>
                  </w:r>
                </w:p>
              </w:tc>
              <w:tc>
                <w:tcPr>
                  <w:tcW w:w="432" w:type="pct"/>
                  <w:tcBorders>
                    <w:tl2br w:val="nil"/>
                    <w:tr2bl w:val="nil"/>
                  </w:tcBorders>
                  <w:shd w:val="clear" w:color="auto" w:fill="auto"/>
                  <w:vAlign w:val="center"/>
                </w:tcPr>
                <w:p w14:paraId="2D4CA8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cs="Times New Roman"/>
                      <w:color w:val="auto"/>
                      <w:kern w:val="0"/>
                      <w:sz w:val="21"/>
                      <w:szCs w:val="21"/>
                      <w:lang w:val="en-US" w:eastAsia="zh-CN"/>
                    </w:rPr>
                    <w:t>若干</w:t>
                  </w:r>
                </w:p>
              </w:tc>
              <w:tc>
                <w:tcPr>
                  <w:tcW w:w="433" w:type="pct"/>
                  <w:tcBorders>
                    <w:tl2br w:val="nil"/>
                    <w:tr2bl w:val="nil"/>
                  </w:tcBorders>
                  <w:vAlign w:val="center"/>
                </w:tcPr>
                <w:p w14:paraId="32D4D7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0</w:t>
                  </w:r>
                </w:p>
              </w:tc>
              <w:tc>
                <w:tcPr>
                  <w:tcW w:w="333" w:type="pct"/>
                  <w:tcBorders>
                    <w:tl2br w:val="nil"/>
                    <w:tr2bl w:val="nil"/>
                  </w:tcBorders>
                  <w:vAlign w:val="center"/>
                </w:tcPr>
                <w:p w14:paraId="7EAC38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固</w:t>
                  </w:r>
                </w:p>
              </w:tc>
              <w:tc>
                <w:tcPr>
                  <w:tcW w:w="535" w:type="pct"/>
                  <w:tcBorders>
                    <w:tl2br w:val="nil"/>
                    <w:tr2bl w:val="nil"/>
                  </w:tcBorders>
                  <w:vAlign w:val="center"/>
                </w:tcPr>
                <w:p w14:paraId="167E38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w:t>
                  </w:r>
                </w:p>
              </w:tc>
              <w:tc>
                <w:tcPr>
                  <w:tcW w:w="491" w:type="pct"/>
                  <w:tcBorders>
                    <w:tl2br w:val="nil"/>
                    <w:tr2bl w:val="nil"/>
                  </w:tcBorders>
                  <w:vAlign w:val="center"/>
                </w:tcPr>
                <w:p w14:paraId="592DB0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w:t>
                  </w:r>
                </w:p>
              </w:tc>
            </w:tr>
            <w:tr w14:paraId="5F65CB8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5000" w:type="pct"/>
                  <w:gridSpan w:val="8"/>
                  <w:tcBorders>
                    <w:tl2br w:val="nil"/>
                    <w:tr2bl w:val="nil"/>
                  </w:tcBorders>
                  <w:vAlign w:val="center"/>
                </w:tcPr>
                <w:p w14:paraId="71998B81">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注：*清面漆、白面漆、透明底漆统称为聚氨酯树脂涂料，涂料的成分一致，仅每种物质的具体含量有差异，详见附件19.1。</w:t>
                  </w:r>
                </w:p>
              </w:tc>
            </w:tr>
          </w:tbl>
          <w:p w14:paraId="74E1F44C">
            <w:pPr>
              <w:adjustRightInd w:val="0"/>
              <w:snapToGrid w:val="0"/>
              <w:jc w:val="center"/>
              <w:rPr>
                <w:rFonts w:cs="宋体"/>
                <w:b/>
                <w:color w:val="auto"/>
              </w:rPr>
            </w:pPr>
            <w:r>
              <w:rPr>
                <w:rFonts w:hint="eastAsia" w:cs="宋体"/>
                <w:b/>
                <w:color w:val="auto"/>
              </w:rPr>
              <w:t>表2-</w:t>
            </w:r>
            <w:r>
              <w:rPr>
                <w:rFonts w:hint="eastAsia" w:cs="宋体"/>
                <w:b/>
                <w:color w:val="auto"/>
                <w:lang w:val="en-US" w:eastAsia="zh-CN"/>
              </w:rPr>
              <w:t>5</w:t>
            </w:r>
            <w:r>
              <w:rPr>
                <w:rFonts w:hint="eastAsia" w:cs="宋体"/>
                <w:b/>
                <w:color w:val="auto"/>
              </w:rPr>
              <w:t xml:space="preserve">   原辅材料理化性质一览表</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28" w:type="dxa"/>
                <w:bottom w:w="0" w:type="dxa"/>
                <w:right w:w="28" w:type="dxa"/>
              </w:tblCellMar>
            </w:tblPr>
            <w:tblGrid>
              <w:gridCol w:w="1163"/>
              <w:gridCol w:w="4678"/>
              <w:gridCol w:w="1089"/>
              <w:gridCol w:w="1616"/>
            </w:tblGrid>
            <w:tr w14:paraId="5FDC633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517" w:hRule="atLeast"/>
                <w:jc w:val="center"/>
              </w:trPr>
              <w:tc>
                <w:tcPr>
                  <w:tcW w:w="680" w:type="pct"/>
                  <w:tcBorders>
                    <w:tl2br w:val="nil"/>
                    <w:tr2bl w:val="nil"/>
                  </w:tcBorders>
                  <w:vAlign w:val="center"/>
                </w:tcPr>
                <w:p w14:paraId="23159E07">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pacing w:val="0"/>
                      <w:kern w:val="0"/>
                      <w:sz w:val="21"/>
                      <w:szCs w:val="21"/>
                    </w:rPr>
                  </w:pPr>
                  <w:r>
                    <w:rPr>
                      <w:rFonts w:hint="default" w:ascii="Times New Roman" w:hAnsi="Times New Roman" w:cs="Times New Roman"/>
                      <w:b/>
                      <w:bCs/>
                      <w:color w:val="auto"/>
                      <w:spacing w:val="0"/>
                      <w:kern w:val="0"/>
                      <w:sz w:val="21"/>
                      <w:szCs w:val="21"/>
                    </w:rPr>
                    <w:t>名称</w:t>
                  </w:r>
                </w:p>
              </w:tc>
              <w:tc>
                <w:tcPr>
                  <w:tcW w:w="2736" w:type="pct"/>
                  <w:tcBorders>
                    <w:tl2br w:val="nil"/>
                    <w:tr2bl w:val="nil"/>
                  </w:tcBorders>
                  <w:vAlign w:val="center"/>
                </w:tcPr>
                <w:p w14:paraId="17CA2125">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pacing w:val="0"/>
                      <w:kern w:val="0"/>
                      <w:sz w:val="21"/>
                      <w:szCs w:val="21"/>
                    </w:rPr>
                  </w:pPr>
                  <w:r>
                    <w:rPr>
                      <w:rFonts w:hint="default" w:ascii="Times New Roman" w:hAnsi="Times New Roman" w:cs="Times New Roman"/>
                      <w:b/>
                      <w:bCs/>
                      <w:color w:val="auto"/>
                      <w:spacing w:val="0"/>
                      <w:kern w:val="0"/>
                      <w:sz w:val="21"/>
                      <w:szCs w:val="21"/>
                    </w:rPr>
                    <w:t>理化特性</w:t>
                  </w:r>
                </w:p>
              </w:tc>
              <w:tc>
                <w:tcPr>
                  <w:tcW w:w="637" w:type="pct"/>
                  <w:tcBorders>
                    <w:tl2br w:val="nil"/>
                    <w:tr2bl w:val="nil"/>
                  </w:tcBorders>
                  <w:vAlign w:val="center"/>
                </w:tcPr>
                <w:p w14:paraId="3BA5220E">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pacing w:val="0"/>
                      <w:kern w:val="0"/>
                      <w:sz w:val="21"/>
                      <w:szCs w:val="21"/>
                    </w:rPr>
                  </w:pPr>
                  <w:r>
                    <w:rPr>
                      <w:rFonts w:hint="default" w:ascii="Times New Roman" w:hAnsi="Times New Roman" w:cs="Times New Roman"/>
                      <w:b/>
                      <w:bCs/>
                      <w:color w:val="auto"/>
                      <w:spacing w:val="0"/>
                      <w:kern w:val="0"/>
                      <w:sz w:val="21"/>
                      <w:szCs w:val="21"/>
                    </w:rPr>
                    <w:t>燃烧爆炸性</w:t>
                  </w:r>
                </w:p>
              </w:tc>
              <w:tc>
                <w:tcPr>
                  <w:tcW w:w="945" w:type="pct"/>
                  <w:tcBorders>
                    <w:tl2br w:val="nil"/>
                    <w:tr2bl w:val="nil"/>
                  </w:tcBorders>
                  <w:vAlign w:val="center"/>
                </w:tcPr>
                <w:p w14:paraId="3C4F44BB">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pacing w:val="0"/>
                      <w:kern w:val="0"/>
                      <w:sz w:val="21"/>
                      <w:szCs w:val="21"/>
                    </w:rPr>
                  </w:pPr>
                  <w:r>
                    <w:rPr>
                      <w:rFonts w:hint="default" w:ascii="Times New Roman" w:hAnsi="Times New Roman" w:cs="Times New Roman"/>
                      <w:b/>
                      <w:bCs/>
                      <w:color w:val="auto"/>
                      <w:spacing w:val="0"/>
                      <w:kern w:val="0"/>
                      <w:sz w:val="21"/>
                      <w:szCs w:val="21"/>
                    </w:rPr>
                    <w:t>毒性毒理</w:t>
                  </w:r>
                </w:p>
              </w:tc>
            </w:tr>
            <w:tr w14:paraId="5BC2957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40" w:hRule="atLeast"/>
                <w:jc w:val="center"/>
              </w:trPr>
              <w:tc>
                <w:tcPr>
                  <w:tcW w:w="680" w:type="pct"/>
                  <w:tcBorders>
                    <w:tl2br w:val="nil"/>
                    <w:tr2bl w:val="nil"/>
                  </w:tcBorders>
                  <w:vAlign w:val="center"/>
                </w:tcPr>
                <w:p w14:paraId="42C7E6A2">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cs="Times New Roman"/>
                      <w:color w:val="auto"/>
                      <w:spacing w:val="0"/>
                      <w:kern w:val="0"/>
                      <w:sz w:val="21"/>
                      <w:szCs w:val="21"/>
                      <w:lang w:val="en-US" w:eastAsia="zh-CN"/>
                    </w:rPr>
                    <w:t>聚蜡酸乙烯</w:t>
                  </w:r>
                </w:p>
              </w:tc>
              <w:tc>
                <w:tcPr>
                  <w:tcW w:w="2736" w:type="pct"/>
                  <w:tcBorders>
                    <w:tl2br w:val="nil"/>
                    <w:tr2bl w:val="nil"/>
                  </w:tcBorders>
                  <w:vAlign w:val="center"/>
                </w:tcPr>
                <w:p w14:paraId="63546602">
                  <w:pPr>
                    <w:pStyle w:val="707"/>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cs="Times New Roman"/>
                      <w:color w:val="auto"/>
                      <w:spacing w:val="0"/>
                      <w:kern w:val="0"/>
                      <w:sz w:val="21"/>
                      <w:szCs w:val="21"/>
                      <w:lang w:val="en-US" w:eastAsia="zh-CN"/>
                    </w:rPr>
                    <w:t>无色黏稠液或淡黄色透明玻璃状颗粒，无臭，无味，有韧性和塑性；熔点60℃；沸点70-150℃；密度1.18g/mL at 25℃；闪点＞100℃</w:t>
                  </w:r>
                </w:p>
              </w:tc>
              <w:tc>
                <w:tcPr>
                  <w:tcW w:w="637" w:type="pct"/>
                  <w:tcBorders>
                    <w:tl2br w:val="nil"/>
                    <w:tr2bl w:val="nil"/>
                  </w:tcBorders>
                  <w:vAlign w:val="center"/>
                </w:tcPr>
                <w:p w14:paraId="13E27BB7">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cs="Times New Roman"/>
                      <w:color w:val="auto"/>
                      <w:spacing w:val="0"/>
                      <w:kern w:val="0"/>
                      <w:sz w:val="21"/>
                      <w:szCs w:val="21"/>
                      <w:lang w:val="en-US" w:eastAsia="zh-CN"/>
                    </w:rPr>
                    <w:t>可燃</w:t>
                  </w:r>
                </w:p>
              </w:tc>
              <w:tc>
                <w:tcPr>
                  <w:tcW w:w="945" w:type="pct"/>
                  <w:tcBorders>
                    <w:tl2br w:val="nil"/>
                    <w:tr2bl w:val="nil"/>
                  </w:tcBorders>
                  <w:vAlign w:val="center"/>
                </w:tcPr>
                <w:p w14:paraId="70D87F4A">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cs="Times New Roman"/>
                      <w:color w:val="auto"/>
                      <w:spacing w:val="0"/>
                      <w:kern w:val="0"/>
                      <w:sz w:val="21"/>
                      <w:szCs w:val="21"/>
                      <w:lang w:val="en-US" w:eastAsia="zh-CN"/>
                    </w:rPr>
                    <w:t>LD</w:t>
                  </w:r>
                  <w:r>
                    <w:rPr>
                      <w:rFonts w:hint="default" w:ascii="Times New Roman" w:hAnsi="Times New Roman" w:cs="Times New Roman"/>
                      <w:color w:val="auto"/>
                      <w:spacing w:val="0"/>
                      <w:kern w:val="0"/>
                      <w:sz w:val="21"/>
                      <w:szCs w:val="21"/>
                      <w:vertAlign w:val="subscript"/>
                      <w:lang w:val="en-US" w:eastAsia="zh-CN"/>
                    </w:rPr>
                    <w:t>50</w:t>
                  </w:r>
                  <w:r>
                    <w:rPr>
                      <w:rFonts w:hint="default" w:ascii="Times New Roman" w:hAnsi="Times New Roman" w:cs="Times New Roman"/>
                      <w:color w:val="auto"/>
                      <w:spacing w:val="0"/>
                      <w:kern w:val="0"/>
                      <w:sz w:val="21"/>
                      <w:szCs w:val="21"/>
                      <w:lang w:val="en-US" w:eastAsia="zh-CN"/>
                    </w:rPr>
                    <w:t>：＞25000mg/kg（大鼠口服）</w:t>
                  </w:r>
                </w:p>
              </w:tc>
            </w:tr>
            <w:tr w14:paraId="178C6F9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40" w:hRule="atLeast"/>
                <w:jc w:val="center"/>
              </w:trPr>
              <w:tc>
                <w:tcPr>
                  <w:tcW w:w="1163" w:type="dxa"/>
                  <w:tcBorders>
                    <w:tl2br w:val="nil"/>
                    <w:tr2bl w:val="nil"/>
                  </w:tcBorders>
                  <w:vAlign w:val="center"/>
                </w:tcPr>
                <w:p w14:paraId="4DDFAB4B">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cs="Times New Roman"/>
                      <w:color w:val="auto"/>
                      <w:spacing w:val="0"/>
                      <w:kern w:val="0"/>
                      <w:sz w:val="21"/>
                      <w:szCs w:val="21"/>
                      <w:lang w:val="en-US" w:eastAsia="zh-CN"/>
                    </w:rPr>
                    <w:t>二丙二醇丁醚</w:t>
                  </w:r>
                </w:p>
              </w:tc>
              <w:tc>
                <w:tcPr>
                  <w:tcW w:w="4678" w:type="dxa"/>
                  <w:tcBorders>
                    <w:tl2br w:val="nil"/>
                    <w:tr2bl w:val="nil"/>
                  </w:tcBorders>
                  <w:vAlign w:val="center"/>
                </w:tcPr>
                <w:p w14:paraId="6EDC4D8F">
                  <w:pPr>
                    <w:pStyle w:val="707"/>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无色透明液体，有轻微的醚类气味和苦味，溶于水</w:t>
                  </w:r>
                  <w:r>
                    <w:rPr>
                      <w:rFonts w:hint="default" w:ascii="Times New Roman" w:hAnsi="Times New Roman" w:cs="Times New Roman"/>
                      <w:color w:val="auto"/>
                      <w:spacing w:val="0"/>
                      <w:kern w:val="0"/>
                      <w:sz w:val="21"/>
                      <w:szCs w:val="21"/>
                      <w:lang w:val="en-US" w:eastAsia="zh-CN"/>
                    </w:rPr>
                    <w:t>；沸点222-232℃（lit.）；密度0.913g/mL at 25℃（lit.）；闪点205℉</w:t>
                  </w:r>
                </w:p>
              </w:tc>
              <w:tc>
                <w:tcPr>
                  <w:tcW w:w="1089" w:type="dxa"/>
                  <w:tcBorders>
                    <w:tl2br w:val="nil"/>
                    <w:tr2bl w:val="nil"/>
                  </w:tcBorders>
                  <w:vAlign w:val="center"/>
                </w:tcPr>
                <w:p w14:paraId="09188E69">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cs="Times New Roman"/>
                      <w:color w:val="auto"/>
                      <w:spacing w:val="0"/>
                      <w:kern w:val="0"/>
                      <w:sz w:val="21"/>
                      <w:szCs w:val="21"/>
                      <w:lang w:val="en-US" w:eastAsia="zh-CN"/>
                    </w:rPr>
                    <w:t>易燃</w:t>
                  </w:r>
                </w:p>
              </w:tc>
              <w:tc>
                <w:tcPr>
                  <w:tcW w:w="1616" w:type="dxa"/>
                  <w:tcBorders>
                    <w:tl2br w:val="nil"/>
                    <w:tr2bl w:val="nil"/>
                  </w:tcBorders>
                  <w:vAlign w:val="center"/>
                </w:tcPr>
                <w:p w14:paraId="79CEB951">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cs="Times New Roman"/>
                      <w:color w:val="auto"/>
                      <w:spacing w:val="0"/>
                      <w:kern w:val="0"/>
                      <w:sz w:val="21"/>
                      <w:szCs w:val="21"/>
                      <w:lang w:val="en-US" w:eastAsia="zh-CN"/>
                    </w:rPr>
                    <w:t>--</w:t>
                  </w:r>
                </w:p>
              </w:tc>
            </w:tr>
            <w:tr w14:paraId="115221C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40" w:hRule="atLeast"/>
                <w:jc w:val="center"/>
              </w:trPr>
              <w:tc>
                <w:tcPr>
                  <w:tcW w:w="1163" w:type="dxa"/>
                  <w:tcBorders>
                    <w:tl2br w:val="nil"/>
                    <w:tr2bl w:val="nil"/>
                  </w:tcBorders>
                  <w:vAlign w:val="center"/>
                </w:tcPr>
                <w:p w14:paraId="11D8A363">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pacing w:val="0"/>
                      <w:kern w:val="0"/>
                      <w:sz w:val="21"/>
                      <w:szCs w:val="21"/>
                      <w:lang w:val="en-US" w:eastAsia="zh-CN"/>
                    </w:rPr>
                  </w:pPr>
                  <w:r>
                    <w:rPr>
                      <w:rFonts w:hint="default" w:ascii="Times New Roman" w:hAnsi="Times New Roman" w:cs="Times New Roman"/>
                      <w:color w:val="auto"/>
                      <w:spacing w:val="0"/>
                      <w:kern w:val="0"/>
                      <w:sz w:val="21"/>
                      <w:szCs w:val="21"/>
                      <w:lang w:val="en-US" w:eastAsia="zh-CN"/>
                    </w:rPr>
                    <w:t>二丙二醇甲醚</w:t>
                  </w:r>
                </w:p>
              </w:tc>
              <w:tc>
                <w:tcPr>
                  <w:tcW w:w="4678" w:type="dxa"/>
                  <w:tcBorders>
                    <w:tl2br w:val="nil"/>
                    <w:tr2bl w:val="nil"/>
                  </w:tcBorders>
                  <w:vAlign w:val="center"/>
                </w:tcPr>
                <w:p w14:paraId="10F05D51">
                  <w:pPr>
                    <w:pStyle w:val="707"/>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color w:val="auto"/>
                      <w:spacing w:val="0"/>
                      <w:kern w:val="0"/>
                      <w:sz w:val="21"/>
                      <w:szCs w:val="21"/>
                      <w:lang w:val="en-US" w:eastAsia="zh-CN"/>
                    </w:rPr>
                  </w:pPr>
                  <w:r>
                    <w:rPr>
                      <w:rFonts w:hint="default" w:ascii="Times New Roman" w:hAnsi="Times New Roman" w:cs="Times New Roman"/>
                      <w:color w:val="auto"/>
                      <w:spacing w:val="0"/>
                      <w:kern w:val="0"/>
                      <w:sz w:val="21"/>
                      <w:szCs w:val="21"/>
                      <w:lang w:val="en-US" w:eastAsia="zh-CN"/>
                    </w:rPr>
                    <w:t>溶解性良好的无色透明粘稠液体；熔点-80℃；沸点90-91℃ 12mmHg（lit.）；密度0.954g/mL at 20℃（lit.）；闪点166℉</w:t>
                  </w:r>
                </w:p>
              </w:tc>
              <w:tc>
                <w:tcPr>
                  <w:tcW w:w="1089" w:type="dxa"/>
                  <w:tcBorders>
                    <w:tl2br w:val="nil"/>
                    <w:tr2bl w:val="nil"/>
                  </w:tcBorders>
                  <w:vAlign w:val="center"/>
                </w:tcPr>
                <w:p w14:paraId="6BFE3A0C">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cs="Times New Roman"/>
                      <w:color w:val="auto"/>
                      <w:spacing w:val="0"/>
                      <w:kern w:val="0"/>
                      <w:sz w:val="21"/>
                      <w:szCs w:val="21"/>
                      <w:lang w:val="en-US" w:eastAsia="zh-CN"/>
                    </w:rPr>
                    <w:t>易燃可爆</w:t>
                  </w:r>
                </w:p>
              </w:tc>
              <w:tc>
                <w:tcPr>
                  <w:tcW w:w="1616" w:type="dxa"/>
                  <w:tcBorders>
                    <w:tl2br w:val="nil"/>
                    <w:tr2bl w:val="nil"/>
                  </w:tcBorders>
                  <w:vAlign w:val="center"/>
                </w:tcPr>
                <w:p w14:paraId="3A1959A1">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pacing w:val="0"/>
                      <w:kern w:val="0"/>
                      <w:sz w:val="21"/>
                      <w:szCs w:val="21"/>
                      <w:lang w:val="en-US" w:eastAsia="zh-CN"/>
                    </w:rPr>
                  </w:pPr>
                  <w:r>
                    <w:rPr>
                      <w:rFonts w:hint="default" w:ascii="Times New Roman" w:hAnsi="Times New Roman" w:cs="Times New Roman"/>
                      <w:color w:val="auto"/>
                      <w:spacing w:val="0"/>
                      <w:kern w:val="0"/>
                      <w:sz w:val="21"/>
                      <w:szCs w:val="21"/>
                      <w:lang w:val="en-US" w:eastAsia="zh-CN"/>
                    </w:rPr>
                    <w:t>LD</w:t>
                  </w:r>
                  <w:r>
                    <w:rPr>
                      <w:rFonts w:hint="default" w:ascii="Times New Roman" w:hAnsi="Times New Roman" w:cs="Times New Roman"/>
                      <w:color w:val="auto"/>
                      <w:spacing w:val="0"/>
                      <w:kern w:val="0"/>
                      <w:sz w:val="21"/>
                      <w:szCs w:val="21"/>
                      <w:vertAlign w:val="subscript"/>
                      <w:lang w:val="en-US" w:eastAsia="zh-CN"/>
                    </w:rPr>
                    <w:t>50</w:t>
                  </w:r>
                  <w:r>
                    <w:rPr>
                      <w:rFonts w:hint="default" w:ascii="Times New Roman" w:hAnsi="Times New Roman" w:cs="Times New Roman"/>
                      <w:color w:val="auto"/>
                      <w:spacing w:val="0"/>
                      <w:kern w:val="0"/>
                      <w:sz w:val="21"/>
                      <w:szCs w:val="21"/>
                      <w:lang w:val="en-US" w:eastAsia="zh-CN"/>
                    </w:rPr>
                    <w:t>：5000mg/kg（大鼠口服）</w:t>
                  </w:r>
                </w:p>
              </w:tc>
            </w:tr>
            <w:tr w14:paraId="0F23BE4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40" w:hRule="atLeast"/>
                <w:jc w:val="center"/>
              </w:trPr>
              <w:tc>
                <w:tcPr>
                  <w:tcW w:w="1163" w:type="dxa"/>
                  <w:tcBorders>
                    <w:tl2br w:val="nil"/>
                    <w:tr2bl w:val="nil"/>
                  </w:tcBorders>
                  <w:vAlign w:val="center"/>
                </w:tcPr>
                <w:p w14:paraId="3CC18C5A">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cs="Times New Roman"/>
                      <w:color w:val="auto"/>
                      <w:spacing w:val="0"/>
                      <w:kern w:val="0"/>
                      <w:sz w:val="21"/>
                      <w:szCs w:val="21"/>
                      <w:highlight w:val="none"/>
                      <w:lang w:val="en-US" w:eastAsia="zh-CN"/>
                    </w:rPr>
                    <w:t>醋酸丁酯</w:t>
                  </w:r>
                </w:p>
              </w:tc>
              <w:tc>
                <w:tcPr>
                  <w:tcW w:w="4678" w:type="dxa"/>
                  <w:tcBorders>
                    <w:tl2br w:val="nil"/>
                    <w:tr2bl w:val="nil"/>
                  </w:tcBorders>
                  <w:vAlign w:val="center"/>
                </w:tcPr>
                <w:p w14:paraId="20055207">
                  <w:pPr>
                    <w:pStyle w:val="707"/>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eastAsia="宋体" w:cs="Times New Roman"/>
                      <w:color w:val="auto"/>
                      <w:spacing w:val="0"/>
                      <w:kern w:val="0"/>
                      <w:sz w:val="21"/>
                      <w:szCs w:val="21"/>
                      <w:highlight w:val="none"/>
                      <w:lang w:val="en-US" w:eastAsia="zh-CN"/>
                    </w:rPr>
                    <w:t>无色带有浓烈水果香味的透明液体</w:t>
                  </w:r>
                  <w:r>
                    <w:rPr>
                      <w:rFonts w:hint="default" w:ascii="Times New Roman" w:hAnsi="Times New Roman" w:cs="Times New Roman"/>
                      <w:color w:val="auto"/>
                      <w:spacing w:val="0"/>
                      <w:kern w:val="0"/>
                      <w:sz w:val="21"/>
                      <w:szCs w:val="21"/>
                      <w:highlight w:val="none"/>
                      <w:lang w:val="en-US" w:eastAsia="zh-CN"/>
                    </w:rPr>
                    <w:t>；熔点-78℃（lit.）；沸点124-126℃（lit.）；密度0.88g/mL at 25℃（lit.）；闪点74℉</w:t>
                  </w:r>
                </w:p>
              </w:tc>
              <w:tc>
                <w:tcPr>
                  <w:tcW w:w="1089" w:type="dxa"/>
                  <w:tcBorders>
                    <w:tl2br w:val="nil"/>
                    <w:tr2bl w:val="nil"/>
                  </w:tcBorders>
                  <w:vAlign w:val="center"/>
                </w:tcPr>
                <w:p w14:paraId="097AA284">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cs="Times New Roman"/>
                      <w:color w:val="auto"/>
                      <w:spacing w:val="0"/>
                      <w:kern w:val="0"/>
                      <w:sz w:val="21"/>
                      <w:szCs w:val="21"/>
                      <w:highlight w:val="none"/>
                      <w:lang w:val="en-US" w:eastAsia="zh-CN"/>
                    </w:rPr>
                    <w:t>易燃可爆</w:t>
                  </w:r>
                </w:p>
              </w:tc>
              <w:tc>
                <w:tcPr>
                  <w:tcW w:w="1616" w:type="dxa"/>
                  <w:tcBorders>
                    <w:tl2br w:val="nil"/>
                    <w:tr2bl w:val="nil"/>
                  </w:tcBorders>
                  <w:vAlign w:val="center"/>
                </w:tcPr>
                <w:p w14:paraId="394DAF78">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cs="Times New Roman"/>
                      <w:color w:val="auto"/>
                      <w:spacing w:val="0"/>
                      <w:kern w:val="0"/>
                      <w:sz w:val="21"/>
                      <w:szCs w:val="21"/>
                      <w:lang w:val="en-US" w:eastAsia="zh-CN"/>
                    </w:rPr>
                    <w:t>LD</w:t>
                  </w:r>
                  <w:r>
                    <w:rPr>
                      <w:rFonts w:hint="default" w:ascii="Times New Roman" w:hAnsi="Times New Roman" w:cs="Times New Roman"/>
                      <w:color w:val="auto"/>
                      <w:spacing w:val="0"/>
                      <w:kern w:val="0"/>
                      <w:sz w:val="21"/>
                      <w:szCs w:val="21"/>
                      <w:vertAlign w:val="subscript"/>
                      <w:lang w:val="en-US" w:eastAsia="zh-CN"/>
                    </w:rPr>
                    <w:t>50</w:t>
                  </w:r>
                  <w:r>
                    <w:rPr>
                      <w:rFonts w:hint="default" w:ascii="Times New Roman" w:hAnsi="Times New Roman" w:cs="Times New Roman"/>
                      <w:color w:val="auto"/>
                      <w:spacing w:val="0"/>
                      <w:kern w:val="0"/>
                      <w:sz w:val="21"/>
                      <w:szCs w:val="21"/>
                      <w:lang w:val="en-US" w:eastAsia="zh-CN"/>
                    </w:rPr>
                    <w:t>：10768mg/kg（大鼠口服）</w:t>
                  </w:r>
                </w:p>
              </w:tc>
            </w:tr>
            <w:tr w14:paraId="689AA9C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40" w:hRule="atLeast"/>
                <w:jc w:val="center"/>
              </w:trPr>
              <w:tc>
                <w:tcPr>
                  <w:tcW w:w="1163" w:type="dxa"/>
                  <w:tcBorders>
                    <w:tl2br w:val="nil"/>
                    <w:tr2bl w:val="nil"/>
                  </w:tcBorders>
                  <w:vAlign w:val="center"/>
                </w:tcPr>
                <w:p w14:paraId="6F6AFC49">
                  <w:pPr>
                    <w:pStyle w:val="68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cs="Times New Roman"/>
                      <w:snapToGrid w:val="0"/>
                      <w:color w:val="auto"/>
                      <w:spacing w:val="0"/>
                      <w:kern w:val="0"/>
                      <w:sz w:val="21"/>
                      <w:szCs w:val="21"/>
                      <w:lang w:val="en-US" w:eastAsia="zh-CN" w:bidi="ar-SA"/>
                    </w:rPr>
                    <w:t>二甲苯</w:t>
                  </w:r>
                </w:p>
              </w:tc>
              <w:tc>
                <w:tcPr>
                  <w:tcW w:w="4678" w:type="dxa"/>
                  <w:tcBorders>
                    <w:tl2br w:val="nil"/>
                    <w:tr2bl w:val="nil"/>
                  </w:tcBorders>
                  <w:vAlign w:val="center"/>
                </w:tcPr>
                <w:p w14:paraId="7A6B3FD5">
                  <w:pPr>
                    <w:pStyle w:val="707"/>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pacing w:val="0"/>
                      <w:kern w:val="0"/>
                      <w:sz w:val="21"/>
                      <w:szCs w:val="21"/>
                      <w:highlight w:val="none"/>
                    </w:rPr>
                  </w:pPr>
                  <w:r>
                    <w:rPr>
                      <w:rFonts w:hint="default" w:ascii="Times New Roman" w:hAnsi="Times New Roman" w:cs="Times New Roman"/>
                      <w:color w:val="auto"/>
                      <w:spacing w:val="0"/>
                      <w:kern w:val="0"/>
                      <w:sz w:val="21"/>
                      <w:szCs w:val="21"/>
                      <w:shd w:val="clear" w:color="auto" w:fill="FFFFFF"/>
                      <w:lang w:val="en-US" w:eastAsia="zh-CN"/>
                    </w:rPr>
                    <w:t>无色透明有芳香味的液体；熔点-34℃；沸点137-140℃（lit.）；密度0.86g/mL at 25℃（lit.）；闪点77℉（lit.）</w:t>
                  </w:r>
                </w:p>
              </w:tc>
              <w:tc>
                <w:tcPr>
                  <w:tcW w:w="1089" w:type="dxa"/>
                  <w:tcBorders>
                    <w:tl2br w:val="nil"/>
                    <w:tr2bl w:val="nil"/>
                  </w:tcBorders>
                  <w:vAlign w:val="center"/>
                </w:tcPr>
                <w:p w14:paraId="0DE2745B">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bCs/>
                      <w:color w:val="auto"/>
                      <w:spacing w:val="0"/>
                      <w:kern w:val="0"/>
                      <w:sz w:val="21"/>
                      <w:szCs w:val="21"/>
                      <w:lang w:val="en-US" w:eastAsia="zh-CN"/>
                    </w:rPr>
                    <w:t>易燃</w:t>
                  </w:r>
                </w:p>
              </w:tc>
              <w:tc>
                <w:tcPr>
                  <w:tcW w:w="1616" w:type="dxa"/>
                  <w:tcBorders>
                    <w:tl2br w:val="nil"/>
                    <w:tr2bl w:val="nil"/>
                  </w:tcBorders>
                  <w:vAlign w:val="center"/>
                </w:tcPr>
                <w:p w14:paraId="63E6319C">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rPr>
                    <w:t>LD</w:t>
                  </w:r>
                  <w:r>
                    <w:rPr>
                      <w:rFonts w:hint="default" w:ascii="Times New Roman" w:hAnsi="Times New Roman" w:cs="Times New Roman"/>
                      <w:color w:val="auto"/>
                      <w:spacing w:val="0"/>
                      <w:kern w:val="0"/>
                      <w:sz w:val="21"/>
                      <w:szCs w:val="21"/>
                      <w:vertAlign w:val="subscript"/>
                    </w:rPr>
                    <w:t>50</w:t>
                  </w:r>
                  <w:r>
                    <w:rPr>
                      <w:rFonts w:hint="default" w:ascii="Times New Roman" w:hAnsi="Times New Roman" w:cs="Times New Roman"/>
                      <w:color w:val="auto"/>
                      <w:spacing w:val="0"/>
                      <w:kern w:val="0"/>
                      <w:sz w:val="21"/>
                      <w:szCs w:val="21"/>
                    </w:rPr>
                    <w:t>：43</w:t>
                  </w:r>
                  <w:r>
                    <w:rPr>
                      <w:rFonts w:hint="default" w:ascii="Times New Roman" w:hAnsi="Times New Roman" w:cs="Times New Roman"/>
                      <w:color w:val="auto"/>
                      <w:spacing w:val="0"/>
                      <w:kern w:val="0"/>
                      <w:sz w:val="21"/>
                      <w:szCs w:val="21"/>
                      <w:lang w:val="en-US" w:eastAsia="zh-CN"/>
                    </w:rPr>
                    <w:t>00</w:t>
                  </w:r>
                  <w:r>
                    <w:rPr>
                      <w:rFonts w:hint="default" w:ascii="Times New Roman" w:hAnsi="Times New Roman" w:cs="Times New Roman"/>
                      <w:color w:val="auto"/>
                      <w:spacing w:val="0"/>
                      <w:kern w:val="0"/>
                      <w:sz w:val="21"/>
                      <w:szCs w:val="21"/>
                    </w:rPr>
                    <w:t>mg/kg（大鼠</w:t>
                  </w:r>
                  <w:r>
                    <w:rPr>
                      <w:rFonts w:hint="default" w:ascii="Times New Roman" w:hAnsi="Times New Roman" w:cs="Times New Roman"/>
                      <w:color w:val="auto"/>
                      <w:spacing w:val="0"/>
                      <w:kern w:val="0"/>
                      <w:sz w:val="21"/>
                      <w:szCs w:val="21"/>
                      <w:lang w:val="en-US" w:eastAsia="zh-CN"/>
                    </w:rPr>
                    <w:t>口服</w:t>
                  </w:r>
                  <w:r>
                    <w:rPr>
                      <w:rFonts w:hint="default" w:ascii="Times New Roman" w:hAnsi="Times New Roman" w:cs="Times New Roman"/>
                      <w:color w:val="auto"/>
                      <w:spacing w:val="0"/>
                      <w:kern w:val="0"/>
                      <w:sz w:val="21"/>
                      <w:szCs w:val="21"/>
                    </w:rPr>
                    <w:t>）</w:t>
                  </w:r>
                </w:p>
              </w:tc>
            </w:tr>
            <w:tr w14:paraId="6EEFEF5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40" w:hRule="atLeast"/>
                <w:jc w:val="center"/>
              </w:trPr>
              <w:tc>
                <w:tcPr>
                  <w:tcW w:w="1163" w:type="dxa"/>
                  <w:tcBorders>
                    <w:tl2br w:val="nil"/>
                    <w:tr2bl w:val="nil"/>
                  </w:tcBorders>
                  <w:vAlign w:val="center"/>
                </w:tcPr>
                <w:p w14:paraId="2C6CAEF2">
                  <w:pPr>
                    <w:pStyle w:val="68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snapToGrid w:val="0"/>
                      <w:color w:val="auto"/>
                      <w:spacing w:val="0"/>
                      <w:kern w:val="0"/>
                      <w:sz w:val="21"/>
                      <w:szCs w:val="21"/>
                      <w:lang w:val="en-US" w:eastAsia="zh-CN" w:bidi="ar-SA"/>
                    </w:rPr>
                  </w:pPr>
                  <w:r>
                    <w:rPr>
                      <w:rFonts w:hint="default" w:ascii="Times New Roman" w:hAnsi="Times New Roman" w:cs="Times New Roman"/>
                      <w:color w:val="auto"/>
                      <w:kern w:val="0"/>
                      <w:sz w:val="21"/>
                      <w:szCs w:val="21"/>
                      <w:lang w:val="en-US" w:eastAsia="zh-CN"/>
                    </w:rPr>
                    <w:t>丙二醇甲醚醋酸酯</w:t>
                  </w:r>
                </w:p>
              </w:tc>
              <w:tc>
                <w:tcPr>
                  <w:tcW w:w="4678" w:type="dxa"/>
                  <w:tcBorders>
                    <w:tl2br w:val="nil"/>
                    <w:tr2bl w:val="nil"/>
                  </w:tcBorders>
                  <w:vAlign w:val="center"/>
                </w:tcPr>
                <w:p w14:paraId="10D1BBB5">
                  <w:pPr>
                    <w:pStyle w:val="707"/>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auto"/>
                      <w:spacing w:val="0"/>
                      <w:kern w:val="0"/>
                      <w:sz w:val="21"/>
                      <w:szCs w:val="21"/>
                      <w:shd w:val="clear" w:color="auto" w:fill="FFFFFF"/>
                      <w:lang w:val="en-US" w:eastAsia="zh-CN"/>
                    </w:rPr>
                  </w:pPr>
                  <w:r>
                    <w:rPr>
                      <w:rFonts w:hint="default" w:ascii="Times New Roman" w:hAnsi="Times New Roman" w:cs="Times New Roman"/>
                      <w:color w:val="auto"/>
                      <w:spacing w:val="0"/>
                      <w:kern w:val="0"/>
                      <w:sz w:val="21"/>
                      <w:szCs w:val="21"/>
                      <w:shd w:val="clear" w:color="auto" w:fill="FFFFFF"/>
                      <w:lang w:val="en-US" w:eastAsia="zh-CN"/>
                    </w:rPr>
                    <w:t>无色、有特殊气味的高级溶剂；熔点-87℃；沸点145-146℃（lit.）；密度0.97g/mL at 25℃（lit.）；闪点110℉</w:t>
                  </w:r>
                </w:p>
              </w:tc>
              <w:tc>
                <w:tcPr>
                  <w:tcW w:w="1089" w:type="dxa"/>
                  <w:tcBorders>
                    <w:tl2br w:val="nil"/>
                    <w:tr2bl w:val="nil"/>
                  </w:tcBorders>
                  <w:vAlign w:val="center"/>
                </w:tcPr>
                <w:p w14:paraId="43EE852C">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pacing w:val="0"/>
                      <w:kern w:val="0"/>
                      <w:sz w:val="21"/>
                      <w:szCs w:val="21"/>
                      <w:lang w:val="en-US" w:eastAsia="zh-CN"/>
                    </w:rPr>
                  </w:pPr>
                  <w:r>
                    <w:rPr>
                      <w:rFonts w:hint="default" w:ascii="Times New Roman" w:hAnsi="Times New Roman" w:cs="Times New Roman"/>
                      <w:bCs/>
                      <w:color w:val="auto"/>
                      <w:spacing w:val="0"/>
                      <w:kern w:val="0"/>
                      <w:sz w:val="21"/>
                      <w:szCs w:val="21"/>
                      <w:lang w:val="en-US" w:eastAsia="zh-CN"/>
                    </w:rPr>
                    <w:t>易燃</w:t>
                  </w:r>
                </w:p>
              </w:tc>
              <w:tc>
                <w:tcPr>
                  <w:tcW w:w="1616" w:type="dxa"/>
                  <w:tcBorders>
                    <w:tl2br w:val="nil"/>
                    <w:tr2bl w:val="nil"/>
                  </w:tcBorders>
                  <w:vAlign w:val="center"/>
                </w:tcPr>
                <w:p w14:paraId="249B5F3A">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cs="Times New Roman"/>
                      <w:color w:val="auto"/>
                      <w:spacing w:val="0"/>
                      <w:kern w:val="0"/>
                      <w:sz w:val="21"/>
                      <w:szCs w:val="21"/>
                      <w:lang w:val="en-US" w:eastAsia="zh-CN"/>
                    </w:rPr>
                    <w:t>--</w:t>
                  </w:r>
                </w:p>
              </w:tc>
            </w:tr>
            <w:tr w14:paraId="4DC620D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40" w:hRule="atLeast"/>
                <w:jc w:val="center"/>
              </w:trPr>
              <w:tc>
                <w:tcPr>
                  <w:tcW w:w="1163" w:type="dxa"/>
                  <w:tcBorders>
                    <w:tl2br w:val="nil"/>
                    <w:tr2bl w:val="nil"/>
                  </w:tcBorders>
                  <w:vAlign w:val="center"/>
                </w:tcPr>
                <w:p w14:paraId="38846D4A">
                  <w:pPr>
                    <w:pStyle w:val="68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环己酮</w:t>
                  </w:r>
                </w:p>
              </w:tc>
              <w:tc>
                <w:tcPr>
                  <w:tcW w:w="4678" w:type="dxa"/>
                  <w:tcBorders>
                    <w:tl2br w:val="nil"/>
                    <w:tr2bl w:val="nil"/>
                  </w:tcBorders>
                  <w:vAlign w:val="center"/>
                </w:tcPr>
                <w:p w14:paraId="576F5945">
                  <w:pPr>
                    <w:pStyle w:val="707"/>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auto"/>
                      <w:spacing w:val="0"/>
                      <w:kern w:val="0"/>
                      <w:sz w:val="21"/>
                      <w:szCs w:val="21"/>
                      <w:shd w:val="clear" w:color="auto" w:fill="FFFFFF"/>
                      <w:lang w:val="en-US" w:eastAsia="zh-CN"/>
                    </w:rPr>
                  </w:pPr>
                  <w:r>
                    <w:rPr>
                      <w:rFonts w:hint="default" w:ascii="Times New Roman" w:hAnsi="Times New Roman" w:cs="Times New Roman"/>
                      <w:color w:val="auto"/>
                      <w:spacing w:val="0"/>
                      <w:kern w:val="0"/>
                      <w:sz w:val="21"/>
                      <w:szCs w:val="21"/>
                      <w:shd w:val="clear" w:color="auto" w:fill="FFFFFF"/>
                      <w:lang w:val="en-US" w:eastAsia="zh-CN"/>
                    </w:rPr>
                    <w:t>无色透明液体；熔点-47℃（lit.）；沸点155℃（lit.）；密度0.947g/mL at 25℃（lit.）；闪点116℉</w:t>
                  </w:r>
                </w:p>
              </w:tc>
              <w:tc>
                <w:tcPr>
                  <w:tcW w:w="1089" w:type="dxa"/>
                  <w:tcBorders>
                    <w:tl2br w:val="nil"/>
                    <w:tr2bl w:val="nil"/>
                  </w:tcBorders>
                  <w:vAlign w:val="center"/>
                </w:tcPr>
                <w:p w14:paraId="642281F5">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pacing w:val="0"/>
                      <w:kern w:val="0"/>
                      <w:sz w:val="21"/>
                      <w:szCs w:val="21"/>
                      <w:lang w:val="en-US" w:eastAsia="zh-CN"/>
                    </w:rPr>
                  </w:pPr>
                  <w:r>
                    <w:rPr>
                      <w:rFonts w:hint="default" w:ascii="Times New Roman" w:hAnsi="Times New Roman" w:cs="Times New Roman"/>
                      <w:bCs/>
                      <w:color w:val="auto"/>
                      <w:spacing w:val="0"/>
                      <w:kern w:val="0"/>
                      <w:sz w:val="21"/>
                      <w:szCs w:val="21"/>
                      <w:lang w:val="en-US" w:eastAsia="zh-CN"/>
                    </w:rPr>
                    <w:t>易燃可爆</w:t>
                  </w:r>
                </w:p>
              </w:tc>
              <w:tc>
                <w:tcPr>
                  <w:tcW w:w="1616" w:type="dxa"/>
                  <w:tcBorders>
                    <w:tl2br w:val="nil"/>
                    <w:tr2bl w:val="nil"/>
                  </w:tcBorders>
                  <w:vAlign w:val="center"/>
                </w:tcPr>
                <w:p w14:paraId="16AF8384">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pacing w:val="0"/>
                      <w:kern w:val="0"/>
                      <w:sz w:val="21"/>
                      <w:szCs w:val="21"/>
                      <w:lang w:val="en-US" w:eastAsia="zh-CN"/>
                    </w:rPr>
                  </w:pPr>
                  <w:r>
                    <w:rPr>
                      <w:rFonts w:hint="default" w:ascii="Times New Roman" w:hAnsi="Times New Roman" w:cs="Times New Roman"/>
                      <w:color w:val="auto"/>
                      <w:spacing w:val="0"/>
                      <w:kern w:val="0"/>
                      <w:sz w:val="21"/>
                      <w:szCs w:val="21"/>
                    </w:rPr>
                    <w:t>LD</w:t>
                  </w:r>
                  <w:r>
                    <w:rPr>
                      <w:rFonts w:hint="default" w:ascii="Times New Roman" w:hAnsi="Times New Roman" w:cs="Times New Roman"/>
                      <w:color w:val="auto"/>
                      <w:spacing w:val="0"/>
                      <w:kern w:val="0"/>
                      <w:sz w:val="21"/>
                      <w:szCs w:val="21"/>
                      <w:vertAlign w:val="subscript"/>
                    </w:rPr>
                    <w:t>50</w:t>
                  </w:r>
                  <w:r>
                    <w:rPr>
                      <w:rFonts w:hint="default" w:ascii="Times New Roman" w:hAnsi="Times New Roman" w:cs="Times New Roman"/>
                      <w:color w:val="auto"/>
                      <w:spacing w:val="0"/>
                      <w:kern w:val="0"/>
                      <w:sz w:val="21"/>
                      <w:szCs w:val="21"/>
                    </w:rPr>
                    <w:t>：</w:t>
                  </w:r>
                  <w:r>
                    <w:rPr>
                      <w:rFonts w:hint="default" w:ascii="Times New Roman" w:hAnsi="Times New Roman" w:cs="Times New Roman"/>
                      <w:color w:val="auto"/>
                      <w:spacing w:val="0"/>
                      <w:kern w:val="0"/>
                      <w:sz w:val="21"/>
                      <w:szCs w:val="21"/>
                      <w:lang w:val="en-US" w:eastAsia="zh-CN"/>
                    </w:rPr>
                    <w:t>1535</w:t>
                  </w:r>
                  <w:r>
                    <w:rPr>
                      <w:rFonts w:hint="default" w:ascii="Times New Roman" w:hAnsi="Times New Roman" w:cs="Times New Roman"/>
                      <w:color w:val="auto"/>
                      <w:spacing w:val="0"/>
                      <w:kern w:val="0"/>
                      <w:sz w:val="21"/>
                      <w:szCs w:val="21"/>
                    </w:rPr>
                    <w:t>mg/kg（大鼠</w:t>
                  </w:r>
                  <w:r>
                    <w:rPr>
                      <w:rFonts w:hint="default" w:ascii="Times New Roman" w:hAnsi="Times New Roman" w:cs="Times New Roman"/>
                      <w:color w:val="auto"/>
                      <w:spacing w:val="0"/>
                      <w:kern w:val="0"/>
                      <w:sz w:val="21"/>
                      <w:szCs w:val="21"/>
                      <w:lang w:val="en-US" w:eastAsia="zh-CN"/>
                    </w:rPr>
                    <w:t>口服</w:t>
                  </w:r>
                  <w:r>
                    <w:rPr>
                      <w:rFonts w:hint="default" w:ascii="Times New Roman" w:hAnsi="Times New Roman" w:cs="Times New Roman"/>
                      <w:color w:val="auto"/>
                      <w:spacing w:val="0"/>
                      <w:kern w:val="0"/>
                      <w:sz w:val="21"/>
                      <w:szCs w:val="21"/>
                    </w:rPr>
                    <w:t>）</w:t>
                  </w:r>
                </w:p>
              </w:tc>
            </w:tr>
            <w:tr w14:paraId="5AA4F53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40" w:hRule="atLeast"/>
                <w:jc w:val="center"/>
              </w:trPr>
              <w:tc>
                <w:tcPr>
                  <w:tcW w:w="1163" w:type="dxa"/>
                  <w:tcBorders>
                    <w:tl2br w:val="nil"/>
                    <w:tr2bl w:val="nil"/>
                  </w:tcBorders>
                  <w:vAlign w:val="center"/>
                </w:tcPr>
                <w:p w14:paraId="3782851E">
                  <w:pPr>
                    <w:pStyle w:val="68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乙酸乙酯</w:t>
                  </w:r>
                </w:p>
              </w:tc>
              <w:tc>
                <w:tcPr>
                  <w:tcW w:w="4678" w:type="dxa"/>
                  <w:tcBorders>
                    <w:tl2br w:val="nil"/>
                    <w:tr2bl w:val="nil"/>
                  </w:tcBorders>
                  <w:vAlign w:val="center"/>
                </w:tcPr>
                <w:p w14:paraId="7265716F">
                  <w:pPr>
                    <w:pStyle w:val="707"/>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auto"/>
                      <w:spacing w:val="0"/>
                      <w:kern w:val="0"/>
                      <w:sz w:val="21"/>
                      <w:szCs w:val="21"/>
                      <w:shd w:val="clear" w:color="auto" w:fill="FFFFFF"/>
                      <w:lang w:val="en-US" w:eastAsia="zh-CN"/>
                    </w:rPr>
                  </w:pPr>
                  <w:r>
                    <w:rPr>
                      <w:rFonts w:hint="default" w:ascii="Times New Roman" w:hAnsi="Times New Roman" w:cs="Times New Roman"/>
                      <w:color w:val="auto"/>
                      <w:spacing w:val="0"/>
                      <w:kern w:val="0"/>
                      <w:sz w:val="21"/>
                      <w:szCs w:val="21"/>
                      <w:shd w:val="clear" w:color="auto" w:fill="FFFFFF"/>
                      <w:lang w:val="en-US" w:eastAsia="zh-CN"/>
                    </w:rPr>
                    <w:t>无色透明有芳香气味的液体；熔点-84℃（lit.）；沸点76.5-77.5℃（lit.）；密度0.902g/mL at 25℃（lit.）；闪点26℉</w:t>
                  </w:r>
                </w:p>
              </w:tc>
              <w:tc>
                <w:tcPr>
                  <w:tcW w:w="1089" w:type="dxa"/>
                  <w:tcBorders>
                    <w:tl2br w:val="nil"/>
                    <w:tr2bl w:val="nil"/>
                  </w:tcBorders>
                  <w:vAlign w:val="center"/>
                </w:tcPr>
                <w:p w14:paraId="2AC5A715">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pacing w:val="0"/>
                      <w:kern w:val="0"/>
                      <w:sz w:val="21"/>
                      <w:szCs w:val="21"/>
                      <w:lang w:val="en-US" w:eastAsia="zh-CN"/>
                    </w:rPr>
                  </w:pPr>
                  <w:r>
                    <w:rPr>
                      <w:rFonts w:hint="default" w:ascii="Times New Roman" w:hAnsi="Times New Roman" w:cs="Times New Roman"/>
                      <w:bCs/>
                      <w:color w:val="auto"/>
                      <w:spacing w:val="0"/>
                      <w:kern w:val="0"/>
                      <w:sz w:val="21"/>
                      <w:szCs w:val="21"/>
                      <w:lang w:val="en-US" w:eastAsia="zh-CN"/>
                    </w:rPr>
                    <w:t>易燃可爆</w:t>
                  </w:r>
                </w:p>
              </w:tc>
              <w:tc>
                <w:tcPr>
                  <w:tcW w:w="1616" w:type="dxa"/>
                  <w:tcBorders>
                    <w:tl2br w:val="nil"/>
                    <w:tr2bl w:val="nil"/>
                  </w:tcBorders>
                  <w:vAlign w:val="center"/>
                </w:tcPr>
                <w:p w14:paraId="79905F0E">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pacing w:val="0"/>
                      <w:kern w:val="0"/>
                      <w:sz w:val="21"/>
                      <w:szCs w:val="21"/>
                    </w:rPr>
                  </w:pPr>
                  <w:r>
                    <w:rPr>
                      <w:rFonts w:hint="default" w:ascii="Times New Roman" w:hAnsi="Times New Roman" w:cs="Times New Roman"/>
                      <w:color w:val="auto"/>
                      <w:spacing w:val="0"/>
                      <w:kern w:val="0"/>
                      <w:sz w:val="21"/>
                      <w:szCs w:val="21"/>
                    </w:rPr>
                    <w:t>LD</w:t>
                  </w:r>
                  <w:r>
                    <w:rPr>
                      <w:rFonts w:hint="default" w:ascii="Times New Roman" w:hAnsi="Times New Roman" w:cs="Times New Roman"/>
                      <w:color w:val="auto"/>
                      <w:spacing w:val="0"/>
                      <w:kern w:val="0"/>
                      <w:sz w:val="21"/>
                      <w:szCs w:val="21"/>
                      <w:vertAlign w:val="subscript"/>
                    </w:rPr>
                    <w:t>50</w:t>
                  </w:r>
                  <w:r>
                    <w:rPr>
                      <w:rFonts w:hint="default" w:ascii="Times New Roman" w:hAnsi="Times New Roman" w:cs="Times New Roman"/>
                      <w:color w:val="auto"/>
                      <w:spacing w:val="0"/>
                      <w:kern w:val="0"/>
                      <w:sz w:val="21"/>
                      <w:szCs w:val="21"/>
                    </w:rPr>
                    <w:t>：</w:t>
                  </w:r>
                  <w:r>
                    <w:rPr>
                      <w:rFonts w:hint="default" w:ascii="Times New Roman" w:hAnsi="Times New Roman" w:cs="Times New Roman"/>
                      <w:color w:val="auto"/>
                      <w:spacing w:val="0"/>
                      <w:kern w:val="0"/>
                      <w:sz w:val="21"/>
                      <w:szCs w:val="21"/>
                      <w:lang w:val="en-US" w:eastAsia="zh-CN"/>
                    </w:rPr>
                    <w:t>5620</w:t>
                  </w:r>
                  <w:r>
                    <w:rPr>
                      <w:rFonts w:hint="default" w:ascii="Times New Roman" w:hAnsi="Times New Roman" w:cs="Times New Roman"/>
                      <w:color w:val="auto"/>
                      <w:spacing w:val="0"/>
                      <w:kern w:val="0"/>
                      <w:sz w:val="21"/>
                      <w:szCs w:val="21"/>
                    </w:rPr>
                    <w:t>mg/kg（大鼠</w:t>
                  </w:r>
                  <w:r>
                    <w:rPr>
                      <w:rFonts w:hint="default" w:ascii="Times New Roman" w:hAnsi="Times New Roman" w:cs="Times New Roman"/>
                      <w:color w:val="auto"/>
                      <w:spacing w:val="0"/>
                      <w:kern w:val="0"/>
                      <w:sz w:val="21"/>
                      <w:szCs w:val="21"/>
                      <w:lang w:val="en-US" w:eastAsia="zh-CN"/>
                    </w:rPr>
                    <w:t>经口</w:t>
                  </w:r>
                  <w:r>
                    <w:rPr>
                      <w:rFonts w:hint="default" w:ascii="Times New Roman" w:hAnsi="Times New Roman" w:cs="Times New Roman"/>
                      <w:color w:val="auto"/>
                      <w:spacing w:val="0"/>
                      <w:kern w:val="0"/>
                      <w:sz w:val="21"/>
                      <w:szCs w:val="21"/>
                    </w:rPr>
                    <w:t>）</w:t>
                  </w:r>
                </w:p>
              </w:tc>
            </w:tr>
            <w:tr w14:paraId="4BD70E6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40" w:hRule="atLeast"/>
                <w:jc w:val="center"/>
              </w:trPr>
              <w:tc>
                <w:tcPr>
                  <w:tcW w:w="1163" w:type="dxa"/>
                  <w:tcBorders>
                    <w:tl2br w:val="nil"/>
                    <w:tr2bl w:val="nil"/>
                  </w:tcBorders>
                  <w:vAlign w:val="center"/>
                </w:tcPr>
                <w:p w14:paraId="6A2F1F6C">
                  <w:pPr>
                    <w:pStyle w:val="68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均三甲苯</w:t>
                  </w:r>
                </w:p>
              </w:tc>
              <w:tc>
                <w:tcPr>
                  <w:tcW w:w="4678" w:type="dxa"/>
                  <w:tcBorders>
                    <w:tl2br w:val="nil"/>
                    <w:tr2bl w:val="nil"/>
                  </w:tcBorders>
                  <w:vAlign w:val="center"/>
                </w:tcPr>
                <w:p w14:paraId="2F536014">
                  <w:pPr>
                    <w:pStyle w:val="707"/>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auto"/>
                      <w:spacing w:val="0"/>
                      <w:kern w:val="0"/>
                      <w:sz w:val="21"/>
                      <w:szCs w:val="21"/>
                      <w:shd w:val="clear" w:color="auto" w:fill="FFFFFF"/>
                      <w:lang w:val="en-US" w:eastAsia="zh-CN"/>
                    </w:rPr>
                  </w:pPr>
                  <w:r>
                    <w:rPr>
                      <w:rFonts w:hint="default" w:ascii="Times New Roman" w:hAnsi="Times New Roman" w:cs="Times New Roman"/>
                      <w:color w:val="auto"/>
                      <w:spacing w:val="0"/>
                      <w:kern w:val="0"/>
                      <w:sz w:val="21"/>
                      <w:szCs w:val="21"/>
                      <w:shd w:val="clear" w:color="auto" w:fill="FFFFFF"/>
                      <w:lang w:val="en-US" w:eastAsia="zh-CN"/>
                    </w:rPr>
                    <w:t>无色透明液体，不溶于水，溶于乙醇，能以任意比例溶于苯、乙醚、丙酮；熔点-45℃；沸点163-166℃（lit.）；密度0.864g/mL at 25℃（lit.）；闪点112℉</w:t>
                  </w:r>
                </w:p>
              </w:tc>
              <w:tc>
                <w:tcPr>
                  <w:tcW w:w="1089" w:type="dxa"/>
                  <w:tcBorders>
                    <w:tl2br w:val="nil"/>
                    <w:tr2bl w:val="nil"/>
                  </w:tcBorders>
                  <w:vAlign w:val="center"/>
                </w:tcPr>
                <w:p w14:paraId="3AEFD0DE">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pacing w:val="0"/>
                      <w:kern w:val="0"/>
                      <w:sz w:val="21"/>
                      <w:szCs w:val="21"/>
                      <w:lang w:val="en-US" w:eastAsia="zh-CN"/>
                    </w:rPr>
                  </w:pPr>
                  <w:r>
                    <w:rPr>
                      <w:rFonts w:hint="default" w:ascii="Times New Roman" w:hAnsi="Times New Roman" w:cs="Times New Roman"/>
                      <w:bCs/>
                      <w:color w:val="auto"/>
                      <w:spacing w:val="0"/>
                      <w:kern w:val="0"/>
                      <w:sz w:val="21"/>
                      <w:szCs w:val="21"/>
                      <w:lang w:val="en-US" w:eastAsia="zh-CN"/>
                    </w:rPr>
                    <w:t>易燃</w:t>
                  </w:r>
                </w:p>
              </w:tc>
              <w:tc>
                <w:tcPr>
                  <w:tcW w:w="1616" w:type="dxa"/>
                  <w:tcBorders>
                    <w:tl2br w:val="nil"/>
                    <w:tr2bl w:val="nil"/>
                  </w:tcBorders>
                  <w:vAlign w:val="center"/>
                </w:tcPr>
                <w:p w14:paraId="11CE724F">
                  <w:pPr>
                    <w:pStyle w:val="707"/>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pacing w:val="0"/>
                      <w:kern w:val="0"/>
                      <w:sz w:val="21"/>
                      <w:szCs w:val="21"/>
                    </w:rPr>
                  </w:pPr>
                  <w:r>
                    <w:rPr>
                      <w:rFonts w:hint="default" w:ascii="Times New Roman" w:hAnsi="Times New Roman" w:cs="Times New Roman"/>
                      <w:color w:val="auto"/>
                      <w:spacing w:val="0"/>
                      <w:kern w:val="0"/>
                      <w:sz w:val="21"/>
                      <w:szCs w:val="21"/>
                    </w:rPr>
                    <w:t>L</w:t>
                  </w:r>
                  <w:r>
                    <w:rPr>
                      <w:rFonts w:hint="default" w:ascii="Times New Roman" w:hAnsi="Times New Roman" w:cs="Times New Roman"/>
                      <w:color w:val="auto"/>
                      <w:spacing w:val="0"/>
                      <w:kern w:val="0"/>
                      <w:sz w:val="21"/>
                      <w:szCs w:val="21"/>
                      <w:lang w:val="en-US" w:eastAsia="zh-CN"/>
                    </w:rPr>
                    <w:t>C</w:t>
                  </w:r>
                  <w:r>
                    <w:rPr>
                      <w:rFonts w:hint="default" w:ascii="Times New Roman" w:hAnsi="Times New Roman" w:cs="Times New Roman"/>
                      <w:color w:val="auto"/>
                      <w:spacing w:val="0"/>
                      <w:kern w:val="0"/>
                      <w:sz w:val="21"/>
                      <w:szCs w:val="21"/>
                      <w:vertAlign w:val="subscript"/>
                    </w:rPr>
                    <w:t>50</w:t>
                  </w:r>
                  <w:r>
                    <w:rPr>
                      <w:rFonts w:hint="default" w:ascii="Times New Roman" w:hAnsi="Times New Roman" w:cs="Times New Roman"/>
                      <w:color w:val="auto"/>
                      <w:spacing w:val="0"/>
                      <w:kern w:val="0"/>
                      <w:sz w:val="21"/>
                      <w:szCs w:val="21"/>
                    </w:rPr>
                    <w:t>：</w:t>
                  </w:r>
                  <w:r>
                    <w:rPr>
                      <w:rFonts w:hint="default" w:ascii="Times New Roman" w:hAnsi="Times New Roman" w:cs="Times New Roman"/>
                      <w:color w:val="auto"/>
                      <w:spacing w:val="0"/>
                      <w:kern w:val="0"/>
                      <w:sz w:val="21"/>
                      <w:szCs w:val="21"/>
                      <w:lang w:val="en-US" w:eastAsia="zh-CN"/>
                    </w:rPr>
                    <w:t>24000/</w:t>
                  </w:r>
                  <w:r>
                    <w:rPr>
                      <w:rFonts w:hint="default" w:ascii="Times New Roman" w:hAnsi="Times New Roman" w:cs="Times New Roman"/>
                      <w:color w:val="auto"/>
                      <w:spacing w:val="0"/>
                      <w:kern w:val="0"/>
                      <w:sz w:val="21"/>
                      <w:szCs w:val="21"/>
                    </w:rPr>
                    <w:t>m</w:t>
                  </w:r>
                  <w:r>
                    <w:rPr>
                      <w:rFonts w:hint="default" w:ascii="Times New Roman" w:hAnsi="Times New Roman" w:cs="Times New Roman"/>
                      <w:color w:val="auto"/>
                      <w:spacing w:val="0"/>
                      <w:kern w:val="0"/>
                      <w:sz w:val="21"/>
                      <w:szCs w:val="21"/>
                      <w:vertAlign w:val="superscript"/>
                      <w:lang w:val="en-US" w:eastAsia="zh-CN"/>
                    </w:rPr>
                    <w:t>3</w:t>
                  </w:r>
                  <w:r>
                    <w:rPr>
                      <w:rFonts w:hint="default" w:ascii="Times New Roman" w:hAnsi="Times New Roman" w:cs="Times New Roman"/>
                      <w:color w:val="auto"/>
                      <w:spacing w:val="0"/>
                      <w:kern w:val="0"/>
                      <w:sz w:val="21"/>
                      <w:szCs w:val="21"/>
                    </w:rPr>
                    <w:t>/</w:t>
                  </w:r>
                  <w:r>
                    <w:rPr>
                      <w:rFonts w:hint="default" w:ascii="Times New Roman" w:hAnsi="Times New Roman" w:cs="Times New Roman"/>
                      <w:color w:val="auto"/>
                      <w:spacing w:val="0"/>
                      <w:kern w:val="0"/>
                      <w:sz w:val="21"/>
                      <w:szCs w:val="21"/>
                      <w:lang w:val="en-US" w:eastAsia="zh-CN"/>
                    </w:rPr>
                    <w:t>4h</w:t>
                  </w:r>
                  <w:r>
                    <w:rPr>
                      <w:rFonts w:hint="default" w:ascii="Times New Roman" w:hAnsi="Times New Roman" w:cs="Times New Roman"/>
                      <w:color w:val="auto"/>
                      <w:spacing w:val="0"/>
                      <w:kern w:val="0"/>
                      <w:sz w:val="21"/>
                      <w:szCs w:val="21"/>
                    </w:rPr>
                    <w:t>（大鼠</w:t>
                  </w:r>
                  <w:r>
                    <w:rPr>
                      <w:rFonts w:hint="default" w:ascii="Times New Roman" w:hAnsi="Times New Roman" w:cs="Times New Roman"/>
                      <w:color w:val="auto"/>
                      <w:spacing w:val="0"/>
                      <w:kern w:val="0"/>
                      <w:sz w:val="21"/>
                      <w:szCs w:val="21"/>
                      <w:lang w:val="en-US" w:eastAsia="zh-CN"/>
                    </w:rPr>
                    <w:t>吸入</w:t>
                  </w:r>
                  <w:r>
                    <w:rPr>
                      <w:rFonts w:hint="default" w:ascii="Times New Roman" w:hAnsi="Times New Roman" w:cs="Times New Roman"/>
                      <w:color w:val="auto"/>
                      <w:spacing w:val="0"/>
                      <w:kern w:val="0"/>
                      <w:sz w:val="21"/>
                      <w:szCs w:val="21"/>
                    </w:rPr>
                    <w:t>）</w:t>
                  </w:r>
                </w:p>
              </w:tc>
            </w:tr>
          </w:tbl>
          <w:p w14:paraId="062CC099">
            <w:pPr>
              <w:autoSpaceDE w:val="0"/>
              <w:autoSpaceDN w:val="0"/>
              <w:adjustRightInd w:val="0"/>
              <w:snapToGrid w:val="0"/>
              <w:spacing w:line="360" w:lineRule="auto"/>
              <w:jc w:val="left"/>
              <w:rPr>
                <w:rFonts w:hint="default" w:eastAsia="宋体" w:cs="宋体"/>
                <w:b/>
                <w:bCs/>
                <w:color w:val="auto"/>
                <w:lang w:val="en-US" w:eastAsia="zh-CN"/>
              </w:rPr>
            </w:pPr>
            <w:r>
              <w:rPr>
                <w:rFonts w:hint="eastAsia" w:cs="宋体"/>
                <w:b/>
                <w:bCs/>
                <w:color w:val="auto"/>
                <w:lang w:val="en-US" w:eastAsia="zh-CN"/>
              </w:rPr>
              <w:t>2.1.6 涂料使用说明</w:t>
            </w:r>
          </w:p>
          <w:p w14:paraId="777A2C23">
            <w:pPr>
              <w:adjustRightInd w:val="0"/>
              <w:snapToGrid w:val="0"/>
              <w:spacing w:line="360" w:lineRule="auto"/>
              <w:ind w:firstLine="422" w:firstLineChars="200"/>
              <w:jc w:val="left"/>
              <w:rPr>
                <w:rFonts w:cs="宋体"/>
                <w:b/>
                <w:color w:val="auto"/>
              </w:rPr>
            </w:pPr>
            <w:r>
              <w:rPr>
                <w:rFonts w:hint="eastAsia" w:cs="宋体"/>
                <w:b/>
                <w:color w:val="auto"/>
                <w:lang w:val="en-US" w:eastAsia="zh-CN"/>
              </w:rPr>
              <w:t>①</w:t>
            </w:r>
            <w:r>
              <w:rPr>
                <w:rFonts w:hint="eastAsia" w:cs="宋体"/>
                <w:b/>
                <w:color w:val="auto"/>
              </w:rPr>
              <w:t>涂料合规性说明：</w:t>
            </w:r>
          </w:p>
          <w:p w14:paraId="1D2EB2B9">
            <w:pPr>
              <w:adjustRightInd w:val="0"/>
              <w:snapToGrid w:val="0"/>
              <w:jc w:val="center"/>
              <w:rPr>
                <w:rFonts w:cs="宋体"/>
                <w:b/>
                <w:color w:val="auto"/>
              </w:rPr>
            </w:pPr>
            <w:r>
              <w:rPr>
                <w:rFonts w:hint="eastAsia" w:cs="宋体"/>
                <w:b/>
                <w:color w:val="auto"/>
              </w:rPr>
              <w:t>表2-</w:t>
            </w:r>
            <w:r>
              <w:rPr>
                <w:rFonts w:hint="eastAsia" w:cs="宋体"/>
                <w:b/>
                <w:color w:val="auto"/>
                <w:lang w:val="en-US" w:eastAsia="zh-CN"/>
              </w:rPr>
              <w:t>6</w:t>
            </w:r>
            <w:r>
              <w:rPr>
                <w:rFonts w:hint="eastAsia" w:cs="宋体"/>
                <w:b/>
                <w:color w:val="auto"/>
              </w:rPr>
              <w:t xml:space="preserve">   本项目拟采用涂料组分表</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297"/>
              <w:gridCol w:w="2369"/>
              <w:gridCol w:w="899"/>
              <w:gridCol w:w="1335"/>
              <w:gridCol w:w="1848"/>
              <w:gridCol w:w="798"/>
            </w:tblGrid>
            <w:tr w14:paraId="59F3E45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59" w:type="pct"/>
                  <w:tcBorders>
                    <w:tl2br w:val="nil"/>
                    <w:tr2bl w:val="nil"/>
                  </w:tcBorders>
                  <w:shd w:val="clear" w:color="auto" w:fill="auto"/>
                  <w:vAlign w:val="center"/>
                </w:tcPr>
                <w:p w14:paraId="1AE18EE3">
                  <w:pPr>
                    <w:adjustRightInd w:val="0"/>
                    <w:snapToGrid w:val="0"/>
                    <w:jc w:val="center"/>
                    <w:rPr>
                      <w:rFonts w:hint="default" w:ascii="Times New Roman" w:hAnsi="Times New Roman" w:cs="Times New Roman"/>
                      <w:b/>
                      <w:bCs/>
                      <w:color w:val="auto"/>
                      <w:spacing w:val="5"/>
                      <w:kern w:val="0"/>
                    </w:rPr>
                  </w:pPr>
                  <w:r>
                    <w:rPr>
                      <w:rFonts w:hint="default" w:ascii="Times New Roman" w:hAnsi="Times New Roman" w:cs="Times New Roman"/>
                      <w:b/>
                      <w:bCs/>
                      <w:color w:val="auto"/>
                      <w:spacing w:val="5"/>
                      <w:kern w:val="0"/>
                    </w:rPr>
                    <w:t>类别</w:t>
                  </w:r>
                </w:p>
              </w:tc>
              <w:tc>
                <w:tcPr>
                  <w:tcW w:w="1386" w:type="pct"/>
                  <w:tcBorders>
                    <w:tl2br w:val="nil"/>
                    <w:tr2bl w:val="nil"/>
                  </w:tcBorders>
                  <w:shd w:val="clear" w:color="auto" w:fill="auto"/>
                  <w:vAlign w:val="center"/>
                </w:tcPr>
                <w:p w14:paraId="58EFCD42">
                  <w:pPr>
                    <w:adjustRightInd w:val="0"/>
                    <w:snapToGrid w:val="0"/>
                    <w:jc w:val="center"/>
                    <w:rPr>
                      <w:rFonts w:hint="default" w:ascii="Times New Roman" w:hAnsi="Times New Roman" w:cs="Times New Roman"/>
                      <w:b/>
                      <w:bCs/>
                      <w:color w:val="auto"/>
                      <w:spacing w:val="5"/>
                      <w:kern w:val="0"/>
                    </w:rPr>
                  </w:pPr>
                  <w:r>
                    <w:rPr>
                      <w:rFonts w:hint="default" w:ascii="Times New Roman" w:hAnsi="Times New Roman" w:cs="Times New Roman"/>
                      <w:b/>
                      <w:bCs/>
                      <w:color w:val="auto"/>
                      <w:spacing w:val="5"/>
                      <w:kern w:val="0"/>
                    </w:rPr>
                    <w:t>组分</w:t>
                  </w:r>
                </w:p>
              </w:tc>
              <w:tc>
                <w:tcPr>
                  <w:tcW w:w="526" w:type="pct"/>
                  <w:tcBorders>
                    <w:tl2br w:val="nil"/>
                    <w:tr2bl w:val="nil"/>
                  </w:tcBorders>
                  <w:shd w:val="clear" w:color="auto" w:fill="auto"/>
                  <w:vAlign w:val="center"/>
                </w:tcPr>
                <w:p w14:paraId="679E0880">
                  <w:pPr>
                    <w:adjustRightInd w:val="0"/>
                    <w:snapToGrid w:val="0"/>
                    <w:jc w:val="center"/>
                    <w:rPr>
                      <w:rFonts w:hint="default" w:ascii="Times New Roman" w:hAnsi="Times New Roman" w:cs="Times New Roman"/>
                      <w:b/>
                      <w:bCs/>
                      <w:color w:val="auto"/>
                      <w:spacing w:val="5"/>
                      <w:kern w:val="0"/>
                    </w:rPr>
                  </w:pPr>
                  <w:r>
                    <w:rPr>
                      <w:rFonts w:hint="default" w:ascii="Times New Roman" w:hAnsi="Times New Roman" w:cs="Times New Roman"/>
                      <w:b/>
                      <w:bCs/>
                      <w:color w:val="auto"/>
                      <w:spacing w:val="5"/>
                      <w:kern w:val="0"/>
                    </w:rPr>
                    <w:t>预估年用量t</w:t>
                  </w:r>
                </w:p>
              </w:tc>
              <w:tc>
                <w:tcPr>
                  <w:tcW w:w="781" w:type="pct"/>
                  <w:tcBorders>
                    <w:tl2br w:val="nil"/>
                    <w:tr2bl w:val="nil"/>
                  </w:tcBorders>
                  <w:shd w:val="clear" w:color="auto" w:fill="auto"/>
                  <w:vAlign w:val="center"/>
                </w:tcPr>
                <w:p w14:paraId="72C567E5">
                  <w:pPr>
                    <w:adjustRightInd w:val="0"/>
                    <w:snapToGrid w:val="0"/>
                    <w:jc w:val="center"/>
                    <w:rPr>
                      <w:rFonts w:hint="default" w:ascii="Times New Roman" w:hAnsi="Times New Roman" w:eastAsia="宋体" w:cs="Times New Roman"/>
                      <w:b/>
                      <w:bCs/>
                      <w:color w:val="auto"/>
                      <w:spacing w:val="5"/>
                      <w:kern w:val="0"/>
                      <w:lang w:val="en-US" w:eastAsia="zh-CN"/>
                    </w:rPr>
                  </w:pPr>
                  <w:r>
                    <w:rPr>
                      <w:rFonts w:hint="default" w:ascii="Times New Roman" w:hAnsi="Times New Roman" w:cs="Times New Roman"/>
                      <w:b/>
                      <w:bCs/>
                      <w:color w:val="auto"/>
                      <w:spacing w:val="5"/>
                      <w:kern w:val="0"/>
                    </w:rPr>
                    <w:t>挥发性有机物含量g/L</w:t>
                  </w:r>
                  <w:r>
                    <w:rPr>
                      <w:rFonts w:hint="default" w:ascii="Times New Roman" w:hAnsi="Times New Roman" w:cs="Times New Roman"/>
                      <w:b/>
                      <w:bCs/>
                      <w:color w:val="auto"/>
                      <w:spacing w:val="5"/>
                      <w:kern w:val="0"/>
                      <w:lang w:val="en-US" w:eastAsia="zh-CN"/>
                    </w:rPr>
                    <w:t>*</w:t>
                  </w:r>
                </w:p>
              </w:tc>
              <w:tc>
                <w:tcPr>
                  <w:tcW w:w="1081" w:type="pct"/>
                  <w:tcBorders>
                    <w:tl2br w:val="nil"/>
                    <w:tr2bl w:val="nil"/>
                  </w:tcBorders>
                  <w:shd w:val="clear" w:color="auto" w:fill="auto"/>
                  <w:vAlign w:val="center"/>
                </w:tcPr>
                <w:p w14:paraId="24DB0A73">
                  <w:pPr>
                    <w:adjustRightInd w:val="0"/>
                    <w:snapToGrid w:val="0"/>
                    <w:jc w:val="center"/>
                    <w:rPr>
                      <w:rFonts w:hint="default" w:ascii="Times New Roman" w:hAnsi="Times New Roman" w:eastAsia="宋体" w:cs="Times New Roman"/>
                      <w:b/>
                      <w:bCs/>
                      <w:color w:val="auto"/>
                      <w:spacing w:val="5"/>
                      <w:kern w:val="0"/>
                      <w:lang w:val="en-US" w:eastAsia="zh-CN"/>
                    </w:rPr>
                  </w:pPr>
                  <w:r>
                    <w:rPr>
                      <w:rFonts w:hint="default" w:ascii="Times New Roman" w:hAnsi="Times New Roman" w:cs="Times New Roman"/>
                      <w:b/>
                      <w:bCs/>
                      <w:color w:val="auto"/>
                      <w:spacing w:val="5"/>
                      <w:kern w:val="0"/>
                    </w:rPr>
                    <w:t>GB</w:t>
                  </w:r>
                  <w:r>
                    <w:rPr>
                      <w:rFonts w:hint="eastAsia" w:cs="Times New Roman"/>
                      <w:b/>
                      <w:bCs/>
                      <w:color w:val="auto"/>
                      <w:spacing w:val="5"/>
                      <w:kern w:val="0"/>
                      <w:lang w:val="en-US" w:eastAsia="zh-CN"/>
                    </w:rPr>
                    <w:t>/T 38597-2020</w:t>
                  </w:r>
                  <w:r>
                    <w:rPr>
                      <w:rFonts w:hint="default" w:ascii="Times New Roman" w:hAnsi="Times New Roman" w:cs="Times New Roman"/>
                      <w:b/>
                      <w:bCs/>
                      <w:color w:val="auto"/>
                      <w:spacing w:val="5"/>
                      <w:kern w:val="0"/>
                      <w:lang w:val="en-US" w:eastAsia="zh-CN"/>
                    </w:rPr>
                    <w:t>（g/L）</w:t>
                  </w:r>
                </w:p>
              </w:tc>
              <w:tc>
                <w:tcPr>
                  <w:tcW w:w="465" w:type="pct"/>
                  <w:tcBorders>
                    <w:tl2br w:val="nil"/>
                    <w:tr2bl w:val="nil"/>
                  </w:tcBorders>
                  <w:shd w:val="clear" w:color="auto" w:fill="auto"/>
                  <w:vAlign w:val="center"/>
                </w:tcPr>
                <w:p w14:paraId="75C850F3">
                  <w:pPr>
                    <w:adjustRightInd w:val="0"/>
                    <w:snapToGrid w:val="0"/>
                    <w:jc w:val="center"/>
                    <w:rPr>
                      <w:rFonts w:hint="default" w:ascii="Times New Roman" w:hAnsi="Times New Roman" w:eastAsia="宋体" w:cs="Times New Roman"/>
                      <w:b/>
                      <w:bCs/>
                      <w:color w:val="auto"/>
                      <w:spacing w:val="5"/>
                      <w:kern w:val="0"/>
                      <w:lang w:val="en-US" w:eastAsia="zh-CN"/>
                    </w:rPr>
                  </w:pPr>
                  <w:r>
                    <w:rPr>
                      <w:rFonts w:hint="default" w:ascii="Times New Roman" w:hAnsi="Times New Roman" w:cs="Times New Roman"/>
                      <w:b/>
                      <w:bCs/>
                      <w:color w:val="auto"/>
                      <w:spacing w:val="5"/>
                      <w:kern w:val="0"/>
                      <w:lang w:val="en-US" w:eastAsia="zh-CN"/>
                    </w:rPr>
                    <w:t>是否达标</w:t>
                  </w:r>
                </w:p>
              </w:tc>
            </w:tr>
            <w:tr w14:paraId="1A17CA2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59" w:type="pct"/>
                  <w:tcBorders>
                    <w:tl2br w:val="nil"/>
                    <w:tr2bl w:val="nil"/>
                  </w:tcBorders>
                  <w:shd w:val="clear" w:color="auto" w:fill="auto"/>
                  <w:vAlign w:val="center"/>
                </w:tcPr>
                <w:p w14:paraId="38A3F6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水性白底漆</w:t>
                  </w:r>
                </w:p>
              </w:tc>
              <w:tc>
                <w:tcPr>
                  <w:tcW w:w="1386" w:type="pct"/>
                  <w:vMerge w:val="restart"/>
                  <w:tcBorders>
                    <w:tl2br w:val="nil"/>
                    <w:tr2bl w:val="nil"/>
                  </w:tcBorders>
                  <w:shd w:val="clear" w:color="auto" w:fill="auto"/>
                  <w:vAlign w:val="center"/>
                </w:tcPr>
                <w:p w14:paraId="5F3ADC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pacing w:val="5"/>
                      <w:kern w:val="0"/>
                    </w:rPr>
                  </w:pPr>
                  <w:r>
                    <w:rPr>
                      <w:rFonts w:hint="default" w:ascii="Times New Roman" w:hAnsi="Times New Roman" w:cs="Times New Roman"/>
                      <w:color w:val="auto"/>
                      <w:kern w:val="0"/>
                      <w:sz w:val="21"/>
                      <w:szCs w:val="21"/>
                      <w:lang w:val="en-US" w:eastAsia="zh-CN"/>
                    </w:rPr>
                    <w:t>聚氨酯丙烯酸酯乳液20-90%、二丙二醇丁醚0-5%、二丙二醇甲醚0-5%、水15-35%、颜填料0-60%、助剂0.1-1%</w:t>
                  </w:r>
                </w:p>
              </w:tc>
              <w:tc>
                <w:tcPr>
                  <w:tcW w:w="526" w:type="pct"/>
                  <w:tcBorders>
                    <w:tl2br w:val="nil"/>
                    <w:tr2bl w:val="nil"/>
                  </w:tcBorders>
                  <w:shd w:val="clear" w:color="auto" w:fill="auto"/>
                  <w:vAlign w:val="center"/>
                </w:tcPr>
                <w:p w14:paraId="384F3F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0.3</w:t>
                  </w:r>
                </w:p>
              </w:tc>
              <w:tc>
                <w:tcPr>
                  <w:tcW w:w="781" w:type="pct"/>
                  <w:tcBorders>
                    <w:tl2br w:val="nil"/>
                    <w:tr2bl w:val="nil"/>
                  </w:tcBorders>
                  <w:shd w:val="clear" w:color="auto" w:fill="auto"/>
                  <w:vAlign w:val="center"/>
                </w:tcPr>
                <w:p w14:paraId="49BCF6ED">
                  <w:pPr>
                    <w:adjustRightInd w:val="0"/>
                    <w:snapToGrid w:val="0"/>
                    <w:jc w:val="center"/>
                    <w:rPr>
                      <w:rFonts w:hint="default" w:ascii="Times New Roman" w:hAnsi="Times New Roman" w:eastAsia="宋体" w:cs="Times New Roman"/>
                      <w:color w:val="auto"/>
                      <w:spacing w:val="5"/>
                      <w:kern w:val="0"/>
                      <w:lang w:val="en-US" w:eastAsia="zh-CN"/>
                    </w:rPr>
                  </w:pPr>
                  <w:r>
                    <w:rPr>
                      <w:rFonts w:hint="default" w:ascii="Times New Roman" w:hAnsi="Times New Roman" w:eastAsia="宋体" w:cs="Times New Roman"/>
                      <w:color w:val="auto"/>
                      <w:spacing w:val="5"/>
                      <w:kern w:val="0"/>
                      <w:lang w:val="en-US" w:eastAsia="zh-CN"/>
                    </w:rPr>
                    <w:t>125</w:t>
                  </w:r>
                </w:p>
              </w:tc>
              <w:tc>
                <w:tcPr>
                  <w:tcW w:w="1081" w:type="pct"/>
                  <w:tcBorders>
                    <w:tl2br w:val="nil"/>
                    <w:tr2bl w:val="nil"/>
                  </w:tcBorders>
                  <w:shd w:val="clear" w:color="auto" w:fill="auto"/>
                  <w:vAlign w:val="center"/>
                </w:tcPr>
                <w:p w14:paraId="45E82BF7">
                  <w:pPr>
                    <w:adjustRightInd w:val="0"/>
                    <w:snapToGrid w:val="0"/>
                    <w:jc w:val="center"/>
                    <w:rPr>
                      <w:rFonts w:hint="default" w:ascii="Times New Roman" w:hAnsi="Times New Roman" w:cs="Times New Roman"/>
                      <w:color w:val="auto"/>
                      <w:spacing w:val="5"/>
                      <w:kern w:val="0"/>
                    </w:rPr>
                  </w:pPr>
                  <w:r>
                    <w:rPr>
                      <w:rFonts w:hint="default" w:ascii="Times New Roman" w:hAnsi="Times New Roman" w:cs="Times New Roman"/>
                      <w:color w:val="auto"/>
                      <w:spacing w:val="5"/>
                      <w:kern w:val="0"/>
                      <w:lang w:val="en-US" w:eastAsia="zh-CN"/>
                    </w:rPr>
                    <w:t>色漆≤2</w:t>
                  </w:r>
                  <w:r>
                    <w:rPr>
                      <w:rFonts w:hint="eastAsia" w:cs="Times New Roman"/>
                      <w:color w:val="auto"/>
                      <w:spacing w:val="5"/>
                      <w:kern w:val="0"/>
                      <w:lang w:val="en-US" w:eastAsia="zh-CN"/>
                    </w:rPr>
                    <w:t>2</w:t>
                  </w:r>
                  <w:r>
                    <w:rPr>
                      <w:rFonts w:hint="default" w:ascii="Times New Roman" w:hAnsi="Times New Roman" w:cs="Times New Roman"/>
                      <w:color w:val="auto"/>
                      <w:spacing w:val="5"/>
                      <w:kern w:val="0"/>
                      <w:lang w:val="en-US" w:eastAsia="zh-CN"/>
                    </w:rPr>
                    <w:t>0</w:t>
                  </w:r>
                </w:p>
              </w:tc>
              <w:tc>
                <w:tcPr>
                  <w:tcW w:w="465" w:type="pct"/>
                  <w:tcBorders>
                    <w:tl2br w:val="nil"/>
                    <w:tr2bl w:val="nil"/>
                  </w:tcBorders>
                  <w:shd w:val="clear" w:color="auto" w:fill="auto"/>
                  <w:vAlign w:val="center"/>
                </w:tcPr>
                <w:p w14:paraId="7E00BECA">
                  <w:pPr>
                    <w:adjustRightInd w:val="0"/>
                    <w:snapToGrid w:val="0"/>
                    <w:jc w:val="center"/>
                    <w:rPr>
                      <w:rFonts w:hint="default" w:ascii="Times New Roman" w:hAnsi="Times New Roman" w:cs="Times New Roman"/>
                      <w:color w:val="auto"/>
                      <w:spacing w:val="5"/>
                      <w:kern w:val="0"/>
                      <w:lang w:val="en-US" w:eastAsia="zh-CN"/>
                    </w:rPr>
                  </w:pPr>
                  <w:r>
                    <w:rPr>
                      <w:rFonts w:hint="default" w:ascii="Times New Roman" w:hAnsi="Times New Roman" w:cs="Times New Roman"/>
                      <w:color w:val="auto"/>
                      <w:spacing w:val="5"/>
                      <w:kern w:val="0"/>
                      <w:lang w:val="en-US" w:eastAsia="zh-CN"/>
                    </w:rPr>
                    <w:t>达标</w:t>
                  </w:r>
                </w:p>
              </w:tc>
            </w:tr>
            <w:tr w14:paraId="74AEF85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59" w:type="pct"/>
                  <w:tcBorders>
                    <w:tl2br w:val="nil"/>
                    <w:tr2bl w:val="nil"/>
                  </w:tcBorders>
                  <w:shd w:val="clear" w:color="auto" w:fill="auto"/>
                  <w:vAlign w:val="center"/>
                </w:tcPr>
                <w:p w14:paraId="21E0FA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水性清底漆</w:t>
                  </w:r>
                </w:p>
              </w:tc>
              <w:tc>
                <w:tcPr>
                  <w:tcW w:w="1386" w:type="pct"/>
                  <w:vMerge w:val="continue"/>
                  <w:tcBorders>
                    <w:tl2br w:val="nil"/>
                    <w:tr2bl w:val="nil"/>
                  </w:tcBorders>
                  <w:shd w:val="clear" w:color="auto" w:fill="auto"/>
                  <w:vAlign w:val="center"/>
                </w:tcPr>
                <w:p w14:paraId="0544455A">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rPr>
                  </w:pPr>
                </w:p>
              </w:tc>
              <w:tc>
                <w:tcPr>
                  <w:tcW w:w="526" w:type="pct"/>
                  <w:tcBorders>
                    <w:tl2br w:val="nil"/>
                    <w:tr2bl w:val="nil"/>
                  </w:tcBorders>
                  <w:shd w:val="clear" w:color="auto" w:fill="auto"/>
                  <w:vAlign w:val="center"/>
                </w:tcPr>
                <w:p w14:paraId="0CDB1D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0.3</w:t>
                  </w:r>
                </w:p>
              </w:tc>
              <w:tc>
                <w:tcPr>
                  <w:tcW w:w="781" w:type="pct"/>
                  <w:tcBorders>
                    <w:tl2br w:val="nil"/>
                    <w:tr2bl w:val="nil"/>
                  </w:tcBorders>
                  <w:shd w:val="clear" w:color="auto" w:fill="auto"/>
                  <w:vAlign w:val="center"/>
                </w:tcPr>
                <w:p w14:paraId="02A12B77">
                  <w:pPr>
                    <w:adjustRightInd w:val="0"/>
                    <w:snapToGrid w:val="0"/>
                    <w:jc w:val="center"/>
                    <w:rPr>
                      <w:rFonts w:hint="default" w:ascii="Times New Roman" w:hAnsi="Times New Roman" w:eastAsia="宋体" w:cs="Times New Roman"/>
                      <w:color w:val="auto"/>
                      <w:spacing w:val="5"/>
                      <w:kern w:val="0"/>
                      <w:lang w:val="en-US" w:eastAsia="zh-CN"/>
                    </w:rPr>
                  </w:pPr>
                  <w:r>
                    <w:rPr>
                      <w:rFonts w:hint="default" w:ascii="Times New Roman" w:hAnsi="Times New Roman" w:eastAsia="宋体" w:cs="Times New Roman"/>
                      <w:color w:val="auto"/>
                      <w:spacing w:val="5"/>
                      <w:kern w:val="0"/>
                      <w:lang w:val="en-US" w:eastAsia="zh-CN"/>
                    </w:rPr>
                    <w:t>161</w:t>
                  </w:r>
                </w:p>
              </w:tc>
              <w:tc>
                <w:tcPr>
                  <w:tcW w:w="1081" w:type="pct"/>
                  <w:tcBorders>
                    <w:tl2br w:val="nil"/>
                    <w:tr2bl w:val="nil"/>
                  </w:tcBorders>
                  <w:shd w:val="clear" w:color="auto" w:fill="auto"/>
                  <w:vAlign w:val="center"/>
                </w:tcPr>
                <w:p w14:paraId="4BAFFC3E">
                  <w:pPr>
                    <w:adjustRightInd w:val="0"/>
                    <w:snapToGrid w:val="0"/>
                    <w:jc w:val="center"/>
                    <w:rPr>
                      <w:rFonts w:hint="default" w:ascii="Times New Roman" w:hAnsi="Times New Roman" w:cs="Times New Roman"/>
                      <w:color w:val="auto"/>
                      <w:spacing w:val="5"/>
                      <w:kern w:val="0"/>
                      <w:lang w:val="en-US" w:eastAsia="zh-CN"/>
                    </w:rPr>
                  </w:pPr>
                  <w:r>
                    <w:rPr>
                      <w:rFonts w:hint="default" w:ascii="Times New Roman" w:hAnsi="Times New Roman" w:cs="Times New Roman"/>
                      <w:color w:val="auto"/>
                      <w:spacing w:val="5"/>
                      <w:kern w:val="0"/>
                      <w:lang w:val="en-US" w:eastAsia="zh-CN"/>
                    </w:rPr>
                    <w:t>清漆≤</w:t>
                  </w:r>
                  <w:r>
                    <w:rPr>
                      <w:rFonts w:hint="eastAsia" w:cs="Times New Roman"/>
                      <w:color w:val="auto"/>
                      <w:spacing w:val="5"/>
                      <w:kern w:val="0"/>
                      <w:lang w:val="en-US" w:eastAsia="zh-CN"/>
                    </w:rPr>
                    <w:t>27</w:t>
                  </w:r>
                  <w:r>
                    <w:rPr>
                      <w:rFonts w:hint="default" w:ascii="Times New Roman" w:hAnsi="Times New Roman" w:cs="Times New Roman"/>
                      <w:color w:val="auto"/>
                      <w:spacing w:val="5"/>
                      <w:kern w:val="0"/>
                      <w:lang w:val="en-US" w:eastAsia="zh-CN"/>
                    </w:rPr>
                    <w:t>0</w:t>
                  </w:r>
                </w:p>
              </w:tc>
              <w:tc>
                <w:tcPr>
                  <w:tcW w:w="465" w:type="pct"/>
                  <w:tcBorders>
                    <w:tl2br w:val="nil"/>
                    <w:tr2bl w:val="nil"/>
                  </w:tcBorders>
                  <w:shd w:val="clear" w:color="auto" w:fill="auto"/>
                  <w:vAlign w:val="center"/>
                </w:tcPr>
                <w:p w14:paraId="5FC926DF">
                  <w:pPr>
                    <w:adjustRightInd w:val="0"/>
                    <w:snapToGrid w:val="0"/>
                    <w:jc w:val="center"/>
                    <w:rPr>
                      <w:rFonts w:hint="default" w:ascii="Times New Roman" w:hAnsi="Times New Roman" w:cs="Times New Roman"/>
                      <w:color w:val="auto"/>
                      <w:spacing w:val="5"/>
                      <w:kern w:val="0"/>
                      <w:lang w:val="en-US" w:eastAsia="zh-CN"/>
                    </w:rPr>
                  </w:pPr>
                  <w:r>
                    <w:rPr>
                      <w:rFonts w:hint="default" w:ascii="Times New Roman" w:hAnsi="Times New Roman" w:cs="Times New Roman"/>
                      <w:color w:val="auto"/>
                      <w:spacing w:val="5"/>
                      <w:kern w:val="0"/>
                      <w:lang w:val="en-US" w:eastAsia="zh-CN"/>
                    </w:rPr>
                    <w:t>达标</w:t>
                  </w:r>
                </w:p>
              </w:tc>
            </w:tr>
            <w:tr w14:paraId="520AE54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59" w:type="pct"/>
                  <w:tcBorders>
                    <w:tl2br w:val="nil"/>
                    <w:tr2bl w:val="nil"/>
                  </w:tcBorders>
                  <w:shd w:val="clear" w:color="auto" w:fill="auto"/>
                  <w:vAlign w:val="center"/>
                </w:tcPr>
                <w:p w14:paraId="300827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水性双组份清底漆</w:t>
                  </w:r>
                </w:p>
              </w:tc>
              <w:tc>
                <w:tcPr>
                  <w:tcW w:w="1386" w:type="pct"/>
                  <w:vMerge w:val="continue"/>
                  <w:tcBorders>
                    <w:tl2br w:val="nil"/>
                    <w:tr2bl w:val="nil"/>
                  </w:tcBorders>
                  <w:shd w:val="clear" w:color="auto" w:fill="auto"/>
                  <w:vAlign w:val="center"/>
                </w:tcPr>
                <w:p w14:paraId="623A0A99">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rPr>
                  </w:pPr>
                </w:p>
              </w:tc>
              <w:tc>
                <w:tcPr>
                  <w:tcW w:w="526" w:type="pct"/>
                  <w:tcBorders>
                    <w:tl2br w:val="nil"/>
                    <w:tr2bl w:val="nil"/>
                  </w:tcBorders>
                  <w:shd w:val="clear" w:color="auto" w:fill="auto"/>
                  <w:vAlign w:val="center"/>
                </w:tcPr>
                <w:p w14:paraId="3DF010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0.4</w:t>
                  </w:r>
                </w:p>
              </w:tc>
              <w:tc>
                <w:tcPr>
                  <w:tcW w:w="781" w:type="pct"/>
                  <w:tcBorders>
                    <w:tl2br w:val="nil"/>
                    <w:tr2bl w:val="nil"/>
                  </w:tcBorders>
                  <w:shd w:val="clear" w:color="auto" w:fill="auto"/>
                  <w:vAlign w:val="center"/>
                </w:tcPr>
                <w:p w14:paraId="56007DAF">
                  <w:pPr>
                    <w:adjustRightInd w:val="0"/>
                    <w:snapToGrid w:val="0"/>
                    <w:jc w:val="center"/>
                    <w:rPr>
                      <w:rFonts w:hint="default" w:ascii="Times New Roman" w:hAnsi="Times New Roman" w:eastAsia="宋体" w:cs="Times New Roman"/>
                      <w:color w:val="auto"/>
                      <w:spacing w:val="5"/>
                      <w:kern w:val="0"/>
                      <w:lang w:val="en-US" w:eastAsia="zh-CN"/>
                    </w:rPr>
                  </w:pPr>
                  <w:r>
                    <w:rPr>
                      <w:rFonts w:hint="default" w:ascii="Times New Roman" w:hAnsi="Times New Roman" w:eastAsia="宋体" w:cs="Times New Roman"/>
                      <w:color w:val="auto"/>
                      <w:spacing w:val="5"/>
                      <w:kern w:val="0"/>
                      <w:lang w:val="en-US" w:eastAsia="zh-CN"/>
                    </w:rPr>
                    <w:t>266</w:t>
                  </w:r>
                </w:p>
              </w:tc>
              <w:tc>
                <w:tcPr>
                  <w:tcW w:w="1081" w:type="pct"/>
                  <w:tcBorders>
                    <w:tl2br w:val="nil"/>
                    <w:tr2bl w:val="nil"/>
                  </w:tcBorders>
                  <w:shd w:val="clear" w:color="auto" w:fill="auto"/>
                  <w:vAlign w:val="center"/>
                </w:tcPr>
                <w:p w14:paraId="06D38C89">
                  <w:pPr>
                    <w:adjustRightInd w:val="0"/>
                    <w:snapToGrid w:val="0"/>
                    <w:jc w:val="center"/>
                    <w:rPr>
                      <w:rFonts w:hint="default" w:ascii="Times New Roman" w:hAnsi="Times New Roman" w:cs="Times New Roman"/>
                      <w:color w:val="auto"/>
                      <w:spacing w:val="5"/>
                      <w:kern w:val="0"/>
                      <w:lang w:val="en-US" w:eastAsia="zh-CN"/>
                    </w:rPr>
                  </w:pPr>
                  <w:r>
                    <w:rPr>
                      <w:rFonts w:hint="default" w:ascii="Times New Roman" w:hAnsi="Times New Roman" w:cs="Times New Roman"/>
                      <w:color w:val="auto"/>
                      <w:spacing w:val="5"/>
                      <w:kern w:val="0"/>
                      <w:lang w:val="en-US" w:eastAsia="zh-CN"/>
                    </w:rPr>
                    <w:t>清漆≤</w:t>
                  </w:r>
                  <w:r>
                    <w:rPr>
                      <w:rFonts w:hint="eastAsia" w:cs="Times New Roman"/>
                      <w:color w:val="auto"/>
                      <w:spacing w:val="5"/>
                      <w:kern w:val="0"/>
                      <w:lang w:val="en-US" w:eastAsia="zh-CN"/>
                    </w:rPr>
                    <w:t>27</w:t>
                  </w:r>
                  <w:r>
                    <w:rPr>
                      <w:rFonts w:hint="default" w:ascii="Times New Roman" w:hAnsi="Times New Roman" w:cs="Times New Roman"/>
                      <w:color w:val="auto"/>
                      <w:spacing w:val="5"/>
                      <w:kern w:val="0"/>
                      <w:lang w:val="en-US" w:eastAsia="zh-CN"/>
                    </w:rPr>
                    <w:t>0</w:t>
                  </w:r>
                </w:p>
              </w:tc>
              <w:tc>
                <w:tcPr>
                  <w:tcW w:w="465" w:type="pct"/>
                  <w:tcBorders>
                    <w:tl2br w:val="nil"/>
                    <w:tr2bl w:val="nil"/>
                  </w:tcBorders>
                  <w:shd w:val="clear" w:color="auto" w:fill="auto"/>
                  <w:vAlign w:val="center"/>
                </w:tcPr>
                <w:p w14:paraId="503FC9D3">
                  <w:pPr>
                    <w:adjustRightInd w:val="0"/>
                    <w:snapToGrid w:val="0"/>
                    <w:jc w:val="center"/>
                    <w:rPr>
                      <w:rFonts w:hint="default" w:ascii="Times New Roman" w:hAnsi="Times New Roman" w:cs="Times New Roman"/>
                      <w:color w:val="auto"/>
                      <w:spacing w:val="5"/>
                      <w:kern w:val="0"/>
                      <w:lang w:val="en-US" w:eastAsia="zh-CN"/>
                    </w:rPr>
                  </w:pPr>
                  <w:r>
                    <w:rPr>
                      <w:rFonts w:hint="default" w:ascii="Times New Roman" w:hAnsi="Times New Roman" w:cs="Times New Roman"/>
                      <w:color w:val="auto"/>
                      <w:spacing w:val="5"/>
                      <w:kern w:val="0"/>
                      <w:lang w:val="en-US" w:eastAsia="zh-CN"/>
                    </w:rPr>
                    <w:t>达标</w:t>
                  </w:r>
                </w:p>
              </w:tc>
            </w:tr>
            <w:tr w14:paraId="2169CE2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59" w:type="pct"/>
                  <w:tcBorders>
                    <w:tl2br w:val="nil"/>
                    <w:tr2bl w:val="nil"/>
                  </w:tcBorders>
                  <w:shd w:val="clear" w:color="auto" w:fill="auto"/>
                  <w:vAlign w:val="center"/>
                </w:tcPr>
                <w:p w14:paraId="130E5A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水性双组份哑光清面漆</w:t>
                  </w:r>
                </w:p>
              </w:tc>
              <w:tc>
                <w:tcPr>
                  <w:tcW w:w="1386" w:type="pct"/>
                  <w:vMerge w:val="continue"/>
                  <w:tcBorders>
                    <w:tl2br w:val="nil"/>
                    <w:tr2bl w:val="nil"/>
                  </w:tcBorders>
                  <w:shd w:val="clear" w:color="auto" w:fill="auto"/>
                  <w:vAlign w:val="center"/>
                </w:tcPr>
                <w:p w14:paraId="78BC586A">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rPr>
                  </w:pPr>
                </w:p>
              </w:tc>
              <w:tc>
                <w:tcPr>
                  <w:tcW w:w="526" w:type="pct"/>
                  <w:tcBorders>
                    <w:tl2br w:val="nil"/>
                    <w:tr2bl w:val="nil"/>
                  </w:tcBorders>
                  <w:shd w:val="clear" w:color="auto" w:fill="auto"/>
                  <w:vAlign w:val="center"/>
                </w:tcPr>
                <w:p w14:paraId="7FC6C7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0.125</w:t>
                  </w:r>
                </w:p>
              </w:tc>
              <w:tc>
                <w:tcPr>
                  <w:tcW w:w="781" w:type="pct"/>
                  <w:tcBorders>
                    <w:tl2br w:val="nil"/>
                    <w:tr2bl w:val="nil"/>
                  </w:tcBorders>
                  <w:shd w:val="clear" w:color="auto" w:fill="auto"/>
                  <w:vAlign w:val="center"/>
                </w:tcPr>
                <w:p w14:paraId="63F0AD57">
                  <w:pPr>
                    <w:adjustRightInd w:val="0"/>
                    <w:snapToGrid w:val="0"/>
                    <w:jc w:val="center"/>
                    <w:rPr>
                      <w:rFonts w:hint="default" w:ascii="Times New Roman" w:hAnsi="Times New Roman" w:eastAsia="宋体" w:cs="Times New Roman"/>
                      <w:color w:val="auto"/>
                      <w:spacing w:val="5"/>
                      <w:kern w:val="0"/>
                      <w:lang w:val="en-US" w:eastAsia="zh-CN"/>
                    </w:rPr>
                  </w:pPr>
                  <w:r>
                    <w:rPr>
                      <w:rFonts w:hint="default" w:ascii="Times New Roman" w:hAnsi="Times New Roman" w:eastAsia="宋体" w:cs="Times New Roman"/>
                      <w:color w:val="auto"/>
                      <w:spacing w:val="5"/>
                      <w:kern w:val="0"/>
                      <w:lang w:val="en-US" w:eastAsia="zh-CN"/>
                    </w:rPr>
                    <w:t>131</w:t>
                  </w:r>
                </w:p>
              </w:tc>
              <w:tc>
                <w:tcPr>
                  <w:tcW w:w="1081" w:type="pct"/>
                  <w:tcBorders>
                    <w:tl2br w:val="nil"/>
                    <w:tr2bl w:val="nil"/>
                  </w:tcBorders>
                  <w:shd w:val="clear" w:color="auto" w:fill="auto"/>
                  <w:vAlign w:val="center"/>
                </w:tcPr>
                <w:p w14:paraId="1E889020">
                  <w:pPr>
                    <w:adjustRightInd w:val="0"/>
                    <w:snapToGrid w:val="0"/>
                    <w:jc w:val="center"/>
                    <w:rPr>
                      <w:rFonts w:hint="default" w:ascii="Times New Roman" w:hAnsi="Times New Roman" w:cs="Times New Roman"/>
                      <w:color w:val="auto"/>
                      <w:spacing w:val="5"/>
                      <w:kern w:val="0"/>
                      <w:lang w:val="en-US" w:eastAsia="zh-CN"/>
                    </w:rPr>
                  </w:pPr>
                  <w:r>
                    <w:rPr>
                      <w:rFonts w:hint="default" w:ascii="Times New Roman" w:hAnsi="Times New Roman" w:cs="Times New Roman"/>
                      <w:color w:val="auto"/>
                      <w:spacing w:val="5"/>
                      <w:kern w:val="0"/>
                      <w:lang w:val="en-US" w:eastAsia="zh-CN"/>
                    </w:rPr>
                    <w:t>清漆≤</w:t>
                  </w:r>
                  <w:r>
                    <w:rPr>
                      <w:rFonts w:hint="eastAsia" w:cs="Times New Roman"/>
                      <w:color w:val="auto"/>
                      <w:spacing w:val="5"/>
                      <w:kern w:val="0"/>
                      <w:lang w:val="en-US" w:eastAsia="zh-CN"/>
                    </w:rPr>
                    <w:t>27</w:t>
                  </w:r>
                  <w:r>
                    <w:rPr>
                      <w:rFonts w:hint="default" w:ascii="Times New Roman" w:hAnsi="Times New Roman" w:cs="Times New Roman"/>
                      <w:color w:val="auto"/>
                      <w:spacing w:val="5"/>
                      <w:kern w:val="0"/>
                      <w:lang w:val="en-US" w:eastAsia="zh-CN"/>
                    </w:rPr>
                    <w:t>0</w:t>
                  </w:r>
                </w:p>
              </w:tc>
              <w:tc>
                <w:tcPr>
                  <w:tcW w:w="465" w:type="pct"/>
                  <w:tcBorders>
                    <w:tl2br w:val="nil"/>
                    <w:tr2bl w:val="nil"/>
                  </w:tcBorders>
                  <w:shd w:val="clear" w:color="auto" w:fill="auto"/>
                  <w:vAlign w:val="center"/>
                </w:tcPr>
                <w:p w14:paraId="1FFE8D38">
                  <w:pPr>
                    <w:adjustRightInd w:val="0"/>
                    <w:snapToGrid w:val="0"/>
                    <w:jc w:val="center"/>
                    <w:rPr>
                      <w:rFonts w:hint="default" w:ascii="Times New Roman" w:hAnsi="Times New Roman" w:cs="Times New Roman"/>
                      <w:color w:val="auto"/>
                      <w:spacing w:val="5"/>
                      <w:kern w:val="0"/>
                      <w:lang w:val="en-US" w:eastAsia="zh-CN"/>
                    </w:rPr>
                  </w:pPr>
                  <w:r>
                    <w:rPr>
                      <w:rFonts w:hint="default" w:ascii="Times New Roman" w:hAnsi="Times New Roman" w:cs="Times New Roman"/>
                      <w:color w:val="auto"/>
                      <w:spacing w:val="5"/>
                      <w:kern w:val="0"/>
                      <w:lang w:val="en-US" w:eastAsia="zh-CN"/>
                    </w:rPr>
                    <w:t>达标</w:t>
                  </w:r>
                </w:p>
              </w:tc>
            </w:tr>
            <w:tr w14:paraId="1EF6181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59" w:type="pct"/>
                  <w:tcBorders>
                    <w:tl2br w:val="nil"/>
                    <w:tr2bl w:val="nil"/>
                  </w:tcBorders>
                  <w:shd w:val="clear" w:color="auto" w:fill="auto"/>
                  <w:vAlign w:val="center"/>
                </w:tcPr>
                <w:p w14:paraId="78DE30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水性哑光清面漆</w:t>
                  </w:r>
                </w:p>
              </w:tc>
              <w:tc>
                <w:tcPr>
                  <w:tcW w:w="1386" w:type="pct"/>
                  <w:vMerge w:val="continue"/>
                  <w:tcBorders>
                    <w:tl2br w:val="nil"/>
                    <w:tr2bl w:val="nil"/>
                  </w:tcBorders>
                  <w:shd w:val="clear" w:color="auto" w:fill="auto"/>
                  <w:vAlign w:val="center"/>
                </w:tcPr>
                <w:p w14:paraId="315D7E00">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rPr>
                  </w:pPr>
                </w:p>
              </w:tc>
              <w:tc>
                <w:tcPr>
                  <w:tcW w:w="526" w:type="pct"/>
                  <w:tcBorders>
                    <w:tl2br w:val="nil"/>
                    <w:tr2bl w:val="nil"/>
                  </w:tcBorders>
                  <w:shd w:val="clear" w:color="auto" w:fill="auto"/>
                  <w:vAlign w:val="center"/>
                </w:tcPr>
                <w:p w14:paraId="0FAB7C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0.125</w:t>
                  </w:r>
                </w:p>
              </w:tc>
              <w:tc>
                <w:tcPr>
                  <w:tcW w:w="781" w:type="pct"/>
                  <w:tcBorders>
                    <w:tl2br w:val="nil"/>
                    <w:tr2bl w:val="nil"/>
                  </w:tcBorders>
                  <w:shd w:val="clear" w:color="auto" w:fill="auto"/>
                  <w:vAlign w:val="center"/>
                </w:tcPr>
                <w:p w14:paraId="6967EF88">
                  <w:pPr>
                    <w:adjustRightInd w:val="0"/>
                    <w:snapToGrid w:val="0"/>
                    <w:jc w:val="center"/>
                    <w:rPr>
                      <w:rFonts w:hint="default" w:ascii="Times New Roman" w:hAnsi="Times New Roman" w:eastAsia="宋体" w:cs="Times New Roman"/>
                      <w:color w:val="auto"/>
                      <w:spacing w:val="5"/>
                      <w:kern w:val="0"/>
                      <w:lang w:val="en-US" w:eastAsia="zh-CN"/>
                    </w:rPr>
                  </w:pPr>
                  <w:r>
                    <w:rPr>
                      <w:rFonts w:hint="default" w:ascii="Times New Roman" w:hAnsi="Times New Roman" w:eastAsia="宋体" w:cs="Times New Roman"/>
                      <w:color w:val="auto"/>
                      <w:spacing w:val="5"/>
                      <w:kern w:val="0"/>
                      <w:lang w:val="en-US" w:eastAsia="zh-CN"/>
                    </w:rPr>
                    <w:t>152</w:t>
                  </w:r>
                </w:p>
              </w:tc>
              <w:tc>
                <w:tcPr>
                  <w:tcW w:w="1081" w:type="pct"/>
                  <w:tcBorders>
                    <w:tl2br w:val="nil"/>
                    <w:tr2bl w:val="nil"/>
                  </w:tcBorders>
                  <w:shd w:val="clear" w:color="auto" w:fill="auto"/>
                  <w:vAlign w:val="center"/>
                </w:tcPr>
                <w:p w14:paraId="0FA22470">
                  <w:pPr>
                    <w:adjustRightInd w:val="0"/>
                    <w:snapToGrid w:val="0"/>
                    <w:jc w:val="center"/>
                    <w:rPr>
                      <w:rFonts w:hint="default" w:ascii="Times New Roman" w:hAnsi="Times New Roman" w:cs="Times New Roman"/>
                      <w:color w:val="auto"/>
                      <w:spacing w:val="5"/>
                      <w:kern w:val="0"/>
                      <w:lang w:val="en-US" w:eastAsia="zh-CN"/>
                    </w:rPr>
                  </w:pPr>
                  <w:r>
                    <w:rPr>
                      <w:rFonts w:hint="default" w:ascii="Times New Roman" w:hAnsi="Times New Roman" w:cs="Times New Roman"/>
                      <w:color w:val="auto"/>
                      <w:spacing w:val="5"/>
                      <w:kern w:val="0"/>
                      <w:lang w:val="en-US" w:eastAsia="zh-CN"/>
                    </w:rPr>
                    <w:t>清漆≤</w:t>
                  </w:r>
                  <w:r>
                    <w:rPr>
                      <w:rFonts w:hint="eastAsia" w:cs="Times New Roman"/>
                      <w:color w:val="auto"/>
                      <w:spacing w:val="5"/>
                      <w:kern w:val="0"/>
                      <w:lang w:val="en-US" w:eastAsia="zh-CN"/>
                    </w:rPr>
                    <w:t>27</w:t>
                  </w:r>
                  <w:r>
                    <w:rPr>
                      <w:rFonts w:hint="default" w:ascii="Times New Roman" w:hAnsi="Times New Roman" w:cs="Times New Roman"/>
                      <w:color w:val="auto"/>
                      <w:spacing w:val="5"/>
                      <w:kern w:val="0"/>
                      <w:lang w:val="en-US" w:eastAsia="zh-CN"/>
                    </w:rPr>
                    <w:t>0</w:t>
                  </w:r>
                </w:p>
              </w:tc>
              <w:tc>
                <w:tcPr>
                  <w:tcW w:w="465" w:type="pct"/>
                  <w:tcBorders>
                    <w:tl2br w:val="nil"/>
                    <w:tr2bl w:val="nil"/>
                  </w:tcBorders>
                  <w:shd w:val="clear" w:color="auto" w:fill="auto"/>
                  <w:vAlign w:val="center"/>
                </w:tcPr>
                <w:p w14:paraId="0733E91E">
                  <w:pPr>
                    <w:adjustRightInd w:val="0"/>
                    <w:snapToGrid w:val="0"/>
                    <w:jc w:val="center"/>
                    <w:rPr>
                      <w:rFonts w:hint="default" w:ascii="Times New Roman" w:hAnsi="Times New Roman" w:cs="Times New Roman"/>
                      <w:color w:val="auto"/>
                      <w:spacing w:val="5"/>
                      <w:kern w:val="0"/>
                      <w:lang w:val="en-US" w:eastAsia="zh-CN"/>
                    </w:rPr>
                  </w:pPr>
                  <w:r>
                    <w:rPr>
                      <w:rFonts w:hint="default" w:ascii="Times New Roman" w:hAnsi="Times New Roman" w:cs="Times New Roman"/>
                      <w:color w:val="auto"/>
                      <w:spacing w:val="5"/>
                      <w:kern w:val="0"/>
                      <w:lang w:val="en-US" w:eastAsia="zh-CN"/>
                    </w:rPr>
                    <w:t>达标</w:t>
                  </w:r>
                </w:p>
              </w:tc>
            </w:tr>
            <w:tr w14:paraId="20E2EE7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59" w:type="pct"/>
                  <w:tcBorders>
                    <w:tl2br w:val="nil"/>
                    <w:tr2bl w:val="nil"/>
                  </w:tcBorders>
                  <w:shd w:val="clear" w:color="auto" w:fill="auto"/>
                  <w:vAlign w:val="center"/>
                </w:tcPr>
                <w:p w14:paraId="0E9C5F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清面漆</w:t>
                  </w:r>
                </w:p>
              </w:tc>
              <w:tc>
                <w:tcPr>
                  <w:tcW w:w="1386" w:type="pct"/>
                  <w:vMerge w:val="restart"/>
                  <w:tcBorders>
                    <w:tl2br w:val="nil"/>
                    <w:tr2bl w:val="nil"/>
                  </w:tcBorders>
                  <w:shd w:val="clear" w:color="auto" w:fill="auto"/>
                  <w:vAlign w:val="center"/>
                </w:tcPr>
                <w:p w14:paraId="2F9ACA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醇酸树脂30~80%、醋酸丁酯0~15%、二甲苯1~35%、丙二醇甲醚醋酸酯0~15%、环己酮0~10%</w:t>
                  </w:r>
                </w:p>
              </w:tc>
              <w:tc>
                <w:tcPr>
                  <w:tcW w:w="526" w:type="pct"/>
                  <w:tcBorders>
                    <w:tl2br w:val="nil"/>
                    <w:tr2bl w:val="nil"/>
                  </w:tcBorders>
                  <w:shd w:val="clear" w:color="auto" w:fill="auto"/>
                  <w:vAlign w:val="center"/>
                </w:tcPr>
                <w:p w14:paraId="2DAD56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0.5</w:t>
                  </w:r>
                </w:p>
              </w:tc>
              <w:tc>
                <w:tcPr>
                  <w:tcW w:w="781" w:type="pct"/>
                  <w:tcBorders>
                    <w:tl2br w:val="nil"/>
                    <w:tr2bl w:val="nil"/>
                  </w:tcBorders>
                  <w:shd w:val="clear" w:color="auto" w:fill="auto"/>
                  <w:vAlign w:val="center"/>
                </w:tcPr>
                <w:p w14:paraId="4D3333D8">
                  <w:pPr>
                    <w:adjustRightInd w:val="0"/>
                    <w:snapToGrid w:val="0"/>
                    <w:jc w:val="center"/>
                    <w:rPr>
                      <w:rFonts w:hint="default" w:ascii="Times New Roman" w:hAnsi="Times New Roman" w:eastAsia="宋体" w:cs="Times New Roman"/>
                      <w:color w:val="auto"/>
                      <w:spacing w:val="5"/>
                      <w:kern w:val="0"/>
                      <w:lang w:val="en-US" w:eastAsia="zh-CN"/>
                    </w:rPr>
                  </w:pPr>
                  <w:r>
                    <w:rPr>
                      <w:rFonts w:hint="eastAsia" w:cs="Times New Roman"/>
                      <w:color w:val="auto"/>
                      <w:spacing w:val="5"/>
                      <w:kern w:val="0"/>
                      <w:lang w:val="en-US" w:eastAsia="zh-CN"/>
                    </w:rPr>
                    <w:t>381</w:t>
                  </w:r>
                </w:p>
              </w:tc>
              <w:tc>
                <w:tcPr>
                  <w:tcW w:w="1081" w:type="pct"/>
                  <w:tcBorders>
                    <w:tl2br w:val="nil"/>
                    <w:tr2bl w:val="nil"/>
                  </w:tcBorders>
                  <w:shd w:val="clear" w:color="auto" w:fill="auto"/>
                  <w:vAlign w:val="center"/>
                </w:tcPr>
                <w:p w14:paraId="4B7EEE93">
                  <w:pPr>
                    <w:adjustRightInd w:val="0"/>
                    <w:snapToGrid w:val="0"/>
                    <w:jc w:val="center"/>
                    <w:rPr>
                      <w:rFonts w:hint="default" w:ascii="Times New Roman" w:hAnsi="Times New Roman" w:cs="Times New Roman"/>
                      <w:color w:val="auto"/>
                      <w:spacing w:val="5"/>
                      <w:kern w:val="0"/>
                      <w:lang w:val="en-US" w:eastAsia="zh-CN"/>
                    </w:rPr>
                  </w:pPr>
                  <w:r>
                    <w:rPr>
                      <w:rFonts w:hint="eastAsia" w:cs="Times New Roman"/>
                      <w:color w:val="auto"/>
                      <w:spacing w:val="5"/>
                      <w:kern w:val="0"/>
                      <w:lang w:val="en-US" w:eastAsia="zh-CN"/>
                    </w:rPr>
                    <w:t>木器涂料</w:t>
                  </w:r>
                  <w:r>
                    <w:rPr>
                      <w:rFonts w:hint="default" w:ascii="Times New Roman" w:hAnsi="Times New Roman" w:cs="Times New Roman"/>
                      <w:color w:val="auto"/>
                      <w:spacing w:val="5"/>
                      <w:kern w:val="0"/>
                      <w:lang w:val="en-US" w:eastAsia="zh-CN"/>
                    </w:rPr>
                    <w:t>≤</w:t>
                  </w:r>
                  <w:r>
                    <w:rPr>
                      <w:rFonts w:hint="eastAsia" w:cs="Times New Roman"/>
                      <w:color w:val="auto"/>
                      <w:spacing w:val="5"/>
                      <w:kern w:val="0"/>
                      <w:lang w:val="en-US" w:eastAsia="zh-CN"/>
                    </w:rPr>
                    <w:t>42</w:t>
                  </w:r>
                  <w:r>
                    <w:rPr>
                      <w:rFonts w:hint="default" w:ascii="Times New Roman" w:hAnsi="Times New Roman" w:cs="Times New Roman"/>
                      <w:color w:val="auto"/>
                      <w:spacing w:val="5"/>
                      <w:kern w:val="0"/>
                      <w:lang w:val="en-US" w:eastAsia="zh-CN"/>
                    </w:rPr>
                    <w:t>0</w:t>
                  </w:r>
                </w:p>
              </w:tc>
              <w:tc>
                <w:tcPr>
                  <w:tcW w:w="465" w:type="pct"/>
                  <w:tcBorders>
                    <w:tl2br w:val="nil"/>
                    <w:tr2bl w:val="nil"/>
                  </w:tcBorders>
                  <w:shd w:val="clear" w:color="auto" w:fill="auto"/>
                  <w:vAlign w:val="center"/>
                </w:tcPr>
                <w:p w14:paraId="1B007989">
                  <w:pPr>
                    <w:adjustRightInd w:val="0"/>
                    <w:snapToGrid w:val="0"/>
                    <w:jc w:val="center"/>
                    <w:rPr>
                      <w:rFonts w:hint="default" w:ascii="Times New Roman" w:hAnsi="Times New Roman" w:cs="Times New Roman"/>
                      <w:color w:val="auto"/>
                      <w:spacing w:val="5"/>
                      <w:kern w:val="0"/>
                      <w:lang w:val="en-US" w:eastAsia="zh-CN"/>
                    </w:rPr>
                  </w:pPr>
                  <w:r>
                    <w:rPr>
                      <w:rFonts w:hint="default" w:ascii="Times New Roman" w:hAnsi="Times New Roman" w:cs="Times New Roman"/>
                      <w:color w:val="auto"/>
                      <w:spacing w:val="5"/>
                      <w:kern w:val="0"/>
                      <w:lang w:val="en-US" w:eastAsia="zh-CN"/>
                    </w:rPr>
                    <w:t>达标</w:t>
                  </w:r>
                </w:p>
              </w:tc>
            </w:tr>
            <w:tr w14:paraId="4ACA57A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2" w:hRule="atLeast"/>
                <w:jc w:val="center"/>
              </w:trPr>
              <w:tc>
                <w:tcPr>
                  <w:tcW w:w="759" w:type="pct"/>
                  <w:tcBorders>
                    <w:tl2br w:val="nil"/>
                    <w:tr2bl w:val="nil"/>
                  </w:tcBorders>
                  <w:shd w:val="clear" w:color="auto" w:fill="auto"/>
                  <w:vAlign w:val="center"/>
                </w:tcPr>
                <w:p w14:paraId="5ECF20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eastAsia" w:cs="Times New Roman"/>
                      <w:color w:val="auto"/>
                      <w:kern w:val="0"/>
                      <w:sz w:val="21"/>
                      <w:szCs w:val="21"/>
                      <w:lang w:val="en-US" w:eastAsia="zh-CN"/>
                    </w:rPr>
                    <w:t>白</w:t>
                  </w:r>
                  <w:r>
                    <w:rPr>
                      <w:rFonts w:hint="default" w:ascii="Times New Roman" w:hAnsi="Times New Roman" w:cs="Times New Roman"/>
                      <w:color w:val="auto"/>
                      <w:kern w:val="0"/>
                      <w:sz w:val="21"/>
                      <w:szCs w:val="21"/>
                      <w:lang w:val="en-US" w:eastAsia="zh-CN"/>
                    </w:rPr>
                    <w:t>面漆</w:t>
                  </w:r>
                </w:p>
              </w:tc>
              <w:tc>
                <w:tcPr>
                  <w:tcW w:w="1386" w:type="pct"/>
                  <w:vMerge w:val="continue"/>
                  <w:tcBorders>
                    <w:tl2br w:val="nil"/>
                    <w:tr2bl w:val="nil"/>
                  </w:tcBorders>
                  <w:shd w:val="clear" w:color="auto" w:fill="auto"/>
                  <w:vAlign w:val="center"/>
                </w:tcPr>
                <w:p w14:paraId="0D84546B">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rPr>
                  </w:pPr>
                </w:p>
              </w:tc>
              <w:tc>
                <w:tcPr>
                  <w:tcW w:w="526" w:type="pct"/>
                  <w:tcBorders>
                    <w:tl2br w:val="nil"/>
                    <w:tr2bl w:val="nil"/>
                  </w:tcBorders>
                  <w:shd w:val="clear" w:color="auto" w:fill="auto"/>
                  <w:vAlign w:val="center"/>
                </w:tcPr>
                <w:p w14:paraId="123CC9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0.5</w:t>
                  </w:r>
                </w:p>
              </w:tc>
              <w:tc>
                <w:tcPr>
                  <w:tcW w:w="781" w:type="pct"/>
                  <w:tcBorders>
                    <w:tl2br w:val="nil"/>
                    <w:tr2bl w:val="nil"/>
                  </w:tcBorders>
                  <w:shd w:val="clear" w:color="auto" w:fill="auto"/>
                  <w:vAlign w:val="center"/>
                </w:tcPr>
                <w:p w14:paraId="22961AB4">
                  <w:pPr>
                    <w:adjustRightInd w:val="0"/>
                    <w:snapToGrid w:val="0"/>
                    <w:jc w:val="center"/>
                    <w:rPr>
                      <w:rFonts w:hint="default" w:ascii="Times New Roman" w:hAnsi="Times New Roman" w:eastAsia="宋体" w:cs="Times New Roman"/>
                      <w:color w:val="auto"/>
                      <w:spacing w:val="5"/>
                      <w:kern w:val="0"/>
                      <w:lang w:val="en-US" w:eastAsia="zh-CN"/>
                    </w:rPr>
                  </w:pPr>
                  <w:r>
                    <w:rPr>
                      <w:rFonts w:hint="eastAsia" w:cs="Times New Roman"/>
                      <w:color w:val="auto"/>
                      <w:spacing w:val="5"/>
                      <w:kern w:val="0"/>
                      <w:lang w:val="en-US" w:eastAsia="zh-CN"/>
                    </w:rPr>
                    <w:t>412</w:t>
                  </w:r>
                </w:p>
              </w:tc>
              <w:tc>
                <w:tcPr>
                  <w:tcW w:w="1081" w:type="pct"/>
                  <w:tcBorders>
                    <w:tl2br w:val="nil"/>
                    <w:tr2bl w:val="nil"/>
                  </w:tcBorders>
                  <w:shd w:val="clear" w:color="auto" w:fill="auto"/>
                  <w:vAlign w:val="center"/>
                </w:tcPr>
                <w:p w14:paraId="5E8D49E3">
                  <w:pPr>
                    <w:adjustRightInd w:val="0"/>
                    <w:snapToGrid w:val="0"/>
                    <w:jc w:val="center"/>
                    <w:rPr>
                      <w:rFonts w:hint="default" w:ascii="Times New Roman" w:hAnsi="Times New Roman" w:cs="Times New Roman"/>
                      <w:color w:val="auto"/>
                      <w:spacing w:val="5"/>
                      <w:kern w:val="0"/>
                      <w:lang w:val="en-US" w:eastAsia="zh-CN"/>
                    </w:rPr>
                  </w:pPr>
                  <w:r>
                    <w:rPr>
                      <w:rFonts w:hint="eastAsia" w:cs="Times New Roman"/>
                      <w:color w:val="auto"/>
                      <w:spacing w:val="5"/>
                      <w:kern w:val="0"/>
                      <w:lang w:val="en-US" w:eastAsia="zh-CN"/>
                    </w:rPr>
                    <w:t>木器涂料</w:t>
                  </w:r>
                  <w:r>
                    <w:rPr>
                      <w:rFonts w:hint="default" w:ascii="Times New Roman" w:hAnsi="Times New Roman" w:cs="Times New Roman"/>
                      <w:color w:val="auto"/>
                      <w:spacing w:val="5"/>
                      <w:kern w:val="0"/>
                      <w:lang w:val="en-US" w:eastAsia="zh-CN"/>
                    </w:rPr>
                    <w:t>≤</w:t>
                  </w:r>
                  <w:r>
                    <w:rPr>
                      <w:rFonts w:hint="eastAsia" w:cs="Times New Roman"/>
                      <w:color w:val="auto"/>
                      <w:spacing w:val="5"/>
                      <w:kern w:val="0"/>
                      <w:lang w:val="en-US" w:eastAsia="zh-CN"/>
                    </w:rPr>
                    <w:t>42</w:t>
                  </w:r>
                  <w:r>
                    <w:rPr>
                      <w:rFonts w:hint="default" w:ascii="Times New Roman" w:hAnsi="Times New Roman" w:cs="Times New Roman"/>
                      <w:color w:val="auto"/>
                      <w:spacing w:val="5"/>
                      <w:kern w:val="0"/>
                      <w:lang w:val="en-US" w:eastAsia="zh-CN"/>
                    </w:rPr>
                    <w:t>0</w:t>
                  </w:r>
                </w:p>
              </w:tc>
              <w:tc>
                <w:tcPr>
                  <w:tcW w:w="465" w:type="pct"/>
                  <w:tcBorders>
                    <w:tl2br w:val="nil"/>
                    <w:tr2bl w:val="nil"/>
                  </w:tcBorders>
                  <w:shd w:val="clear" w:color="auto" w:fill="auto"/>
                  <w:vAlign w:val="center"/>
                </w:tcPr>
                <w:p w14:paraId="5ADB21ED">
                  <w:pPr>
                    <w:adjustRightInd w:val="0"/>
                    <w:snapToGrid w:val="0"/>
                    <w:jc w:val="center"/>
                    <w:rPr>
                      <w:rFonts w:hint="default" w:ascii="Times New Roman" w:hAnsi="Times New Roman" w:cs="Times New Roman"/>
                      <w:color w:val="auto"/>
                      <w:spacing w:val="5"/>
                      <w:kern w:val="0"/>
                      <w:lang w:val="en-US" w:eastAsia="zh-CN"/>
                    </w:rPr>
                  </w:pPr>
                  <w:r>
                    <w:rPr>
                      <w:rFonts w:hint="default" w:ascii="Times New Roman" w:hAnsi="Times New Roman" w:cs="Times New Roman"/>
                      <w:color w:val="auto"/>
                      <w:spacing w:val="5"/>
                      <w:kern w:val="0"/>
                      <w:lang w:val="en-US" w:eastAsia="zh-CN"/>
                    </w:rPr>
                    <w:t>达标</w:t>
                  </w:r>
                </w:p>
              </w:tc>
            </w:tr>
            <w:tr w14:paraId="7B11BF1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41" w:hRule="atLeast"/>
                <w:jc w:val="center"/>
              </w:trPr>
              <w:tc>
                <w:tcPr>
                  <w:tcW w:w="759" w:type="pct"/>
                  <w:tcBorders>
                    <w:tl2br w:val="nil"/>
                    <w:tr2bl w:val="nil"/>
                  </w:tcBorders>
                  <w:shd w:val="clear" w:color="auto" w:fill="auto"/>
                  <w:vAlign w:val="center"/>
                </w:tcPr>
                <w:p w14:paraId="5A3B50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透明底漆</w:t>
                  </w:r>
                </w:p>
              </w:tc>
              <w:tc>
                <w:tcPr>
                  <w:tcW w:w="1386" w:type="pct"/>
                  <w:vMerge w:val="continue"/>
                  <w:tcBorders>
                    <w:tl2br w:val="nil"/>
                    <w:tr2bl w:val="nil"/>
                  </w:tcBorders>
                  <w:shd w:val="clear" w:color="auto" w:fill="auto"/>
                  <w:vAlign w:val="center"/>
                </w:tcPr>
                <w:p w14:paraId="67DDC3EC">
                  <w:pPr>
                    <w:pStyle w:val="688"/>
                    <w:keepNext w:val="0"/>
                    <w:keepLines w:val="0"/>
                    <w:pageBreakBefore w:val="0"/>
                    <w:widowControl w:val="0"/>
                    <w:kinsoku/>
                    <w:topLinePunct w:val="0"/>
                    <w:autoSpaceDE/>
                    <w:autoSpaceDN/>
                    <w:bidi w:val="0"/>
                    <w:adjustRightInd w:val="0"/>
                    <w:snapToGrid w:val="0"/>
                    <w:spacing w:line="240" w:lineRule="auto"/>
                    <w:ind w:left="0" w:leftChars="0" w:firstLine="0" w:firstLineChars="0"/>
                    <w:jc w:val="center"/>
                    <w:rPr>
                      <w:rFonts w:hint="default" w:ascii="Times New Roman" w:hAnsi="Times New Roman" w:cs="Times New Roman"/>
                      <w:color w:val="auto"/>
                      <w:spacing w:val="5"/>
                      <w:kern w:val="0"/>
                    </w:rPr>
                  </w:pPr>
                </w:p>
              </w:tc>
              <w:tc>
                <w:tcPr>
                  <w:tcW w:w="526" w:type="pct"/>
                  <w:tcBorders>
                    <w:tl2br w:val="nil"/>
                    <w:tr2bl w:val="nil"/>
                  </w:tcBorders>
                  <w:shd w:val="clear" w:color="auto" w:fill="auto"/>
                  <w:vAlign w:val="center"/>
                </w:tcPr>
                <w:p w14:paraId="6A44CB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0.5</w:t>
                  </w:r>
                </w:p>
              </w:tc>
              <w:tc>
                <w:tcPr>
                  <w:tcW w:w="781" w:type="pct"/>
                  <w:tcBorders>
                    <w:tl2br w:val="nil"/>
                    <w:tr2bl w:val="nil"/>
                  </w:tcBorders>
                  <w:shd w:val="clear" w:color="auto" w:fill="auto"/>
                  <w:vAlign w:val="center"/>
                </w:tcPr>
                <w:p w14:paraId="746C0728">
                  <w:pPr>
                    <w:adjustRightInd w:val="0"/>
                    <w:snapToGrid w:val="0"/>
                    <w:jc w:val="center"/>
                    <w:rPr>
                      <w:rFonts w:hint="default" w:ascii="Times New Roman" w:hAnsi="Times New Roman" w:eastAsia="宋体" w:cs="Times New Roman"/>
                      <w:color w:val="auto"/>
                      <w:spacing w:val="5"/>
                      <w:kern w:val="0"/>
                      <w:lang w:val="en-US" w:eastAsia="zh-CN"/>
                    </w:rPr>
                  </w:pPr>
                  <w:r>
                    <w:rPr>
                      <w:rFonts w:hint="eastAsia" w:cs="Times New Roman"/>
                      <w:color w:val="auto"/>
                      <w:spacing w:val="5"/>
                      <w:kern w:val="0"/>
                      <w:lang w:val="en-US" w:eastAsia="zh-CN"/>
                    </w:rPr>
                    <w:t>358</w:t>
                  </w:r>
                </w:p>
              </w:tc>
              <w:tc>
                <w:tcPr>
                  <w:tcW w:w="1081" w:type="pct"/>
                  <w:tcBorders>
                    <w:tl2br w:val="nil"/>
                    <w:tr2bl w:val="nil"/>
                  </w:tcBorders>
                  <w:shd w:val="clear" w:color="auto" w:fill="auto"/>
                  <w:vAlign w:val="center"/>
                </w:tcPr>
                <w:p w14:paraId="2AC09949">
                  <w:pPr>
                    <w:adjustRightInd w:val="0"/>
                    <w:snapToGrid w:val="0"/>
                    <w:jc w:val="center"/>
                    <w:rPr>
                      <w:rFonts w:hint="default" w:ascii="Times New Roman" w:hAnsi="Times New Roman" w:eastAsia="宋体" w:cs="Times New Roman"/>
                      <w:color w:val="auto"/>
                      <w:spacing w:val="5"/>
                      <w:kern w:val="0"/>
                      <w:lang w:val="en-US" w:eastAsia="zh-CN"/>
                    </w:rPr>
                  </w:pPr>
                  <w:r>
                    <w:rPr>
                      <w:rFonts w:hint="eastAsia" w:cs="Times New Roman"/>
                      <w:color w:val="auto"/>
                      <w:spacing w:val="5"/>
                      <w:kern w:val="0"/>
                      <w:lang w:val="en-US" w:eastAsia="zh-CN"/>
                    </w:rPr>
                    <w:t>木器涂料</w:t>
                  </w:r>
                  <w:r>
                    <w:rPr>
                      <w:rFonts w:hint="default" w:ascii="Times New Roman" w:hAnsi="Times New Roman" w:cs="Times New Roman"/>
                      <w:color w:val="auto"/>
                      <w:spacing w:val="5"/>
                      <w:kern w:val="0"/>
                      <w:lang w:val="en-US" w:eastAsia="zh-CN"/>
                    </w:rPr>
                    <w:t>≤</w:t>
                  </w:r>
                  <w:r>
                    <w:rPr>
                      <w:rFonts w:hint="eastAsia" w:cs="Times New Roman"/>
                      <w:color w:val="auto"/>
                      <w:spacing w:val="5"/>
                      <w:kern w:val="0"/>
                      <w:lang w:val="en-US" w:eastAsia="zh-CN"/>
                    </w:rPr>
                    <w:t>42</w:t>
                  </w:r>
                  <w:r>
                    <w:rPr>
                      <w:rFonts w:hint="default" w:ascii="Times New Roman" w:hAnsi="Times New Roman" w:cs="Times New Roman"/>
                      <w:color w:val="auto"/>
                      <w:spacing w:val="5"/>
                      <w:kern w:val="0"/>
                      <w:lang w:val="en-US" w:eastAsia="zh-CN"/>
                    </w:rPr>
                    <w:t>0</w:t>
                  </w:r>
                </w:p>
              </w:tc>
              <w:tc>
                <w:tcPr>
                  <w:tcW w:w="465" w:type="pct"/>
                  <w:tcBorders>
                    <w:tl2br w:val="nil"/>
                    <w:tr2bl w:val="nil"/>
                  </w:tcBorders>
                  <w:shd w:val="clear" w:color="auto" w:fill="auto"/>
                  <w:vAlign w:val="center"/>
                </w:tcPr>
                <w:p w14:paraId="0C3D696D">
                  <w:pPr>
                    <w:adjustRightInd w:val="0"/>
                    <w:snapToGrid w:val="0"/>
                    <w:jc w:val="center"/>
                    <w:rPr>
                      <w:rFonts w:hint="default" w:ascii="Times New Roman" w:hAnsi="Times New Roman" w:cs="Times New Roman"/>
                      <w:color w:val="auto"/>
                      <w:spacing w:val="5"/>
                      <w:kern w:val="0"/>
                      <w:lang w:val="en-US" w:eastAsia="zh-CN"/>
                    </w:rPr>
                  </w:pPr>
                  <w:r>
                    <w:rPr>
                      <w:rFonts w:hint="default" w:ascii="Times New Roman" w:hAnsi="Times New Roman" w:cs="Times New Roman"/>
                      <w:color w:val="auto"/>
                      <w:spacing w:val="5"/>
                      <w:kern w:val="0"/>
                      <w:lang w:val="en-US" w:eastAsia="zh-CN"/>
                    </w:rPr>
                    <w:t>达标</w:t>
                  </w:r>
                </w:p>
              </w:tc>
            </w:tr>
            <w:tr w14:paraId="6D3AEDD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6"/>
                  <w:tcBorders>
                    <w:tl2br w:val="nil"/>
                    <w:tr2bl w:val="nil"/>
                  </w:tcBorders>
                  <w:shd w:val="clear" w:color="auto" w:fill="auto"/>
                  <w:vAlign w:val="center"/>
                </w:tcPr>
                <w:p w14:paraId="35D996D6">
                  <w:pPr>
                    <w:adjustRightInd w:val="0"/>
                    <w:snapToGrid w:val="0"/>
                    <w:jc w:val="both"/>
                    <w:rPr>
                      <w:rFonts w:hint="default" w:ascii="Times New Roman" w:hAnsi="Times New Roman" w:cs="Times New Roman"/>
                      <w:color w:val="auto"/>
                      <w:spacing w:val="5"/>
                      <w:kern w:val="0"/>
                      <w:lang w:val="en-US" w:eastAsia="zh-CN"/>
                    </w:rPr>
                  </w:pPr>
                  <w:r>
                    <w:rPr>
                      <w:rFonts w:hint="default" w:ascii="Times New Roman" w:hAnsi="Times New Roman" w:cs="Times New Roman"/>
                      <w:color w:val="auto"/>
                      <w:spacing w:val="5"/>
                      <w:kern w:val="0"/>
                      <w:lang w:val="en-US" w:eastAsia="zh-CN"/>
                    </w:rPr>
                    <w:t>注：*油性漆需添加固化剂、稀释剂使用，清面漆与固化剂、稀释剂调配比例为1:0.</w:t>
                  </w:r>
                  <w:r>
                    <w:rPr>
                      <w:rFonts w:hint="eastAsia" w:cs="Times New Roman"/>
                      <w:color w:val="auto"/>
                      <w:spacing w:val="5"/>
                      <w:kern w:val="0"/>
                      <w:lang w:val="en-US" w:eastAsia="zh-CN"/>
                    </w:rPr>
                    <w:t>5</w:t>
                  </w:r>
                  <w:r>
                    <w:rPr>
                      <w:rFonts w:hint="default" w:ascii="Times New Roman" w:hAnsi="Times New Roman" w:cs="Times New Roman"/>
                      <w:color w:val="auto"/>
                      <w:spacing w:val="5"/>
                      <w:kern w:val="0"/>
                      <w:lang w:val="en-US" w:eastAsia="zh-CN"/>
                    </w:rPr>
                    <w:t>:0.1、</w:t>
                  </w:r>
                  <w:r>
                    <w:rPr>
                      <w:rFonts w:hint="eastAsia" w:cs="Times New Roman"/>
                      <w:color w:val="auto"/>
                      <w:spacing w:val="5"/>
                      <w:kern w:val="0"/>
                      <w:lang w:val="en-US" w:eastAsia="zh-CN"/>
                    </w:rPr>
                    <w:t>白</w:t>
                  </w:r>
                  <w:r>
                    <w:rPr>
                      <w:rFonts w:hint="default" w:ascii="Times New Roman" w:hAnsi="Times New Roman" w:cs="Times New Roman"/>
                      <w:color w:val="auto"/>
                      <w:spacing w:val="5"/>
                      <w:kern w:val="0"/>
                      <w:lang w:val="en-US" w:eastAsia="zh-CN"/>
                    </w:rPr>
                    <w:t>面漆与固化剂、稀释剂调配比例为1:0.</w:t>
                  </w:r>
                  <w:r>
                    <w:rPr>
                      <w:rFonts w:hint="eastAsia" w:cs="Times New Roman"/>
                      <w:color w:val="auto"/>
                      <w:spacing w:val="5"/>
                      <w:kern w:val="0"/>
                      <w:lang w:val="en-US" w:eastAsia="zh-CN"/>
                    </w:rPr>
                    <w:t>8</w:t>
                  </w:r>
                  <w:r>
                    <w:rPr>
                      <w:rFonts w:hint="default" w:ascii="Times New Roman" w:hAnsi="Times New Roman" w:cs="Times New Roman"/>
                      <w:color w:val="auto"/>
                      <w:spacing w:val="5"/>
                      <w:kern w:val="0"/>
                      <w:lang w:val="en-US" w:eastAsia="zh-CN"/>
                    </w:rPr>
                    <w:t>:0.</w:t>
                  </w:r>
                  <w:r>
                    <w:rPr>
                      <w:rFonts w:hint="eastAsia" w:cs="Times New Roman"/>
                      <w:color w:val="auto"/>
                      <w:spacing w:val="5"/>
                      <w:kern w:val="0"/>
                      <w:lang w:val="en-US" w:eastAsia="zh-CN"/>
                    </w:rPr>
                    <w:t>1</w:t>
                  </w:r>
                  <w:r>
                    <w:rPr>
                      <w:rFonts w:hint="default" w:ascii="Times New Roman" w:hAnsi="Times New Roman" w:cs="Times New Roman"/>
                      <w:color w:val="auto"/>
                      <w:spacing w:val="5"/>
                      <w:kern w:val="0"/>
                      <w:lang w:val="en-US" w:eastAsia="zh-CN"/>
                    </w:rPr>
                    <w:t>、透明底漆与固化剂、稀释剂调配比例为1:0.</w:t>
                  </w:r>
                  <w:r>
                    <w:rPr>
                      <w:rFonts w:hint="eastAsia" w:cs="Times New Roman"/>
                      <w:color w:val="auto"/>
                      <w:spacing w:val="5"/>
                      <w:kern w:val="0"/>
                      <w:lang w:val="en-US" w:eastAsia="zh-CN"/>
                    </w:rPr>
                    <w:t>5</w:t>
                  </w:r>
                  <w:r>
                    <w:rPr>
                      <w:rFonts w:hint="default" w:ascii="Times New Roman" w:hAnsi="Times New Roman" w:cs="Times New Roman"/>
                      <w:color w:val="auto"/>
                      <w:spacing w:val="5"/>
                      <w:kern w:val="0"/>
                      <w:lang w:val="en-US" w:eastAsia="zh-CN"/>
                    </w:rPr>
                    <w:t>:0.</w:t>
                  </w:r>
                  <w:r>
                    <w:rPr>
                      <w:rFonts w:hint="eastAsia" w:cs="Times New Roman"/>
                      <w:color w:val="auto"/>
                      <w:spacing w:val="5"/>
                      <w:kern w:val="0"/>
                      <w:lang w:val="en-US" w:eastAsia="zh-CN"/>
                    </w:rPr>
                    <w:t>1</w:t>
                  </w:r>
                  <w:r>
                    <w:rPr>
                      <w:rFonts w:hint="default" w:ascii="Times New Roman" w:hAnsi="Times New Roman" w:cs="Times New Roman"/>
                      <w:color w:val="auto"/>
                      <w:spacing w:val="5"/>
                      <w:kern w:val="0"/>
                      <w:lang w:val="en-US" w:eastAsia="zh-CN"/>
                    </w:rPr>
                    <w:t>，此处挥发性有机物含量为添加固化剂、稀释剂后的挥发量。</w:t>
                  </w:r>
                </w:p>
              </w:tc>
            </w:tr>
          </w:tbl>
          <w:p w14:paraId="366296CE">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eastAsia="宋体" w:cs="宋体"/>
                <w:b w:val="0"/>
                <w:bCs w:val="0"/>
                <w:color w:val="auto"/>
                <w:lang w:val="en-US" w:eastAsia="zh-CN"/>
              </w:rPr>
            </w:pPr>
            <w:r>
              <w:rPr>
                <w:rFonts w:hint="eastAsia" w:cs="宋体"/>
                <w:b w:val="0"/>
                <w:bCs w:val="0"/>
                <w:color w:val="auto"/>
                <w:lang w:val="en-US" w:eastAsia="zh-CN"/>
              </w:rPr>
              <w:t>根据</w:t>
            </w:r>
            <w:r>
              <w:rPr>
                <w:rFonts w:hint="eastAsia" w:cs="宋体"/>
                <w:color w:val="auto"/>
              </w:rPr>
              <w:t>《低挥发性有机化合物含量涂料产品技术要求》（GB/T 38597-2020）：</w:t>
            </w:r>
          </w:p>
          <w:p w14:paraId="3B662C4F">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default" w:eastAsia="宋体" w:cs="宋体"/>
                <w:b w:val="0"/>
                <w:bCs w:val="0"/>
                <w:color w:val="auto"/>
                <w:lang w:val="en-US" w:eastAsia="zh-CN"/>
              </w:rPr>
            </w:pPr>
            <w:r>
              <w:rPr>
                <w:rFonts w:hint="eastAsia" w:cs="宋体"/>
                <w:b w:val="0"/>
                <w:bCs w:val="0"/>
                <w:color w:val="auto"/>
                <w:lang w:eastAsia="zh-CN"/>
              </w:rPr>
              <w:t>“</w:t>
            </w:r>
            <w:r>
              <w:rPr>
                <w:rFonts w:hint="eastAsia" w:cs="宋体"/>
                <w:b w:val="0"/>
                <w:bCs w:val="0"/>
                <w:color w:val="auto"/>
                <w:lang w:val="en-US" w:eastAsia="zh-CN"/>
              </w:rPr>
              <w:t>表1 水性涂料中VOC含量的要求</w:t>
            </w:r>
            <w:r>
              <w:rPr>
                <w:rFonts w:hint="eastAsia" w:cs="宋体"/>
                <w:b w:val="0"/>
                <w:bCs w:val="0"/>
                <w:color w:val="auto"/>
                <w:lang w:eastAsia="zh-CN"/>
              </w:rPr>
              <w:t>”</w:t>
            </w:r>
            <w:r>
              <w:rPr>
                <w:rFonts w:hint="eastAsia" w:cs="宋体"/>
                <w:b w:val="0"/>
                <w:bCs w:val="0"/>
                <w:color w:val="auto"/>
                <w:lang w:val="en-US" w:eastAsia="zh-CN"/>
              </w:rPr>
              <w:t>中“木器涂料”（</w:t>
            </w:r>
            <w:r>
              <w:rPr>
                <w:rFonts w:hint="default" w:ascii="Times New Roman" w:hAnsi="Times New Roman" w:cs="Times New Roman"/>
                <w:b w:val="0"/>
                <w:bCs w:val="0"/>
                <w:color w:val="auto"/>
                <w:lang w:val="en-US" w:eastAsia="zh-CN"/>
              </w:rPr>
              <w:t>色漆≤2</w:t>
            </w:r>
            <w:r>
              <w:rPr>
                <w:rFonts w:hint="eastAsia" w:cs="Times New Roman"/>
                <w:b w:val="0"/>
                <w:bCs w:val="0"/>
                <w:color w:val="auto"/>
                <w:lang w:val="en-US" w:eastAsia="zh-CN"/>
              </w:rPr>
              <w:t>2</w:t>
            </w:r>
            <w:r>
              <w:rPr>
                <w:rFonts w:hint="default" w:ascii="Times New Roman" w:hAnsi="Times New Roman" w:cs="Times New Roman"/>
                <w:b w:val="0"/>
                <w:bCs w:val="0"/>
                <w:color w:val="auto"/>
                <w:lang w:val="en-US" w:eastAsia="zh-CN"/>
              </w:rPr>
              <w:t>0g/L，清漆≤</w:t>
            </w:r>
            <w:r>
              <w:rPr>
                <w:rFonts w:hint="eastAsia" w:cs="Times New Roman"/>
                <w:b w:val="0"/>
                <w:bCs w:val="0"/>
                <w:color w:val="auto"/>
                <w:lang w:val="en-US" w:eastAsia="zh-CN"/>
              </w:rPr>
              <w:t>27</w:t>
            </w:r>
            <w:r>
              <w:rPr>
                <w:rFonts w:hint="default" w:ascii="Times New Roman" w:hAnsi="Times New Roman" w:cs="Times New Roman"/>
                <w:b w:val="0"/>
                <w:bCs w:val="0"/>
                <w:color w:val="auto"/>
                <w:lang w:val="en-US" w:eastAsia="zh-CN"/>
              </w:rPr>
              <w:t>0g/L</w:t>
            </w:r>
            <w:r>
              <w:rPr>
                <w:rFonts w:hint="eastAsia" w:cs="宋体"/>
                <w:b w:val="0"/>
                <w:bCs w:val="0"/>
                <w:color w:val="auto"/>
                <w:lang w:val="en-US" w:eastAsia="zh-CN"/>
              </w:rPr>
              <w:t>）。本项目</w:t>
            </w:r>
            <w:r>
              <w:rPr>
                <w:rFonts w:hint="eastAsia" w:cs="宋体"/>
                <w:color w:val="auto"/>
              </w:rPr>
              <w:t>水性涂料均低于相关限值</w:t>
            </w:r>
            <w:r>
              <w:rPr>
                <w:rFonts w:hint="eastAsia" w:cs="宋体"/>
                <w:color w:val="auto"/>
                <w:lang w:eastAsia="zh-CN"/>
              </w:rPr>
              <w:t>，</w:t>
            </w:r>
            <w:r>
              <w:rPr>
                <w:rFonts w:hint="eastAsia" w:cs="宋体"/>
                <w:color w:val="auto"/>
                <w:lang w:val="en-US" w:eastAsia="zh-CN"/>
              </w:rPr>
              <w:t>因此属于低挥发性有机化合物含量涂料。</w:t>
            </w:r>
          </w:p>
          <w:p w14:paraId="57E0F44E">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default" w:cs="宋体"/>
                <w:b w:val="0"/>
                <w:bCs w:val="0"/>
                <w:color w:val="auto"/>
                <w:lang w:val="en-US"/>
              </w:rPr>
            </w:pPr>
            <w:r>
              <w:rPr>
                <w:rFonts w:hint="eastAsia" w:cs="宋体"/>
                <w:b w:val="0"/>
                <w:bCs w:val="0"/>
                <w:color w:val="auto"/>
                <w:lang w:eastAsia="zh-CN"/>
              </w:rPr>
              <w:t>“</w:t>
            </w:r>
            <w:r>
              <w:rPr>
                <w:rFonts w:hint="eastAsia" w:cs="宋体"/>
                <w:b w:val="0"/>
                <w:bCs w:val="0"/>
                <w:color w:val="auto"/>
                <w:lang w:val="en-US" w:eastAsia="zh-CN"/>
              </w:rPr>
              <w:t>表2 溶剂型涂料中VOC含量的要求</w:t>
            </w:r>
            <w:r>
              <w:rPr>
                <w:rFonts w:hint="eastAsia" w:cs="宋体"/>
                <w:b w:val="0"/>
                <w:bCs w:val="0"/>
                <w:color w:val="auto"/>
                <w:lang w:eastAsia="zh-CN"/>
              </w:rPr>
              <w:t>”</w:t>
            </w:r>
            <w:r>
              <w:rPr>
                <w:rFonts w:hint="eastAsia" w:cs="宋体"/>
                <w:b w:val="0"/>
                <w:bCs w:val="0"/>
                <w:color w:val="auto"/>
                <w:lang w:val="en-US" w:eastAsia="zh-CN"/>
              </w:rPr>
              <w:t>中“木器涂料（限工厂化涂装用）”（</w:t>
            </w:r>
            <w:r>
              <w:rPr>
                <w:rFonts w:hint="default" w:ascii="Times New Roman" w:hAnsi="Times New Roman" w:cs="Times New Roman"/>
                <w:color w:val="auto"/>
                <w:spacing w:val="5"/>
                <w:kern w:val="0"/>
                <w:lang w:val="en-US" w:eastAsia="zh-CN"/>
              </w:rPr>
              <w:t>≤</w:t>
            </w:r>
            <w:r>
              <w:rPr>
                <w:rFonts w:hint="eastAsia" w:cs="Times New Roman"/>
                <w:color w:val="auto"/>
                <w:spacing w:val="5"/>
                <w:kern w:val="0"/>
                <w:lang w:val="en-US" w:eastAsia="zh-CN"/>
              </w:rPr>
              <w:t>42</w:t>
            </w:r>
            <w:r>
              <w:rPr>
                <w:rFonts w:hint="default" w:ascii="Times New Roman" w:hAnsi="Times New Roman" w:cs="Times New Roman"/>
                <w:color w:val="auto"/>
                <w:spacing w:val="5"/>
                <w:kern w:val="0"/>
                <w:lang w:val="en-US" w:eastAsia="zh-CN"/>
              </w:rPr>
              <w:t>0</w:t>
            </w:r>
            <w:r>
              <w:rPr>
                <w:rFonts w:hint="eastAsia" w:cs="Times New Roman"/>
                <w:color w:val="auto"/>
                <w:spacing w:val="5"/>
                <w:kern w:val="0"/>
                <w:lang w:val="en-US" w:eastAsia="zh-CN"/>
              </w:rPr>
              <w:t>g/L</w:t>
            </w:r>
            <w:r>
              <w:rPr>
                <w:rFonts w:hint="eastAsia" w:cs="宋体"/>
                <w:b w:val="0"/>
                <w:bCs w:val="0"/>
                <w:color w:val="auto"/>
                <w:lang w:val="en-US" w:eastAsia="zh-CN"/>
              </w:rPr>
              <w:t>）。本项目溶剂型涂料添加固化剂、稀释剂后均低于相关限值，因此属于</w:t>
            </w:r>
            <w:r>
              <w:rPr>
                <w:rFonts w:hint="eastAsia" w:cs="宋体"/>
                <w:color w:val="auto"/>
                <w:lang w:val="en-US" w:eastAsia="zh-CN"/>
              </w:rPr>
              <w:t>低挥发性有机化合物含量涂料。</w:t>
            </w:r>
          </w:p>
          <w:p w14:paraId="1B5249D4">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default" w:eastAsia="宋体" w:cs="宋体"/>
                <w:b w:val="0"/>
                <w:bCs w:val="0"/>
                <w:color w:val="auto"/>
                <w:lang w:val="en-US" w:eastAsia="zh-CN"/>
              </w:rPr>
            </w:pPr>
            <w:r>
              <w:rPr>
                <w:rFonts w:hint="eastAsia" w:cs="宋体"/>
                <w:color w:val="auto"/>
              </w:rPr>
              <w:t>综上可得，本项目所使用的涂料均为低挥发性有机化合物涂料，满足环保管理及相关技术要求。故项目拟选用涂料类型合理可行。</w:t>
            </w:r>
          </w:p>
          <w:p w14:paraId="1FB9C58D">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jc w:val="both"/>
              <w:textAlignment w:val="auto"/>
              <w:rPr>
                <w:rFonts w:hint="default" w:eastAsia="宋体" w:cs="宋体"/>
                <w:b/>
                <w:bCs/>
                <w:color w:val="auto"/>
                <w:lang w:val="en-US" w:eastAsia="zh-CN"/>
              </w:rPr>
            </w:pPr>
            <w:r>
              <w:rPr>
                <w:rFonts w:hint="eastAsia" w:cs="宋体"/>
                <w:b/>
                <w:bCs/>
                <w:color w:val="auto"/>
                <w:lang w:val="en-US" w:eastAsia="zh-CN"/>
              </w:rPr>
              <w:t>②溶剂型涂料不可替代性说明：</w:t>
            </w:r>
          </w:p>
          <w:p w14:paraId="446D96D1">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cs="宋体"/>
                <w:b w:val="0"/>
                <w:bCs w:val="0"/>
                <w:color w:val="auto"/>
                <w:lang w:val="en-US" w:eastAsia="zh-CN"/>
              </w:rPr>
            </w:pPr>
            <w:r>
              <w:rPr>
                <w:rFonts w:hint="eastAsia" w:cs="宋体"/>
                <w:b w:val="0"/>
                <w:bCs w:val="0"/>
                <w:color w:val="auto"/>
                <w:lang w:val="en-US" w:eastAsia="zh-CN"/>
              </w:rPr>
              <w:t>本项目年产办公家具20000套、民用家具8000套：</w:t>
            </w:r>
          </w:p>
          <w:p w14:paraId="1D36FBBE">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default" w:cs="宋体"/>
                <w:b w:val="0"/>
                <w:bCs w:val="0"/>
                <w:color w:val="auto"/>
                <w:lang w:val="en-US" w:eastAsia="zh-CN"/>
              </w:rPr>
            </w:pPr>
            <w:r>
              <w:rPr>
                <w:rFonts w:hint="eastAsia"/>
                <w:color w:val="auto"/>
                <w:lang w:val="en-US" w:eastAsia="zh-CN"/>
              </w:rPr>
              <w:t>由于部分产品销售于成都、四川等较潮湿的地区，现有的水性涂料容易在使用过程中因为轻度摩擦，易留下痕迹，在短期内就会出现划痕、光泽不均匀，无法持续对家具起到保护作用。因此本项目拟将少量的水性漆采用油性漆替换，本项目目前已取得油漆不可替代论证，详见附件。</w:t>
            </w:r>
          </w:p>
          <w:p w14:paraId="4E357630">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jc w:val="both"/>
              <w:textAlignment w:val="auto"/>
              <w:rPr>
                <w:rFonts w:hint="default" w:eastAsia="宋体" w:cs="宋体"/>
                <w:b/>
                <w:bCs/>
                <w:color w:val="auto"/>
                <w:lang w:val="en-US" w:eastAsia="zh-CN"/>
              </w:rPr>
            </w:pPr>
            <w:r>
              <w:rPr>
                <w:rFonts w:hint="eastAsia" w:cs="宋体"/>
                <w:b/>
                <w:bCs/>
                <w:color w:val="auto"/>
                <w:lang w:val="en-US" w:eastAsia="zh-CN"/>
              </w:rPr>
              <w:t>③涂料用量合理性说明：</w:t>
            </w:r>
          </w:p>
          <w:p w14:paraId="21A24BA5">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rPr>
              <w:t>项目</w:t>
            </w:r>
            <w:r>
              <w:rPr>
                <w:rFonts w:hint="eastAsia" w:ascii="Times New Roman" w:hAnsi="Times New Roman" w:cs="Times New Roman"/>
                <w:color w:val="auto"/>
                <w:kern w:val="0"/>
                <w:sz w:val="21"/>
                <w:szCs w:val="21"/>
                <w:highlight w:val="none"/>
                <w:lang w:val="en-US" w:eastAsia="zh-CN"/>
              </w:rPr>
              <w:t>水性漆</w:t>
            </w:r>
            <w:r>
              <w:rPr>
                <w:rFonts w:hint="eastAsia" w:cs="Times New Roman"/>
                <w:color w:val="auto"/>
                <w:kern w:val="0"/>
                <w:sz w:val="21"/>
                <w:szCs w:val="21"/>
                <w:highlight w:val="none"/>
                <w:lang w:val="en-US" w:eastAsia="zh-CN"/>
              </w:rPr>
              <w:t>喷漆</w:t>
            </w:r>
            <w:r>
              <w:rPr>
                <w:rFonts w:hint="default" w:ascii="Times New Roman" w:hAnsi="Times New Roman" w:cs="Times New Roman"/>
                <w:color w:val="auto"/>
                <w:kern w:val="0"/>
                <w:sz w:val="21"/>
                <w:szCs w:val="21"/>
                <w:highlight w:val="none"/>
              </w:rPr>
              <w:t>面积</w:t>
            </w:r>
            <w:r>
              <w:rPr>
                <w:rFonts w:hint="eastAsia" w:ascii="Times New Roman" w:hAnsi="Times New Roman" w:cs="Times New Roman"/>
                <w:color w:val="auto"/>
                <w:kern w:val="0"/>
                <w:sz w:val="21"/>
                <w:szCs w:val="21"/>
                <w:highlight w:val="none"/>
                <w:lang w:val="en-US" w:eastAsia="zh-CN"/>
              </w:rPr>
              <w:t>约</w:t>
            </w:r>
            <w:r>
              <w:rPr>
                <w:rFonts w:hint="default" w:ascii="Times New Roman" w:hAnsi="Times New Roman" w:cs="Times New Roman"/>
                <w:color w:val="auto"/>
                <w:kern w:val="0"/>
                <w:sz w:val="21"/>
                <w:szCs w:val="21"/>
                <w:highlight w:val="none"/>
              </w:rPr>
              <w:t>为</w:t>
            </w:r>
            <w:r>
              <w:rPr>
                <w:rFonts w:hint="eastAsia" w:cs="Times New Roman"/>
                <w:color w:val="auto"/>
                <w:kern w:val="0"/>
                <w:sz w:val="21"/>
                <w:szCs w:val="21"/>
                <w:highlight w:val="none"/>
                <w:lang w:val="en-US" w:eastAsia="zh-CN"/>
              </w:rPr>
              <w:t>6000</w:t>
            </w:r>
            <w:r>
              <w:rPr>
                <w:rFonts w:hint="default" w:ascii="Times New Roman" w:hAnsi="Times New Roman" w:cs="Times New Roman"/>
                <w:color w:val="auto"/>
                <w:kern w:val="0"/>
                <w:sz w:val="21"/>
                <w:szCs w:val="21"/>
                <w:highlight w:val="none"/>
              </w:rPr>
              <w:t>m</w:t>
            </w:r>
            <w:r>
              <w:rPr>
                <w:rFonts w:hint="default" w:ascii="Times New Roman" w:hAnsi="Times New Roman" w:cs="Times New Roman"/>
                <w:color w:val="auto"/>
                <w:kern w:val="0"/>
                <w:sz w:val="21"/>
                <w:szCs w:val="21"/>
                <w:highlight w:val="none"/>
                <w:vertAlign w:val="superscript"/>
              </w:rPr>
              <w:t>2</w:t>
            </w: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水性</w:t>
            </w:r>
            <w:r>
              <w:rPr>
                <w:rFonts w:hint="default" w:ascii="Times New Roman" w:hAnsi="Times New Roman" w:cs="Times New Roman"/>
                <w:color w:val="auto"/>
                <w:kern w:val="0"/>
                <w:sz w:val="21"/>
                <w:szCs w:val="21"/>
                <w:highlight w:val="none"/>
              </w:rPr>
              <w:t>漆膜厚度约为</w:t>
            </w:r>
            <w:r>
              <w:rPr>
                <w:rFonts w:hint="eastAsia" w:cs="Times New Roman"/>
                <w:color w:val="auto"/>
                <w:kern w:val="0"/>
                <w:sz w:val="21"/>
                <w:szCs w:val="21"/>
                <w:highlight w:val="none"/>
                <w:lang w:val="en-US" w:eastAsia="zh-CN"/>
              </w:rPr>
              <w:t>60</w:t>
            </w:r>
            <w:r>
              <w:rPr>
                <w:rFonts w:hint="default" w:ascii="Times New Roman" w:hAnsi="Times New Roman" w:cs="Times New Roman"/>
                <w:color w:val="auto"/>
                <w:kern w:val="0"/>
                <w:sz w:val="21"/>
                <w:szCs w:val="21"/>
                <w:highlight w:val="none"/>
              </w:rPr>
              <w:t>μm</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则</w:t>
            </w:r>
            <w:r>
              <w:rPr>
                <w:rFonts w:hint="eastAsia" w:cs="Times New Roman"/>
                <w:color w:val="auto"/>
                <w:kern w:val="0"/>
                <w:sz w:val="21"/>
                <w:szCs w:val="21"/>
                <w:highlight w:val="none"/>
                <w:lang w:val="en-US" w:eastAsia="zh-CN"/>
              </w:rPr>
              <w:t>水性漆</w:t>
            </w:r>
            <w:r>
              <w:rPr>
                <w:rFonts w:hint="default" w:ascii="Times New Roman" w:hAnsi="Times New Roman" w:cs="Times New Roman"/>
                <w:color w:val="auto"/>
                <w:kern w:val="0"/>
                <w:sz w:val="21"/>
                <w:szCs w:val="21"/>
                <w:highlight w:val="none"/>
              </w:rPr>
              <w:t>总体积为</w:t>
            </w:r>
            <w:r>
              <w:rPr>
                <w:rFonts w:hint="eastAsia" w:cs="Times New Roman"/>
                <w:color w:val="auto"/>
                <w:kern w:val="0"/>
                <w:sz w:val="21"/>
                <w:szCs w:val="21"/>
                <w:highlight w:val="none"/>
                <w:lang w:val="en-US" w:eastAsia="zh-CN"/>
              </w:rPr>
              <w:t>0.36</w:t>
            </w:r>
            <w:r>
              <w:rPr>
                <w:rFonts w:hint="default" w:ascii="Times New Roman" w:hAnsi="Times New Roman" w:cs="Times New Roman"/>
                <w:color w:val="auto"/>
                <w:kern w:val="0"/>
                <w:sz w:val="21"/>
                <w:szCs w:val="21"/>
                <w:highlight w:val="none"/>
              </w:rPr>
              <w:t>m</w:t>
            </w:r>
            <w:r>
              <w:rPr>
                <w:rFonts w:hint="default" w:ascii="Times New Roman" w:hAnsi="Times New Roman" w:cs="Times New Roman"/>
                <w:color w:val="auto"/>
                <w:kern w:val="0"/>
                <w:sz w:val="21"/>
                <w:szCs w:val="21"/>
                <w:highlight w:val="none"/>
                <w:vertAlign w:val="superscript"/>
              </w:rPr>
              <w:t>3</w:t>
            </w: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水性漆</w:t>
            </w:r>
            <w:r>
              <w:rPr>
                <w:rFonts w:hint="default" w:ascii="Times New Roman" w:hAnsi="Times New Roman" w:cs="Times New Roman"/>
                <w:color w:val="auto"/>
                <w:kern w:val="0"/>
                <w:sz w:val="21"/>
                <w:szCs w:val="21"/>
                <w:highlight w:val="none"/>
              </w:rPr>
              <w:t>密度为1.</w:t>
            </w:r>
            <w:r>
              <w:rPr>
                <w:rFonts w:hint="eastAsia" w:cs="Times New Roman"/>
                <w:color w:val="auto"/>
                <w:kern w:val="0"/>
                <w:sz w:val="21"/>
                <w:szCs w:val="21"/>
                <w:highlight w:val="none"/>
                <w:lang w:val="en-US" w:eastAsia="zh-CN"/>
              </w:rPr>
              <w:t>35</w:t>
            </w:r>
            <w:r>
              <w:rPr>
                <w:rFonts w:hint="default" w:ascii="Times New Roman" w:hAnsi="Times New Roman" w:cs="Times New Roman"/>
                <w:color w:val="auto"/>
                <w:kern w:val="0"/>
                <w:sz w:val="21"/>
                <w:szCs w:val="21"/>
                <w:highlight w:val="none"/>
              </w:rPr>
              <w:t>g/cm</w:t>
            </w:r>
            <w:r>
              <w:rPr>
                <w:rFonts w:hint="default" w:ascii="Times New Roman" w:hAnsi="Times New Roman" w:cs="Times New Roman"/>
                <w:color w:val="auto"/>
                <w:kern w:val="0"/>
                <w:sz w:val="21"/>
                <w:szCs w:val="21"/>
                <w:highlight w:val="none"/>
                <w:vertAlign w:val="superscript"/>
              </w:rPr>
              <w:t>3</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固含量为</w:t>
            </w:r>
            <w:r>
              <w:rPr>
                <w:rFonts w:hint="eastAsia" w:cs="Times New Roman"/>
                <w:color w:val="auto"/>
                <w:kern w:val="0"/>
                <w:sz w:val="21"/>
                <w:szCs w:val="21"/>
                <w:highlight w:val="none"/>
                <w:lang w:val="en-US" w:eastAsia="zh-CN"/>
              </w:rPr>
              <w:t>54</w:t>
            </w:r>
            <w:r>
              <w:rPr>
                <w:rFonts w:hint="default" w:ascii="Times New Roman" w:hAnsi="Times New Roman" w:cs="Times New Roman"/>
                <w:color w:val="auto"/>
                <w:kern w:val="0"/>
                <w:sz w:val="21"/>
                <w:szCs w:val="21"/>
                <w:highlight w:val="none"/>
              </w:rPr>
              <w:t>%</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则项目</w:t>
            </w:r>
            <w:r>
              <w:rPr>
                <w:rFonts w:hint="eastAsia" w:cs="Times New Roman"/>
                <w:color w:val="auto"/>
                <w:kern w:val="0"/>
                <w:sz w:val="21"/>
                <w:szCs w:val="21"/>
                <w:highlight w:val="none"/>
                <w:lang w:val="en-US" w:eastAsia="zh-CN"/>
              </w:rPr>
              <w:t>水性漆</w:t>
            </w:r>
            <w:r>
              <w:rPr>
                <w:rFonts w:hint="default" w:ascii="Times New Roman" w:hAnsi="Times New Roman" w:cs="Times New Roman"/>
                <w:color w:val="auto"/>
                <w:kern w:val="0"/>
                <w:sz w:val="21"/>
                <w:szCs w:val="21"/>
                <w:highlight w:val="none"/>
              </w:rPr>
              <w:t>年用量约为</w:t>
            </w:r>
            <w:r>
              <w:rPr>
                <w:rFonts w:hint="eastAsia" w:cs="Times New Roman"/>
                <w:color w:val="auto"/>
                <w:kern w:val="0"/>
                <w:sz w:val="21"/>
                <w:szCs w:val="21"/>
                <w:highlight w:val="none"/>
                <w:lang w:val="en-US" w:eastAsia="zh-CN"/>
              </w:rPr>
              <w:t>1.2</w:t>
            </w:r>
            <w:r>
              <w:rPr>
                <w:rFonts w:hint="default" w:ascii="Times New Roman" w:hAnsi="Times New Roman" w:cs="Times New Roman"/>
                <w:color w:val="auto"/>
                <w:kern w:val="0"/>
                <w:sz w:val="21"/>
                <w:szCs w:val="21"/>
                <w:highlight w:val="none"/>
              </w:rPr>
              <w:t>t</w:t>
            </w:r>
            <w:r>
              <w:rPr>
                <w:rFonts w:hint="eastAsia" w:cs="Times New Roman"/>
                <w:color w:val="auto"/>
                <w:kern w:val="0"/>
                <w:sz w:val="21"/>
                <w:szCs w:val="21"/>
                <w:highlight w:val="none"/>
                <w:lang w:val="en-US" w:eastAsia="zh-CN"/>
              </w:rPr>
              <w:t>/a</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用量与</w:t>
            </w:r>
            <w:r>
              <w:rPr>
                <w:rFonts w:hint="eastAsia" w:ascii="Times New Roman" w:hAnsi="Times New Roman" w:cs="Times New Roman"/>
                <w:color w:val="auto"/>
                <w:kern w:val="0"/>
                <w:sz w:val="21"/>
                <w:szCs w:val="21"/>
                <w:highlight w:val="none"/>
                <w:lang w:val="en-US" w:eastAsia="zh-CN"/>
              </w:rPr>
              <w:t>设计</w:t>
            </w:r>
            <w:r>
              <w:rPr>
                <w:rFonts w:hint="default" w:ascii="Times New Roman" w:hAnsi="Times New Roman" w:cs="Times New Roman"/>
                <w:color w:val="auto"/>
                <w:kern w:val="0"/>
                <w:sz w:val="21"/>
                <w:szCs w:val="21"/>
                <w:highlight w:val="none"/>
              </w:rPr>
              <w:t>用量基本相同。</w:t>
            </w:r>
          </w:p>
          <w:p w14:paraId="42549F18">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default" w:ascii="Times New Roman" w:hAnsi="Times New Roman" w:cs="Times New Roman"/>
                <w:color w:val="auto"/>
                <w:kern w:val="0"/>
                <w:sz w:val="21"/>
                <w:szCs w:val="21"/>
                <w:highlight w:val="none"/>
              </w:rPr>
            </w:pPr>
            <w:r>
              <w:rPr>
                <w:rFonts w:hint="eastAsia" w:cs="Times New Roman"/>
                <w:color w:val="auto"/>
                <w:kern w:val="0"/>
                <w:sz w:val="21"/>
                <w:szCs w:val="21"/>
                <w:highlight w:val="none"/>
                <w:lang w:val="en-US" w:eastAsia="zh-CN"/>
              </w:rPr>
              <w:t>清面漆</w:t>
            </w:r>
            <w:r>
              <w:rPr>
                <w:rFonts w:hint="eastAsia" w:ascii="Times New Roman" w:hAnsi="Times New Roman" w:cs="Times New Roman"/>
                <w:color w:val="auto"/>
                <w:kern w:val="0"/>
                <w:sz w:val="21"/>
                <w:szCs w:val="21"/>
                <w:highlight w:val="none"/>
                <w:lang w:val="en-US" w:eastAsia="zh-CN"/>
              </w:rPr>
              <w:t>喷漆面积约为</w:t>
            </w:r>
            <w:r>
              <w:rPr>
                <w:rFonts w:hint="eastAsia" w:cs="Times New Roman"/>
                <w:color w:val="auto"/>
                <w:kern w:val="0"/>
                <w:sz w:val="21"/>
                <w:szCs w:val="21"/>
                <w:highlight w:val="none"/>
                <w:lang w:val="en-US" w:eastAsia="zh-CN"/>
              </w:rPr>
              <w:t>1500</w:t>
            </w:r>
            <w:r>
              <w:rPr>
                <w:rFonts w:hint="default" w:ascii="Times New Roman" w:hAnsi="Times New Roman" w:cs="Times New Roman"/>
                <w:color w:val="auto"/>
                <w:kern w:val="0"/>
                <w:sz w:val="21"/>
                <w:szCs w:val="21"/>
                <w:highlight w:val="none"/>
              </w:rPr>
              <w:t>m</w:t>
            </w:r>
            <w:r>
              <w:rPr>
                <w:rFonts w:hint="default" w:ascii="Times New Roman" w:hAnsi="Times New Roman" w:cs="Times New Roman"/>
                <w:color w:val="auto"/>
                <w:kern w:val="0"/>
                <w:sz w:val="21"/>
                <w:szCs w:val="21"/>
                <w:highlight w:val="none"/>
                <w:vertAlign w:val="superscript"/>
              </w:rPr>
              <w:t>2</w:t>
            </w:r>
            <w:r>
              <w:rPr>
                <w:rFonts w:hint="default" w:ascii="Times New Roman" w:hAnsi="Times New Roman" w:cs="Times New Roman"/>
                <w:color w:val="auto"/>
                <w:kern w:val="0"/>
                <w:sz w:val="21"/>
                <w:szCs w:val="21"/>
                <w:highlight w:val="none"/>
              </w:rPr>
              <w:t>，</w:t>
            </w:r>
            <w:r>
              <w:rPr>
                <w:rFonts w:hint="eastAsia" w:cs="Times New Roman"/>
                <w:color w:val="auto"/>
                <w:kern w:val="0"/>
                <w:sz w:val="21"/>
                <w:szCs w:val="21"/>
                <w:highlight w:val="none"/>
                <w:lang w:val="en-US" w:eastAsia="zh-CN"/>
              </w:rPr>
              <w:t>漆膜厚度约为70</w:t>
            </w:r>
            <w:r>
              <w:rPr>
                <w:rFonts w:hint="default" w:ascii="Times New Roman" w:hAnsi="Times New Roman" w:cs="Times New Roman"/>
                <w:color w:val="auto"/>
                <w:kern w:val="0"/>
                <w:sz w:val="21"/>
                <w:szCs w:val="21"/>
                <w:highlight w:val="none"/>
              </w:rPr>
              <w:t>μm，</w:t>
            </w:r>
            <w:r>
              <w:rPr>
                <w:rFonts w:hint="eastAsia" w:cs="Times New Roman"/>
                <w:color w:val="auto"/>
                <w:kern w:val="0"/>
                <w:sz w:val="21"/>
                <w:szCs w:val="21"/>
                <w:highlight w:val="none"/>
                <w:lang w:val="en-US" w:eastAsia="zh-CN"/>
              </w:rPr>
              <w:t>清面漆总体积为</w:t>
            </w:r>
            <w:r>
              <w:rPr>
                <w:rFonts w:hint="eastAsia" w:ascii="Times New Roman" w:hAnsi="Times New Roman" w:cs="Times New Roman"/>
                <w:color w:val="auto"/>
                <w:kern w:val="0"/>
                <w:sz w:val="21"/>
                <w:szCs w:val="21"/>
                <w:highlight w:val="none"/>
                <w:lang w:val="en-US" w:eastAsia="zh-CN"/>
              </w:rPr>
              <w:t>0.</w:t>
            </w:r>
            <w:r>
              <w:rPr>
                <w:rFonts w:hint="eastAsia" w:cs="Times New Roman"/>
                <w:color w:val="auto"/>
                <w:kern w:val="0"/>
                <w:sz w:val="21"/>
                <w:szCs w:val="21"/>
                <w:highlight w:val="none"/>
                <w:lang w:val="en-US" w:eastAsia="zh-CN"/>
              </w:rPr>
              <w:t>105</w:t>
            </w:r>
            <w:r>
              <w:rPr>
                <w:rFonts w:hint="default" w:ascii="Times New Roman" w:hAnsi="Times New Roman" w:cs="Times New Roman"/>
                <w:color w:val="auto"/>
                <w:kern w:val="0"/>
                <w:sz w:val="21"/>
                <w:szCs w:val="21"/>
                <w:highlight w:val="none"/>
              </w:rPr>
              <w:t>m</w:t>
            </w:r>
            <w:r>
              <w:rPr>
                <w:rFonts w:hint="default" w:ascii="Times New Roman" w:hAnsi="Times New Roman" w:cs="Times New Roman"/>
                <w:color w:val="auto"/>
                <w:kern w:val="0"/>
                <w:sz w:val="21"/>
                <w:szCs w:val="21"/>
                <w:highlight w:val="none"/>
                <w:vertAlign w:val="superscript"/>
              </w:rPr>
              <w:t>3</w:t>
            </w: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密度约为0.94</w:t>
            </w:r>
            <w:r>
              <w:rPr>
                <w:rFonts w:hint="default" w:ascii="Times New Roman" w:hAnsi="Times New Roman" w:cs="Times New Roman"/>
                <w:color w:val="auto"/>
                <w:kern w:val="0"/>
                <w:sz w:val="21"/>
                <w:szCs w:val="21"/>
                <w:highlight w:val="none"/>
              </w:rPr>
              <w:t>g/cm</w:t>
            </w:r>
            <w:r>
              <w:rPr>
                <w:rFonts w:hint="default" w:ascii="Times New Roman" w:hAnsi="Times New Roman" w:cs="Times New Roman"/>
                <w:color w:val="auto"/>
                <w:kern w:val="0"/>
                <w:sz w:val="21"/>
                <w:szCs w:val="21"/>
                <w:highlight w:val="none"/>
                <w:vertAlign w:val="superscript"/>
              </w:rPr>
              <w:t>3</w:t>
            </w:r>
            <w:r>
              <w:rPr>
                <w:rFonts w:hint="eastAsia" w:cs="Times New Roman"/>
                <w:color w:val="auto"/>
                <w:kern w:val="0"/>
                <w:sz w:val="21"/>
                <w:szCs w:val="21"/>
                <w:highlight w:val="none"/>
                <w:lang w:val="en-US" w:eastAsia="zh-CN"/>
              </w:rPr>
              <w:t>，固含量为30.3%</w:t>
            </w:r>
            <w:r>
              <w:rPr>
                <w:rFonts w:hint="default" w:ascii="Times New Roman" w:hAnsi="Times New Roman" w:cs="Times New Roman"/>
                <w:color w:val="auto"/>
                <w:kern w:val="0"/>
                <w:sz w:val="21"/>
                <w:szCs w:val="21"/>
                <w:highlight w:val="none"/>
              </w:rPr>
              <w:t>，</w:t>
            </w:r>
            <w:r>
              <w:rPr>
                <w:rFonts w:hint="eastAsia" w:ascii="Times New Roman" w:hAnsi="Times New Roman" w:cs="Times New Roman"/>
                <w:color w:val="auto"/>
                <w:kern w:val="0"/>
                <w:sz w:val="21"/>
                <w:szCs w:val="21"/>
                <w:highlight w:val="none"/>
                <w:lang w:val="en-US" w:eastAsia="zh-CN"/>
              </w:rPr>
              <w:t>上漆率为75%，</w:t>
            </w:r>
            <w:r>
              <w:rPr>
                <w:rFonts w:hint="eastAsia" w:cs="Times New Roman"/>
                <w:color w:val="auto"/>
                <w:kern w:val="0"/>
                <w:sz w:val="21"/>
                <w:szCs w:val="21"/>
                <w:highlight w:val="none"/>
                <w:lang w:val="en-US" w:eastAsia="zh-CN"/>
              </w:rPr>
              <w:t>清面漆年用量约为0.434t/a</w:t>
            </w: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白面漆</w:t>
            </w:r>
            <w:r>
              <w:rPr>
                <w:rFonts w:hint="eastAsia" w:ascii="Times New Roman" w:hAnsi="Times New Roman" w:cs="Times New Roman"/>
                <w:color w:val="auto"/>
                <w:kern w:val="0"/>
                <w:sz w:val="21"/>
                <w:szCs w:val="21"/>
                <w:highlight w:val="none"/>
                <w:lang w:val="en-US" w:eastAsia="zh-CN"/>
              </w:rPr>
              <w:t>喷漆面积约为</w:t>
            </w:r>
            <w:r>
              <w:rPr>
                <w:rFonts w:hint="eastAsia" w:cs="Times New Roman"/>
                <w:color w:val="auto"/>
                <w:kern w:val="0"/>
                <w:sz w:val="21"/>
                <w:szCs w:val="21"/>
                <w:highlight w:val="none"/>
                <w:lang w:val="en-US" w:eastAsia="zh-CN"/>
              </w:rPr>
              <w:t>1500</w:t>
            </w:r>
            <w:r>
              <w:rPr>
                <w:rFonts w:hint="default" w:ascii="Times New Roman" w:hAnsi="Times New Roman" w:cs="Times New Roman"/>
                <w:color w:val="auto"/>
                <w:kern w:val="0"/>
                <w:sz w:val="21"/>
                <w:szCs w:val="21"/>
                <w:highlight w:val="none"/>
              </w:rPr>
              <w:t>m</w:t>
            </w:r>
            <w:r>
              <w:rPr>
                <w:rFonts w:hint="default" w:ascii="Times New Roman" w:hAnsi="Times New Roman" w:cs="Times New Roman"/>
                <w:color w:val="auto"/>
                <w:kern w:val="0"/>
                <w:sz w:val="21"/>
                <w:szCs w:val="21"/>
                <w:highlight w:val="none"/>
                <w:vertAlign w:val="superscript"/>
              </w:rPr>
              <w:t>2</w:t>
            </w:r>
            <w:r>
              <w:rPr>
                <w:rFonts w:hint="default" w:ascii="Times New Roman" w:hAnsi="Times New Roman" w:cs="Times New Roman"/>
                <w:color w:val="auto"/>
                <w:kern w:val="0"/>
                <w:sz w:val="21"/>
                <w:szCs w:val="21"/>
                <w:highlight w:val="none"/>
              </w:rPr>
              <w:t>，</w:t>
            </w:r>
            <w:r>
              <w:rPr>
                <w:rFonts w:hint="eastAsia" w:cs="Times New Roman"/>
                <w:color w:val="auto"/>
                <w:kern w:val="0"/>
                <w:sz w:val="21"/>
                <w:szCs w:val="21"/>
                <w:highlight w:val="none"/>
                <w:lang w:val="en-US" w:eastAsia="zh-CN"/>
              </w:rPr>
              <w:t>漆膜厚度约为70</w:t>
            </w:r>
            <w:r>
              <w:rPr>
                <w:rFonts w:hint="default" w:ascii="Times New Roman" w:hAnsi="Times New Roman" w:cs="Times New Roman"/>
                <w:color w:val="auto"/>
                <w:kern w:val="0"/>
                <w:sz w:val="21"/>
                <w:szCs w:val="21"/>
                <w:highlight w:val="none"/>
              </w:rPr>
              <w:t>μm，</w:t>
            </w:r>
            <w:r>
              <w:rPr>
                <w:rFonts w:hint="eastAsia" w:cs="Times New Roman"/>
                <w:color w:val="auto"/>
                <w:kern w:val="0"/>
                <w:sz w:val="21"/>
                <w:szCs w:val="21"/>
                <w:highlight w:val="none"/>
                <w:lang w:val="en-US" w:eastAsia="zh-CN"/>
              </w:rPr>
              <w:t>白面漆总体积为</w:t>
            </w:r>
            <w:r>
              <w:rPr>
                <w:rFonts w:hint="eastAsia" w:ascii="Times New Roman" w:hAnsi="Times New Roman" w:cs="Times New Roman"/>
                <w:color w:val="auto"/>
                <w:kern w:val="0"/>
                <w:sz w:val="21"/>
                <w:szCs w:val="21"/>
                <w:highlight w:val="none"/>
                <w:lang w:val="en-US" w:eastAsia="zh-CN"/>
              </w:rPr>
              <w:t>0.</w:t>
            </w:r>
            <w:r>
              <w:rPr>
                <w:rFonts w:hint="eastAsia" w:cs="Times New Roman"/>
                <w:color w:val="auto"/>
                <w:kern w:val="0"/>
                <w:sz w:val="21"/>
                <w:szCs w:val="21"/>
                <w:highlight w:val="none"/>
                <w:lang w:val="en-US" w:eastAsia="zh-CN"/>
              </w:rPr>
              <w:t>105</w:t>
            </w:r>
            <w:r>
              <w:rPr>
                <w:rFonts w:hint="default" w:ascii="Times New Roman" w:hAnsi="Times New Roman" w:cs="Times New Roman"/>
                <w:color w:val="auto"/>
                <w:kern w:val="0"/>
                <w:sz w:val="21"/>
                <w:szCs w:val="21"/>
                <w:highlight w:val="none"/>
              </w:rPr>
              <w:t>m</w:t>
            </w:r>
            <w:r>
              <w:rPr>
                <w:rFonts w:hint="default" w:ascii="Times New Roman" w:hAnsi="Times New Roman" w:cs="Times New Roman"/>
                <w:color w:val="auto"/>
                <w:kern w:val="0"/>
                <w:sz w:val="21"/>
                <w:szCs w:val="21"/>
                <w:highlight w:val="none"/>
                <w:vertAlign w:val="superscript"/>
              </w:rPr>
              <w:t>3</w:t>
            </w: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密度约为0.94</w:t>
            </w:r>
            <w:r>
              <w:rPr>
                <w:rFonts w:hint="default" w:ascii="Times New Roman" w:hAnsi="Times New Roman" w:cs="Times New Roman"/>
                <w:color w:val="auto"/>
                <w:kern w:val="0"/>
                <w:sz w:val="21"/>
                <w:szCs w:val="21"/>
                <w:highlight w:val="none"/>
              </w:rPr>
              <w:t>g/cm</w:t>
            </w:r>
            <w:r>
              <w:rPr>
                <w:rFonts w:hint="default" w:ascii="Times New Roman" w:hAnsi="Times New Roman" w:cs="Times New Roman"/>
                <w:color w:val="auto"/>
                <w:kern w:val="0"/>
                <w:sz w:val="21"/>
                <w:szCs w:val="21"/>
                <w:highlight w:val="none"/>
                <w:vertAlign w:val="superscript"/>
              </w:rPr>
              <w:t>3</w:t>
            </w:r>
            <w:r>
              <w:rPr>
                <w:rFonts w:hint="eastAsia" w:cs="Times New Roman"/>
                <w:color w:val="auto"/>
                <w:kern w:val="0"/>
                <w:sz w:val="21"/>
                <w:szCs w:val="21"/>
                <w:highlight w:val="none"/>
                <w:lang w:val="en-US" w:eastAsia="zh-CN"/>
              </w:rPr>
              <w:t>，固含量为32.9%</w:t>
            </w:r>
            <w:r>
              <w:rPr>
                <w:rFonts w:hint="default" w:ascii="Times New Roman" w:hAnsi="Times New Roman" w:cs="Times New Roman"/>
                <w:color w:val="auto"/>
                <w:kern w:val="0"/>
                <w:sz w:val="21"/>
                <w:szCs w:val="21"/>
                <w:highlight w:val="none"/>
              </w:rPr>
              <w:t>，</w:t>
            </w:r>
            <w:r>
              <w:rPr>
                <w:rFonts w:hint="eastAsia" w:ascii="Times New Roman" w:hAnsi="Times New Roman" w:cs="Times New Roman"/>
                <w:color w:val="auto"/>
                <w:kern w:val="0"/>
                <w:sz w:val="21"/>
                <w:szCs w:val="21"/>
                <w:highlight w:val="none"/>
                <w:lang w:val="en-US" w:eastAsia="zh-CN"/>
              </w:rPr>
              <w:t>上漆率为75%，</w:t>
            </w:r>
            <w:r>
              <w:rPr>
                <w:rFonts w:hint="eastAsia" w:cs="Times New Roman"/>
                <w:color w:val="auto"/>
                <w:kern w:val="0"/>
                <w:sz w:val="21"/>
                <w:szCs w:val="21"/>
                <w:highlight w:val="none"/>
                <w:lang w:val="en-US" w:eastAsia="zh-CN"/>
              </w:rPr>
              <w:t>白面漆年用量约为0.4t/a</w:t>
            </w: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透明底漆</w:t>
            </w:r>
            <w:r>
              <w:rPr>
                <w:rFonts w:hint="eastAsia" w:ascii="Times New Roman" w:hAnsi="Times New Roman" w:cs="Times New Roman"/>
                <w:color w:val="auto"/>
                <w:kern w:val="0"/>
                <w:sz w:val="21"/>
                <w:szCs w:val="21"/>
                <w:highlight w:val="none"/>
                <w:lang w:val="en-US" w:eastAsia="zh-CN"/>
              </w:rPr>
              <w:t>喷漆面积约为</w:t>
            </w:r>
            <w:r>
              <w:rPr>
                <w:rFonts w:hint="eastAsia" w:cs="Times New Roman"/>
                <w:color w:val="auto"/>
                <w:kern w:val="0"/>
                <w:sz w:val="21"/>
                <w:szCs w:val="21"/>
                <w:highlight w:val="none"/>
                <w:lang w:val="en-US" w:eastAsia="zh-CN"/>
              </w:rPr>
              <w:t>1500</w:t>
            </w:r>
            <w:r>
              <w:rPr>
                <w:rFonts w:hint="default" w:ascii="Times New Roman" w:hAnsi="Times New Roman" w:cs="Times New Roman"/>
                <w:color w:val="auto"/>
                <w:kern w:val="0"/>
                <w:sz w:val="21"/>
                <w:szCs w:val="21"/>
                <w:highlight w:val="none"/>
              </w:rPr>
              <w:t>m</w:t>
            </w:r>
            <w:r>
              <w:rPr>
                <w:rFonts w:hint="default" w:ascii="Times New Roman" w:hAnsi="Times New Roman" w:cs="Times New Roman"/>
                <w:color w:val="auto"/>
                <w:kern w:val="0"/>
                <w:sz w:val="21"/>
                <w:szCs w:val="21"/>
                <w:highlight w:val="none"/>
                <w:vertAlign w:val="superscript"/>
              </w:rPr>
              <w:t>2</w:t>
            </w:r>
            <w:r>
              <w:rPr>
                <w:rFonts w:hint="default" w:ascii="Times New Roman" w:hAnsi="Times New Roman" w:cs="Times New Roman"/>
                <w:color w:val="auto"/>
                <w:kern w:val="0"/>
                <w:sz w:val="21"/>
                <w:szCs w:val="21"/>
                <w:highlight w:val="none"/>
              </w:rPr>
              <w:t>，</w:t>
            </w:r>
            <w:r>
              <w:rPr>
                <w:rFonts w:hint="eastAsia" w:cs="Times New Roman"/>
                <w:color w:val="auto"/>
                <w:kern w:val="0"/>
                <w:sz w:val="21"/>
                <w:szCs w:val="21"/>
                <w:highlight w:val="none"/>
                <w:lang w:val="en-US" w:eastAsia="zh-CN"/>
              </w:rPr>
              <w:t>漆膜厚度约为70</w:t>
            </w:r>
            <w:r>
              <w:rPr>
                <w:rFonts w:hint="default" w:ascii="Times New Roman" w:hAnsi="Times New Roman" w:cs="Times New Roman"/>
                <w:color w:val="auto"/>
                <w:kern w:val="0"/>
                <w:sz w:val="21"/>
                <w:szCs w:val="21"/>
                <w:highlight w:val="none"/>
              </w:rPr>
              <w:t>μm，</w:t>
            </w:r>
            <w:r>
              <w:rPr>
                <w:rFonts w:hint="eastAsia" w:cs="Times New Roman"/>
                <w:color w:val="auto"/>
                <w:kern w:val="0"/>
                <w:sz w:val="21"/>
                <w:szCs w:val="21"/>
                <w:highlight w:val="none"/>
                <w:lang w:val="en-US" w:eastAsia="zh-CN"/>
              </w:rPr>
              <w:t>透明底漆总体积为</w:t>
            </w:r>
            <w:r>
              <w:rPr>
                <w:rFonts w:hint="eastAsia" w:ascii="Times New Roman" w:hAnsi="Times New Roman" w:cs="Times New Roman"/>
                <w:color w:val="auto"/>
                <w:kern w:val="0"/>
                <w:sz w:val="21"/>
                <w:szCs w:val="21"/>
                <w:highlight w:val="none"/>
                <w:lang w:val="en-US" w:eastAsia="zh-CN"/>
              </w:rPr>
              <w:t>0.</w:t>
            </w:r>
            <w:r>
              <w:rPr>
                <w:rFonts w:hint="eastAsia" w:cs="Times New Roman"/>
                <w:color w:val="auto"/>
                <w:kern w:val="0"/>
                <w:sz w:val="21"/>
                <w:szCs w:val="21"/>
                <w:highlight w:val="none"/>
                <w:lang w:val="en-US" w:eastAsia="zh-CN"/>
              </w:rPr>
              <w:t>105</w:t>
            </w:r>
            <w:r>
              <w:rPr>
                <w:rFonts w:hint="default" w:ascii="Times New Roman" w:hAnsi="Times New Roman" w:cs="Times New Roman"/>
                <w:color w:val="auto"/>
                <w:kern w:val="0"/>
                <w:sz w:val="21"/>
                <w:szCs w:val="21"/>
                <w:highlight w:val="none"/>
              </w:rPr>
              <w:t>m</w:t>
            </w:r>
            <w:r>
              <w:rPr>
                <w:rFonts w:hint="default" w:ascii="Times New Roman" w:hAnsi="Times New Roman" w:cs="Times New Roman"/>
                <w:color w:val="auto"/>
                <w:kern w:val="0"/>
                <w:sz w:val="21"/>
                <w:szCs w:val="21"/>
                <w:highlight w:val="none"/>
                <w:vertAlign w:val="superscript"/>
              </w:rPr>
              <w:t>3</w:t>
            </w: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密度约为0.94</w:t>
            </w:r>
            <w:r>
              <w:rPr>
                <w:rFonts w:hint="default" w:ascii="Times New Roman" w:hAnsi="Times New Roman" w:cs="Times New Roman"/>
                <w:color w:val="auto"/>
                <w:kern w:val="0"/>
                <w:sz w:val="21"/>
                <w:szCs w:val="21"/>
                <w:highlight w:val="none"/>
              </w:rPr>
              <w:t>g/cm</w:t>
            </w:r>
            <w:r>
              <w:rPr>
                <w:rFonts w:hint="default" w:ascii="Times New Roman" w:hAnsi="Times New Roman" w:cs="Times New Roman"/>
                <w:color w:val="auto"/>
                <w:kern w:val="0"/>
                <w:sz w:val="21"/>
                <w:szCs w:val="21"/>
                <w:highlight w:val="none"/>
                <w:vertAlign w:val="superscript"/>
              </w:rPr>
              <w:t>3</w:t>
            </w:r>
            <w:r>
              <w:rPr>
                <w:rFonts w:hint="eastAsia" w:cs="Times New Roman"/>
                <w:color w:val="auto"/>
                <w:kern w:val="0"/>
                <w:sz w:val="21"/>
                <w:szCs w:val="21"/>
                <w:highlight w:val="none"/>
                <w:lang w:val="en-US" w:eastAsia="zh-CN"/>
              </w:rPr>
              <w:t>，固含量为30.3%</w:t>
            </w:r>
            <w:r>
              <w:rPr>
                <w:rFonts w:hint="default" w:ascii="Times New Roman" w:hAnsi="Times New Roman" w:cs="Times New Roman"/>
                <w:color w:val="auto"/>
                <w:kern w:val="0"/>
                <w:sz w:val="21"/>
                <w:szCs w:val="21"/>
                <w:highlight w:val="none"/>
              </w:rPr>
              <w:t>，</w:t>
            </w:r>
            <w:r>
              <w:rPr>
                <w:rFonts w:hint="eastAsia" w:ascii="Times New Roman" w:hAnsi="Times New Roman" w:cs="Times New Roman"/>
                <w:color w:val="auto"/>
                <w:kern w:val="0"/>
                <w:sz w:val="21"/>
                <w:szCs w:val="21"/>
                <w:highlight w:val="none"/>
                <w:lang w:val="en-US" w:eastAsia="zh-CN"/>
              </w:rPr>
              <w:t>上漆率为75%，</w:t>
            </w:r>
            <w:r>
              <w:rPr>
                <w:rFonts w:hint="eastAsia" w:cs="Times New Roman"/>
                <w:color w:val="auto"/>
                <w:kern w:val="0"/>
                <w:sz w:val="21"/>
                <w:szCs w:val="21"/>
                <w:highlight w:val="none"/>
                <w:lang w:val="en-US" w:eastAsia="zh-CN"/>
              </w:rPr>
              <w:t>透明底漆年用量约为0.434t/a</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用量与</w:t>
            </w:r>
            <w:r>
              <w:rPr>
                <w:rFonts w:hint="eastAsia" w:ascii="Times New Roman" w:hAnsi="Times New Roman" w:cs="Times New Roman"/>
                <w:color w:val="auto"/>
                <w:kern w:val="0"/>
                <w:sz w:val="21"/>
                <w:szCs w:val="21"/>
                <w:highlight w:val="none"/>
                <w:lang w:val="en-US" w:eastAsia="zh-CN"/>
              </w:rPr>
              <w:t>设计</w:t>
            </w:r>
            <w:r>
              <w:rPr>
                <w:rFonts w:hint="default" w:ascii="Times New Roman" w:hAnsi="Times New Roman" w:cs="Times New Roman"/>
                <w:color w:val="auto"/>
                <w:kern w:val="0"/>
                <w:sz w:val="21"/>
                <w:szCs w:val="21"/>
                <w:highlight w:val="none"/>
              </w:rPr>
              <w:t>用量基本相同。</w:t>
            </w:r>
          </w:p>
          <w:p w14:paraId="2A6ACE0C">
            <w:pPr>
              <w:autoSpaceDE w:val="0"/>
              <w:autoSpaceDN w:val="0"/>
              <w:adjustRightInd w:val="0"/>
              <w:snapToGrid w:val="0"/>
              <w:spacing w:line="360" w:lineRule="auto"/>
              <w:jc w:val="left"/>
              <w:rPr>
                <w:rFonts w:hint="eastAsia" w:eastAsia="宋体" w:cs="宋体"/>
                <w:b/>
                <w:bCs/>
                <w:color w:val="auto"/>
                <w:lang w:val="en-US" w:eastAsia="zh-CN"/>
              </w:rPr>
            </w:pPr>
            <w:r>
              <w:rPr>
                <w:rFonts w:hint="eastAsia" w:cs="宋体"/>
                <w:b/>
                <w:bCs/>
                <w:color w:val="auto"/>
              </w:rPr>
              <w:t>2.1.</w:t>
            </w:r>
            <w:r>
              <w:rPr>
                <w:rFonts w:hint="eastAsia" w:cs="宋体"/>
                <w:b/>
                <w:bCs/>
                <w:color w:val="auto"/>
                <w:lang w:val="en-US" w:eastAsia="zh-CN"/>
              </w:rPr>
              <w:t>7</w:t>
            </w:r>
            <w:r>
              <w:rPr>
                <w:rFonts w:hint="eastAsia" w:cs="宋体"/>
                <w:b/>
                <w:bCs/>
                <w:color w:val="auto"/>
              </w:rPr>
              <w:t xml:space="preserve"> 项目选址及平面布局</w:t>
            </w:r>
            <w:r>
              <w:rPr>
                <w:rFonts w:hint="eastAsia" w:cs="宋体"/>
                <w:b/>
                <w:bCs/>
                <w:color w:val="auto"/>
                <w:lang w:val="en-US" w:eastAsia="zh-CN"/>
              </w:rPr>
              <w:t xml:space="preserve"> </w:t>
            </w:r>
          </w:p>
          <w:p w14:paraId="07094462">
            <w:pPr>
              <w:adjustRightInd w:val="0"/>
              <w:snapToGrid w:val="0"/>
              <w:spacing w:line="360" w:lineRule="auto"/>
              <w:ind w:firstLine="420" w:firstLineChars="200"/>
              <w:rPr>
                <w:rFonts w:cs="宋体"/>
                <w:color w:val="auto"/>
              </w:rPr>
            </w:pPr>
            <w:r>
              <w:rPr>
                <w:rFonts w:hint="eastAsia" w:cs="宋体"/>
                <w:color w:val="auto"/>
              </w:rPr>
              <w:t>公司选址位于</w:t>
            </w:r>
            <w:r>
              <w:rPr>
                <w:rFonts w:hint="eastAsia"/>
                <w:color w:val="auto"/>
                <w:lang w:eastAsia="zh-CN"/>
              </w:rPr>
              <w:t>江苏省常州市金坛区金湖路99号</w:t>
            </w:r>
            <w:r>
              <w:rPr>
                <w:rFonts w:hint="eastAsia" w:cs="宋体"/>
                <w:color w:val="auto"/>
              </w:rPr>
              <w:t>建设</w:t>
            </w:r>
            <w:r>
              <w:rPr>
                <w:rFonts w:hint="eastAsia" w:cs="宋体"/>
                <w:color w:val="auto"/>
                <w:lang w:eastAsia="zh-CN"/>
              </w:rPr>
              <w:t>新建年产办公家具20000套、民用家具8000套项目</w:t>
            </w:r>
            <w:r>
              <w:rPr>
                <w:rFonts w:hint="eastAsia" w:cs="宋体"/>
                <w:color w:val="auto"/>
              </w:rPr>
              <w:t>，利用现有厂房</w:t>
            </w:r>
            <w:r>
              <w:rPr>
                <w:rFonts w:hint="eastAsia" w:cs="宋体"/>
                <w:color w:val="auto"/>
                <w:lang w:val="en-US" w:eastAsia="zh-CN"/>
              </w:rPr>
              <w:t>4173</w:t>
            </w:r>
            <w:r>
              <w:rPr>
                <w:rFonts w:hint="eastAsia" w:cs="宋体"/>
                <w:color w:val="auto"/>
              </w:rPr>
              <w:t>m</w:t>
            </w:r>
            <w:r>
              <w:rPr>
                <w:rFonts w:hint="eastAsia" w:cs="宋体"/>
                <w:color w:val="auto"/>
                <w:vertAlign w:val="superscript"/>
              </w:rPr>
              <w:t>2</w:t>
            </w:r>
            <w:r>
              <w:rPr>
                <w:rFonts w:hint="eastAsia" w:cs="宋体"/>
                <w:color w:val="auto"/>
              </w:rPr>
              <w:t>。项目</w:t>
            </w:r>
            <w:r>
              <w:rPr>
                <w:rFonts w:hint="eastAsia" w:cs="宋体"/>
                <w:color w:val="auto"/>
                <w:lang w:val="en-US" w:eastAsia="zh-CN"/>
              </w:rPr>
              <w:t>厂房北侧为江苏科丰医药有限公司，西侧、东侧均为内部路，南侧为内部楼栋</w:t>
            </w:r>
            <w:r>
              <w:rPr>
                <w:rFonts w:hint="eastAsia" w:cs="宋体"/>
                <w:color w:val="auto"/>
              </w:rPr>
              <w:t>。项目地理位置图见附图1，周边环境概况图见附图2。</w:t>
            </w:r>
          </w:p>
          <w:p w14:paraId="14AF6D8D">
            <w:pPr>
              <w:adjustRightInd w:val="0"/>
              <w:snapToGrid w:val="0"/>
              <w:spacing w:line="360" w:lineRule="auto"/>
              <w:ind w:firstLine="420" w:firstLineChars="200"/>
              <w:rPr>
                <w:rFonts w:cs="宋体"/>
                <w:color w:val="auto"/>
              </w:rPr>
            </w:pPr>
            <w:r>
              <w:rPr>
                <w:rFonts w:hint="eastAsia" w:cs="宋体"/>
                <w:color w:val="auto"/>
              </w:rPr>
              <w:t>本项目平面布置功能分区明确，车间</w:t>
            </w:r>
            <w:r>
              <w:rPr>
                <w:rFonts w:hint="eastAsia" w:cs="宋体"/>
                <w:color w:val="auto"/>
                <w:lang w:val="en-US" w:eastAsia="zh-CN"/>
              </w:rPr>
              <w:t>由北向南、由西向东</w:t>
            </w:r>
            <w:r>
              <w:rPr>
                <w:rFonts w:hint="eastAsia" w:cs="宋体"/>
                <w:color w:val="auto"/>
              </w:rPr>
              <w:t>包括：</w:t>
            </w:r>
            <w:r>
              <w:rPr>
                <w:rFonts w:hint="eastAsia" w:cs="宋体"/>
                <w:color w:val="auto"/>
                <w:lang w:val="en-US" w:eastAsia="zh-CN"/>
              </w:rPr>
              <w:t>实木材料堆放区、板材料堆放区、断料机、单片锯、砂光机、推台锯、电子裁板锯、平刨床、高速带锯、压刨机、铣床、一般固废仓库、镂机、砂光机、磨光机、冷压机、涂胶机、封边机、危废仓库、木工操作台、组装区域、半成品区域、CNC、成品区域、仓库、调漆房、打磨房、底漆房、面漆房、晾干房、成品自检区、打包纸皮。</w:t>
            </w:r>
            <w:r>
              <w:rPr>
                <w:rFonts w:hint="eastAsia" w:cs="宋体"/>
                <w:color w:val="auto"/>
              </w:rPr>
              <w:t>项目厂区平面布置图见附图3。</w:t>
            </w:r>
          </w:p>
          <w:p w14:paraId="339AC457">
            <w:pPr>
              <w:autoSpaceDE w:val="0"/>
              <w:autoSpaceDN w:val="0"/>
              <w:adjustRightInd w:val="0"/>
              <w:snapToGrid w:val="0"/>
              <w:spacing w:line="360" w:lineRule="auto"/>
              <w:jc w:val="left"/>
              <w:rPr>
                <w:rFonts w:cs="宋体"/>
                <w:color w:val="auto"/>
              </w:rPr>
            </w:pPr>
            <w:r>
              <w:rPr>
                <w:rFonts w:hint="eastAsia" w:cs="宋体"/>
                <w:b/>
                <w:bCs/>
                <w:color w:val="auto"/>
              </w:rPr>
              <w:t>2.1.</w:t>
            </w:r>
            <w:r>
              <w:rPr>
                <w:rFonts w:hint="eastAsia" w:cs="宋体"/>
                <w:b/>
                <w:bCs/>
                <w:color w:val="auto"/>
                <w:lang w:val="en-US" w:eastAsia="zh-CN"/>
              </w:rPr>
              <w:t>8</w:t>
            </w:r>
            <w:r>
              <w:rPr>
                <w:rFonts w:hint="eastAsia" w:cs="宋体"/>
                <w:b/>
                <w:bCs/>
                <w:color w:val="auto"/>
              </w:rPr>
              <w:t xml:space="preserve"> 劳动定员及工作时数</w:t>
            </w:r>
          </w:p>
          <w:p w14:paraId="7E5EE0E3">
            <w:pPr>
              <w:adjustRightInd w:val="0"/>
              <w:snapToGrid w:val="0"/>
              <w:spacing w:line="360" w:lineRule="auto"/>
              <w:ind w:firstLine="420" w:firstLineChars="200"/>
              <w:rPr>
                <w:rFonts w:cs="宋体"/>
                <w:color w:val="auto"/>
              </w:rPr>
            </w:pPr>
            <w:r>
              <w:rPr>
                <w:rFonts w:hint="eastAsia" w:cs="宋体"/>
                <w:color w:val="auto"/>
              </w:rPr>
              <w:t>工作制度：员工年工作</w:t>
            </w:r>
            <w:r>
              <w:rPr>
                <w:rFonts w:hint="eastAsia" w:cs="宋体"/>
                <w:color w:val="auto"/>
                <w:lang w:val="en-US" w:eastAsia="zh-CN"/>
              </w:rPr>
              <w:t>300</w:t>
            </w:r>
            <w:r>
              <w:rPr>
                <w:rFonts w:hint="eastAsia" w:cs="宋体"/>
                <w:color w:val="auto"/>
              </w:rPr>
              <w:t>天，</w:t>
            </w:r>
            <w:r>
              <w:rPr>
                <w:rFonts w:hint="eastAsia" w:cs="宋体"/>
                <w:color w:val="auto"/>
                <w:lang w:val="en-US" w:eastAsia="zh-CN"/>
              </w:rPr>
              <w:t>单班</w:t>
            </w:r>
            <w:r>
              <w:rPr>
                <w:rFonts w:hint="eastAsia" w:cs="宋体"/>
                <w:color w:val="auto"/>
              </w:rPr>
              <w:t>制，每班</w:t>
            </w:r>
            <w:r>
              <w:rPr>
                <w:rFonts w:hint="eastAsia" w:cs="宋体"/>
                <w:color w:val="auto"/>
                <w:lang w:val="en-US" w:eastAsia="zh-CN"/>
              </w:rPr>
              <w:t>8</w:t>
            </w:r>
            <w:r>
              <w:rPr>
                <w:rFonts w:hint="eastAsia" w:cs="宋体"/>
                <w:color w:val="auto"/>
              </w:rPr>
              <w:t>小时，年工作时长</w:t>
            </w:r>
            <w:r>
              <w:rPr>
                <w:rFonts w:hint="eastAsia" w:cs="宋体"/>
                <w:color w:val="auto"/>
                <w:lang w:val="en-US" w:eastAsia="zh-CN"/>
              </w:rPr>
              <w:t>2400h</w:t>
            </w:r>
            <w:r>
              <w:rPr>
                <w:rFonts w:hint="eastAsia" w:cs="宋体"/>
                <w:color w:val="auto"/>
              </w:rPr>
              <w:t>/</w:t>
            </w:r>
            <w:r>
              <w:rPr>
                <w:rFonts w:hint="eastAsia" w:cs="宋体"/>
                <w:color w:val="auto"/>
                <w:lang w:val="en-US" w:eastAsia="zh-CN"/>
              </w:rPr>
              <w:t>a</w:t>
            </w:r>
            <w:r>
              <w:rPr>
                <w:rFonts w:hint="eastAsia" w:cs="宋体"/>
                <w:color w:val="auto"/>
              </w:rPr>
              <w:t>。</w:t>
            </w:r>
          </w:p>
          <w:p w14:paraId="24AACF5A">
            <w:pPr>
              <w:adjustRightInd w:val="0"/>
              <w:snapToGrid w:val="0"/>
              <w:spacing w:line="360" w:lineRule="auto"/>
              <w:ind w:firstLine="420" w:firstLineChars="200"/>
              <w:rPr>
                <w:color w:val="auto"/>
              </w:rPr>
            </w:pPr>
            <w:r>
              <w:rPr>
                <w:rFonts w:hint="eastAsia" w:cs="宋体"/>
                <w:color w:val="auto"/>
              </w:rPr>
              <w:t>项目人数：</w:t>
            </w:r>
            <w:r>
              <w:rPr>
                <w:rFonts w:hint="eastAsia"/>
                <w:color w:val="auto"/>
              </w:rPr>
              <w:t>企业拟设员工</w:t>
            </w:r>
            <w:r>
              <w:rPr>
                <w:rFonts w:hint="eastAsia"/>
                <w:color w:val="auto"/>
                <w:lang w:val="en-US" w:eastAsia="zh-CN"/>
              </w:rPr>
              <w:t>35</w:t>
            </w:r>
            <w:r>
              <w:rPr>
                <w:rFonts w:hint="eastAsia"/>
                <w:color w:val="auto"/>
              </w:rPr>
              <w:t>人。</w:t>
            </w:r>
          </w:p>
          <w:p w14:paraId="78187DBE">
            <w:pPr>
              <w:adjustRightInd w:val="0"/>
              <w:snapToGrid w:val="0"/>
              <w:spacing w:line="360" w:lineRule="auto"/>
              <w:ind w:firstLine="420" w:firstLineChars="200"/>
              <w:rPr>
                <w:color w:val="auto"/>
              </w:rPr>
            </w:pPr>
            <w:r>
              <w:rPr>
                <w:rFonts w:hint="eastAsia" w:cs="宋体"/>
                <w:color w:val="auto"/>
              </w:rPr>
              <w:t>本项目不新增食堂、宿舍，员工外出就餐。</w:t>
            </w:r>
          </w:p>
          <w:p w14:paraId="13C06915">
            <w:pPr>
              <w:widowControl/>
              <w:spacing w:line="360" w:lineRule="auto"/>
              <w:rPr>
                <w:rFonts w:cs="宋体"/>
                <w:b/>
                <w:bCs/>
                <w:color w:val="auto"/>
              </w:rPr>
            </w:pPr>
            <w:r>
              <w:rPr>
                <w:rFonts w:hint="eastAsia" w:cs="宋体"/>
                <w:b/>
                <w:bCs/>
                <w:color w:val="auto"/>
              </w:rPr>
              <w:t>2.1.</w:t>
            </w:r>
            <w:r>
              <w:rPr>
                <w:rFonts w:hint="eastAsia" w:cs="宋体"/>
                <w:b/>
                <w:bCs/>
                <w:color w:val="auto"/>
                <w:lang w:val="en-US" w:eastAsia="zh-CN"/>
              </w:rPr>
              <w:t>9</w:t>
            </w:r>
            <w:r>
              <w:rPr>
                <w:rFonts w:hint="eastAsia" w:cs="宋体"/>
                <w:b/>
                <w:bCs/>
                <w:color w:val="auto"/>
              </w:rPr>
              <w:t xml:space="preserve"> 给排水</w:t>
            </w:r>
          </w:p>
          <w:p w14:paraId="5C17C65D">
            <w:pPr>
              <w:pStyle w:val="2"/>
              <w:ind w:firstLine="420" w:firstLineChars="200"/>
              <w:rPr>
                <w:color w:val="auto"/>
                <w:kern w:val="0"/>
                <w:sz w:val="21"/>
                <w:szCs w:val="21"/>
              </w:rPr>
            </w:pPr>
            <w:r>
              <w:rPr>
                <w:rFonts w:hint="eastAsia"/>
                <w:color w:val="auto"/>
                <w:kern w:val="0"/>
                <w:sz w:val="21"/>
                <w:szCs w:val="21"/>
              </w:rPr>
              <w:t>本项目用水</w:t>
            </w:r>
            <w:r>
              <w:rPr>
                <w:rFonts w:hint="eastAsia"/>
                <w:color w:val="auto"/>
                <w:kern w:val="0"/>
                <w:sz w:val="21"/>
                <w:szCs w:val="21"/>
                <w:lang w:val="en-US" w:eastAsia="zh-CN"/>
              </w:rPr>
              <w:t>主要为员工</w:t>
            </w:r>
            <w:r>
              <w:rPr>
                <w:rFonts w:hint="eastAsia"/>
                <w:color w:val="auto"/>
                <w:kern w:val="0"/>
                <w:sz w:val="21"/>
                <w:szCs w:val="21"/>
              </w:rPr>
              <w:t>生活用水</w:t>
            </w:r>
            <w:r>
              <w:rPr>
                <w:rFonts w:hint="eastAsia"/>
                <w:color w:val="auto"/>
                <w:kern w:val="0"/>
                <w:sz w:val="21"/>
                <w:szCs w:val="21"/>
                <w:lang w:eastAsia="zh-CN"/>
              </w:rPr>
              <w:t>、</w:t>
            </w:r>
            <w:r>
              <w:rPr>
                <w:rFonts w:hint="eastAsia"/>
                <w:color w:val="auto"/>
                <w:kern w:val="0"/>
                <w:sz w:val="21"/>
                <w:szCs w:val="21"/>
                <w:lang w:val="en-US" w:eastAsia="zh-CN"/>
              </w:rPr>
              <w:t>水帘用水</w:t>
            </w:r>
            <w:r>
              <w:rPr>
                <w:rFonts w:hint="eastAsia"/>
                <w:color w:val="auto"/>
                <w:kern w:val="0"/>
                <w:sz w:val="21"/>
                <w:szCs w:val="21"/>
              </w:rPr>
              <w:t>。</w:t>
            </w:r>
          </w:p>
          <w:p w14:paraId="7A082E64">
            <w:pPr>
              <w:adjustRightInd w:val="0"/>
              <w:snapToGrid w:val="0"/>
              <w:spacing w:line="360" w:lineRule="auto"/>
              <w:ind w:firstLine="422" w:firstLineChars="200"/>
              <w:rPr>
                <w:b/>
                <w:bCs/>
                <w:color w:val="auto"/>
                <w:kern w:val="0"/>
                <w:sz w:val="21"/>
              </w:rPr>
            </w:pPr>
            <w:r>
              <w:rPr>
                <w:rFonts w:hint="eastAsia"/>
                <w:b/>
                <w:bCs/>
                <w:color w:val="auto"/>
                <w:kern w:val="0"/>
                <w:sz w:val="21"/>
              </w:rPr>
              <w:t>生活用水：</w:t>
            </w:r>
          </w:p>
          <w:p w14:paraId="3F362D12">
            <w:pPr>
              <w:widowControl/>
              <w:adjustRightInd w:val="0"/>
              <w:snapToGrid w:val="0"/>
              <w:spacing w:line="360" w:lineRule="auto"/>
              <w:ind w:firstLine="420" w:firstLineChars="200"/>
              <w:rPr>
                <w:color w:val="auto"/>
                <w:kern w:val="0"/>
                <w:sz w:val="21"/>
              </w:rPr>
            </w:pPr>
            <w:r>
              <w:rPr>
                <w:color w:val="auto"/>
                <w:kern w:val="0"/>
                <w:sz w:val="21"/>
              </w:rPr>
              <w:t>本项目职工</w:t>
            </w:r>
            <w:r>
              <w:rPr>
                <w:rFonts w:hint="eastAsia"/>
                <w:color w:val="auto"/>
                <w:kern w:val="0"/>
                <w:sz w:val="21"/>
              </w:rPr>
              <w:t>定员</w:t>
            </w:r>
            <w:r>
              <w:rPr>
                <w:rFonts w:hint="eastAsia"/>
                <w:color w:val="auto"/>
                <w:kern w:val="0"/>
                <w:sz w:val="21"/>
                <w:lang w:val="en-US" w:eastAsia="zh-CN"/>
              </w:rPr>
              <w:t>35</w:t>
            </w:r>
            <w:r>
              <w:rPr>
                <w:color w:val="auto"/>
                <w:kern w:val="0"/>
                <w:sz w:val="21"/>
              </w:rPr>
              <w:t>人，年</w:t>
            </w:r>
            <w:r>
              <w:rPr>
                <w:rFonts w:hint="eastAsia"/>
                <w:color w:val="auto"/>
                <w:kern w:val="0"/>
                <w:sz w:val="21"/>
              </w:rPr>
              <w:t>工作</w:t>
            </w:r>
            <w:r>
              <w:rPr>
                <w:color w:val="auto"/>
                <w:kern w:val="0"/>
                <w:sz w:val="21"/>
              </w:rPr>
              <w:t>天数</w:t>
            </w:r>
            <w:r>
              <w:rPr>
                <w:rFonts w:hint="eastAsia"/>
                <w:color w:val="auto"/>
                <w:kern w:val="0"/>
                <w:sz w:val="21"/>
              </w:rPr>
              <w:t>为</w:t>
            </w:r>
            <w:r>
              <w:rPr>
                <w:rFonts w:hint="eastAsia"/>
                <w:color w:val="auto"/>
                <w:kern w:val="0"/>
                <w:sz w:val="21"/>
                <w:lang w:val="en-US" w:eastAsia="zh-CN"/>
              </w:rPr>
              <w:t>300</w:t>
            </w:r>
            <w:r>
              <w:rPr>
                <w:color w:val="auto"/>
                <w:kern w:val="0"/>
                <w:sz w:val="21"/>
              </w:rPr>
              <w:t>天，生活用水按</w:t>
            </w:r>
            <w:r>
              <w:rPr>
                <w:rFonts w:hint="eastAsia"/>
                <w:color w:val="auto"/>
                <w:kern w:val="0"/>
                <w:sz w:val="21"/>
              </w:rPr>
              <w:t>100</w:t>
            </w:r>
            <w:r>
              <w:rPr>
                <w:color w:val="auto"/>
                <w:kern w:val="0"/>
                <w:sz w:val="21"/>
              </w:rPr>
              <w:t>L/人·天计，则生活用水量约</w:t>
            </w:r>
            <w:r>
              <w:rPr>
                <w:rFonts w:hint="eastAsia"/>
                <w:color w:val="auto"/>
                <w:kern w:val="0"/>
                <w:sz w:val="21"/>
                <w:lang w:val="en-US" w:eastAsia="zh-CN"/>
              </w:rPr>
              <w:t>1050</w:t>
            </w:r>
            <w:r>
              <w:rPr>
                <w:color w:val="auto"/>
                <w:kern w:val="0"/>
                <w:sz w:val="21"/>
              </w:rPr>
              <w:t>t/a；生活污水按用水量</w:t>
            </w:r>
            <w:r>
              <w:rPr>
                <w:rFonts w:hint="eastAsia"/>
                <w:color w:val="auto"/>
                <w:kern w:val="0"/>
                <w:sz w:val="21"/>
              </w:rPr>
              <w:t>8</w:t>
            </w:r>
            <w:r>
              <w:rPr>
                <w:color w:val="auto"/>
                <w:kern w:val="0"/>
                <w:sz w:val="21"/>
              </w:rPr>
              <w:t>0%计，则生活污水产生量约</w:t>
            </w:r>
            <w:r>
              <w:rPr>
                <w:rFonts w:hint="eastAsia"/>
                <w:color w:val="auto"/>
                <w:kern w:val="0"/>
                <w:sz w:val="21"/>
                <w:lang w:val="en-US" w:eastAsia="zh-CN"/>
              </w:rPr>
              <w:t>840</w:t>
            </w:r>
            <w:r>
              <w:rPr>
                <w:color w:val="auto"/>
                <w:kern w:val="0"/>
                <w:sz w:val="21"/>
              </w:rPr>
              <w:t>t/a，接入</w:t>
            </w:r>
            <w:r>
              <w:rPr>
                <w:rFonts w:hint="eastAsia"/>
                <w:color w:val="auto"/>
                <w:kern w:val="0"/>
                <w:sz w:val="21"/>
              </w:rPr>
              <w:t>常州金坛区第二污水处理有限公司</w:t>
            </w:r>
            <w:r>
              <w:rPr>
                <w:rFonts w:hint="eastAsia"/>
                <w:color w:val="auto"/>
                <w:kern w:val="0"/>
                <w:sz w:val="21"/>
                <w:lang w:val="en-US" w:eastAsia="zh-CN"/>
              </w:rPr>
              <w:t>集中处理</w:t>
            </w:r>
            <w:r>
              <w:rPr>
                <w:color w:val="auto"/>
                <w:kern w:val="0"/>
                <w:sz w:val="21"/>
              </w:rPr>
              <w:t>，尾水排入</w:t>
            </w:r>
            <w:r>
              <w:rPr>
                <w:rFonts w:hint="eastAsia"/>
                <w:color w:val="auto"/>
                <w:kern w:val="0"/>
                <w:sz w:val="21"/>
              </w:rPr>
              <w:t>尧塘河。</w:t>
            </w:r>
          </w:p>
          <w:p w14:paraId="2CD819B1">
            <w:pPr>
              <w:pStyle w:val="2"/>
              <w:ind w:firstLine="422" w:firstLineChars="200"/>
              <w:rPr>
                <w:rFonts w:hint="eastAsia" w:eastAsia="宋体"/>
                <w:b/>
                <w:bCs/>
                <w:color w:val="auto"/>
                <w:sz w:val="21"/>
                <w:szCs w:val="21"/>
                <w:lang w:val="en-US" w:eastAsia="zh-CN"/>
              </w:rPr>
            </w:pPr>
            <w:r>
              <w:rPr>
                <w:rFonts w:hint="eastAsia"/>
                <w:b/>
                <w:bCs/>
                <w:color w:val="auto"/>
                <w:sz w:val="21"/>
                <w:szCs w:val="21"/>
                <w:lang w:val="en-US" w:eastAsia="zh-CN"/>
              </w:rPr>
              <w:t>水帘用水</w:t>
            </w:r>
          </w:p>
          <w:p w14:paraId="1314FAB2">
            <w:pPr>
              <w:pStyle w:val="27"/>
              <w:spacing w:line="360" w:lineRule="auto"/>
              <w:ind w:left="0" w:leftChars="0" w:right="0" w:rightChars="0" w:firstLine="482"/>
              <w:jc w:val="left"/>
              <w:rPr>
                <w:rFonts w:ascii="Times New Roman" w:hAnsi="Times New Roman"/>
                <w:bCs/>
                <w:color w:val="auto"/>
                <w:sz w:val="21"/>
                <w:szCs w:val="21"/>
              </w:rPr>
            </w:pPr>
            <w:r>
              <w:rPr>
                <w:rFonts w:ascii="Times New Roman" w:hAnsi="Times New Roman"/>
                <w:bCs/>
                <w:color w:val="auto"/>
                <w:sz w:val="21"/>
                <w:szCs w:val="21"/>
              </w:rPr>
              <w:t>本项目设置两个喷漆房，每个喷漆房内各设置一个水帘装置截留漆雾，水帘水循环使用定期补充，单个循环量为</w:t>
            </w:r>
            <w:r>
              <w:rPr>
                <w:rFonts w:hint="eastAsia" w:ascii="Times New Roman" w:hAnsi="Times New Roman"/>
                <w:bCs/>
                <w:color w:val="auto"/>
                <w:sz w:val="21"/>
                <w:szCs w:val="21"/>
                <w:lang w:val="en-US" w:eastAsia="zh-CN"/>
              </w:rPr>
              <w:t>2.5t</w:t>
            </w:r>
            <w:r>
              <w:rPr>
                <w:rFonts w:ascii="Times New Roman" w:hAnsi="Times New Roman"/>
                <w:bCs/>
                <w:color w:val="auto"/>
                <w:sz w:val="21"/>
                <w:szCs w:val="21"/>
              </w:rPr>
              <w:t>/h，本项目</w:t>
            </w:r>
            <w:r>
              <w:rPr>
                <w:rFonts w:hint="eastAsia" w:ascii="Times New Roman" w:hAnsi="Times New Roman"/>
                <w:bCs/>
                <w:color w:val="auto"/>
                <w:sz w:val="21"/>
                <w:szCs w:val="21"/>
                <w:lang w:val="en-US" w:eastAsia="zh-CN"/>
              </w:rPr>
              <w:t>年工作时间2400h</w:t>
            </w:r>
            <w:r>
              <w:rPr>
                <w:rFonts w:ascii="Times New Roman" w:hAnsi="Times New Roman"/>
                <w:bCs/>
                <w:color w:val="auto"/>
                <w:sz w:val="21"/>
                <w:szCs w:val="21"/>
              </w:rPr>
              <w:t>，则</w:t>
            </w:r>
            <w:r>
              <w:rPr>
                <w:rFonts w:hint="eastAsia" w:ascii="Times New Roman" w:hAnsi="Times New Roman"/>
                <w:bCs/>
                <w:color w:val="auto"/>
                <w:sz w:val="21"/>
                <w:szCs w:val="21"/>
                <w:lang w:val="en-US" w:eastAsia="zh-CN"/>
              </w:rPr>
              <w:t>两</w:t>
            </w:r>
            <w:r>
              <w:rPr>
                <w:rFonts w:ascii="Times New Roman" w:hAnsi="Times New Roman"/>
                <w:bCs/>
                <w:color w:val="auto"/>
                <w:sz w:val="21"/>
                <w:szCs w:val="21"/>
              </w:rPr>
              <w:t>个水帘循环量为</w:t>
            </w:r>
            <w:r>
              <w:rPr>
                <w:rFonts w:hint="eastAsia" w:ascii="Times New Roman" w:hAnsi="Times New Roman"/>
                <w:bCs/>
                <w:color w:val="auto"/>
                <w:sz w:val="21"/>
                <w:szCs w:val="21"/>
                <w:lang w:val="en-US" w:eastAsia="zh-CN"/>
              </w:rPr>
              <w:t>12</w:t>
            </w:r>
            <w:r>
              <w:rPr>
                <w:rFonts w:ascii="Times New Roman" w:hAnsi="Times New Roman"/>
                <w:bCs/>
                <w:color w:val="auto"/>
                <w:sz w:val="21"/>
                <w:szCs w:val="21"/>
              </w:rPr>
              <w:t>000</w:t>
            </w:r>
            <w:r>
              <w:rPr>
                <w:rFonts w:hint="eastAsia" w:ascii="Times New Roman" w:hAnsi="Times New Roman"/>
                <w:bCs/>
                <w:color w:val="auto"/>
                <w:sz w:val="21"/>
                <w:szCs w:val="21"/>
                <w:lang w:val="en-US" w:eastAsia="zh-CN"/>
              </w:rPr>
              <w:t>t</w:t>
            </w:r>
            <w:r>
              <w:rPr>
                <w:rFonts w:ascii="Times New Roman" w:hAnsi="Times New Roman"/>
                <w:bCs/>
                <w:color w:val="auto"/>
                <w:sz w:val="21"/>
                <w:szCs w:val="21"/>
              </w:rPr>
              <w:t>/a，循环过程中损耗量以</w:t>
            </w:r>
            <w:r>
              <w:rPr>
                <w:rFonts w:hint="eastAsia" w:ascii="Times New Roman" w:hAnsi="Times New Roman"/>
                <w:bCs/>
                <w:color w:val="auto"/>
                <w:sz w:val="21"/>
                <w:szCs w:val="21"/>
                <w:lang w:val="en-US" w:eastAsia="zh-CN"/>
              </w:rPr>
              <w:t>3</w:t>
            </w:r>
            <w:r>
              <w:rPr>
                <w:rFonts w:ascii="Times New Roman" w:hAnsi="Times New Roman"/>
                <w:bCs/>
                <w:color w:val="auto"/>
                <w:sz w:val="21"/>
                <w:szCs w:val="21"/>
              </w:rPr>
              <w:t>%计，则两个水帘装置年损耗量为</w:t>
            </w:r>
            <w:r>
              <w:rPr>
                <w:rFonts w:hint="eastAsia" w:ascii="Times New Roman" w:hAnsi="Times New Roman"/>
                <w:bCs/>
                <w:color w:val="auto"/>
                <w:sz w:val="21"/>
                <w:szCs w:val="21"/>
                <w:lang w:val="en-US" w:eastAsia="zh-CN"/>
              </w:rPr>
              <w:t>360t</w:t>
            </w:r>
            <w:r>
              <w:rPr>
                <w:rFonts w:ascii="Times New Roman" w:hAnsi="Times New Roman"/>
                <w:bCs/>
                <w:color w:val="auto"/>
                <w:sz w:val="21"/>
                <w:szCs w:val="21"/>
              </w:rPr>
              <w:t>/a。</w:t>
            </w:r>
          </w:p>
          <w:p w14:paraId="58EC764D">
            <w:pPr>
              <w:pStyle w:val="2"/>
              <w:ind w:firstLine="420" w:firstLineChars="200"/>
              <w:rPr>
                <w:rFonts w:hint="eastAsia"/>
                <w:b w:val="0"/>
                <w:bCs w:val="0"/>
                <w:color w:val="auto"/>
                <w:sz w:val="21"/>
                <w:szCs w:val="21"/>
              </w:rPr>
            </w:pPr>
            <w:r>
              <w:rPr>
                <w:rFonts w:ascii="Times New Roman" w:hAnsi="Times New Roman"/>
                <w:bCs/>
                <w:color w:val="auto"/>
                <w:sz w:val="21"/>
                <w:szCs w:val="21"/>
              </w:rPr>
              <w:t>项目水帘</w:t>
            </w:r>
            <w:r>
              <w:rPr>
                <w:rFonts w:ascii="Times New Roman" w:hAnsi="Times New Roman"/>
                <w:color w:val="auto"/>
                <w:spacing w:val="-2"/>
                <w:sz w:val="21"/>
                <w:szCs w:val="21"/>
              </w:rPr>
              <w:t>循环水池约每半年清理一次，两个循环水池规格均为：</w:t>
            </w:r>
            <w:r>
              <w:rPr>
                <w:rFonts w:hint="eastAsia" w:ascii="Times New Roman" w:hAnsi="Times New Roman"/>
                <w:color w:val="auto"/>
                <w:spacing w:val="-2"/>
                <w:sz w:val="21"/>
                <w:szCs w:val="21"/>
                <w:lang w:val="en-US" w:eastAsia="zh-CN"/>
              </w:rPr>
              <w:t>4</w:t>
            </w:r>
            <w:r>
              <w:rPr>
                <w:rFonts w:ascii="Times New Roman" w:hAnsi="Times New Roman"/>
                <w:color w:val="auto"/>
                <w:spacing w:val="-2"/>
                <w:sz w:val="21"/>
                <w:szCs w:val="21"/>
              </w:rPr>
              <w:t>m×1</w:t>
            </w:r>
            <w:r>
              <w:rPr>
                <w:rFonts w:hint="eastAsia" w:ascii="Times New Roman" w:hAnsi="Times New Roman"/>
                <w:color w:val="auto"/>
                <w:spacing w:val="-2"/>
                <w:sz w:val="21"/>
                <w:szCs w:val="21"/>
                <w:lang w:val="en-US" w:eastAsia="zh-CN"/>
              </w:rPr>
              <w:t>.2</w:t>
            </w:r>
            <w:r>
              <w:rPr>
                <w:rFonts w:ascii="Times New Roman" w:hAnsi="Times New Roman"/>
                <w:color w:val="auto"/>
                <w:spacing w:val="-2"/>
                <w:sz w:val="21"/>
                <w:szCs w:val="21"/>
              </w:rPr>
              <w:t>m×0.</w:t>
            </w:r>
            <w:r>
              <w:rPr>
                <w:rFonts w:hint="eastAsia" w:ascii="Times New Roman" w:hAnsi="Times New Roman"/>
                <w:color w:val="auto"/>
                <w:spacing w:val="-2"/>
                <w:sz w:val="21"/>
                <w:szCs w:val="21"/>
                <w:lang w:val="en-US" w:eastAsia="zh-CN"/>
              </w:rPr>
              <w:t>5</w:t>
            </w:r>
            <w:r>
              <w:rPr>
                <w:rFonts w:ascii="Times New Roman" w:hAnsi="Times New Roman"/>
                <w:color w:val="auto"/>
                <w:spacing w:val="-2"/>
                <w:sz w:val="21"/>
                <w:szCs w:val="21"/>
              </w:rPr>
              <w:t>m</w:t>
            </w:r>
            <w:r>
              <w:rPr>
                <w:rFonts w:ascii="Times New Roman" w:hAnsi="Times New Roman"/>
                <w:color w:val="auto"/>
                <w:sz w:val="21"/>
                <w:szCs w:val="21"/>
              </w:rPr>
              <w:t>，</w:t>
            </w:r>
            <w:r>
              <w:rPr>
                <w:rFonts w:hint="eastAsia" w:ascii="Times New Roman" w:hAnsi="Times New Roman"/>
                <w:color w:val="auto"/>
                <w:sz w:val="21"/>
                <w:szCs w:val="21"/>
                <w:lang w:val="en-US" w:eastAsia="zh-CN"/>
              </w:rPr>
              <w:t>运行容积合计</w:t>
            </w:r>
            <w:r>
              <w:rPr>
                <w:rFonts w:hint="eastAsia" w:ascii="Times New Roman" w:hAnsi="Times New Roman"/>
                <w:color w:val="auto"/>
                <w:sz w:val="21"/>
                <w:szCs w:val="21"/>
                <w:lang w:eastAsia="zh-CN"/>
              </w:rPr>
              <w:t>为</w:t>
            </w:r>
            <w:r>
              <w:rPr>
                <w:rFonts w:hint="eastAsia" w:ascii="Times New Roman" w:hAnsi="Times New Roman"/>
                <w:color w:val="auto"/>
                <w:sz w:val="21"/>
                <w:szCs w:val="21"/>
                <w:lang w:val="en-US" w:eastAsia="zh-CN"/>
              </w:rPr>
              <w:t>3t，循环水池</w:t>
            </w:r>
            <w:r>
              <w:rPr>
                <w:rFonts w:hint="eastAsia" w:ascii="Times New Roman" w:hAnsi="Times New Roman"/>
                <w:color w:val="auto"/>
                <w:sz w:val="21"/>
                <w:szCs w:val="21"/>
              </w:rPr>
              <w:t>废水每年彻底清理一次，更换的废水采用新鲜水补充，则</w:t>
            </w:r>
            <w:r>
              <w:rPr>
                <w:rFonts w:hint="eastAsia" w:ascii="Times New Roman" w:hAnsi="Times New Roman"/>
                <w:color w:val="auto"/>
                <w:sz w:val="21"/>
                <w:szCs w:val="21"/>
                <w:lang w:val="en-US" w:eastAsia="zh-CN"/>
              </w:rPr>
              <w:t>循环水池</w:t>
            </w:r>
            <w:r>
              <w:rPr>
                <w:rFonts w:hint="eastAsia" w:ascii="Times New Roman" w:hAnsi="Times New Roman"/>
                <w:color w:val="auto"/>
                <w:sz w:val="21"/>
                <w:szCs w:val="21"/>
              </w:rPr>
              <w:t>补充水量为</w:t>
            </w:r>
            <w:r>
              <w:rPr>
                <w:rFonts w:hint="eastAsia" w:ascii="Times New Roman" w:hAnsi="Times New Roman"/>
                <w:color w:val="auto"/>
                <w:sz w:val="21"/>
                <w:szCs w:val="21"/>
                <w:lang w:val="en-US" w:eastAsia="zh-CN"/>
              </w:rPr>
              <w:t>3</w:t>
            </w:r>
            <w:r>
              <w:rPr>
                <w:rFonts w:hint="eastAsia" w:ascii="Times New Roman" w:hAnsi="Times New Roman"/>
                <w:color w:val="auto"/>
                <w:sz w:val="21"/>
                <w:szCs w:val="21"/>
              </w:rPr>
              <w:t>t/a。</w:t>
            </w:r>
          </w:p>
          <w:p w14:paraId="57F841EF">
            <w:pPr>
              <w:pStyle w:val="2"/>
              <w:ind w:firstLine="422" w:firstLineChars="200"/>
              <w:rPr>
                <w:b/>
                <w:bCs/>
                <w:color w:val="auto"/>
                <w:sz w:val="21"/>
                <w:szCs w:val="21"/>
              </w:rPr>
            </w:pPr>
            <w:r>
              <w:rPr>
                <w:rFonts w:hint="eastAsia"/>
                <w:b/>
                <w:bCs/>
                <w:color w:val="auto"/>
                <w:sz w:val="21"/>
                <w:szCs w:val="21"/>
              </w:rPr>
              <w:t>项目水平衡图如下：</w:t>
            </w:r>
          </w:p>
          <w:p w14:paraId="267B2E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color w:val="auto"/>
              </w:rPr>
            </w:pPr>
            <w:r>
              <w:rPr>
                <w:b/>
                <w:color w:val="auto"/>
              </w:rPr>
              <w:object>
                <v:shape id="_x0000_i1025" o:spt="75" type="#_x0000_t75" style="height:168.2pt;width:416.45pt;" o:ole="t" filled="f" o:preferrelative="t" stroked="f" coordsize="21600,21600">
                  <v:path/>
                  <v:fill on="f" focussize="0,0"/>
                  <v:stroke on="f"/>
                  <v:imagedata r:id="rId10" o:title=""/>
                  <o:lock v:ext="edit" aspectratio="f"/>
                  <w10:wrap type="none"/>
                  <w10:anchorlock/>
                </v:shape>
                <o:OLEObject Type="Embed" ProgID="Visio.Drawing.11" ShapeID="_x0000_i1025" DrawAspect="Content" ObjectID="_1468075725" r:id="rId9">
                  <o:LockedField>false</o:LockedField>
                </o:OLEObject>
              </w:object>
            </w:r>
          </w:p>
          <w:p w14:paraId="17779985">
            <w:pPr>
              <w:adjustRightInd w:val="0"/>
              <w:snapToGrid w:val="0"/>
              <w:spacing w:line="360" w:lineRule="auto"/>
              <w:jc w:val="center"/>
              <w:rPr>
                <w:b/>
                <w:color w:val="auto"/>
              </w:rPr>
            </w:pPr>
            <w:r>
              <w:rPr>
                <w:b/>
                <w:color w:val="auto"/>
              </w:rPr>
              <w:t>图2-</w:t>
            </w:r>
            <w:r>
              <w:rPr>
                <w:rFonts w:hint="eastAsia"/>
                <w:b/>
                <w:color w:val="auto"/>
                <w:lang w:val="en-US" w:eastAsia="zh-CN"/>
              </w:rPr>
              <w:t>1</w:t>
            </w:r>
            <w:r>
              <w:rPr>
                <w:rFonts w:hint="eastAsia"/>
                <w:b/>
                <w:color w:val="auto"/>
              </w:rPr>
              <w:t xml:space="preserve">   本项目</w:t>
            </w:r>
            <w:r>
              <w:rPr>
                <w:b/>
                <w:color w:val="auto"/>
              </w:rPr>
              <w:t>水平衡图（t/a）</w:t>
            </w:r>
          </w:p>
          <w:p w14:paraId="605C9C84">
            <w:pPr>
              <w:pageBreakBefore w:val="0"/>
              <w:widowControl w:val="0"/>
              <w:kinsoku/>
              <w:wordWrap/>
              <w:overflowPunct/>
              <w:topLinePunct w:val="0"/>
              <w:autoSpaceDE/>
              <w:autoSpaceDN/>
              <w:bidi w:val="0"/>
              <w:adjustRightInd w:val="0"/>
              <w:snapToGrid w:val="0"/>
              <w:spacing w:line="360" w:lineRule="auto"/>
              <w:textAlignment w:val="auto"/>
              <w:rPr>
                <w:rFonts w:hint="default"/>
                <w:b/>
                <w:bCs/>
                <w:color w:val="auto"/>
                <w:sz w:val="21"/>
                <w:szCs w:val="21"/>
                <w:lang w:val="en-US" w:eastAsia="zh-CN"/>
              </w:rPr>
            </w:pPr>
            <w:r>
              <w:rPr>
                <w:rFonts w:hint="eastAsia"/>
                <w:b/>
                <w:bCs/>
                <w:color w:val="auto"/>
                <w:sz w:val="21"/>
                <w:szCs w:val="21"/>
                <w:lang w:val="en-US" w:eastAsia="zh-CN"/>
              </w:rPr>
              <w:t>2.1.10 涂料平衡</w:t>
            </w:r>
          </w:p>
          <w:p w14:paraId="3E6C1C57">
            <w:pPr>
              <w:pStyle w:val="6"/>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eastAsia" w:eastAsia="宋体"/>
                <w:color w:val="auto"/>
                <w:sz w:val="21"/>
                <w:szCs w:val="21"/>
                <w:lang w:val="en-US" w:eastAsia="zh-CN"/>
              </w:rPr>
            </w:pPr>
            <w:r>
              <w:rPr>
                <w:b/>
                <w:color w:val="auto"/>
              </w:rPr>
              <w:object>
                <v:shape id="_x0000_i1026" o:spt="75" type="#_x0000_t75" style="height:252.35pt;width:419.5pt;" o:ole="t" filled="f" o:preferrelative="t" stroked="f" coordsize="21600,21600">
                  <v:path/>
                  <v:fill on="f" focussize="0,0"/>
                  <v:stroke on="f"/>
                  <v:imagedata r:id="rId12" o:title=""/>
                  <o:lock v:ext="edit" aspectratio="f"/>
                  <w10:wrap type="none"/>
                  <w10:anchorlock/>
                </v:shape>
                <o:OLEObject Type="Embed" ProgID="Visio.Drawing.11" ShapeID="_x0000_i1026" DrawAspect="Content" ObjectID="_1468075726" r:id="rId11">
                  <o:LockedField>false</o:LockedField>
                </o:OLEObject>
              </w:object>
            </w:r>
            <w:r>
              <w:rPr>
                <w:rFonts w:hint="eastAsia"/>
                <w:b/>
                <w:color w:val="auto"/>
                <w:lang w:val="en-US" w:eastAsia="zh-CN"/>
              </w:rPr>
              <w:t xml:space="preserve"> </w:t>
            </w:r>
          </w:p>
          <w:p w14:paraId="7E291800">
            <w:pPr>
              <w:pageBreakBefore w:val="0"/>
              <w:widowControl w:val="0"/>
              <w:kinsoku/>
              <w:wordWrap/>
              <w:overflowPunct/>
              <w:topLinePunct w:val="0"/>
              <w:autoSpaceDE/>
              <w:autoSpaceDN/>
              <w:bidi w:val="0"/>
              <w:adjustRightInd w:val="0"/>
              <w:snapToGrid w:val="0"/>
              <w:spacing w:line="360" w:lineRule="auto"/>
              <w:jc w:val="center"/>
              <w:textAlignment w:val="auto"/>
              <w:rPr>
                <w:rFonts w:hint="default"/>
                <w:b/>
                <w:bCs/>
                <w:color w:val="auto"/>
                <w:sz w:val="21"/>
                <w:szCs w:val="21"/>
                <w:lang w:val="en-US" w:eastAsia="zh-CN"/>
              </w:rPr>
            </w:pPr>
            <w:r>
              <w:rPr>
                <w:rFonts w:hint="eastAsia"/>
                <w:b/>
                <w:bCs/>
                <w:color w:val="auto"/>
                <w:sz w:val="21"/>
                <w:szCs w:val="21"/>
                <w:lang w:val="en-US" w:eastAsia="zh-CN"/>
              </w:rPr>
              <w:t>图2-2   水性涂料平衡（t/a）</w:t>
            </w:r>
          </w:p>
          <w:p w14:paraId="1799DB06">
            <w:pPr>
              <w:pStyle w:val="6"/>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eastAsia"/>
                <w:color w:val="auto"/>
                <w:sz w:val="21"/>
                <w:szCs w:val="21"/>
                <w:lang w:val="en-US" w:eastAsia="zh-CN"/>
              </w:rPr>
            </w:pPr>
            <w:r>
              <w:rPr>
                <w:b/>
                <w:color w:val="auto"/>
              </w:rPr>
              <w:object>
                <v:shape id="_x0000_i1027" o:spt="75" type="#_x0000_t75" style="height:252.35pt;width:419.5pt;" o:ole="t" filled="f" o:preferrelative="t" stroked="f" coordsize="21600,21600">
                  <v:path/>
                  <v:fill on="f" focussize="0,0"/>
                  <v:stroke on="f"/>
                  <v:imagedata r:id="rId14" o:title=""/>
                  <o:lock v:ext="edit" aspectratio="f"/>
                  <w10:wrap type="none"/>
                  <w10:anchorlock/>
                </v:shape>
                <o:OLEObject Type="Embed" ProgID="Visio.Drawing.11" ShapeID="_x0000_i1027" DrawAspect="Content" ObjectID="_1468075727" r:id="rId13">
                  <o:LockedField>false</o:LockedField>
                </o:OLEObject>
              </w:object>
            </w:r>
          </w:p>
          <w:p w14:paraId="78902643">
            <w:pPr>
              <w:pageBreakBefore w:val="0"/>
              <w:widowControl w:val="0"/>
              <w:kinsoku/>
              <w:wordWrap/>
              <w:overflowPunct/>
              <w:topLinePunct w:val="0"/>
              <w:autoSpaceDE/>
              <w:autoSpaceDN/>
              <w:bidi w:val="0"/>
              <w:adjustRightInd w:val="0"/>
              <w:snapToGrid w:val="0"/>
              <w:spacing w:line="360" w:lineRule="auto"/>
              <w:jc w:val="center"/>
              <w:textAlignment w:val="auto"/>
              <w:rPr>
                <w:rFonts w:hint="default"/>
                <w:b/>
                <w:bCs/>
                <w:color w:val="auto"/>
                <w:sz w:val="21"/>
                <w:szCs w:val="21"/>
                <w:lang w:val="en-US" w:eastAsia="zh-CN"/>
              </w:rPr>
            </w:pPr>
            <w:r>
              <w:rPr>
                <w:rFonts w:hint="eastAsia"/>
                <w:b/>
                <w:bCs/>
                <w:color w:val="auto"/>
                <w:sz w:val="21"/>
                <w:szCs w:val="21"/>
                <w:lang w:val="en-US" w:eastAsia="zh-CN"/>
              </w:rPr>
              <w:t>图2-3   溶剂型涂料平衡（t/a）</w:t>
            </w:r>
          </w:p>
          <w:p w14:paraId="43E2D3CE">
            <w:pPr>
              <w:pStyle w:val="6"/>
              <w:keepNext/>
              <w:keepLines/>
              <w:pageBreakBefore w:val="0"/>
              <w:widowControl w:val="0"/>
              <w:kinsoku/>
              <w:wordWrap/>
              <w:overflowPunct/>
              <w:topLinePunct w:val="0"/>
              <w:autoSpaceDE/>
              <w:autoSpaceDN/>
              <w:bidi w:val="0"/>
              <w:adjustRightInd w:val="0"/>
              <w:snapToGrid w:val="0"/>
              <w:spacing w:before="0" w:after="0" w:line="360" w:lineRule="auto"/>
              <w:textAlignment w:val="auto"/>
              <w:rPr>
                <w:rFonts w:hint="default"/>
                <w:color w:val="auto"/>
                <w:sz w:val="21"/>
                <w:szCs w:val="21"/>
                <w:lang w:val="en-US" w:eastAsia="zh-CN"/>
              </w:rPr>
            </w:pPr>
            <w:r>
              <w:rPr>
                <w:rFonts w:hint="eastAsia"/>
                <w:color w:val="auto"/>
                <w:sz w:val="21"/>
                <w:szCs w:val="21"/>
                <w:lang w:val="en-US" w:eastAsia="zh-CN"/>
              </w:rPr>
              <w:t>2.1.11 VOCs平衡</w:t>
            </w:r>
          </w:p>
          <w:p w14:paraId="0C6A959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sz w:val="21"/>
                <w:szCs w:val="21"/>
                <w:lang w:val="en-US" w:eastAsia="zh-CN"/>
              </w:rPr>
            </w:pPr>
            <w:r>
              <w:rPr>
                <w:rFonts w:hint="eastAsia"/>
                <w:color w:val="auto"/>
              </w:rPr>
              <w:t>本项目有机废气的产生包括</w:t>
            </w:r>
            <w:r>
              <w:rPr>
                <w:rFonts w:hint="eastAsia"/>
                <w:color w:val="auto"/>
                <w:lang w:val="en-US" w:eastAsia="zh-CN"/>
              </w:rPr>
              <w:t>油性漆</w:t>
            </w:r>
            <w:r>
              <w:rPr>
                <w:rFonts w:hint="eastAsia"/>
                <w:color w:val="auto"/>
              </w:rPr>
              <w:t>（含</w:t>
            </w:r>
            <w:r>
              <w:rPr>
                <w:rFonts w:hint="eastAsia"/>
                <w:color w:val="auto"/>
                <w:lang w:val="en-US" w:eastAsia="zh-CN"/>
              </w:rPr>
              <w:t>固化剂、</w:t>
            </w:r>
            <w:r>
              <w:rPr>
                <w:rFonts w:hint="eastAsia"/>
                <w:color w:val="auto"/>
              </w:rPr>
              <w:t>稀释剂）中V</w:t>
            </w:r>
            <w:r>
              <w:rPr>
                <w:color w:val="auto"/>
              </w:rPr>
              <w:t>OCs</w:t>
            </w:r>
            <w:r>
              <w:rPr>
                <w:rFonts w:hint="eastAsia"/>
                <w:color w:val="auto"/>
              </w:rPr>
              <w:t>的含量，</w:t>
            </w:r>
            <w:r>
              <w:rPr>
                <w:rFonts w:hint="eastAsia"/>
                <w:color w:val="auto"/>
                <w:lang w:val="en-US" w:eastAsia="zh-CN"/>
              </w:rPr>
              <w:t>水性漆</w:t>
            </w:r>
            <w:r>
              <w:rPr>
                <w:rFonts w:hint="eastAsia"/>
                <w:color w:val="auto"/>
              </w:rPr>
              <w:t>中V</w:t>
            </w:r>
            <w:r>
              <w:rPr>
                <w:color w:val="auto"/>
              </w:rPr>
              <w:t>OCs</w:t>
            </w:r>
            <w:r>
              <w:rPr>
                <w:rFonts w:hint="eastAsia"/>
                <w:color w:val="auto"/>
              </w:rPr>
              <w:t>的含量</w:t>
            </w:r>
            <w:r>
              <w:rPr>
                <w:rFonts w:hint="eastAsia"/>
                <w:color w:val="auto"/>
                <w:lang w:eastAsia="zh-CN"/>
              </w:rPr>
              <w:t>，</w:t>
            </w:r>
            <w:r>
              <w:rPr>
                <w:rFonts w:hint="eastAsia"/>
                <w:color w:val="auto"/>
                <w:lang w:val="en-US" w:eastAsia="zh-CN"/>
              </w:rPr>
              <w:t>白乳胶、热熔胶、擦色剂中VOCs的含量</w:t>
            </w:r>
            <w:r>
              <w:rPr>
                <w:rFonts w:hint="eastAsia"/>
                <w:color w:val="auto"/>
              </w:rPr>
              <w:t>。本项目V</w:t>
            </w:r>
            <w:r>
              <w:rPr>
                <w:color w:val="auto"/>
              </w:rPr>
              <w:t>OCs</w:t>
            </w:r>
            <w:r>
              <w:rPr>
                <w:rFonts w:hint="eastAsia"/>
                <w:color w:val="auto"/>
              </w:rPr>
              <w:t>平衡详见下图：</w:t>
            </w:r>
          </w:p>
          <w:p w14:paraId="188FF88F">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eastAsia"/>
                <w:color w:val="auto"/>
                <w:sz w:val="21"/>
                <w:szCs w:val="21"/>
                <w:lang w:val="en-US" w:eastAsia="zh-CN"/>
              </w:rPr>
            </w:pPr>
            <w:r>
              <w:rPr>
                <w:b/>
                <w:color w:val="auto"/>
              </w:rPr>
              <w:object>
                <v:shape id="_x0000_i1028" o:spt="75" type="#_x0000_t75" style="height:121.45pt;width:287.6pt;" o:ole="t" filled="f" o:preferrelative="t" stroked="f" coordsize="21600,21600">
                  <v:path/>
                  <v:fill on="f" focussize="0,0"/>
                  <v:stroke on="f"/>
                  <v:imagedata r:id="rId16" o:title=""/>
                  <o:lock v:ext="edit" aspectratio="f"/>
                  <w10:wrap type="none"/>
                  <w10:anchorlock/>
                </v:shape>
                <o:OLEObject Type="Embed" ProgID="Visio.Drawing.11" ShapeID="_x0000_i1028" DrawAspect="Content" ObjectID="_1468075728" r:id="rId15">
                  <o:LockedField>false</o:LockedField>
                </o:OLEObject>
              </w:object>
            </w:r>
          </w:p>
          <w:p w14:paraId="3D0500D0">
            <w:pPr>
              <w:pageBreakBefore w:val="0"/>
              <w:widowControl w:val="0"/>
              <w:kinsoku/>
              <w:wordWrap/>
              <w:overflowPunct/>
              <w:topLinePunct w:val="0"/>
              <w:autoSpaceDE/>
              <w:autoSpaceDN/>
              <w:bidi w:val="0"/>
              <w:adjustRightInd w:val="0"/>
              <w:snapToGrid w:val="0"/>
              <w:spacing w:line="360" w:lineRule="auto"/>
              <w:jc w:val="center"/>
              <w:textAlignment w:val="auto"/>
              <w:rPr>
                <w:rFonts w:hint="default"/>
                <w:b/>
                <w:bCs/>
                <w:color w:val="auto"/>
                <w:sz w:val="21"/>
                <w:szCs w:val="21"/>
                <w:lang w:val="en-US" w:eastAsia="zh-CN"/>
              </w:rPr>
            </w:pPr>
            <w:r>
              <w:rPr>
                <w:rFonts w:hint="eastAsia"/>
                <w:b/>
                <w:bCs/>
                <w:color w:val="auto"/>
                <w:sz w:val="21"/>
                <w:szCs w:val="21"/>
                <w:lang w:val="en-US" w:eastAsia="zh-CN"/>
              </w:rPr>
              <w:t>图2-4   VOCs平衡（t/a）</w:t>
            </w:r>
          </w:p>
          <w:p w14:paraId="5EB8D232">
            <w:pPr>
              <w:pStyle w:val="6"/>
              <w:keepNext/>
              <w:keepLines/>
              <w:pageBreakBefore w:val="0"/>
              <w:widowControl w:val="0"/>
              <w:kinsoku/>
              <w:wordWrap/>
              <w:overflowPunct/>
              <w:topLinePunct w:val="0"/>
              <w:autoSpaceDE/>
              <w:autoSpaceDN/>
              <w:bidi w:val="0"/>
              <w:adjustRightInd w:val="0"/>
              <w:snapToGrid w:val="0"/>
              <w:spacing w:before="0" w:after="0" w:line="360" w:lineRule="auto"/>
              <w:textAlignment w:val="auto"/>
              <w:rPr>
                <w:rFonts w:hint="default"/>
                <w:color w:val="auto"/>
                <w:sz w:val="21"/>
                <w:szCs w:val="21"/>
                <w:lang w:val="en-US" w:eastAsia="zh-CN"/>
              </w:rPr>
            </w:pPr>
            <w:r>
              <w:rPr>
                <w:rFonts w:hint="eastAsia"/>
                <w:color w:val="auto"/>
                <w:sz w:val="21"/>
                <w:szCs w:val="21"/>
                <w:lang w:val="en-US" w:eastAsia="zh-CN"/>
              </w:rPr>
              <w:t>2.1.12 苯系物平衡</w:t>
            </w:r>
          </w:p>
          <w:p w14:paraId="616D66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lang w:val="en-US" w:eastAsia="zh-CN"/>
              </w:rPr>
            </w:pPr>
            <w:r>
              <w:rPr>
                <w:b/>
                <w:color w:val="auto"/>
              </w:rPr>
              <w:object>
                <v:shape id="_x0000_i1029" o:spt="75" type="#_x0000_t75" style="height:121.45pt;width:287.6pt;" o:ole="t" filled="f" o:preferrelative="t" stroked="f" coordsize="21600,21600">
                  <v:path/>
                  <v:fill on="f" focussize="0,0"/>
                  <v:stroke on="f"/>
                  <v:imagedata r:id="rId18" o:title=""/>
                  <o:lock v:ext="edit" aspectratio="f"/>
                  <w10:wrap type="none"/>
                  <w10:anchorlock/>
                </v:shape>
                <o:OLEObject Type="Embed" ProgID="Visio.Drawing.11" ShapeID="_x0000_i1029" DrawAspect="Content" ObjectID="_1468075729" r:id="rId17">
                  <o:LockedField>false</o:LockedField>
                </o:OLEObject>
              </w:object>
            </w:r>
          </w:p>
          <w:p w14:paraId="0656B097">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color w:val="auto"/>
                <w:lang w:val="en-US" w:eastAsia="zh-CN"/>
              </w:rPr>
            </w:pPr>
            <w:r>
              <w:rPr>
                <w:rFonts w:hint="eastAsia"/>
                <w:b/>
                <w:bCs/>
                <w:color w:val="auto"/>
                <w:lang w:val="en-US" w:eastAsia="zh-CN"/>
              </w:rPr>
              <w:t>图2-5   苯系物平衡（t/a）</w:t>
            </w:r>
          </w:p>
          <w:p w14:paraId="385DCC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lang w:val="en-US" w:eastAsia="zh-CN"/>
              </w:rPr>
            </w:pPr>
            <w:r>
              <w:rPr>
                <w:b/>
                <w:color w:val="auto"/>
              </w:rPr>
              <w:object>
                <v:shape id="_x0000_i1030" o:spt="75" type="#_x0000_t75" style="height:121.45pt;width:287.6pt;" o:ole="t" filled="f" o:preferrelative="t" stroked="f" coordsize="21600,21600">
                  <v:path/>
                  <v:fill on="f" focussize="0,0"/>
                  <v:stroke on="f"/>
                  <v:imagedata r:id="rId20" o:title=""/>
                  <o:lock v:ext="edit" aspectratio="f"/>
                  <w10:wrap type="none"/>
                  <w10:anchorlock/>
                </v:shape>
                <o:OLEObject Type="Embed" ProgID="Visio.Drawing.11" ShapeID="_x0000_i1030" DrawAspect="Content" ObjectID="_1468075730" r:id="rId19">
                  <o:LockedField>false</o:LockedField>
                </o:OLEObject>
              </w:object>
            </w:r>
          </w:p>
          <w:p w14:paraId="0783B687">
            <w:pPr>
              <w:adjustRightInd w:val="0"/>
              <w:snapToGrid w:val="0"/>
              <w:spacing w:line="360" w:lineRule="auto"/>
              <w:jc w:val="center"/>
              <w:rPr>
                <w:rFonts w:hint="eastAsia"/>
                <w:b/>
                <w:bCs/>
                <w:color w:val="auto"/>
                <w:lang w:val="en-US" w:eastAsia="zh-CN"/>
              </w:rPr>
            </w:pPr>
            <w:r>
              <w:rPr>
                <w:rFonts w:hint="eastAsia"/>
                <w:b/>
                <w:bCs/>
                <w:color w:val="auto"/>
                <w:lang w:val="en-US" w:eastAsia="zh-CN"/>
              </w:rPr>
              <w:t>图2-6   二甲苯平衡（t/a）</w:t>
            </w:r>
          </w:p>
          <w:p w14:paraId="357468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lang w:val="en-US" w:eastAsia="zh-CN"/>
              </w:rPr>
            </w:pPr>
            <w:r>
              <w:rPr>
                <w:b/>
                <w:color w:val="auto"/>
              </w:rPr>
              <w:object>
                <v:shape id="_x0000_i1031" o:spt="75" type="#_x0000_t75" style="height:121.45pt;width:287.6pt;" o:ole="t" filled="f" o:preferrelative="t" stroked="f" coordsize="21600,21600">
                  <v:path/>
                  <v:fill on="f" focussize="0,0"/>
                  <v:stroke on="f"/>
                  <v:imagedata r:id="rId22" o:title=""/>
                  <o:lock v:ext="edit" aspectratio="f"/>
                  <w10:wrap type="none"/>
                  <w10:anchorlock/>
                </v:shape>
                <o:OLEObject Type="Embed" ProgID="Visio.Drawing.11" ShapeID="_x0000_i1031" DrawAspect="Content" ObjectID="_1468075731" r:id="rId21">
                  <o:LockedField>false</o:LockedField>
                </o:OLEObject>
              </w:object>
            </w:r>
          </w:p>
          <w:p w14:paraId="055FC3B1">
            <w:pPr>
              <w:adjustRightInd w:val="0"/>
              <w:snapToGrid w:val="0"/>
              <w:spacing w:line="360" w:lineRule="auto"/>
              <w:jc w:val="center"/>
              <w:rPr>
                <w:rFonts w:hint="default"/>
                <w:b/>
                <w:bCs/>
                <w:color w:val="auto"/>
                <w:lang w:val="en-US" w:eastAsia="zh-CN"/>
              </w:rPr>
            </w:pPr>
            <w:r>
              <w:rPr>
                <w:rFonts w:hint="eastAsia"/>
                <w:b/>
                <w:bCs/>
                <w:color w:val="auto"/>
                <w:lang w:val="en-US" w:eastAsia="zh-CN"/>
              </w:rPr>
              <w:t>图2-7   三甲苯平衡（t/a）</w:t>
            </w:r>
          </w:p>
        </w:tc>
      </w:tr>
      <w:tr w14:paraId="42DEE8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876" w:hRule="atLeast"/>
          <w:jc w:val="center"/>
        </w:trPr>
        <w:tc>
          <w:tcPr>
            <w:tcW w:w="521" w:type="dxa"/>
            <w:vAlign w:val="center"/>
          </w:tcPr>
          <w:p w14:paraId="000E458A">
            <w:pPr>
              <w:pStyle w:val="55"/>
              <w:rPr>
                <w:color w:val="auto"/>
                <w:sz w:val="21"/>
                <w:szCs w:val="21"/>
              </w:rPr>
            </w:pPr>
            <w:r>
              <w:rPr>
                <w:color w:val="auto"/>
                <w:sz w:val="21"/>
                <w:szCs w:val="21"/>
              </w:rPr>
              <w:t>工艺流程和产排污环节</w:t>
            </w:r>
          </w:p>
        </w:tc>
        <w:tc>
          <w:tcPr>
            <w:tcW w:w="8765" w:type="dxa"/>
          </w:tcPr>
          <w:p w14:paraId="07F9343F">
            <w:pPr>
              <w:autoSpaceDE w:val="0"/>
              <w:autoSpaceDN w:val="0"/>
              <w:adjustRightInd w:val="0"/>
              <w:snapToGrid w:val="0"/>
              <w:spacing w:line="360" w:lineRule="auto"/>
              <w:jc w:val="left"/>
              <w:rPr>
                <w:b/>
                <w:color w:val="auto"/>
                <w:kern w:val="0"/>
              </w:rPr>
            </w:pPr>
            <w:r>
              <w:rPr>
                <w:b/>
                <w:color w:val="auto"/>
              </w:rPr>
              <w:t>2.2 工艺流程和产排污环节</w:t>
            </w:r>
          </w:p>
          <w:p w14:paraId="36AD5885">
            <w:pPr>
              <w:autoSpaceDE w:val="0"/>
              <w:autoSpaceDN w:val="0"/>
              <w:adjustRightInd w:val="0"/>
              <w:snapToGrid w:val="0"/>
              <w:spacing w:line="360" w:lineRule="auto"/>
              <w:jc w:val="left"/>
              <w:rPr>
                <w:b/>
                <w:color w:val="auto"/>
              </w:rPr>
            </w:pPr>
            <w:r>
              <w:rPr>
                <w:b/>
                <w:color w:val="auto"/>
              </w:rPr>
              <w:t>2.2.1 工艺流程简介</w:t>
            </w:r>
          </w:p>
          <w:p w14:paraId="77469584">
            <w:pPr>
              <w:spacing w:line="360" w:lineRule="auto"/>
              <w:ind w:firstLine="420" w:firstLineChars="200"/>
              <w:rPr>
                <w:color w:val="auto"/>
              </w:rPr>
            </w:pPr>
            <w:r>
              <w:rPr>
                <w:color w:val="auto"/>
              </w:rPr>
              <w:t>本项目</w:t>
            </w:r>
            <w:r>
              <w:rPr>
                <w:rFonts w:hint="eastAsia"/>
                <w:color w:val="auto"/>
                <w:lang w:val="en-US" w:eastAsia="zh-CN"/>
              </w:rPr>
              <w:t>产品</w:t>
            </w:r>
            <w:r>
              <w:rPr>
                <w:color w:val="auto"/>
              </w:rPr>
              <w:t>为</w:t>
            </w:r>
            <w:r>
              <w:rPr>
                <w:rFonts w:hint="eastAsia"/>
                <w:color w:val="auto"/>
                <w:lang w:val="en-US" w:eastAsia="zh-CN"/>
              </w:rPr>
              <w:t>办公家具、民用家具</w:t>
            </w:r>
            <w:r>
              <w:rPr>
                <w:color w:val="auto"/>
              </w:rPr>
              <w:t>，</w:t>
            </w:r>
            <w:r>
              <w:rPr>
                <w:rFonts w:hint="eastAsia"/>
                <w:color w:val="auto"/>
                <w:lang w:val="en-US" w:eastAsia="zh-CN"/>
              </w:rPr>
              <w:t>生产工艺流程如下所示：</w:t>
            </w:r>
          </w:p>
          <w:p w14:paraId="4F2F6C80">
            <w:pPr>
              <w:spacing w:line="360" w:lineRule="auto"/>
              <w:ind w:firstLine="422" w:firstLineChars="200"/>
              <w:rPr>
                <w:b/>
                <w:bCs/>
                <w:color w:val="auto"/>
                <w:kern w:val="0"/>
                <w:sz w:val="21"/>
              </w:rPr>
            </w:pPr>
            <w:r>
              <w:rPr>
                <w:rFonts w:hint="eastAsia"/>
                <w:b/>
                <w:bCs/>
                <w:color w:val="auto"/>
                <w:kern w:val="0"/>
                <w:sz w:val="21"/>
              </w:rPr>
              <w:t>①</w:t>
            </w:r>
            <w:r>
              <w:rPr>
                <w:rFonts w:hint="eastAsia"/>
                <w:b/>
                <w:bCs/>
                <w:color w:val="auto"/>
                <w:kern w:val="0"/>
                <w:sz w:val="21"/>
                <w:lang w:val="en-US" w:eastAsia="zh-CN"/>
              </w:rPr>
              <w:t>免漆家具</w:t>
            </w:r>
            <w:r>
              <w:rPr>
                <w:b/>
                <w:bCs/>
                <w:color w:val="auto"/>
                <w:kern w:val="0"/>
                <w:sz w:val="21"/>
              </w:rPr>
              <w:t>生产工艺流程图</w:t>
            </w:r>
            <w:r>
              <w:rPr>
                <w:rFonts w:hint="eastAsia"/>
                <w:b/>
                <w:bCs/>
                <w:color w:val="auto"/>
                <w:kern w:val="0"/>
                <w:sz w:val="21"/>
              </w:rPr>
              <w:t>如下</w:t>
            </w:r>
            <w:r>
              <w:rPr>
                <w:b/>
                <w:bCs/>
                <w:color w:val="auto"/>
                <w:kern w:val="0"/>
                <w:sz w:val="21"/>
              </w:rPr>
              <w:t>：</w:t>
            </w:r>
          </w:p>
          <w:p w14:paraId="2F6B43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b/>
                <w:color w:val="auto"/>
              </w:rPr>
            </w:pPr>
            <w:r>
              <w:rPr>
                <w:rFonts w:cs="宋体"/>
                <w:b/>
                <w:color w:val="auto"/>
              </w:rPr>
              <w:object>
                <v:shape id="_x0000_i1032" o:spt="75" type="#_x0000_t75" style="height:495.75pt;width:282.75pt;" o:ole="t" filled="f" o:preferrelative="t" stroked="f" coordsize="21600,21600">
                  <v:path/>
                  <v:fill on="f" focussize="0,0"/>
                  <v:stroke on="f"/>
                  <v:imagedata r:id="rId24" o:title=""/>
                  <o:lock v:ext="edit" aspectratio="f"/>
                  <w10:wrap type="none"/>
                  <w10:anchorlock/>
                </v:shape>
                <o:OLEObject Type="Embed" ProgID="Visio.Drawing.11" ShapeID="_x0000_i1032" DrawAspect="Content" ObjectID="_1468075732" r:id="rId23">
                  <o:LockedField>false</o:LockedField>
                </o:OLEObject>
              </w:object>
            </w:r>
          </w:p>
          <w:p w14:paraId="3FBE8DD7">
            <w:pPr>
              <w:adjustRightInd w:val="0"/>
              <w:snapToGrid w:val="0"/>
              <w:spacing w:line="360" w:lineRule="auto"/>
              <w:jc w:val="center"/>
              <w:rPr>
                <w:rFonts w:cs="宋体"/>
                <w:b/>
                <w:color w:val="auto"/>
              </w:rPr>
            </w:pPr>
            <w:r>
              <w:rPr>
                <w:rFonts w:hint="eastAsia" w:cs="宋体"/>
                <w:b/>
                <w:color w:val="auto"/>
              </w:rPr>
              <w:t>图2-</w:t>
            </w:r>
            <w:r>
              <w:rPr>
                <w:rFonts w:hint="eastAsia" w:cs="宋体"/>
                <w:b/>
                <w:color w:val="auto"/>
                <w:lang w:val="en-US" w:eastAsia="zh-CN"/>
              </w:rPr>
              <w:t>8</w:t>
            </w:r>
            <w:r>
              <w:rPr>
                <w:rFonts w:hint="eastAsia" w:cs="宋体"/>
                <w:b/>
                <w:color w:val="auto"/>
              </w:rPr>
              <w:t xml:space="preserve">   </w:t>
            </w:r>
            <w:r>
              <w:rPr>
                <w:rFonts w:hint="eastAsia"/>
                <w:b/>
                <w:bCs/>
                <w:color w:val="auto"/>
                <w:kern w:val="0"/>
                <w:sz w:val="21"/>
                <w:lang w:val="en-US" w:eastAsia="zh-CN"/>
              </w:rPr>
              <w:t>免漆家具</w:t>
            </w:r>
            <w:r>
              <w:rPr>
                <w:rFonts w:hint="eastAsia" w:cs="宋体"/>
                <w:b/>
                <w:color w:val="auto"/>
              </w:rPr>
              <w:t>生产工艺流程图</w:t>
            </w:r>
          </w:p>
          <w:p w14:paraId="07D27298">
            <w:pPr>
              <w:adjustRightInd w:val="0"/>
              <w:snapToGrid w:val="0"/>
              <w:spacing w:line="360" w:lineRule="auto"/>
              <w:ind w:firstLine="422" w:firstLineChars="200"/>
              <w:rPr>
                <w:b/>
                <w:color w:val="auto"/>
              </w:rPr>
            </w:pPr>
            <w:r>
              <w:rPr>
                <w:rFonts w:hint="eastAsia"/>
                <w:b/>
                <w:color w:val="auto"/>
              </w:rPr>
              <w:t>具体工艺简述如下：</w:t>
            </w:r>
          </w:p>
          <w:p w14:paraId="5875ED4A">
            <w:pPr>
              <w:adjustRightInd w:val="0"/>
              <w:snapToGrid w:val="0"/>
              <w:spacing w:line="360" w:lineRule="auto"/>
              <w:ind w:firstLine="422" w:firstLineChars="200"/>
              <w:rPr>
                <w:b/>
                <w:color w:val="auto"/>
              </w:rPr>
            </w:pPr>
            <w:r>
              <w:rPr>
                <w:rFonts w:hint="eastAsia"/>
                <w:b/>
                <w:color w:val="auto"/>
              </w:rPr>
              <w:t>（1）</w:t>
            </w:r>
            <w:r>
              <w:rPr>
                <w:rFonts w:hint="eastAsia"/>
                <w:b/>
                <w:color w:val="auto"/>
                <w:lang w:val="en-US" w:eastAsia="zh-CN"/>
              </w:rPr>
              <w:t>开料、刨平、铣型</w:t>
            </w:r>
            <w:r>
              <w:rPr>
                <w:rFonts w:hint="eastAsia"/>
                <w:b/>
                <w:color w:val="auto"/>
              </w:rPr>
              <w:t>：</w:t>
            </w:r>
          </w:p>
          <w:p w14:paraId="2B591C63">
            <w:pPr>
              <w:adjustRightInd w:val="0"/>
              <w:snapToGrid w:val="0"/>
              <w:spacing w:line="360" w:lineRule="auto"/>
              <w:ind w:firstLine="420" w:firstLineChars="200"/>
              <w:rPr>
                <w:rFonts w:hint="default" w:eastAsia="宋体"/>
                <w:b w:val="0"/>
                <w:bCs/>
                <w:color w:val="auto"/>
                <w:lang w:val="en-US" w:eastAsia="zh-CN"/>
              </w:rPr>
            </w:pPr>
            <w:r>
              <w:rPr>
                <w:rFonts w:hint="eastAsia"/>
                <w:b w:val="0"/>
                <w:bCs/>
                <w:color w:val="auto"/>
                <w:lang w:val="en-US" w:eastAsia="zh-CN"/>
              </w:rPr>
              <w:t>根据需要选择板材（免漆板、多层板），使用裁板机、推台锯、带锯和开料机将板材裁切成所需规格尺寸；使用平刨床、压刨机将板材刨平、刨直；使用铣床、镂铣床加工板材得到所需形状及凹槽。防火板仅进行开料，得到所需规格尺寸。此过程产生开料、刨平、铣型粉尘G1-1、木屑S1-1、边角料S1-2。</w:t>
            </w:r>
          </w:p>
          <w:p w14:paraId="625AC58D">
            <w:pPr>
              <w:adjustRightInd w:val="0"/>
              <w:snapToGrid w:val="0"/>
              <w:spacing w:line="360" w:lineRule="auto"/>
              <w:ind w:firstLine="422" w:firstLineChars="200"/>
              <w:rPr>
                <w:b/>
                <w:color w:val="auto"/>
              </w:rPr>
            </w:pPr>
            <w:r>
              <w:rPr>
                <w:rFonts w:hint="eastAsia"/>
                <w:b/>
                <w:color w:val="auto"/>
              </w:rPr>
              <w:t>（2）</w:t>
            </w:r>
            <w:r>
              <w:rPr>
                <w:rFonts w:hint="eastAsia"/>
                <w:b/>
                <w:color w:val="auto"/>
                <w:lang w:val="en-US" w:eastAsia="zh-CN"/>
              </w:rPr>
              <w:t>砂磨</w:t>
            </w:r>
            <w:r>
              <w:rPr>
                <w:rFonts w:hint="eastAsia"/>
                <w:b/>
                <w:color w:val="auto"/>
              </w:rPr>
              <w:t>：</w:t>
            </w:r>
          </w:p>
          <w:p w14:paraId="7F2A06DE">
            <w:pPr>
              <w:adjustRightInd w:val="0"/>
              <w:snapToGrid w:val="0"/>
              <w:spacing w:line="360" w:lineRule="auto"/>
              <w:ind w:firstLine="420" w:firstLineChars="200"/>
              <w:rPr>
                <w:rFonts w:hint="default"/>
                <w:bCs/>
                <w:color w:val="auto"/>
                <w:lang w:val="en-US"/>
              </w:rPr>
            </w:pPr>
            <w:r>
              <w:rPr>
                <w:rFonts w:hint="eastAsia"/>
                <w:bCs/>
                <w:color w:val="auto"/>
                <w:sz w:val="21"/>
                <w:lang w:val="en-US" w:eastAsia="zh-CN"/>
              </w:rPr>
              <w:t>使用砂光机、振荡砂光机将板材表面砂磨光滑。此过程产生砂磨粉尘G1-2。</w:t>
            </w:r>
          </w:p>
          <w:p w14:paraId="310A7EF7">
            <w:pPr>
              <w:adjustRightInd w:val="0"/>
              <w:snapToGrid w:val="0"/>
              <w:spacing w:line="360" w:lineRule="auto"/>
              <w:ind w:firstLine="422" w:firstLineChars="200"/>
              <w:rPr>
                <w:rFonts w:hint="default" w:eastAsia="宋体"/>
                <w:b/>
                <w:color w:val="auto"/>
                <w:lang w:val="en-US" w:eastAsia="zh-CN"/>
              </w:rPr>
            </w:pPr>
            <w:r>
              <w:rPr>
                <w:rFonts w:hint="eastAsia"/>
                <w:b/>
                <w:color w:val="auto"/>
                <w:lang w:eastAsia="zh-CN"/>
              </w:rPr>
              <w:t>（</w:t>
            </w:r>
            <w:r>
              <w:rPr>
                <w:rFonts w:hint="eastAsia"/>
                <w:b/>
                <w:color w:val="auto"/>
                <w:lang w:val="en-US" w:eastAsia="zh-CN"/>
              </w:rPr>
              <w:t>3</w:t>
            </w:r>
            <w:r>
              <w:rPr>
                <w:rFonts w:hint="eastAsia"/>
                <w:b/>
                <w:color w:val="auto"/>
                <w:lang w:eastAsia="zh-CN"/>
              </w:rPr>
              <w:t>）</w:t>
            </w:r>
            <w:r>
              <w:rPr>
                <w:rFonts w:hint="eastAsia"/>
                <w:b/>
                <w:color w:val="auto"/>
                <w:lang w:val="en-US" w:eastAsia="zh-CN"/>
              </w:rPr>
              <w:t>粘贴冷压：</w:t>
            </w:r>
            <w:r>
              <w:rPr>
                <w:rFonts w:hint="eastAsia"/>
                <w:b w:val="0"/>
                <w:bCs/>
                <w:color w:val="auto"/>
                <w:lang w:val="en-US" w:eastAsia="zh-CN"/>
              </w:rPr>
              <w:t>根据需要使用涂胶机将板材单面涂白乳胶，涂胶后将板材和防火板进行贴合后冷压，胶水自然固化，冷压机单次冷压时间为2-3h。此过程产生白乳胶挥发废气G1-3。</w:t>
            </w:r>
          </w:p>
          <w:p w14:paraId="3DD93B23">
            <w:pPr>
              <w:adjustRightInd w:val="0"/>
              <w:snapToGrid w:val="0"/>
              <w:spacing w:line="360" w:lineRule="auto"/>
              <w:ind w:firstLine="422" w:firstLineChars="200"/>
              <w:rPr>
                <w:b/>
                <w:color w:val="auto"/>
              </w:rPr>
            </w:pPr>
            <w:r>
              <w:rPr>
                <w:rFonts w:hint="eastAsia"/>
                <w:b/>
                <w:color w:val="auto"/>
              </w:rPr>
              <w:t>（</w:t>
            </w:r>
            <w:r>
              <w:rPr>
                <w:rFonts w:hint="eastAsia"/>
                <w:b/>
                <w:color w:val="auto"/>
                <w:lang w:val="en-US" w:eastAsia="zh-CN"/>
              </w:rPr>
              <w:t>4</w:t>
            </w:r>
            <w:r>
              <w:rPr>
                <w:rFonts w:hint="eastAsia"/>
                <w:b/>
                <w:color w:val="auto"/>
              </w:rPr>
              <w:t>）</w:t>
            </w:r>
            <w:r>
              <w:rPr>
                <w:rFonts w:hint="eastAsia"/>
                <w:b/>
                <w:color w:val="auto"/>
                <w:lang w:val="en-US" w:eastAsia="zh-CN"/>
              </w:rPr>
              <w:t>齐边精裁</w:t>
            </w:r>
            <w:r>
              <w:rPr>
                <w:rFonts w:hint="eastAsia"/>
                <w:b/>
                <w:color w:val="auto"/>
              </w:rPr>
              <w:t>：</w:t>
            </w:r>
          </w:p>
          <w:p w14:paraId="75A024F0">
            <w:pPr>
              <w:adjustRightInd w:val="0"/>
              <w:snapToGrid w:val="0"/>
              <w:spacing w:line="360" w:lineRule="auto"/>
              <w:ind w:firstLine="420" w:firstLineChars="200"/>
              <w:rPr>
                <w:rFonts w:hint="default"/>
                <w:b/>
                <w:color w:val="auto"/>
                <w:lang w:val="en-US"/>
              </w:rPr>
            </w:pPr>
            <w:r>
              <w:rPr>
                <w:rFonts w:hint="eastAsia"/>
                <w:bCs/>
                <w:color w:val="auto"/>
                <w:lang w:val="en-US" w:eastAsia="zh-CN"/>
              </w:rPr>
              <w:t>使用车床、加工中心等，将贴合好的防火板和板材进行齐边，使板材边缘对齐。此过程产生齐边精裁粉尘G1-4、木屑S1-3、边角料S1-4。</w:t>
            </w:r>
          </w:p>
          <w:p w14:paraId="617FB985">
            <w:pPr>
              <w:adjustRightInd w:val="0"/>
              <w:snapToGrid w:val="0"/>
              <w:spacing w:line="360" w:lineRule="auto"/>
              <w:ind w:firstLine="422" w:firstLineChars="200"/>
              <w:rPr>
                <w:b/>
                <w:color w:val="auto"/>
              </w:rPr>
            </w:pPr>
            <w:r>
              <w:rPr>
                <w:rFonts w:hint="eastAsia"/>
                <w:b/>
                <w:color w:val="auto"/>
              </w:rPr>
              <w:t>（</w:t>
            </w:r>
            <w:r>
              <w:rPr>
                <w:rFonts w:hint="eastAsia"/>
                <w:b/>
                <w:color w:val="auto"/>
                <w:lang w:val="en-US" w:eastAsia="zh-CN"/>
              </w:rPr>
              <w:t>5</w:t>
            </w:r>
            <w:r>
              <w:rPr>
                <w:rFonts w:hint="eastAsia"/>
                <w:b/>
                <w:color w:val="auto"/>
              </w:rPr>
              <w:t>）</w:t>
            </w:r>
            <w:r>
              <w:rPr>
                <w:rFonts w:hint="eastAsia"/>
                <w:b/>
                <w:color w:val="auto"/>
                <w:lang w:val="en-US" w:eastAsia="zh-CN"/>
              </w:rPr>
              <w:t>封边</w:t>
            </w:r>
            <w:r>
              <w:rPr>
                <w:rFonts w:hint="eastAsia"/>
                <w:b/>
                <w:color w:val="auto"/>
              </w:rPr>
              <w:t>：</w:t>
            </w:r>
          </w:p>
          <w:p w14:paraId="1CD08BF0">
            <w:pPr>
              <w:adjustRightInd w:val="0"/>
              <w:snapToGrid w:val="0"/>
              <w:spacing w:line="360" w:lineRule="auto"/>
              <w:ind w:firstLine="420" w:firstLineChars="200"/>
              <w:rPr>
                <w:rFonts w:hint="default" w:ascii="Times New Roman" w:hAnsi="Times New Roman" w:cs="Times New Roman"/>
                <w:b/>
                <w:color w:val="auto"/>
                <w:lang w:val="en-US"/>
              </w:rPr>
            </w:pPr>
            <w:r>
              <w:rPr>
                <w:rFonts w:hint="default" w:ascii="Times New Roman" w:hAnsi="Times New Roman" w:cs="Times New Roman"/>
                <w:bCs/>
                <w:color w:val="auto"/>
                <w:lang w:val="en-US" w:eastAsia="zh-CN"/>
              </w:rPr>
              <w:t>使用封边机将板材边缘涂抹热熔胶并贴上封边带。封边机使用的热熔胶常温下为固体，需电加热到102℃左右使其软化，热熔胶熔点为260℃，着火点也为260℃，本项目加热到热熔胶软化温度，不会使其燃烧或者裂解、分解。热熔胶固化时间约为5min。</w:t>
            </w:r>
            <w:r>
              <w:rPr>
                <w:rFonts w:hint="eastAsia" w:ascii="Times New Roman" w:hAnsi="Times New Roman" w:cs="Times New Roman"/>
                <w:bCs/>
                <w:color w:val="auto"/>
                <w:lang w:val="en-US" w:eastAsia="zh-CN"/>
              </w:rPr>
              <w:t>此过程产生热熔胶挥发废气G1-5。</w:t>
            </w:r>
          </w:p>
          <w:p w14:paraId="053885FD">
            <w:pPr>
              <w:adjustRightInd w:val="0"/>
              <w:snapToGrid w:val="0"/>
              <w:spacing w:line="360" w:lineRule="auto"/>
              <w:ind w:firstLine="422" w:firstLineChars="200"/>
              <w:rPr>
                <w:b/>
                <w:color w:val="auto"/>
              </w:rPr>
            </w:pPr>
            <w:r>
              <w:rPr>
                <w:rFonts w:hint="eastAsia"/>
                <w:b/>
                <w:color w:val="auto"/>
              </w:rPr>
              <w:t>（</w:t>
            </w:r>
            <w:r>
              <w:rPr>
                <w:rFonts w:hint="eastAsia"/>
                <w:b/>
                <w:color w:val="auto"/>
                <w:lang w:val="en-US" w:eastAsia="zh-CN"/>
              </w:rPr>
              <w:t>6</w:t>
            </w:r>
            <w:r>
              <w:rPr>
                <w:rFonts w:hint="eastAsia"/>
                <w:b/>
                <w:color w:val="auto"/>
              </w:rPr>
              <w:t>）</w:t>
            </w:r>
            <w:r>
              <w:rPr>
                <w:rFonts w:hint="eastAsia"/>
                <w:b/>
                <w:color w:val="auto"/>
                <w:lang w:val="en-US" w:eastAsia="zh-CN"/>
              </w:rPr>
              <w:t>钻孔、预埋</w:t>
            </w:r>
            <w:r>
              <w:rPr>
                <w:rFonts w:hint="eastAsia"/>
                <w:b/>
                <w:color w:val="auto"/>
              </w:rPr>
              <w:t>：</w:t>
            </w:r>
          </w:p>
          <w:p w14:paraId="111E4C65">
            <w:pPr>
              <w:adjustRightInd w:val="0"/>
              <w:snapToGrid w:val="0"/>
              <w:spacing w:line="360" w:lineRule="auto"/>
              <w:ind w:firstLine="420" w:firstLineChars="200"/>
              <w:rPr>
                <w:rFonts w:hint="default" w:eastAsia="宋体"/>
                <w:b/>
                <w:color w:val="auto"/>
                <w:lang w:val="en-US" w:eastAsia="zh-CN"/>
              </w:rPr>
            </w:pPr>
            <w:r>
              <w:rPr>
                <w:rFonts w:hint="eastAsia"/>
                <w:bCs/>
                <w:color w:val="auto"/>
                <w:lang w:val="en-US" w:eastAsia="zh-CN"/>
              </w:rPr>
              <w:t>根据需要使用钻床钻孔，并将所需的预埋件（螺丝铆钉等）装进孔中</w:t>
            </w:r>
            <w:r>
              <w:rPr>
                <w:rFonts w:hint="eastAsia"/>
                <w:bCs/>
                <w:color w:val="auto"/>
              </w:rPr>
              <w:t>。</w:t>
            </w:r>
            <w:r>
              <w:rPr>
                <w:rFonts w:hint="eastAsia"/>
                <w:bCs/>
                <w:color w:val="auto"/>
                <w:lang w:val="en-US" w:eastAsia="zh-CN"/>
              </w:rPr>
              <w:t>此过程产生钻孔粉尘G1-6、木屑S1-5</w:t>
            </w:r>
          </w:p>
          <w:p w14:paraId="124DDB0D">
            <w:pPr>
              <w:adjustRightInd w:val="0"/>
              <w:snapToGrid w:val="0"/>
              <w:spacing w:line="360" w:lineRule="auto"/>
              <w:ind w:firstLine="422" w:firstLineChars="200"/>
              <w:rPr>
                <w:b/>
                <w:color w:val="auto"/>
              </w:rPr>
            </w:pPr>
            <w:r>
              <w:rPr>
                <w:rFonts w:hint="eastAsia"/>
                <w:b/>
                <w:color w:val="auto"/>
              </w:rPr>
              <w:t>（</w:t>
            </w:r>
            <w:r>
              <w:rPr>
                <w:rFonts w:hint="eastAsia"/>
                <w:b/>
                <w:color w:val="auto"/>
                <w:lang w:val="en-US" w:eastAsia="zh-CN"/>
              </w:rPr>
              <w:t>7</w:t>
            </w:r>
            <w:r>
              <w:rPr>
                <w:rFonts w:hint="eastAsia"/>
                <w:b/>
                <w:color w:val="auto"/>
              </w:rPr>
              <w:t>）</w:t>
            </w:r>
            <w:r>
              <w:rPr>
                <w:rFonts w:hint="eastAsia"/>
                <w:b/>
                <w:color w:val="auto"/>
                <w:lang w:val="en-US" w:eastAsia="zh-CN"/>
              </w:rPr>
              <w:t>组装、清洁</w:t>
            </w:r>
            <w:r>
              <w:rPr>
                <w:rFonts w:hint="eastAsia"/>
                <w:b/>
                <w:color w:val="auto"/>
              </w:rPr>
              <w:t>：</w:t>
            </w:r>
          </w:p>
          <w:p w14:paraId="16757AC9">
            <w:pPr>
              <w:adjustRightInd w:val="0"/>
              <w:snapToGrid w:val="0"/>
              <w:spacing w:line="360" w:lineRule="auto"/>
              <w:ind w:firstLine="420" w:firstLineChars="200"/>
              <w:rPr>
                <w:rFonts w:hint="eastAsia"/>
                <w:bCs/>
                <w:color w:val="auto"/>
                <w:lang w:val="en-US" w:eastAsia="zh-CN"/>
              </w:rPr>
            </w:pPr>
            <w:r>
              <w:rPr>
                <w:rFonts w:hint="eastAsia"/>
                <w:bCs/>
                <w:color w:val="auto"/>
                <w:lang w:val="en-US" w:eastAsia="zh-CN"/>
              </w:rPr>
              <w:t>组装：使用实木飞榫机将需要组装的板材榫出榫头，然后和预先铣好的榫槽进行头槽拼接，再使用配件（螺丝铆钉等）进行将加工好的板材进行组装，组装工序不使用任何胶黏剂，组装完成即为成品。</w:t>
            </w:r>
          </w:p>
          <w:p w14:paraId="3C0F93A2">
            <w:pPr>
              <w:adjustRightInd w:val="0"/>
              <w:snapToGrid w:val="0"/>
              <w:spacing w:line="360" w:lineRule="auto"/>
              <w:ind w:firstLine="420" w:firstLineChars="200"/>
              <w:rPr>
                <w:bCs/>
                <w:color w:val="auto"/>
              </w:rPr>
            </w:pPr>
            <w:r>
              <w:rPr>
                <w:rFonts w:hint="eastAsia"/>
                <w:bCs/>
                <w:color w:val="auto"/>
                <w:lang w:val="en-US" w:eastAsia="zh-CN"/>
              </w:rPr>
              <w:t>清洁：使用抹布对成品家具表面进行擦拭，擦掉家具表面灰尘木屑等</w:t>
            </w:r>
            <w:r>
              <w:rPr>
                <w:bCs/>
                <w:color w:val="auto"/>
              </w:rPr>
              <w:t>。</w:t>
            </w:r>
          </w:p>
          <w:p w14:paraId="450060E3">
            <w:pPr>
              <w:pStyle w:val="2"/>
              <w:keepNext w:val="0"/>
              <w:keepLines w:val="0"/>
              <w:pageBreakBefore w:val="0"/>
              <w:widowControl/>
              <w:kinsoku/>
              <w:wordWrap/>
              <w:overflowPunct/>
              <w:topLinePunct w:val="0"/>
              <w:autoSpaceDE/>
              <w:autoSpaceDN/>
              <w:bidi w:val="0"/>
              <w:adjustRightInd w:val="0"/>
              <w:snapToGrid w:val="0"/>
              <w:ind w:firstLine="422" w:firstLineChars="200"/>
              <w:textAlignment w:val="auto"/>
              <w:rPr>
                <w:rFonts w:hint="default" w:eastAsia="宋体"/>
                <w:b/>
                <w:bCs w:val="0"/>
                <w:color w:val="auto"/>
                <w:sz w:val="21"/>
                <w:szCs w:val="21"/>
                <w:lang w:val="en-US" w:eastAsia="zh-CN"/>
              </w:rPr>
            </w:pPr>
            <w:r>
              <w:rPr>
                <w:rFonts w:hint="eastAsia"/>
                <w:b/>
                <w:bCs w:val="0"/>
                <w:color w:val="auto"/>
                <w:sz w:val="21"/>
                <w:szCs w:val="21"/>
                <w:lang w:val="en-US" w:eastAsia="zh-CN"/>
              </w:rPr>
              <w:t>此过程产生废抹布S1-6。</w:t>
            </w:r>
          </w:p>
          <w:p w14:paraId="2ECF6802">
            <w:pPr>
              <w:adjustRightInd w:val="0"/>
              <w:snapToGrid w:val="0"/>
              <w:spacing w:line="360" w:lineRule="auto"/>
              <w:ind w:firstLine="422" w:firstLineChars="200"/>
              <w:rPr>
                <w:rFonts w:hint="default" w:eastAsia="宋体"/>
                <w:b/>
                <w:bCs w:val="0"/>
                <w:color w:val="auto"/>
                <w:lang w:val="en-US" w:eastAsia="zh-CN"/>
              </w:rPr>
            </w:pPr>
            <w:r>
              <w:rPr>
                <w:rFonts w:hint="eastAsia"/>
                <w:b/>
                <w:bCs w:val="0"/>
                <w:color w:val="auto"/>
                <w:lang w:val="en-US" w:eastAsia="zh-CN"/>
              </w:rPr>
              <w:t>②喷漆家具生产工艺流程图如下：</w:t>
            </w:r>
          </w:p>
          <w:p w14:paraId="057738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rPr>
            </w:pPr>
            <w:r>
              <w:rPr>
                <w:b/>
                <w:bCs/>
                <w:color w:val="auto"/>
              </w:rPr>
              <w:object>
                <v:shape id="_x0000_i1033" o:spt="75" type="#_x0000_t75" style="height:0pt;width:0pt;" o:ole="t" filled="f" o:preferrelative="t" stroked="f" coordsize="21600,21600">
                  <v:path/>
                  <v:fill on="f" focussize="0,0"/>
                  <v:stroke on="f"/>
                  <v:imagedata r:id="rId26" o:title=""/>
                  <o:lock v:ext="edit" aspectratio="f"/>
                  <w10:wrap type="none"/>
                  <w10:anchorlock/>
                </v:shape>
                <o:OLEObject Type="Embed" ProgID="Visio.Drawing.11" ShapeID="_x0000_i1033" DrawAspect="Content" ObjectID="_1468075733" r:id="rId25">
                  <o:LockedField>false</o:LockedField>
                </o:OLEObject>
              </w:object>
            </w:r>
            <w:r>
              <w:rPr>
                <w:rFonts w:cs="宋体"/>
                <w:b/>
                <w:color w:val="auto"/>
              </w:rPr>
              <w:object>
                <v:shape id="_x0000_i1034" o:spt="75" type="#_x0000_t75" style="height:609pt;width:413.25pt;" o:ole="t" filled="f" o:preferrelative="t" stroked="f" coordsize="21600,21600">
                  <v:path/>
                  <v:fill on="f" focussize="0,0"/>
                  <v:stroke on="f"/>
                  <v:imagedata r:id="rId28" o:title=""/>
                  <o:lock v:ext="edit" aspectratio="f"/>
                  <w10:wrap type="none"/>
                  <w10:anchorlock/>
                </v:shape>
                <o:OLEObject Type="Embed" ProgID="Visio.Drawing.11" ShapeID="_x0000_i1034" DrawAspect="Content" ObjectID="_1468075734" r:id="rId27">
                  <o:LockedField>false</o:LockedField>
                </o:OLEObject>
              </w:object>
            </w:r>
          </w:p>
          <w:p w14:paraId="4D8F8576">
            <w:pPr>
              <w:adjustRightInd w:val="0"/>
              <w:snapToGrid w:val="0"/>
              <w:spacing w:line="360" w:lineRule="auto"/>
              <w:jc w:val="center"/>
              <w:rPr>
                <w:b/>
                <w:bCs/>
                <w:color w:val="auto"/>
              </w:rPr>
            </w:pPr>
            <w:r>
              <w:rPr>
                <w:rFonts w:hint="eastAsia"/>
                <w:b/>
                <w:bCs/>
                <w:color w:val="auto"/>
              </w:rPr>
              <w:t>图2-</w:t>
            </w:r>
            <w:r>
              <w:rPr>
                <w:rFonts w:hint="eastAsia"/>
                <w:b/>
                <w:bCs/>
                <w:color w:val="auto"/>
                <w:lang w:val="en-US" w:eastAsia="zh-CN"/>
              </w:rPr>
              <w:t>9</w:t>
            </w:r>
            <w:r>
              <w:rPr>
                <w:rFonts w:hint="eastAsia"/>
                <w:b/>
                <w:bCs/>
                <w:color w:val="auto"/>
              </w:rPr>
              <w:t xml:space="preserve">   </w:t>
            </w:r>
            <w:r>
              <w:rPr>
                <w:rFonts w:hint="eastAsia"/>
                <w:b/>
                <w:bCs w:val="0"/>
                <w:color w:val="auto"/>
                <w:lang w:val="en-US" w:eastAsia="zh-CN"/>
              </w:rPr>
              <w:t>喷漆家具</w:t>
            </w:r>
            <w:r>
              <w:rPr>
                <w:rFonts w:hint="eastAsia"/>
                <w:b/>
                <w:bCs/>
                <w:color w:val="auto"/>
              </w:rPr>
              <w:t>生产工艺流程图</w:t>
            </w:r>
          </w:p>
          <w:p w14:paraId="07B35F52">
            <w:pPr>
              <w:spacing w:line="360" w:lineRule="auto"/>
              <w:ind w:firstLine="422" w:firstLineChars="200"/>
              <w:rPr>
                <w:b/>
                <w:bCs/>
                <w:color w:val="auto"/>
              </w:rPr>
            </w:pPr>
            <w:r>
              <w:rPr>
                <w:rFonts w:hint="eastAsia"/>
                <w:b/>
                <w:bCs/>
                <w:color w:val="auto"/>
              </w:rPr>
              <w:t>具体工艺简述如下：</w:t>
            </w:r>
          </w:p>
          <w:p w14:paraId="1FFE4F3E">
            <w:pPr>
              <w:adjustRightInd w:val="0"/>
              <w:snapToGrid w:val="0"/>
              <w:spacing w:line="360" w:lineRule="auto"/>
              <w:ind w:firstLine="422" w:firstLineChars="200"/>
              <w:rPr>
                <w:b/>
                <w:color w:val="auto"/>
              </w:rPr>
            </w:pPr>
            <w:r>
              <w:rPr>
                <w:rFonts w:hint="eastAsia"/>
                <w:b/>
                <w:color w:val="auto"/>
              </w:rPr>
              <w:t>（1）</w:t>
            </w:r>
            <w:r>
              <w:rPr>
                <w:rFonts w:hint="eastAsia"/>
                <w:b/>
                <w:color w:val="auto"/>
                <w:lang w:val="en-US" w:eastAsia="zh-CN"/>
              </w:rPr>
              <w:t>开料、刨平、铣型</w:t>
            </w:r>
            <w:r>
              <w:rPr>
                <w:rFonts w:hint="eastAsia"/>
                <w:b/>
                <w:color w:val="auto"/>
              </w:rPr>
              <w:t>：</w:t>
            </w:r>
          </w:p>
          <w:p w14:paraId="1D7CEBE1">
            <w:pPr>
              <w:adjustRightInd w:val="0"/>
              <w:snapToGrid w:val="0"/>
              <w:spacing w:line="360" w:lineRule="auto"/>
              <w:ind w:firstLine="420" w:firstLineChars="200"/>
              <w:rPr>
                <w:rFonts w:hint="default" w:eastAsia="宋体"/>
                <w:b w:val="0"/>
                <w:bCs/>
                <w:color w:val="auto"/>
                <w:lang w:val="en-US" w:eastAsia="zh-CN"/>
              </w:rPr>
            </w:pPr>
            <w:r>
              <w:rPr>
                <w:rFonts w:hint="eastAsia"/>
                <w:b w:val="0"/>
                <w:bCs/>
                <w:color w:val="auto"/>
                <w:lang w:val="en-US" w:eastAsia="zh-CN"/>
              </w:rPr>
              <w:t>根据需要选择板材（实木板和集成材板），使用裁板机、推台锯、带锯、车床、开料机和加工中心将板材裁切成所需规格尺寸；使用平刨床、压刨机将板材刨平、刨直；使用铣床、镂铣床加工板材得到所需形状及凹槽。此过程产生开料、刨平、铣型粉尘G2-1、木屑S2-1、边角料S2-2。</w:t>
            </w:r>
          </w:p>
          <w:p w14:paraId="7EE7D4C6">
            <w:pPr>
              <w:adjustRightInd w:val="0"/>
              <w:snapToGrid w:val="0"/>
              <w:spacing w:line="360" w:lineRule="auto"/>
              <w:ind w:firstLine="422" w:firstLineChars="200"/>
              <w:rPr>
                <w:b/>
                <w:color w:val="auto"/>
              </w:rPr>
            </w:pPr>
            <w:r>
              <w:rPr>
                <w:rFonts w:hint="eastAsia"/>
                <w:b/>
                <w:color w:val="auto"/>
              </w:rPr>
              <w:t>（2）</w:t>
            </w:r>
            <w:r>
              <w:rPr>
                <w:rFonts w:hint="eastAsia"/>
                <w:b/>
                <w:color w:val="auto"/>
                <w:lang w:val="en-US" w:eastAsia="zh-CN"/>
              </w:rPr>
              <w:t>钻孔、组装</w:t>
            </w:r>
            <w:r>
              <w:rPr>
                <w:rFonts w:hint="eastAsia"/>
                <w:b/>
                <w:color w:val="auto"/>
              </w:rPr>
              <w:t>：</w:t>
            </w:r>
          </w:p>
          <w:p w14:paraId="3B534415">
            <w:pPr>
              <w:adjustRightInd w:val="0"/>
              <w:snapToGrid w:val="0"/>
              <w:spacing w:line="360" w:lineRule="auto"/>
              <w:ind w:firstLine="420" w:firstLineChars="200"/>
              <w:rPr>
                <w:rFonts w:hint="default"/>
                <w:bCs/>
                <w:color w:val="auto"/>
                <w:lang w:val="en-US"/>
              </w:rPr>
            </w:pPr>
            <w:r>
              <w:rPr>
                <w:rFonts w:hint="eastAsia"/>
                <w:bCs/>
                <w:color w:val="auto"/>
                <w:sz w:val="21"/>
                <w:lang w:val="en-US" w:eastAsia="zh-CN"/>
              </w:rPr>
              <w:t>根据需要使用钻床钻孔，并将所需的预埋件（螺丝铆钉等）装进孔中。使用实木飞榫机将需要组装的板材榫出榫头，然后和预先铣好的榫槽进行头槽拼接，再使用配件（螺丝铆钉等）进行将加工好的板材进行组装。此过程产生钻孔粉尘G2-2、木屑S2-3。</w:t>
            </w:r>
          </w:p>
          <w:p w14:paraId="6F824134">
            <w:pPr>
              <w:adjustRightInd w:val="0"/>
              <w:snapToGrid w:val="0"/>
              <w:spacing w:line="360" w:lineRule="auto"/>
              <w:ind w:firstLine="422" w:firstLineChars="200"/>
              <w:rPr>
                <w:rFonts w:hint="default" w:eastAsia="宋体"/>
                <w:b/>
                <w:color w:val="auto"/>
                <w:lang w:val="en-US" w:eastAsia="zh-CN"/>
              </w:rPr>
            </w:pPr>
            <w:r>
              <w:rPr>
                <w:rFonts w:hint="eastAsia"/>
                <w:b/>
                <w:color w:val="auto"/>
                <w:lang w:eastAsia="zh-CN"/>
              </w:rPr>
              <w:t>（</w:t>
            </w:r>
            <w:r>
              <w:rPr>
                <w:rFonts w:hint="eastAsia"/>
                <w:b/>
                <w:color w:val="auto"/>
                <w:lang w:val="en-US" w:eastAsia="zh-CN"/>
              </w:rPr>
              <w:t>3</w:t>
            </w:r>
            <w:r>
              <w:rPr>
                <w:rFonts w:hint="eastAsia"/>
                <w:b/>
                <w:color w:val="auto"/>
                <w:lang w:eastAsia="zh-CN"/>
              </w:rPr>
              <w:t>）</w:t>
            </w:r>
            <w:r>
              <w:rPr>
                <w:rFonts w:hint="eastAsia"/>
                <w:b/>
                <w:color w:val="auto"/>
                <w:lang w:val="en-US" w:eastAsia="zh-CN"/>
              </w:rPr>
              <w:t>砂磨：</w:t>
            </w:r>
            <w:r>
              <w:rPr>
                <w:rFonts w:hint="eastAsia"/>
                <w:b w:val="0"/>
                <w:bCs/>
                <w:color w:val="auto"/>
                <w:lang w:val="en-US" w:eastAsia="zh-CN"/>
              </w:rPr>
              <w:t>组装完成后用砂光机和震荡砂光机将木材表面砂磨光滑。此过程产生砂磨粉尘G2-3。</w:t>
            </w:r>
          </w:p>
          <w:p w14:paraId="21DD69FA">
            <w:pPr>
              <w:adjustRightInd w:val="0"/>
              <w:snapToGrid w:val="0"/>
              <w:spacing w:line="360" w:lineRule="auto"/>
              <w:ind w:firstLine="422" w:firstLineChars="200"/>
              <w:rPr>
                <w:b/>
                <w:color w:val="auto"/>
              </w:rPr>
            </w:pPr>
            <w:r>
              <w:rPr>
                <w:rFonts w:hint="eastAsia"/>
                <w:b/>
                <w:color w:val="auto"/>
              </w:rPr>
              <w:t>（</w:t>
            </w:r>
            <w:r>
              <w:rPr>
                <w:rFonts w:hint="eastAsia"/>
                <w:b/>
                <w:color w:val="auto"/>
                <w:lang w:val="en-US" w:eastAsia="zh-CN"/>
              </w:rPr>
              <w:t>4</w:t>
            </w:r>
            <w:r>
              <w:rPr>
                <w:rFonts w:hint="eastAsia"/>
                <w:b/>
                <w:color w:val="auto"/>
              </w:rPr>
              <w:t>）</w:t>
            </w:r>
            <w:r>
              <w:rPr>
                <w:rFonts w:hint="eastAsia"/>
                <w:b/>
                <w:color w:val="auto"/>
                <w:lang w:val="en-US" w:eastAsia="zh-CN"/>
              </w:rPr>
              <w:t>擦色</w:t>
            </w:r>
            <w:r>
              <w:rPr>
                <w:rFonts w:hint="eastAsia"/>
                <w:b/>
                <w:color w:val="auto"/>
              </w:rPr>
              <w:t>：</w:t>
            </w:r>
          </w:p>
          <w:p w14:paraId="798D368B">
            <w:pPr>
              <w:adjustRightInd w:val="0"/>
              <w:snapToGrid w:val="0"/>
              <w:spacing w:line="360" w:lineRule="auto"/>
              <w:ind w:firstLine="420" w:firstLineChars="200"/>
              <w:rPr>
                <w:rFonts w:hint="default"/>
                <w:b/>
                <w:color w:val="auto"/>
                <w:lang w:val="en-US"/>
              </w:rPr>
            </w:pPr>
            <w:r>
              <w:rPr>
                <w:rFonts w:hint="eastAsia"/>
                <w:bCs/>
                <w:color w:val="auto"/>
                <w:lang w:val="en-US" w:eastAsia="zh-CN"/>
              </w:rPr>
              <w:t>擦色是用附着力不强的颜料对家具的第一次上色。可以使木材的纹理得到填充节省后续涂料的用量，使木纹更加清晰。用羊毛刷在板面上刷一遍擦色剂后，用抹布顺着纹理擦均匀，收均匀，无流挂。此过程产生擦色废气G2-4、擦色废物S2-4。</w:t>
            </w:r>
          </w:p>
          <w:p w14:paraId="2841F7BC">
            <w:pPr>
              <w:adjustRightInd w:val="0"/>
              <w:snapToGrid w:val="0"/>
              <w:spacing w:line="360" w:lineRule="auto"/>
              <w:ind w:firstLine="422" w:firstLineChars="200"/>
              <w:rPr>
                <w:b/>
                <w:color w:val="auto"/>
              </w:rPr>
            </w:pPr>
            <w:r>
              <w:rPr>
                <w:rFonts w:hint="eastAsia"/>
                <w:b/>
                <w:color w:val="auto"/>
              </w:rPr>
              <w:t>（</w:t>
            </w:r>
            <w:r>
              <w:rPr>
                <w:rFonts w:hint="eastAsia"/>
                <w:b/>
                <w:color w:val="auto"/>
                <w:lang w:val="en-US" w:eastAsia="zh-CN"/>
              </w:rPr>
              <w:t>5</w:t>
            </w:r>
            <w:r>
              <w:rPr>
                <w:rFonts w:hint="eastAsia"/>
                <w:b/>
                <w:color w:val="auto"/>
              </w:rPr>
              <w:t>）</w:t>
            </w:r>
            <w:r>
              <w:rPr>
                <w:rFonts w:hint="eastAsia"/>
                <w:b/>
                <w:color w:val="auto"/>
                <w:lang w:val="en-US" w:eastAsia="zh-CN"/>
              </w:rPr>
              <w:t>刷/喷底漆晾干</w:t>
            </w:r>
            <w:r>
              <w:rPr>
                <w:rFonts w:hint="eastAsia"/>
                <w:b/>
                <w:color w:val="auto"/>
              </w:rPr>
              <w:t>：</w:t>
            </w:r>
          </w:p>
          <w:p w14:paraId="643F4C94">
            <w:pPr>
              <w:adjustRightInd w:val="0"/>
              <w:snapToGrid w:val="0"/>
              <w:spacing w:line="360" w:lineRule="auto"/>
              <w:ind w:firstLine="420" w:firstLineChars="200"/>
              <w:rPr>
                <w:rFonts w:hint="default" w:ascii="Times New Roman" w:hAnsi="Times New Roman" w:cs="Times New Roman"/>
                <w:b/>
                <w:color w:val="auto"/>
                <w:lang w:val="en-US"/>
              </w:rPr>
            </w:pPr>
            <w:r>
              <w:rPr>
                <w:rFonts w:hint="default" w:ascii="Times New Roman" w:hAnsi="Times New Roman" w:cs="Times New Roman"/>
                <w:bCs/>
                <w:color w:val="auto"/>
                <w:lang w:val="en-US" w:eastAsia="zh-CN"/>
              </w:rPr>
              <w:t>此工序可选择刷漆或者喷漆，约有60%产品刷漆，40%产品喷漆。</w:t>
            </w:r>
            <w:r>
              <w:rPr>
                <w:rFonts w:hint="eastAsia" w:cs="Times New Roman"/>
                <w:bCs/>
                <w:color w:val="auto"/>
                <w:lang w:val="en-US" w:eastAsia="zh-CN"/>
              </w:rPr>
              <w:t>油性</w:t>
            </w:r>
            <w:r>
              <w:rPr>
                <w:rFonts w:hint="default" w:ascii="Times New Roman" w:hAnsi="Times New Roman" w:cs="Times New Roman"/>
                <w:bCs/>
                <w:color w:val="auto"/>
                <w:lang w:val="en-US" w:eastAsia="zh-CN"/>
              </w:rPr>
              <w:t>漆需要</w:t>
            </w:r>
            <w:r>
              <w:rPr>
                <w:rFonts w:hint="eastAsia" w:cs="Times New Roman"/>
                <w:bCs/>
                <w:color w:val="auto"/>
                <w:lang w:val="en-US" w:eastAsia="zh-CN"/>
              </w:rPr>
              <w:t>添加固化剂、稀释剂进行</w:t>
            </w:r>
            <w:r>
              <w:rPr>
                <w:rFonts w:hint="default" w:ascii="Times New Roman" w:hAnsi="Times New Roman" w:cs="Times New Roman"/>
                <w:bCs/>
                <w:color w:val="auto"/>
                <w:lang w:val="en-US" w:eastAsia="zh-CN"/>
              </w:rPr>
              <w:t>调漆，调漆</w:t>
            </w:r>
            <w:r>
              <w:rPr>
                <w:rFonts w:hint="eastAsia" w:cs="Times New Roman"/>
                <w:bCs/>
                <w:color w:val="auto"/>
                <w:lang w:val="en-US" w:eastAsia="zh-CN"/>
              </w:rPr>
              <w:t>在调漆房中进行</w:t>
            </w:r>
            <w:r>
              <w:rPr>
                <w:rFonts w:hint="default" w:ascii="Times New Roman" w:hAnsi="Times New Roman" w:cs="Times New Roman"/>
                <w:bCs/>
                <w:color w:val="auto"/>
                <w:lang w:val="en-US" w:eastAsia="zh-CN"/>
              </w:rPr>
              <w:t>、刷漆和喷漆工序均在底漆房中进行。刷漆时使用刷子蘸取底漆，均匀涂抹在板材表面。喷漆时，工人手持专用喷漆枪喷漆，以压缩空气作为送漆气流，将涂料从喷枪的喷漆嘴喷成均匀雾状液体，均匀分散沉积在木板表面，喷漆和刷漆后在晾干房内自然晾干，晾干时间根据室温而定，在12-24h之间。</w:t>
            </w:r>
            <w:r>
              <w:rPr>
                <w:rFonts w:hint="eastAsia" w:ascii="Times New Roman" w:hAnsi="Times New Roman" w:cs="Times New Roman"/>
                <w:bCs/>
                <w:color w:val="auto"/>
                <w:lang w:val="en-US" w:eastAsia="zh-CN"/>
              </w:rPr>
              <w:t>此过程产生</w:t>
            </w:r>
            <w:r>
              <w:rPr>
                <w:rFonts w:hint="eastAsia" w:cs="Times New Roman"/>
                <w:bCs/>
                <w:color w:val="auto"/>
                <w:lang w:val="en-US" w:eastAsia="zh-CN"/>
              </w:rPr>
              <w:t>调漆</w:t>
            </w:r>
            <w:r>
              <w:rPr>
                <w:rFonts w:hint="eastAsia" w:ascii="Times New Roman" w:hAnsi="Times New Roman" w:cs="Times New Roman"/>
                <w:bCs/>
                <w:color w:val="auto"/>
                <w:lang w:val="en-US" w:eastAsia="zh-CN"/>
              </w:rPr>
              <w:t>废气G</w:t>
            </w:r>
            <w:r>
              <w:rPr>
                <w:rFonts w:hint="eastAsia" w:cs="Times New Roman"/>
                <w:bCs/>
                <w:color w:val="auto"/>
                <w:lang w:val="en-US" w:eastAsia="zh-CN"/>
              </w:rPr>
              <w:t>2</w:t>
            </w:r>
            <w:r>
              <w:rPr>
                <w:rFonts w:hint="eastAsia" w:ascii="Times New Roman" w:hAnsi="Times New Roman" w:cs="Times New Roman"/>
                <w:bCs/>
                <w:color w:val="auto"/>
                <w:lang w:val="en-US" w:eastAsia="zh-CN"/>
              </w:rPr>
              <w:t>-5</w:t>
            </w:r>
            <w:r>
              <w:rPr>
                <w:rFonts w:hint="eastAsia" w:cs="Times New Roman"/>
                <w:bCs/>
                <w:color w:val="auto"/>
                <w:lang w:val="en-US" w:eastAsia="zh-CN"/>
              </w:rPr>
              <w:t>、喷漆废气G2-6、刷漆废气G2-7、晾干废气G2-8、含漆废物S2-5、喷枪清洗废液S2-6</w:t>
            </w:r>
            <w:r>
              <w:rPr>
                <w:rFonts w:hint="eastAsia" w:ascii="Times New Roman" w:hAnsi="Times New Roman" w:cs="Times New Roman"/>
                <w:bCs/>
                <w:color w:val="auto"/>
                <w:lang w:val="en-US" w:eastAsia="zh-CN"/>
              </w:rPr>
              <w:t>。</w:t>
            </w:r>
          </w:p>
          <w:p w14:paraId="5B9D6033">
            <w:pPr>
              <w:adjustRightInd w:val="0"/>
              <w:snapToGrid w:val="0"/>
              <w:spacing w:line="360" w:lineRule="auto"/>
              <w:ind w:firstLine="422" w:firstLineChars="200"/>
              <w:rPr>
                <w:b/>
                <w:color w:val="auto"/>
              </w:rPr>
            </w:pPr>
            <w:r>
              <w:rPr>
                <w:rFonts w:hint="eastAsia"/>
                <w:b/>
                <w:color w:val="auto"/>
              </w:rPr>
              <w:t>（</w:t>
            </w:r>
            <w:r>
              <w:rPr>
                <w:rFonts w:hint="eastAsia"/>
                <w:b/>
                <w:color w:val="auto"/>
                <w:lang w:val="en-US" w:eastAsia="zh-CN"/>
              </w:rPr>
              <w:t>6</w:t>
            </w:r>
            <w:r>
              <w:rPr>
                <w:rFonts w:hint="eastAsia"/>
                <w:b/>
                <w:color w:val="auto"/>
              </w:rPr>
              <w:t>）</w:t>
            </w:r>
            <w:r>
              <w:rPr>
                <w:rFonts w:hint="eastAsia"/>
                <w:b/>
                <w:color w:val="auto"/>
                <w:lang w:val="en-US" w:eastAsia="zh-CN"/>
              </w:rPr>
              <w:t>磨光修色</w:t>
            </w:r>
            <w:r>
              <w:rPr>
                <w:rFonts w:hint="eastAsia"/>
                <w:b/>
                <w:color w:val="auto"/>
              </w:rPr>
              <w:t>：</w:t>
            </w:r>
          </w:p>
          <w:p w14:paraId="21CCD6C6">
            <w:pPr>
              <w:adjustRightInd w:val="0"/>
              <w:snapToGrid w:val="0"/>
              <w:spacing w:line="360" w:lineRule="auto"/>
              <w:ind w:firstLine="420" w:firstLineChars="200"/>
              <w:rPr>
                <w:rFonts w:hint="default" w:eastAsia="宋体"/>
                <w:b/>
                <w:color w:val="auto"/>
                <w:lang w:val="en-US" w:eastAsia="zh-CN"/>
              </w:rPr>
            </w:pPr>
            <w:r>
              <w:rPr>
                <w:rFonts w:hint="eastAsia"/>
                <w:bCs/>
                <w:color w:val="auto"/>
                <w:lang w:val="en-US" w:eastAsia="zh-CN"/>
              </w:rPr>
              <w:t>经过底漆刷涂或喷涂之后，由于存在刷涂或喷涂不均匀、有气泡、有瑕疵等情况出现，以及考虑后续工序漆的附着力，需要用砂纸对其进行磨光处理，打磨光滑即可。由于擦色和喷底漆后的板材，颜色有深有浅，因为木材本身有色差，还有吸收色精的程度也有不同，需要再擦一次擦色剂来起到修色的功能。此过程产生磨光粉尘G2-9、修色废气G2-10、废砂纸S2-7。</w:t>
            </w:r>
          </w:p>
          <w:p w14:paraId="1BF83CD4">
            <w:pPr>
              <w:adjustRightInd w:val="0"/>
              <w:snapToGrid w:val="0"/>
              <w:spacing w:line="360" w:lineRule="auto"/>
              <w:ind w:firstLine="422" w:firstLineChars="200"/>
              <w:rPr>
                <w:b/>
                <w:color w:val="auto"/>
              </w:rPr>
            </w:pPr>
            <w:r>
              <w:rPr>
                <w:rFonts w:hint="eastAsia"/>
                <w:b/>
                <w:color w:val="auto"/>
              </w:rPr>
              <w:t>（</w:t>
            </w:r>
            <w:r>
              <w:rPr>
                <w:rFonts w:hint="eastAsia"/>
                <w:b/>
                <w:color w:val="auto"/>
                <w:lang w:val="en-US" w:eastAsia="zh-CN"/>
              </w:rPr>
              <w:t>7</w:t>
            </w:r>
            <w:r>
              <w:rPr>
                <w:rFonts w:hint="eastAsia"/>
                <w:b/>
                <w:color w:val="auto"/>
              </w:rPr>
              <w:t>）</w:t>
            </w:r>
            <w:r>
              <w:rPr>
                <w:rFonts w:hint="eastAsia"/>
                <w:b/>
                <w:color w:val="auto"/>
                <w:lang w:val="en-US" w:eastAsia="zh-CN"/>
              </w:rPr>
              <w:t>刷/喷底漆晾干</w:t>
            </w:r>
            <w:r>
              <w:rPr>
                <w:rFonts w:hint="eastAsia"/>
                <w:b/>
                <w:color w:val="auto"/>
              </w:rPr>
              <w:t>：</w:t>
            </w:r>
          </w:p>
          <w:p w14:paraId="71F5081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bCs/>
                <w:color w:val="auto"/>
                <w:lang w:val="en-US" w:eastAsia="zh-CN"/>
              </w:rPr>
            </w:pPr>
            <w:r>
              <w:rPr>
                <w:rFonts w:hint="eastAsia"/>
                <w:bCs/>
                <w:color w:val="auto"/>
                <w:lang w:val="en-US" w:eastAsia="zh-CN"/>
              </w:rPr>
              <w:t>根据需要，进行第二次刷底漆或喷底漆，第一次喷底漆的产品第二次继续喷底漆，第一次刷底漆的产品第二次继续刷底漆。刷漆或喷漆后在晾干房内自然晾干，晾干时间根据室温而定，在12-24h之间。此过程产生喷漆废气G2-11、刷漆废气G2-12、晾干废气G2-13、含漆废物S2-8、喷枪清洗废液S2-9。</w:t>
            </w:r>
          </w:p>
          <w:p w14:paraId="2C5E8F73">
            <w:pPr>
              <w:pStyle w:val="2"/>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rFonts w:hint="default"/>
                <w:bCs/>
                <w:color w:val="auto"/>
                <w:sz w:val="21"/>
                <w:szCs w:val="21"/>
                <w:lang w:val="en-US" w:eastAsia="zh-CN"/>
              </w:rPr>
            </w:pPr>
            <w:r>
              <w:rPr>
                <w:rFonts w:hint="eastAsia"/>
                <w:b/>
                <w:bCs w:val="0"/>
                <w:color w:val="auto"/>
                <w:sz w:val="21"/>
                <w:szCs w:val="21"/>
                <w:lang w:val="en-US" w:eastAsia="zh-CN"/>
              </w:rPr>
              <w:t>（8）磨光：</w:t>
            </w:r>
            <w:r>
              <w:rPr>
                <w:rFonts w:hint="eastAsia"/>
                <w:bCs/>
                <w:color w:val="auto"/>
                <w:sz w:val="21"/>
                <w:szCs w:val="21"/>
                <w:lang w:val="en-US" w:eastAsia="zh-CN"/>
              </w:rPr>
              <w:t>使用细砂纸将晾干后产品打磨光滑。此过程产生磨光粉尘G2-14、废砂纸S2-10。</w:t>
            </w:r>
          </w:p>
          <w:p w14:paraId="4DCA872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jc w:val="both"/>
              <w:textAlignment w:val="auto"/>
              <w:rPr>
                <w:rFonts w:hint="default"/>
                <w:b/>
                <w:bCs w:val="0"/>
                <w:color w:val="auto"/>
                <w:sz w:val="21"/>
                <w:szCs w:val="21"/>
                <w:lang w:val="en-US" w:eastAsia="zh-CN"/>
              </w:rPr>
            </w:pPr>
            <w:r>
              <w:rPr>
                <w:rFonts w:hint="eastAsia"/>
                <w:b/>
                <w:bCs w:val="0"/>
                <w:color w:val="auto"/>
                <w:sz w:val="21"/>
                <w:szCs w:val="21"/>
                <w:lang w:val="en-US" w:eastAsia="zh-CN"/>
              </w:rPr>
              <w:t>（9）喷面漆、晾干：</w:t>
            </w:r>
          </w:p>
          <w:p w14:paraId="3F9CD02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default"/>
                <w:bCs/>
                <w:color w:val="auto"/>
                <w:sz w:val="21"/>
                <w:szCs w:val="21"/>
                <w:lang w:val="en-US" w:eastAsia="zh-CN"/>
              </w:rPr>
            </w:pPr>
            <w:r>
              <w:rPr>
                <w:rFonts w:hint="eastAsia"/>
                <w:bCs/>
                <w:color w:val="auto"/>
                <w:sz w:val="21"/>
                <w:szCs w:val="21"/>
                <w:lang w:val="en-US" w:eastAsia="zh-CN"/>
              </w:rPr>
              <w:t>磨光后产品送入面漆房，进行喷面漆，</w:t>
            </w:r>
            <w:r>
              <w:rPr>
                <w:rFonts w:hint="eastAsia" w:cs="Times New Roman"/>
                <w:bCs/>
                <w:color w:val="auto"/>
                <w:lang w:val="en-US" w:eastAsia="zh-CN"/>
              </w:rPr>
              <w:t>油性</w:t>
            </w:r>
            <w:r>
              <w:rPr>
                <w:rFonts w:hint="default" w:ascii="Times New Roman" w:hAnsi="Times New Roman" w:cs="Times New Roman"/>
                <w:bCs/>
                <w:color w:val="auto"/>
                <w:lang w:val="en-US" w:eastAsia="zh-CN"/>
              </w:rPr>
              <w:t>漆需要</w:t>
            </w:r>
            <w:r>
              <w:rPr>
                <w:rFonts w:hint="eastAsia" w:cs="Times New Roman"/>
                <w:bCs/>
                <w:color w:val="auto"/>
                <w:lang w:val="en-US" w:eastAsia="zh-CN"/>
              </w:rPr>
              <w:t>添加固化剂、稀释剂进行</w:t>
            </w:r>
            <w:r>
              <w:rPr>
                <w:rFonts w:hint="default" w:ascii="Times New Roman" w:hAnsi="Times New Roman" w:cs="Times New Roman"/>
                <w:bCs/>
                <w:color w:val="auto"/>
                <w:lang w:val="en-US" w:eastAsia="zh-CN"/>
              </w:rPr>
              <w:t>调漆，调漆</w:t>
            </w:r>
            <w:r>
              <w:rPr>
                <w:rFonts w:hint="eastAsia" w:cs="Times New Roman"/>
                <w:bCs/>
                <w:color w:val="auto"/>
                <w:lang w:val="en-US" w:eastAsia="zh-CN"/>
              </w:rPr>
              <w:t>在调漆房中进行</w:t>
            </w:r>
            <w:r>
              <w:rPr>
                <w:rFonts w:hint="default" w:ascii="Times New Roman" w:hAnsi="Times New Roman" w:cs="Times New Roman"/>
                <w:bCs/>
                <w:color w:val="auto"/>
                <w:lang w:val="en-US" w:eastAsia="zh-CN"/>
              </w:rPr>
              <w:t>、喷漆工序在</w:t>
            </w:r>
            <w:r>
              <w:rPr>
                <w:rFonts w:hint="eastAsia" w:cs="Times New Roman"/>
                <w:bCs/>
                <w:color w:val="auto"/>
                <w:lang w:val="en-US" w:eastAsia="zh-CN"/>
              </w:rPr>
              <w:t>面漆</w:t>
            </w:r>
            <w:r>
              <w:rPr>
                <w:rFonts w:hint="default" w:ascii="Times New Roman" w:hAnsi="Times New Roman" w:cs="Times New Roman"/>
                <w:bCs/>
                <w:color w:val="auto"/>
                <w:lang w:val="en-US" w:eastAsia="zh-CN"/>
              </w:rPr>
              <w:t>房中进行。</w:t>
            </w:r>
            <w:r>
              <w:rPr>
                <w:rFonts w:hint="eastAsia"/>
                <w:bCs/>
                <w:color w:val="auto"/>
                <w:sz w:val="21"/>
                <w:szCs w:val="21"/>
                <w:lang w:val="en-US" w:eastAsia="zh-CN"/>
              </w:rPr>
              <w:t>工人手持专用喷漆枪喷漆，以压缩空气作为送漆气流，将涂料从喷枪的喷漆嘴喷成均匀雾状液体，均匀分散沉积在木板表面，喷漆后自然晾干。此过程产生调漆废气G2-15、喷漆废气G2-16、晾干废气G2-17、含漆废物S2-11、喷枪清洗废液S2-12。</w:t>
            </w:r>
          </w:p>
          <w:p w14:paraId="0A9808D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bCs/>
                <w:color w:val="auto"/>
                <w:sz w:val="21"/>
                <w:szCs w:val="21"/>
                <w:lang w:val="en-US" w:eastAsia="zh-CN"/>
              </w:rPr>
            </w:pPr>
          </w:p>
          <w:p w14:paraId="4E641BAD">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bCs/>
                <w:color w:val="auto"/>
                <w:sz w:val="21"/>
                <w:szCs w:val="21"/>
                <w:lang w:val="en-US" w:eastAsia="zh-CN"/>
              </w:rPr>
            </w:pPr>
          </w:p>
          <w:p w14:paraId="11ACD7B9">
            <w:pPr>
              <w:pStyle w:val="33"/>
              <w:widowControl w:val="0"/>
              <w:numPr>
                <w:ilvl w:val="0"/>
                <w:numId w:val="0"/>
              </w:numPr>
              <w:jc w:val="both"/>
              <w:rPr>
                <w:rFonts w:hint="default"/>
                <w:bCs/>
                <w:color w:val="auto"/>
                <w:lang w:val="en-US" w:eastAsia="zh-CN"/>
              </w:rPr>
            </w:pPr>
          </w:p>
        </w:tc>
      </w:tr>
      <w:tr w14:paraId="2BA532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902" w:hRule="atLeast"/>
          <w:jc w:val="center"/>
        </w:trPr>
        <w:tc>
          <w:tcPr>
            <w:tcW w:w="521" w:type="dxa"/>
            <w:vAlign w:val="center"/>
          </w:tcPr>
          <w:p w14:paraId="03B6881F">
            <w:pPr>
              <w:pStyle w:val="55"/>
              <w:rPr>
                <w:color w:val="auto"/>
                <w:sz w:val="21"/>
                <w:szCs w:val="21"/>
              </w:rPr>
            </w:pPr>
            <w:r>
              <w:rPr>
                <w:color w:val="auto"/>
                <w:sz w:val="21"/>
                <w:szCs w:val="21"/>
              </w:rPr>
              <w:t>与项目有关的原有环境污染问题</w:t>
            </w:r>
          </w:p>
        </w:tc>
        <w:tc>
          <w:tcPr>
            <w:tcW w:w="8765" w:type="dxa"/>
          </w:tcPr>
          <w:p w14:paraId="73D08895">
            <w:pPr>
              <w:spacing w:line="360" w:lineRule="auto"/>
              <w:jc w:val="left"/>
              <w:rPr>
                <w:b/>
                <w:bCs/>
                <w:color w:val="auto"/>
                <w:kern w:val="0"/>
                <w:lang w:bidi="ar"/>
              </w:rPr>
            </w:pPr>
            <w:r>
              <w:rPr>
                <w:rFonts w:hint="eastAsia"/>
                <w:b/>
                <w:bCs/>
                <w:color w:val="auto"/>
                <w:kern w:val="0"/>
                <w:lang w:bidi="ar"/>
              </w:rPr>
              <w:t>1、现有项目概况</w:t>
            </w:r>
          </w:p>
          <w:p w14:paraId="65357C9C">
            <w:pPr>
              <w:tabs>
                <w:tab w:val="left" w:pos="10080"/>
              </w:tabs>
              <w:adjustRightInd w:val="0"/>
              <w:snapToGrid w:val="0"/>
              <w:spacing w:line="360" w:lineRule="auto"/>
              <w:ind w:firstLine="420" w:firstLineChars="200"/>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常州吉和智能家具有限公司位于</w:t>
            </w:r>
            <w:r>
              <w:rPr>
                <w:rFonts w:hint="eastAsia"/>
                <w:color w:val="auto"/>
                <w:lang w:eastAsia="zh-CN"/>
              </w:rPr>
              <w:t>江苏省常州市金坛区金湖路99号</w:t>
            </w:r>
            <w:r>
              <w:rPr>
                <w:rFonts w:hint="eastAsia"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lang w:val="en-US" w:eastAsia="zh-CN"/>
              </w:rPr>
              <w:t>成立于20</w:t>
            </w:r>
            <w:r>
              <w:rPr>
                <w:rFonts w:hint="eastAsia" w:ascii="Times New Roman" w:hAnsi="Times New Roman" w:eastAsia="宋体" w:cs="Times New Roman"/>
                <w:b w:val="0"/>
                <w:bCs/>
                <w:color w:val="auto"/>
                <w:sz w:val="21"/>
                <w:szCs w:val="21"/>
                <w:highlight w:val="none"/>
                <w:lang w:val="en-US" w:eastAsia="zh-CN"/>
              </w:rPr>
              <w:t>20</w:t>
            </w:r>
            <w:r>
              <w:rPr>
                <w:rFonts w:hint="default" w:ascii="Times New Roman" w:hAnsi="Times New Roman" w:eastAsia="宋体" w:cs="Times New Roman"/>
                <w:b w:val="0"/>
                <w:bCs/>
                <w:color w:val="auto"/>
                <w:sz w:val="21"/>
                <w:szCs w:val="21"/>
                <w:highlight w:val="none"/>
                <w:lang w:val="en-US" w:eastAsia="zh-CN"/>
              </w:rPr>
              <w:t>年0</w:t>
            </w:r>
            <w:r>
              <w:rPr>
                <w:rFonts w:hint="eastAsia" w:ascii="Times New Roman" w:hAnsi="Times New Roman" w:eastAsia="宋体" w:cs="Times New Roman"/>
                <w:b w:val="0"/>
                <w:bCs/>
                <w:color w:val="auto"/>
                <w:sz w:val="21"/>
                <w:szCs w:val="21"/>
                <w:highlight w:val="none"/>
                <w:lang w:val="en-US" w:eastAsia="zh-CN"/>
              </w:rPr>
              <w:t>7</w:t>
            </w:r>
            <w:r>
              <w:rPr>
                <w:rFonts w:hint="default" w:ascii="Times New Roman" w:hAnsi="Times New Roman" w:eastAsia="宋体" w:cs="Times New Roman"/>
                <w:b w:val="0"/>
                <w:bCs/>
                <w:color w:val="auto"/>
                <w:sz w:val="21"/>
                <w:szCs w:val="21"/>
                <w:highlight w:val="none"/>
                <w:lang w:val="en-US" w:eastAsia="zh-CN"/>
              </w:rPr>
              <w:t>月</w:t>
            </w:r>
            <w:r>
              <w:rPr>
                <w:rFonts w:hint="eastAsia" w:ascii="Times New Roman" w:hAnsi="Times New Roman" w:eastAsia="宋体" w:cs="Times New Roman"/>
                <w:b w:val="0"/>
                <w:bCs/>
                <w:color w:val="auto"/>
                <w:sz w:val="21"/>
                <w:szCs w:val="21"/>
                <w:highlight w:val="none"/>
                <w:lang w:val="en-US" w:eastAsia="zh-CN"/>
              </w:rPr>
              <w:t>16</w:t>
            </w:r>
            <w:r>
              <w:rPr>
                <w:rFonts w:hint="default" w:ascii="Times New Roman" w:hAnsi="Times New Roman" w:eastAsia="宋体" w:cs="Times New Roman"/>
                <w:b w:val="0"/>
                <w:bCs/>
                <w:color w:val="auto"/>
                <w:sz w:val="21"/>
                <w:szCs w:val="21"/>
                <w:highlight w:val="none"/>
                <w:lang w:val="en-US" w:eastAsia="zh-CN"/>
              </w:rPr>
              <w:t>日</w:t>
            </w:r>
            <w:r>
              <w:rPr>
                <w:rFonts w:hint="eastAsia" w:cs="Times New Roman"/>
                <w:b w:val="0"/>
                <w:bCs/>
                <w:color w:val="auto"/>
                <w:sz w:val="21"/>
                <w:szCs w:val="21"/>
                <w:highlight w:val="none"/>
                <w:lang w:val="en-US" w:eastAsia="zh-CN"/>
              </w:rPr>
              <w:t>。</w:t>
            </w:r>
          </w:p>
          <w:p w14:paraId="38372A94">
            <w:pPr>
              <w:tabs>
                <w:tab w:val="left" w:pos="10080"/>
              </w:tabs>
              <w:adjustRightInd w:val="0"/>
              <w:snapToGrid w:val="0"/>
              <w:spacing w:line="360" w:lineRule="auto"/>
              <w:ind w:firstLine="420" w:firstLineChars="200"/>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企业现有“木质家具生产项目”于2020年10月14日通过常州市生态环境局审批，并于2020年12月5日完成项目竣工环保自主验收。</w:t>
            </w:r>
          </w:p>
          <w:p w14:paraId="2C60BC54">
            <w:pPr>
              <w:tabs>
                <w:tab w:val="left" w:pos="10080"/>
              </w:tabs>
              <w:adjustRightInd w:val="0"/>
              <w:snapToGrid w:val="0"/>
              <w:spacing w:line="360" w:lineRule="auto"/>
              <w:ind w:firstLine="420" w:firstLineChars="200"/>
              <w:rPr>
                <w:rFonts w:hint="default" w:ascii="Times New Roman" w:hAnsi="Times New Roman" w:eastAsia="宋体" w:cs="Times New Roman"/>
                <w:b w:val="0"/>
                <w:bCs/>
                <w:color w:val="auto"/>
                <w:sz w:val="21"/>
                <w:szCs w:val="21"/>
                <w:highlight w:val="none"/>
                <w:lang w:val="en-US" w:eastAsia="zh-CN"/>
              </w:rPr>
            </w:pPr>
            <w:r>
              <w:rPr>
                <w:rFonts w:hint="eastAsia" w:cs="Times New Roman"/>
                <w:color w:val="auto"/>
                <w:szCs w:val="21"/>
                <w:highlight w:val="none"/>
                <w:lang w:val="en-US" w:eastAsia="zh-CN"/>
              </w:rPr>
              <w:t>企业</w:t>
            </w:r>
            <w:r>
              <w:rPr>
                <w:rFonts w:hint="default" w:ascii="Times New Roman" w:hAnsi="Times New Roman" w:eastAsia="宋体" w:cs="Times New Roman"/>
                <w:color w:val="auto"/>
                <w:szCs w:val="21"/>
                <w:highlight w:val="none"/>
                <w:lang w:val="en-US" w:eastAsia="zh-CN"/>
              </w:rPr>
              <w:t>于</w:t>
            </w:r>
            <w:r>
              <w:rPr>
                <w:rFonts w:hint="default" w:ascii="Times New Roman" w:hAnsi="Times New Roman" w:eastAsia="宋体" w:cs="Times New Roman"/>
                <w:b w:val="0"/>
                <w:bCs/>
                <w:color w:val="auto"/>
                <w:sz w:val="21"/>
                <w:szCs w:val="21"/>
                <w:highlight w:val="none"/>
                <w:lang w:val="en-US" w:eastAsia="zh-CN"/>
              </w:rPr>
              <w:t>202</w:t>
            </w:r>
            <w:r>
              <w:rPr>
                <w:rFonts w:hint="eastAsia" w:cs="Times New Roman"/>
                <w:b w:val="0"/>
                <w:bCs/>
                <w:color w:val="auto"/>
                <w:sz w:val="21"/>
                <w:szCs w:val="21"/>
                <w:highlight w:val="none"/>
                <w:lang w:val="en-US" w:eastAsia="zh-CN"/>
              </w:rPr>
              <w:t>0</w:t>
            </w:r>
            <w:r>
              <w:rPr>
                <w:rFonts w:hint="default" w:ascii="Times New Roman" w:hAnsi="Times New Roman" w:eastAsia="宋体" w:cs="Times New Roman"/>
                <w:b w:val="0"/>
                <w:bCs/>
                <w:color w:val="auto"/>
                <w:sz w:val="21"/>
                <w:szCs w:val="21"/>
                <w:highlight w:val="none"/>
                <w:lang w:val="en-US" w:eastAsia="zh-CN"/>
              </w:rPr>
              <w:t>年</w:t>
            </w:r>
            <w:r>
              <w:rPr>
                <w:rFonts w:hint="eastAsia" w:cs="Times New Roman"/>
                <w:b w:val="0"/>
                <w:bCs/>
                <w:color w:val="auto"/>
                <w:sz w:val="21"/>
                <w:szCs w:val="21"/>
                <w:highlight w:val="none"/>
                <w:lang w:val="en-US" w:eastAsia="zh-CN"/>
              </w:rPr>
              <w:t>12</w:t>
            </w:r>
            <w:r>
              <w:rPr>
                <w:rFonts w:hint="default" w:ascii="Times New Roman" w:hAnsi="Times New Roman" w:eastAsia="宋体" w:cs="Times New Roman"/>
                <w:b w:val="0"/>
                <w:bCs/>
                <w:color w:val="auto"/>
                <w:sz w:val="21"/>
                <w:szCs w:val="21"/>
                <w:highlight w:val="none"/>
                <w:lang w:val="en-US" w:eastAsia="zh-CN"/>
              </w:rPr>
              <w:t>月</w:t>
            </w:r>
            <w:r>
              <w:rPr>
                <w:rFonts w:hint="eastAsia" w:cs="Times New Roman"/>
                <w:b w:val="0"/>
                <w:bCs/>
                <w:color w:val="auto"/>
                <w:sz w:val="21"/>
                <w:szCs w:val="21"/>
                <w:highlight w:val="none"/>
                <w:lang w:val="en-US" w:eastAsia="zh-CN"/>
              </w:rPr>
              <w:t>28</w:t>
            </w:r>
            <w:r>
              <w:rPr>
                <w:rFonts w:hint="default" w:ascii="Times New Roman" w:hAnsi="Times New Roman" w:eastAsia="宋体" w:cs="Times New Roman"/>
                <w:b w:val="0"/>
                <w:bCs/>
                <w:color w:val="auto"/>
                <w:sz w:val="21"/>
                <w:szCs w:val="21"/>
                <w:highlight w:val="none"/>
                <w:lang w:val="en-US" w:eastAsia="zh-CN"/>
              </w:rPr>
              <w:t>日取得</w:t>
            </w:r>
            <w:r>
              <w:rPr>
                <w:rFonts w:hint="eastAsia" w:cs="Times New Roman"/>
                <w:b w:val="0"/>
                <w:bCs/>
                <w:color w:val="auto"/>
                <w:sz w:val="21"/>
                <w:szCs w:val="21"/>
                <w:highlight w:val="none"/>
                <w:lang w:val="en-US" w:eastAsia="zh-CN"/>
              </w:rPr>
              <w:t>排污许可登记</w:t>
            </w:r>
            <w:r>
              <w:rPr>
                <w:rFonts w:hint="default" w:ascii="Times New Roman" w:hAnsi="Times New Roman" w:eastAsia="宋体" w:cs="Times New Roman"/>
                <w:b w:val="0"/>
                <w:bCs/>
                <w:color w:val="auto"/>
                <w:sz w:val="21"/>
                <w:szCs w:val="21"/>
                <w:highlight w:val="none"/>
                <w:lang w:val="en-US" w:eastAsia="zh-CN"/>
              </w:rPr>
              <w:t>，</w:t>
            </w:r>
            <w:r>
              <w:rPr>
                <w:rFonts w:hint="eastAsia" w:cs="Times New Roman"/>
                <w:b w:val="0"/>
                <w:bCs/>
                <w:color w:val="auto"/>
                <w:sz w:val="21"/>
                <w:szCs w:val="21"/>
                <w:highlight w:val="none"/>
                <w:lang w:val="en-US" w:eastAsia="zh-CN"/>
              </w:rPr>
              <w:t>登记</w:t>
            </w:r>
            <w:r>
              <w:rPr>
                <w:rFonts w:hint="default" w:ascii="Times New Roman" w:hAnsi="Times New Roman" w:eastAsia="宋体" w:cs="Times New Roman"/>
                <w:b w:val="0"/>
                <w:bCs/>
                <w:color w:val="auto"/>
                <w:sz w:val="21"/>
                <w:szCs w:val="21"/>
                <w:highlight w:val="none"/>
                <w:lang w:val="en-US" w:eastAsia="zh-CN"/>
              </w:rPr>
              <w:t>编号：</w:t>
            </w:r>
            <w:r>
              <w:rPr>
                <w:rFonts w:hint="eastAsia"/>
                <w:color w:val="auto"/>
                <w:kern w:val="0"/>
                <w:lang w:val="en-US" w:eastAsia="zh-CN"/>
              </w:rPr>
              <w:t>91320413MA220AQC3A001X</w:t>
            </w:r>
            <w:r>
              <w:rPr>
                <w:rFonts w:hint="default" w:ascii="Times New Roman" w:hAnsi="Times New Roman" w:eastAsia="宋体" w:cs="Times New Roman"/>
                <w:b w:val="0"/>
                <w:bCs/>
                <w:color w:val="auto"/>
                <w:sz w:val="21"/>
                <w:szCs w:val="21"/>
                <w:highlight w:val="none"/>
                <w:lang w:val="en-US" w:eastAsia="zh-CN"/>
              </w:rPr>
              <w:t>。</w:t>
            </w:r>
            <w:r>
              <w:rPr>
                <w:rFonts w:hint="default" w:ascii="Times New Roman" w:hAnsi="Times New Roman" w:eastAsia="宋体" w:cs="Times New Roman"/>
                <w:color w:val="auto"/>
                <w:szCs w:val="21"/>
                <w:highlight w:val="none"/>
                <w:lang w:val="en-US" w:eastAsia="zh-CN"/>
              </w:rPr>
              <w:t>于202</w:t>
            </w:r>
            <w:r>
              <w:rPr>
                <w:rFonts w:hint="eastAsia" w:cs="Times New Roman"/>
                <w:color w:val="auto"/>
                <w:szCs w:val="21"/>
                <w:highlight w:val="none"/>
                <w:lang w:val="en-US" w:eastAsia="zh-CN"/>
              </w:rPr>
              <w:t>4</w:t>
            </w:r>
            <w:r>
              <w:rPr>
                <w:rFonts w:hint="default" w:ascii="Times New Roman" w:hAnsi="Times New Roman" w:eastAsia="宋体" w:cs="Times New Roman"/>
                <w:color w:val="auto"/>
                <w:szCs w:val="21"/>
                <w:highlight w:val="none"/>
                <w:lang w:val="en-US" w:eastAsia="zh-CN"/>
              </w:rPr>
              <w:t>年</w:t>
            </w:r>
            <w:r>
              <w:rPr>
                <w:rFonts w:hint="eastAsia" w:cs="Times New Roman"/>
                <w:color w:val="auto"/>
                <w:szCs w:val="21"/>
                <w:highlight w:val="none"/>
                <w:lang w:val="en-US" w:eastAsia="zh-CN"/>
              </w:rPr>
              <w:t>12</w:t>
            </w:r>
            <w:r>
              <w:rPr>
                <w:rFonts w:hint="default" w:ascii="Times New Roman" w:hAnsi="Times New Roman" w:eastAsia="宋体" w:cs="Times New Roman"/>
                <w:color w:val="auto"/>
                <w:szCs w:val="21"/>
                <w:highlight w:val="none"/>
                <w:lang w:val="en-US" w:eastAsia="zh-CN"/>
              </w:rPr>
              <w:t>月</w:t>
            </w:r>
            <w:r>
              <w:rPr>
                <w:rFonts w:hint="eastAsia" w:cs="Times New Roman"/>
                <w:color w:val="auto"/>
                <w:szCs w:val="21"/>
                <w:highlight w:val="none"/>
                <w:lang w:val="en-US" w:eastAsia="zh-CN"/>
              </w:rPr>
              <w:t>27</w:t>
            </w:r>
            <w:r>
              <w:rPr>
                <w:rFonts w:hint="default" w:ascii="Times New Roman" w:hAnsi="Times New Roman" w:eastAsia="宋体" w:cs="Times New Roman"/>
                <w:color w:val="auto"/>
                <w:szCs w:val="21"/>
                <w:highlight w:val="none"/>
                <w:lang w:val="en-US" w:eastAsia="zh-CN"/>
              </w:rPr>
              <w:t>日</w:t>
            </w:r>
            <w:r>
              <w:rPr>
                <w:rFonts w:hint="eastAsia" w:cs="Times New Roman"/>
                <w:color w:val="auto"/>
                <w:szCs w:val="21"/>
                <w:highlight w:val="none"/>
                <w:lang w:val="en-US" w:eastAsia="zh-CN"/>
              </w:rPr>
              <w:t>重新申报</w:t>
            </w:r>
            <w:r>
              <w:rPr>
                <w:rFonts w:hint="default" w:ascii="Times New Roman" w:hAnsi="Times New Roman" w:eastAsia="宋体" w:cs="Times New Roman"/>
                <w:color w:val="auto"/>
                <w:szCs w:val="21"/>
                <w:highlight w:val="none"/>
                <w:lang w:val="en-US" w:eastAsia="zh-CN"/>
              </w:rPr>
              <w:t>突发环境事件应急预案备案表（备案号：</w:t>
            </w:r>
            <w:r>
              <w:rPr>
                <w:rFonts w:hint="default" w:ascii="Times New Roman" w:hAnsi="Times New Roman" w:eastAsia="宋体" w:cs="Times New Roman"/>
                <w:color w:val="auto"/>
                <w:kern w:val="0"/>
                <w:szCs w:val="21"/>
                <w:highlight w:val="none"/>
                <w:lang w:val="en-US" w:eastAsia="zh-CN"/>
              </w:rPr>
              <w:t>3204</w:t>
            </w:r>
            <w:r>
              <w:rPr>
                <w:rFonts w:hint="eastAsia" w:cs="Times New Roman"/>
                <w:color w:val="auto"/>
                <w:kern w:val="0"/>
                <w:szCs w:val="21"/>
                <w:highlight w:val="none"/>
                <w:lang w:val="en-US" w:eastAsia="zh-CN"/>
              </w:rPr>
              <w:t>13</w:t>
            </w:r>
            <w:r>
              <w:rPr>
                <w:rFonts w:hint="default" w:ascii="Times New Roman" w:hAnsi="Times New Roman" w:eastAsia="宋体" w:cs="Times New Roman"/>
                <w:color w:val="auto"/>
                <w:kern w:val="0"/>
                <w:szCs w:val="21"/>
                <w:highlight w:val="none"/>
                <w:lang w:val="en-US" w:eastAsia="zh-CN"/>
              </w:rPr>
              <w:t>-202</w:t>
            </w:r>
            <w:r>
              <w:rPr>
                <w:rFonts w:hint="eastAsia" w:cs="Times New Roman"/>
                <w:color w:val="auto"/>
                <w:kern w:val="0"/>
                <w:szCs w:val="21"/>
                <w:highlight w:val="none"/>
                <w:lang w:val="en-US" w:eastAsia="zh-CN"/>
              </w:rPr>
              <w:t>4</w:t>
            </w:r>
            <w:r>
              <w:rPr>
                <w:rFonts w:hint="default" w:ascii="Times New Roman" w:hAnsi="Times New Roman" w:eastAsia="宋体" w:cs="Times New Roman"/>
                <w:color w:val="auto"/>
                <w:kern w:val="0"/>
                <w:szCs w:val="21"/>
                <w:highlight w:val="none"/>
                <w:lang w:val="en-US" w:eastAsia="zh-CN"/>
              </w:rPr>
              <w:t>-</w:t>
            </w:r>
            <w:r>
              <w:rPr>
                <w:rFonts w:hint="eastAsia" w:ascii="Times New Roman" w:hAnsi="Times New Roman" w:eastAsia="宋体" w:cs="Times New Roman"/>
                <w:color w:val="auto"/>
                <w:kern w:val="0"/>
                <w:szCs w:val="21"/>
                <w:highlight w:val="none"/>
                <w:lang w:val="en-US" w:eastAsia="zh-CN"/>
              </w:rPr>
              <w:t>268</w:t>
            </w:r>
            <w:r>
              <w:rPr>
                <w:rFonts w:hint="eastAsia" w:cs="Times New Roman"/>
                <w:color w:val="auto"/>
                <w:kern w:val="0"/>
                <w:szCs w:val="21"/>
                <w:highlight w:val="none"/>
                <w:lang w:val="en-US" w:eastAsia="zh-CN"/>
              </w:rPr>
              <w:t>-</w:t>
            </w:r>
            <w:r>
              <w:rPr>
                <w:rFonts w:hint="default" w:ascii="Times New Roman" w:hAnsi="Times New Roman" w:eastAsia="宋体" w:cs="Times New Roman"/>
                <w:color w:val="auto"/>
                <w:kern w:val="0"/>
                <w:szCs w:val="21"/>
                <w:highlight w:val="none"/>
                <w:lang w:val="en-US" w:eastAsia="zh-CN"/>
              </w:rPr>
              <w:t>L</w:t>
            </w:r>
            <w:r>
              <w:rPr>
                <w:rFonts w:hint="default" w:ascii="Times New Roman" w:hAnsi="Times New Roman" w:eastAsia="宋体" w:cs="Times New Roman"/>
                <w:color w:val="auto"/>
                <w:szCs w:val="21"/>
                <w:highlight w:val="none"/>
                <w:lang w:val="en-US" w:eastAsia="zh-CN"/>
              </w:rPr>
              <w:t>）。</w:t>
            </w:r>
          </w:p>
          <w:p w14:paraId="3FB1F033">
            <w:pPr>
              <w:pStyle w:val="72"/>
              <w:adjustRightInd w:val="0"/>
              <w:snapToGrid w:val="0"/>
              <w:spacing w:line="240" w:lineRule="auto"/>
              <w:jc w:val="center"/>
              <w:rPr>
                <w:b/>
                <w:bCs/>
                <w:color w:val="auto"/>
              </w:rPr>
            </w:pPr>
            <w:r>
              <w:rPr>
                <w:rFonts w:hint="eastAsia"/>
                <w:b/>
                <w:bCs/>
                <w:color w:val="auto"/>
              </w:rPr>
              <w:t>表2-</w:t>
            </w:r>
            <w:r>
              <w:rPr>
                <w:rFonts w:hint="eastAsia"/>
                <w:b/>
                <w:bCs/>
                <w:color w:val="auto"/>
                <w:lang w:val="en-US" w:eastAsia="zh-CN"/>
              </w:rPr>
              <w:t>7</w:t>
            </w:r>
            <w:r>
              <w:rPr>
                <w:rFonts w:hint="eastAsia"/>
                <w:b/>
                <w:bCs/>
                <w:color w:val="auto"/>
              </w:rPr>
              <w:t xml:space="preserve">   现有项目环保手续一览表</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911"/>
              <w:gridCol w:w="1695"/>
              <w:gridCol w:w="1155"/>
              <w:gridCol w:w="1095"/>
              <w:gridCol w:w="1760"/>
              <w:gridCol w:w="1930"/>
            </w:tblGrid>
            <w:tr w14:paraId="43634EE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11" w:type="dxa"/>
                  <w:tcBorders>
                    <w:tl2br w:val="nil"/>
                    <w:tr2bl w:val="nil"/>
                  </w:tcBorders>
                  <w:shd w:val="clear" w:color="auto" w:fill="auto"/>
                  <w:vAlign w:val="center"/>
                </w:tcPr>
                <w:p w14:paraId="3BA7F258">
                  <w:pPr>
                    <w:pStyle w:val="7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kern w:val="0"/>
                    </w:rPr>
                  </w:pPr>
                  <w:r>
                    <w:rPr>
                      <w:rFonts w:hint="eastAsia"/>
                      <w:b/>
                      <w:bCs/>
                      <w:color w:val="auto"/>
                      <w:kern w:val="0"/>
                    </w:rPr>
                    <w:t>项目名称</w:t>
                  </w:r>
                </w:p>
              </w:tc>
              <w:tc>
                <w:tcPr>
                  <w:tcW w:w="1695" w:type="dxa"/>
                  <w:tcBorders>
                    <w:tl2br w:val="nil"/>
                    <w:tr2bl w:val="nil"/>
                  </w:tcBorders>
                  <w:shd w:val="clear" w:color="auto" w:fill="auto"/>
                  <w:vAlign w:val="center"/>
                </w:tcPr>
                <w:p w14:paraId="2656F636">
                  <w:pPr>
                    <w:pStyle w:val="7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bCs/>
                      <w:color w:val="auto"/>
                      <w:kern w:val="0"/>
                      <w:lang w:val="en-US" w:eastAsia="zh-CN"/>
                    </w:rPr>
                  </w:pPr>
                  <w:r>
                    <w:rPr>
                      <w:rFonts w:hint="eastAsia"/>
                      <w:b/>
                      <w:bCs/>
                      <w:color w:val="auto"/>
                      <w:kern w:val="0"/>
                    </w:rPr>
                    <w:t>审批部门</w:t>
                  </w:r>
                  <w:r>
                    <w:rPr>
                      <w:rFonts w:hint="eastAsia"/>
                      <w:b/>
                      <w:bCs/>
                      <w:color w:val="auto"/>
                      <w:kern w:val="0"/>
                      <w:lang w:eastAsia="zh-CN"/>
                    </w:rPr>
                    <w:t>、</w:t>
                  </w:r>
                  <w:r>
                    <w:rPr>
                      <w:rFonts w:hint="eastAsia"/>
                      <w:b/>
                      <w:bCs/>
                      <w:color w:val="auto"/>
                      <w:kern w:val="0"/>
                      <w:lang w:val="en-US" w:eastAsia="zh-CN"/>
                    </w:rPr>
                    <w:t>文号、时间</w:t>
                  </w:r>
                </w:p>
              </w:tc>
              <w:tc>
                <w:tcPr>
                  <w:tcW w:w="1155" w:type="dxa"/>
                  <w:tcBorders>
                    <w:tl2br w:val="nil"/>
                    <w:tr2bl w:val="nil"/>
                  </w:tcBorders>
                  <w:shd w:val="clear" w:color="auto" w:fill="auto"/>
                  <w:vAlign w:val="center"/>
                </w:tcPr>
                <w:p w14:paraId="2DC22BA3">
                  <w:pPr>
                    <w:pStyle w:val="7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
                      <w:bCs/>
                      <w:color w:val="auto"/>
                      <w:kern w:val="0"/>
                      <w:lang w:eastAsia="zh-CN"/>
                    </w:rPr>
                  </w:pPr>
                  <w:r>
                    <w:rPr>
                      <w:rFonts w:hint="eastAsia"/>
                      <w:b/>
                      <w:bCs/>
                      <w:color w:val="auto"/>
                      <w:kern w:val="0"/>
                      <w:lang w:val="en-US" w:eastAsia="zh-CN"/>
                    </w:rPr>
                    <w:t>产品名称</w:t>
                  </w:r>
                </w:p>
              </w:tc>
              <w:tc>
                <w:tcPr>
                  <w:tcW w:w="1095" w:type="dxa"/>
                  <w:tcBorders>
                    <w:tl2br w:val="nil"/>
                    <w:tr2bl w:val="nil"/>
                  </w:tcBorders>
                  <w:shd w:val="clear" w:color="auto" w:fill="auto"/>
                  <w:vAlign w:val="center"/>
                </w:tcPr>
                <w:p w14:paraId="08AA0CA4">
                  <w:pPr>
                    <w:pStyle w:val="7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kern w:val="0"/>
                    </w:rPr>
                  </w:pPr>
                  <w:r>
                    <w:rPr>
                      <w:rFonts w:hint="eastAsia"/>
                      <w:b/>
                      <w:bCs/>
                      <w:color w:val="auto"/>
                      <w:kern w:val="0"/>
                    </w:rPr>
                    <w:t>验收时间</w:t>
                  </w:r>
                </w:p>
              </w:tc>
              <w:tc>
                <w:tcPr>
                  <w:tcW w:w="1760" w:type="dxa"/>
                  <w:tcBorders>
                    <w:tl2br w:val="nil"/>
                    <w:tr2bl w:val="nil"/>
                  </w:tcBorders>
                  <w:shd w:val="clear" w:color="auto" w:fill="auto"/>
                  <w:vAlign w:val="center"/>
                </w:tcPr>
                <w:p w14:paraId="0B85C6AD">
                  <w:pPr>
                    <w:pStyle w:val="7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bCs/>
                      <w:color w:val="auto"/>
                      <w:kern w:val="0"/>
                      <w:lang w:val="en-US" w:eastAsia="zh-CN"/>
                    </w:rPr>
                  </w:pPr>
                  <w:r>
                    <w:rPr>
                      <w:rFonts w:hint="eastAsia"/>
                      <w:b/>
                      <w:bCs/>
                      <w:color w:val="auto"/>
                      <w:kern w:val="0"/>
                      <w:lang w:val="en-US" w:eastAsia="zh-CN"/>
                    </w:rPr>
                    <w:t>排污许可申报</w:t>
                  </w:r>
                </w:p>
              </w:tc>
              <w:tc>
                <w:tcPr>
                  <w:tcW w:w="1930" w:type="dxa"/>
                  <w:tcBorders>
                    <w:tl2br w:val="nil"/>
                    <w:tr2bl w:val="nil"/>
                  </w:tcBorders>
                  <w:shd w:val="clear" w:color="auto" w:fill="auto"/>
                  <w:vAlign w:val="center"/>
                </w:tcPr>
                <w:p w14:paraId="29F5605C">
                  <w:pPr>
                    <w:pStyle w:val="7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
                      <w:bCs/>
                      <w:color w:val="auto"/>
                      <w:kern w:val="0"/>
                      <w:lang w:val="en-US" w:eastAsia="zh-CN"/>
                    </w:rPr>
                  </w:pPr>
                  <w:r>
                    <w:rPr>
                      <w:rFonts w:hint="eastAsia"/>
                      <w:b/>
                      <w:bCs/>
                      <w:color w:val="auto"/>
                      <w:kern w:val="0"/>
                      <w:lang w:val="en-US" w:eastAsia="zh-CN"/>
                    </w:rPr>
                    <w:t>应急预案备案</w:t>
                  </w:r>
                </w:p>
              </w:tc>
            </w:tr>
            <w:tr w14:paraId="6EAE5B7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11" w:type="dxa"/>
                  <w:tcBorders>
                    <w:tl2br w:val="nil"/>
                    <w:tr2bl w:val="nil"/>
                  </w:tcBorders>
                  <w:shd w:val="clear" w:color="auto" w:fill="auto"/>
                  <w:vAlign w:val="center"/>
                </w:tcPr>
                <w:p w14:paraId="44462456">
                  <w:pPr>
                    <w:pStyle w:val="7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kern w:val="0"/>
                      <w:lang w:val="en-US" w:eastAsia="zh-CN"/>
                    </w:rPr>
                  </w:pPr>
                  <w:r>
                    <w:rPr>
                      <w:rFonts w:hint="eastAsia" w:cs="Times New Roman"/>
                      <w:b w:val="0"/>
                      <w:bCs/>
                      <w:color w:val="auto"/>
                      <w:kern w:val="0"/>
                      <w:sz w:val="21"/>
                      <w:szCs w:val="21"/>
                      <w:highlight w:val="none"/>
                      <w:lang w:val="en-US" w:eastAsia="zh-CN"/>
                    </w:rPr>
                    <w:t>木质家具生产项目</w:t>
                  </w:r>
                </w:p>
              </w:tc>
              <w:tc>
                <w:tcPr>
                  <w:tcW w:w="1695" w:type="dxa"/>
                  <w:tcBorders>
                    <w:tl2br w:val="nil"/>
                    <w:tr2bl w:val="nil"/>
                  </w:tcBorders>
                  <w:shd w:val="clear" w:color="auto" w:fill="auto"/>
                  <w:vAlign w:val="center"/>
                </w:tcPr>
                <w:p w14:paraId="435D98CA">
                  <w:pPr>
                    <w:pStyle w:val="7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lang w:val="en-US"/>
                    </w:rPr>
                  </w:pPr>
                  <w:r>
                    <w:rPr>
                      <w:rFonts w:hint="eastAsia" w:cs="Times New Roman"/>
                      <w:b w:val="0"/>
                      <w:bCs/>
                      <w:color w:val="auto"/>
                      <w:kern w:val="0"/>
                      <w:sz w:val="21"/>
                      <w:szCs w:val="21"/>
                      <w:highlight w:val="none"/>
                      <w:lang w:val="en-US" w:eastAsia="zh-CN"/>
                    </w:rPr>
                    <w:t>常州市生态环境局</w:t>
                  </w:r>
                  <w:r>
                    <w:rPr>
                      <w:rFonts w:hint="eastAsia"/>
                      <w:color w:val="auto"/>
                      <w:kern w:val="0"/>
                      <w:lang w:val="en-US" w:eastAsia="zh-CN"/>
                    </w:rPr>
                    <w:t>，常金环审〔2020〕141号，2020.10.14</w:t>
                  </w:r>
                </w:p>
              </w:tc>
              <w:tc>
                <w:tcPr>
                  <w:tcW w:w="1155" w:type="dxa"/>
                  <w:tcBorders>
                    <w:tl2br w:val="nil"/>
                    <w:tr2bl w:val="nil"/>
                  </w:tcBorders>
                  <w:shd w:val="clear" w:color="auto" w:fill="auto"/>
                  <w:vAlign w:val="center"/>
                </w:tcPr>
                <w:p w14:paraId="05FFCF8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kern w:val="0"/>
                      <w:lang w:val="en-US" w:eastAsia="zh-CN"/>
                    </w:rPr>
                  </w:pPr>
                  <w:r>
                    <w:rPr>
                      <w:rFonts w:hint="eastAsia" w:eastAsia="宋体"/>
                      <w:color w:val="auto"/>
                      <w:kern w:val="0"/>
                      <w:lang w:val="en-US" w:eastAsia="zh-CN"/>
                    </w:rPr>
                    <w:t>木质家具</w:t>
                  </w:r>
                </w:p>
              </w:tc>
              <w:tc>
                <w:tcPr>
                  <w:tcW w:w="1095" w:type="dxa"/>
                  <w:tcBorders>
                    <w:tl2br w:val="nil"/>
                    <w:tr2bl w:val="nil"/>
                  </w:tcBorders>
                  <w:shd w:val="clear" w:color="auto" w:fill="auto"/>
                  <w:vAlign w:val="center"/>
                </w:tcPr>
                <w:p w14:paraId="7829CD0F">
                  <w:pPr>
                    <w:pStyle w:val="7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kern w:val="0"/>
                      <w:lang w:val="en-US" w:eastAsia="zh-CN"/>
                    </w:rPr>
                  </w:pPr>
                  <w:r>
                    <w:rPr>
                      <w:rFonts w:hint="eastAsia"/>
                      <w:color w:val="auto"/>
                      <w:kern w:val="0"/>
                      <w:lang w:val="en-US" w:eastAsia="zh-CN"/>
                    </w:rPr>
                    <w:t>自主验收2020.12.5</w:t>
                  </w:r>
                </w:p>
              </w:tc>
              <w:tc>
                <w:tcPr>
                  <w:tcW w:w="1760" w:type="dxa"/>
                  <w:tcBorders>
                    <w:tl2br w:val="nil"/>
                    <w:tr2bl w:val="nil"/>
                  </w:tcBorders>
                  <w:shd w:val="clear" w:color="auto" w:fill="auto"/>
                  <w:vAlign w:val="center"/>
                </w:tcPr>
                <w:p w14:paraId="031FAA6F">
                  <w:pPr>
                    <w:pStyle w:val="7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lang w:val="en-US" w:eastAsia="zh-CN"/>
                    </w:rPr>
                  </w:pPr>
                  <w:r>
                    <w:rPr>
                      <w:rFonts w:hint="eastAsia"/>
                      <w:color w:val="auto"/>
                      <w:kern w:val="0"/>
                      <w:lang w:val="en-US" w:eastAsia="zh-CN"/>
                    </w:rPr>
                    <w:t>2020年12月28日取得排污许可登记，编号：91320413MA220AQC3A001X</w:t>
                  </w:r>
                </w:p>
              </w:tc>
              <w:tc>
                <w:tcPr>
                  <w:tcW w:w="1930" w:type="dxa"/>
                  <w:tcBorders>
                    <w:tl2br w:val="nil"/>
                    <w:tr2bl w:val="nil"/>
                  </w:tcBorders>
                  <w:shd w:val="clear" w:color="auto" w:fill="auto"/>
                  <w:vAlign w:val="center"/>
                </w:tcPr>
                <w:p w14:paraId="1E13A84C">
                  <w:pPr>
                    <w:pStyle w:val="7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lang w:val="en-US" w:eastAsia="zh-CN"/>
                    </w:rPr>
                  </w:pPr>
                  <w:r>
                    <w:rPr>
                      <w:rFonts w:hint="eastAsia"/>
                      <w:color w:val="auto"/>
                      <w:kern w:val="0"/>
                      <w:lang w:val="en-US" w:eastAsia="zh-CN"/>
                    </w:rPr>
                    <w:t>2024年12月27日重新申报突发环境事件应急预案备案表，备案号：</w:t>
                  </w:r>
                  <w:r>
                    <w:rPr>
                      <w:rFonts w:hint="default" w:ascii="Times New Roman" w:hAnsi="Times New Roman" w:eastAsia="宋体" w:cs="Times New Roman"/>
                      <w:color w:val="auto"/>
                      <w:kern w:val="0"/>
                      <w:szCs w:val="21"/>
                      <w:highlight w:val="none"/>
                      <w:lang w:val="en-US" w:eastAsia="zh-CN"/>
                    </w:rPr>
                    <w:t>3204</w:t>
                  </w:r>
                  <w:r>
                    <w:rPr>
                      <w:rFonts w:hint="eastAsia" w:cs="Times New Roman"/>
                      <w:color w:val="auto"/>
                      <w:kern w:val="0"/>
                      <w:szCs w:val="21"/>
                      <w:highlight w:val="none"/>
                      <w:lang w:val="en-US" w:eastAsia="zh-CN"/>
                    </w:rPr>
                    <w:t>13</w:t>
                  </w:r>
                  <w:r>
                    <w:rPr>
                      <w:rFonts w:hint="default" w:ascii="Times New Roman" w:hAnsi="Times New Roman" w:eastAsia="宋体" w:cs="Times New Roman"/>
                      <w:color w:val="auto"/>
                      <w:kern w:val="0"/>
                      <w:szCs w:val="21"/>
                      <w:highlight w:val="none"/>
                      <w:lang w:val="en-US" w:eastAsia="zh-CN"/>
                    </w:rPr>
                    <w:t>-202</w:t>
                  </w:r>
                  <w:r>
                    <w:rPr>
                      <w:rFonts w:hint="eastAsia" w:cs="Times New Roman"/>
                      <w:color w:val="auto"/>
                      <w:kern w:val="0"/>
                      <w:szCs w:val="21"/>
                      <w:highlight w:val="none"/>
                      <w:lang w:val="en-US" w:eastAsia="zh-CN"/>
                    </w:rPr>
                    <w:t>4</w:t>
                  </w:r>
                  <w:r>
                    <w:rPr>
                      <w:rFonts w:hint="default" w:ascii="Times New Roman" w:hAnsi="Times New Roman" w:eastAsia="宋体" w:cs="Times New Roman"/>
                      <w:color w:val="auto"/>
                      <w:kern w:val="0"/>
                      <w:szCs w:val="21"/>
                      <w:highlight w:val="none"/>
                      <w:lang w:val="en-US" w:eastAsia="zh-CN"/>
                    </w:rPr>
                    <w:t>-</w:t>
                  </w:r>
                  <w:r>
                    <w:rPr>
                      <w:rFonts w:hint="eastAsia" w:ascii="Times New Roman" w:hAnsi="Times New Roman" w:eastAsia="宋体" w:cs="Times New Roman"/>
                      <w:color w:val="auto"/>
                      <w:kern w:val="0"/>
                      <w:szCs w:val="21"/>
                      <w:highlight w:val="none"/>
                      <w:lang w:val="en-US" w:eastAsia="zh-CN"/>
                    </w:rPr>
                    <w:t>268</w:t>
                  </w:r>
                  <w:r>
                    <w:rPr>
                      <w:rFonts w:hint="eastAsia" w:cs="Times New Roman"/>
                      <w:color w:val="auto"/>
                      <w:kern w:val="0"/>
                      <w:szCs w:val="21"/>
                      <w:highlight w:val="none"/>
                      <w:lang w:val="en-US" w:eastAsia="zh-CN"/>
                    </w:rPr>
                    <w:t>-</w:t>
                  </w:r>
                  <w:r>
                    <w:rPr>
                      <w:rFonts w:hint="default" w:ascii="Times New Roman" w:hAnsi="Times New Roman" w:eastAsia="宋体" w:cs="Times New Roman"/>
                      <w:color w:val="auto"/>
                      <w:kern w:val="0"/>
                      <w:szCs w:val="21"/>
                      <w:highlight w:val="none"/>
                      <w:lang w:val="en-US" w:eastAsia="zh-CN"/>
                    </w:rPr>
                    <w:t>L</w:t>
                  </w:r>
                </w:p>
              </w:tc>
            </w:tr>
          </w:tbl>
          <w:p w14:paraId="1BF8B409">
            <w:pPr>
              <w:pStyle w:val="72"/>
              <w:spacing w:line="360" w:lineRule="auto"/>
              <w:rPr>
                <w:b/>
                <w:bCs/>
                <w:color w:val="auto"/>
                <w:kern w:val="0"/>
                <w:lang w:bidi="ar"/>
              </w:rPr>
            </w:pPr>
            <w:r>
              <w:rPr>
                <w:rFonts w:hint="eastAsia"/>
                <w:b/>
                <w:bCs/>
                <w:color w:val="auto"/>
                <w:kern w:val="0"/>
                <w:lang w:bidi="ar"/>
              </w:rPr>
              <w:t>2、</w:t>
            </w:r>
            <w:r>
              <w:rPr>
                <w:b/>
                <w:bCs/>
                <w:color w:val="auto"/>
                <w:kern w:val="0"/>
                <w:lang w:bidi="ar"/>
              </w:rPr>
              <w:t>现有项目生产工艺及产排污环节</w:t>
            </w:r>
          </w:p>
          <w:p w14:paraId="59126235">
            <w:pPr>
              <w:adjustRightInd w:val="0"/>
              <w:snapToGrid w:val="0"/>
              <w:spacing w:line="240" w:lineRule="auto"/>
              <w:ind w:firstLine="422" w:firstLineChars="200"/>
              <w:rPr>
                <w:rFonts w:hint="default"/>
                <w:b/>
                <w:bCs/>
                <w:color w:val="auto"/>
                <w:kern w:val="0"/>
                <w:lang w:val="en-US" w:eastAsia="zh-CN"/>
              </w:rPr>
            </w:pPr>
            <w:r>
              <w:rPr>
                <w:rFonts w:hint="eastAsia"/>
                <w:b/>
                <w:bCs/>
                <w:color w:val="auto"/>
                <w:kern w:val="0"/>
                <w:lang w:val="en-US" w:eastAsia="zh-CN"/>
              </w:rPr>
              <w:t>A、免漆家具工艺流程</w:t>
            </w:r>
          </w:p>
          <w:p w14:paraId="1DA423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lang w:val="en-US" w:eastAsia="zh-CN"/>
              </w:rPr>
            </w:pPr>
            <w:r>
              <w:rPr>
                <w:color w:val="auto"/>
              </w:rPr>
              <w:drawing>
                <wp:inline distT="0" distB="0" distL="114300" distR="114300">
                  <wp:extent cx="5095875" cy="4686300"/>
                  <wp:effectExtent l="0" t="0" r="9525" b="0"/>
                  <wp:docPr id="1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0"/>
                          <pic:cNvPicPr>
                            <a:picLocks noChangeAspect="1"/>
                          </pic:cNvPicPr>
                        </pic:nvPicPr>
                        <pic:blipFill>
                          <a:blip r:embed="rId29"/>
                          <a:stretch>
                            <a:fillRect/>
                          </a:stretch>
                        </pic:blipFill>
                        <pic:spPr>
                          <a:xfrm>
                            <a:off x="0" y="0"/>
                            <a:ext cx="5095875" cy="4686300"/>
                          </a:xfrm>
                          <a:prstGeom prst="rect">
                            <a:avLst/>
                          </a:prstGeom>
                          <a:noFill/>
                          <a:ln>
                            <a:noFill/>
                          </a:ln>
                        </pic:spPr>
                      </pic:pic>
                    </a:graphicData>
                  </a:graphic>
                </wp:inline>
              </w:drawing>
            </w:r>
          </w:p>
          <w:p w14:paraId="53E71B69">
            <w:pPr>
              <w:adjustRightInd w:val="0"/>
              <w:snapToGrid w:val="0"/>
              <w:spacing w:line="360" w:lineRule="auto"/>
              <w:jc w:val="center"/>
              <w:rPr>
                <w:rFonts w:hint="default"/>
                <w:b/>
                <w:bCs/>
                <w:color w:val="auto"/>
                <w:kern w:val="0"/>
                <w:sz w:val="21"/>
                <w:szCs w:val="21"/>
                <w:lang w:val="en-US" w:eastAsia="zh-CN"/>
              </w:rPr>
            </w:pPr>
            <w:r>
              <w:rPr>
                <w:rFonts w:hint="eastAsia"/>
                <w:b/>
                <w:bCs/>
                <w:color w:val="auto"/>
                <w:kern w:val="0"/>
                <w:sz w:val="21"/>
                <w:szCs w:val="21"/>
                <w:lang w:val="en-US" w:eastAsia="zh-CN"/>
              </w:rPr>
              <w:t>图2-10   免漆家具工艺流程及产污环节图</w:t>
            </w:r>
          </w:p>
          <w:p w14:paraId="3963F9E8">
            <w:pPr>
              <w:adjustRightInd w:val="0"/>
              <w:snapToGrid w:val="0"/>
              <w:spacing w:line="360" w:lineRule="auto"/>
              <w:ind w:firstLine="420" w:firstLineChars="200"/>
              <w:rPr>
                <w:rFonts w:hint="eastAsia"/>
                <w:b/>
                <w:bCs/>
                <w:color w:val="auto"/>
                <w:kern w:val="0"/>
                <w:lang w:val="en-US" w:eastAsia="zh-CN"/>
              </w:rPr>
            </w:pPr>
            <w:r>
              <w:rPr>
                <w:rFonts w:hint="eastAsia"/>
                <w:b w:val="0"/>
                <w:bCs w:val="0"/>
                <w:color w:val="auto"/>
                <w:kern w:val="0"/>
                <w:lang w:val="en-US" w:eastAsia="zh-CN" w:bidi="ar"/>
              </w:rPr>
              <w:t>现有免漆家具生产工艺与本项目免漆家具生产工艺基本相同，此处不再赘述。</w:t>
            </w:r>
          </w:p>
          <w:p w14:paraId="17A054EE">
            <w:pPr>
              <w:adjustRightInd w:val="0"/>
              <w:snapToGrid w:val="0"/>
              <w:spacing w:line="360" w:lineRule="auto"/>
              <w:ind w:firstLine="422" w:firstLineChars="200"/>
              <w:rPr>
                <w:rFonts w:hint="default"/>
                <w:color w:val="auto"/>
                <w:kern w:val="0"/>
                <w:lang w:val="en-US" w:eastAsia="zh-CN"/>
              </w:rPr>
            </w:pPr>
            <w:r>
              <w:rPr>
                <w:rFonts w:hint="eastAsia"/>
                <w:b/>
                <w:bCs/>
                <w:color w:val="auto"/>
                <w:kern w:val="0"/>
                <w:lang w:val="en-US" w:eastAsia="zh-CN"/>
              </w:rPr>
              <w:t>B、喷漆家具工艺流程</w:t>
            </w:r>
          </w:p>
          <w:p w14:paraId="31D3392C">
            <w:pPr>
              <w:adjustRightInd w:val="0"/>
              <w:snapToGrid w:val="0"/>
              <w:spacing w:line="240" w:lineRule="auto"/>
              <w:jc w:val="center"/>
              <w:rPr>
                <w:rFonts w:hint="default"/>
                <w:color w:val="auto"/>
                <w:kern w:val="0"/>
                <w:lang w:val="en-US" w:eastAsia="zh-CN"/>
              </w:rPr>
            </w:pPr>
            <w:r>
              <w:rPr>
                <w:color w:val="auto"/>
              </w:rPr>
              <w:drawing>
                <wp:inline distT="0" distB="0" distL="114300" distR="114300">
                  <wp:extent cx="4152900" cy="6153150"/>
                  <wp:effectExtent l="0" t="0" r="0" b="0"/>
                  <wp:docPr id="1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pic:cNvPicPr>
                            <a:picLocks noChangeAspect="1"/>
                          </pic:cNvPicPr>
                        </pic:nvPicPr>
                        <pic:blipFill>
                          <a:blip r:embed="rId30"/>
                          <a:stretch>
                            <a:fillRect/>
                          </a:stretch>
                        </pic:blipFill>
                        <pic:spPr>
                          <a:xfrm>
                            <a:off x="0" y="0"/>
                            <a:ext cx="4152900" cy="6153150"/>
                          </a:xfrm>
                          <a:prstGeom prst="rect">
                            <a:avLst/>
                          </a:prstGeom>
                          <a:noFill/>
                          <a:ln>
                            <a:noFill/>
                          </a:ln>
                        </pic:spPr>
                      </pic:pic>
                    </a:graphicData>
                  </a:graphic>
                </wp:inline>
              </w:drawing>
            </w:r>
          </w:p>
          <w:p w14:paraId="1C37C4BE">
            <w:pPr>
              <w:adjustRightInd w:val="0"/>
              <w:snapToGrid w:val="0"/>
              <w:spacing w:line="360" w:lineRule="auto"/>
              <w:jc w:val="center"/>
              <w:rPr>
                <w:rFonts w:hint="default"/>
                <w:b/>
                <w:bCs/>
                <w:color w:val="auto"/>
                <w:kern w:val="0"/>
                <w:sz w:val="21"/>
                <w:szCs w:val="21"/>
                <w:lang w:val="en-US" w:eastAsia="zh-CN"/>
              </w:rPr>
            </w:pPr>
            <w:r>
              <w:rPr>
                <w:rFonts w:hint="eastAsia"/>
                <w:b/>
                <w:bCs/>
                <w:color w:val="auto"/>
                <w:kern w:val="0"/>
                <w:sz w:val="21"/>
                <w:szCs w:val="21"/>
                <w:lang w:val="en-US" w:eastAsia="zh-CN"/>
              </w:rPr>
              <w:t>图2-11   喷漆家具工艺流程及产污环节图</w:t>
            </w:r>
          </w:p>
          <w:p w14:paraId="5AD140AD">
            <w:pPr>
              <w:adjustRightInd w:val="0"/>
              <w:snapToGrid w:val="0"/>
              <w:spacing w:line="360" w:lineRule="auto"/>
              <w:ind w:firstLine="420" w:firstLineChars="200"/>
              <w:rPr>
                <w:rFonts w:hint="default"/>
                <w:color w:val="auto"/>
                <w:kern w:val="0"/>
                <w:lang w:val="en-US" w:eastAsia="zh-CN"/>
              </w:rPr>
            </w:pPr>
            <w:r>
              <w:rPr>
                <w:rFonts w:hint="eastAsia"/>
                <w:b w:val="0"/>
                <w:bCs w:val="0"/>
                <w:color w:val="auto"/>
                <w:kern w:val="0"/>
                <w:lang w:val="en-US" w:eastAsia="zh-CN" w:bidi="ar"/>
              </w:rPr>
              <w:t>现有喷漆家具生产工艺与本项目喷漆家具生产工艺基本相同，此处不再赘述。</w:t>
            </w:r>
          </w:p>
          <w:p w14:paraId="66B7A8A8">
            <w:pPr>
              <w:adjustRightInd w:val="0"/>
              <w:snapToGrid w:val="0"/>
              <w:spacing w:line="360" w:lineRule="auto"/>
              <w:rPr>
                <w:rFonts w:hint="default"/>
                <w:color w:val="auto"/>
                <w:kern w:val="0"/>
                <w:lang w:val="en-US" w:eastAsia="zh-CN"/>
              </w:rPr>
            </w:pPr>
            <w:r>
              <w:rPr>
                <w:rFonts w:hint="eastAsia"/>
                <w:b/>
                <w:bCs/>
                <w:color w:val="auto"/>
                <w:kern w:val="0"/>
                <w:lang w:bidi="ar"/>
              </w:rPr>
              <w:t>3、现有项目污染物</w:t>
            </w:r>
            <w:r>
              <w:rPr>
                <w:rFonts w:hint="eastAsia"/>
                <w:b/>
                <w:bCs/>
                <w:color w:val="auto"/>
                <w:kern w:val="0"/>
                <w:lang w:val="en-US" w:eastAsia="zh-CN" w:bidi="ar"/>
              </w:rPr>
              <w:t>达标排放</w:t>
            </w:r>
            <w:r>
              <w:rPr>
                <w:rFonts w:hint="eastAsia"/>
                <w:b/>
                <w:bCs/>
                <w:color w:val="auto"/>
                <w:kern w:val="0"/>
                <w:lang w:bidi="ar"/>
              </w:rPr>
              <w:t>情况</w:t>
            </w:r>
          </w:p>
          <w:p w14:paraId="452C7476">
            <w:pPr>
              <w:adjustRightInd w:val="0"/>
              <w:snapToGrid w:val="0"/>
              <w:spacing w:line="360" w:lineRule="auto"/>
              <w:ind w:firstLine="422" w:firstLineChars="200"/>
              <w:rPr>
                <w:rFonts w:hint="default"/>
                <w:b/>
                <w:bCs/>
                <w:color w:val="auto"/>
                <w:kern w:val="0"/>
                <w:lang w:val="en-US" w:eastAsia="zh-CN"/>
              </w:rPr>
            </w:pPr>
            <w:r>
              <w:rPr>
                <w:rFonts w:hint="eastAsia"/>
                <w:b/>
                <w:bCs/>
                <w:color w:val="auto"/>
                <w:kern w:val="0"/>
                <w:lang w:val="en-US" w:eastAsia="zh-CN"/>
              </w:rPr>
              <w:t>废气：</w:t>
            </w:r>
          </w:p>
          <w:p w14:paraId="196F8950">
            <w:pPr>
              <w:adjustRightInd w:val="0"/>
              <w:snapToGrid w:val="0"/>
              <w:spacing w:line="240" w:lineRule="auto"/>
              <w:jc w:val="center"/>
              <w:rPr>
                <w:rFonts w:hint="default"/>
                <w:b/>
                <w:bCs/>
                <w:color w:val="auto"/>
                <w:kern w:val="0"/>
                <w:lang w:val="en-US" w:eastAsia="zh-CN"/>
              </w:rPr>
            </w:pPr>
            <w:r>
              <w:rPr>
                <w:rFonts w:hint="eastAsia"/>
                <w:b/>
                <w:bCs/>
                <w:color w:val="auto"/>
                <w:kern w:val="0"/>
                <w:lang w:val="en-US" w:eastAsia="zh-CN"/>
              </w:rPr>
              <w:t>表2-8   有组织废气检测结果表</w:t>
            </w:r>
          </w:p>
          <w:tbl>
            <w:tblPr>
              <w:tblStyle w:val="60"/>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71"/>
              <w:gridCol w:w="771"/>
              <w:gridCol w:w="884"/>
              <w:gridCol w:w="1050"/>
              <w:gridCol w:w="1139"/>
              <w:gridCol w:w="1050"/>
              <w:gridCol w:w="1024"/>
              <w:gridCol w:w="1108"/>
              <w:gridCol w:w="749"/>
            </w:tblGrid>
            <w:tr w14:paraId="2038AE3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1" w:type="pct"/>
                  <w:vMerge w:val="restart"/>
                  <w:tcBorders>
                    <w:tl2br w:val="nil"/>
                    <w:tr2bl w:val="nil"/>
                  </w:tcBorders>
                  <w:vAlign w:val="center"/>
                </w:tcPr>
                <w:p w14:paraId="76EB19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采样日期</w:t>
                  </w:r>
                </w:p>
              </w:tc>
              <w:tc>
                <w:tcPr>
                  <w:tcW w:w="451" w:type="pct"/>
                  <w:vMerge w:val="restart"/>
                  <w:tcBorders>
                    <w:tl2br w:val="nil"/>
                    <w:tr2bl w:val="nil"/>
                  </w:tcBorders>
                  <w:vAlign w:val="center"/>
                </w:tcPr>
                <w:p w14:paraId="50D550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采样点位</w:t>
                  </w:r>
                </w:p>
              </w:tc>
              <w:tc>
                <w:tcPr>
                  <w:tcW w:w="517" w:type="pct"/>
                  <w:vMerge w:val="restart"/>
                  <w:tcBorders>
                    <w:tl2br w:val="nil"/>
                    <w:tr2bl w:val="nil"/>
                  </w:tcBorders>
                  <w:vAlign w:val="center"/>
                </w:tcPr>
                <w:p w14:paraId="7C63A3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检测项目</w:t>
                  </w:r>
                </w:p>
              </w:tc>
              <w:tc>
                <w:tcPr>
                  <w:tcW w:w="614" w:type="pct"/>
                  <w:vMerge w:val="restart"/>
                  <w:tcBorders>
                    <w:tl2br w:val="nil"/>
                    <w:tr2bl w:val="nil"/>
                  </w:tcBorders>
                  <w:vAlign w:val="center"/>
                </w:tcPr>
                <w:p w14:paraId="35384C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检测频次</w:t>
                  </w:r>
                </w:p>
              </w:tc>
              <w:tc>
                <w:tcPr>
                  <w:tcW w:w="1879" w:type="pct"/>
                  <w:gridSpan w:val="3"/>
                  <w:tcBorders>
                    <w:tl2br w:val="nil"/>
                    <w:tr2bl w:val="nil"/>
                  </w:tcBorders>
                  <w:vAlign w:val="center"/>
                </w:tcPr>
                <w:p w14:paraId="4AA3A0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检测结果</w:t>
                  </w:r>
                </w:p>
              </w:tc>
              <w:tc>
                <w:tcPr>
                  <w:tcW w:w="648" w:type="pct"/>
                  <w:vMerge w:val="restart"/>
                  <w:tcBorders>
                    <w:tl2br w:val="nil"/>
                    <w:tr2bl w:val="nil"/>
                  </w:tcBorders>
                  <w:vAlign w:val="center"/>
                </w:tcPr>
                <w:p w14:paraId="18A772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标准限值（mg/m</w:t>
                  </w:r>
                  <w:r>
                    <w:rPr>
                      <w:rFonts w:hint="eastAsia"/>
                      <w:color w:val="auto"/>
                      <w:kern w:val="0"/>
                      <w:vertAlign w:val="superscript"/>
                      <w:lang w:val="en-US" w:eastAsia="zh-CN"/>
                    </w:rPr>
                    <w:t>3</w:t>
                  </w:r>
                  <w:r>
                    <w:rPr>
                      <w:rFonts w:hint="eastAsia"/>
                      <w:color w:val="auto"/>
                      <w:kern w:val="0"/>
                      <w:vertAlign w:val="baseline"/>
                      <w:lang w:val="en-US" w:eastAsia="zh-CN"/>
                    </w:rPr>
                    <w:t>）</w:t>
                  </w:r>
                </w:p>
              </w:tc>
              <w:tc>
                <w:tcPr>
                  <w:tcW w:w="438" w:type="pct"/>
                  <w:vMerge w:val="restart"/>
                  <w:tcBorders>
                    <w:tl2br w:val="nil"/>
                    <w:tr2bl w:val="nil"/>
                  </w:tcBorders>
                  <w:vAlign w:val="center"/>
                </w:tcPr>
                <w:p w14:paraId="3E3AD6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达标判定</w:t>
                  </w:r>
                </w:p>
              </w:tc>
            </w:tr>
            <w:tr w14:paraId="14A0CF9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1" w:type="pct"/>
                  <w:vMerge w:val="continue"/>
                  <w:tcBorders>
                    <w:tl2br w:val="nil"/>
                    <w:tr2bl w:val="nil"/>
                  </w:tcBorders>
                  <w:vAlign w:val="center"/>
                </w:tcPr>
                <w:p w14:paraId="46670D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51" w:type="pct"/>
                  <w:vMerge w:val="continue"/>
                  <w:tcBorders>
                    <w:tl2br w:val="nil"/>
                    <w:tr2bl w:val="nil"/>
                  </w:tcBorders>
                  <w:vAlign w:val="center"/>
                </w:tcPr>
                <w:p w14:paraId="1B814A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17" w:type="pct"/>
                  <w:vMerge w:val="continue"/>
                  <w:tcBorders>
                    <w:tl2br w:val="nil"/>
                    <w:tr2bl w:val="nil"/>
                  </w:tcBorders>
                  <w:vAlign w:val="center"/>
                </w:tcPr>
                <w:p w14:paraId="64561C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614" w:type="pct"/>
                  <w:vMerge w:val="continue"/>
                  <w:tcBorders>
                    <w:tl2br w:val="nil"/>
                    <w:tr2bl w:val="nil"/>
                  </w:tcBorders>
                  <w:vAlign w:val="center"/>
                </w:tcPr>
                <w:p w14:paraId="6188A4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666" w:type="pct"/>
                  <w:tcBorders>
                    <w:tl2br w:val="nil"/>
                    <w:tr2bl w:val="nil"/>
                  </w:tcBorders>
                  <w:vAlign w:val="center"/>
                </w:tcPr>
                <w:p w14:paraId="682106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排放浓度（mg/m</w:t>
                  </w:r>
                  <w:r>
                    <w:rPr>
                      <w:rFonts w:hint="eastAsia"/>
                      <w:color w:val="auto"/>
                      <w:kern w:val="0"/>
                      <w:vertAlign w:val="superscript"/>
                      <w:lang w:val="en-US" w:eastAsia="zh-CN"/>
                    </w:rPr>
                    <w:t>3</w:t>
                  </w:r>
                  <w:r>
                    <w:rPr>
                      <w:rFonts w:hint="eastAsia"/>
                      <w:color w:val="auto"/>
                      <w:kern w:val="0"/>
                      <w:vertAlign w:val="baseline"/>
                      <w:lang w:val="en-US" w:eastAsia="zh-CN"/>
                    </w:rPr>
                    <w:t>）</w:t>
                  </w:r>
                </w:p>
              </w:tc>
              <w:tc>
                <w:tcPr>
                  <w:tcW w:w="614" w:type="pct"/>
                  <w:tcBorders>
                    <w:tl2br w:val="nil"/>
                    <w:tr2bl w:val="nil"/>
                  </w:tcBorders>
                  <w:vAlign w:val="center"/>
                </w:tcPr>
                <w:p w14:paraId="473970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标干流量（m</w:t>
                  </w:r>
                  <w:r>
                    <w:rPr>
                      <w:rFonts w:hint="eastAsia"/>
                      <w:color w:val="auto"/>
                      <w:kern w:val="0"/>
                      <w:vertAlign w:val="superscript"/>
                      <w:lang w:val="en-US" w:eastAsia="zh-CN"/>
                    </w:rPr>
                    <w:t>3</w:t>
                  </w:r>
                  <w:r>
                    <w:rPr>
                      <w:rFonts w:hint="eastAsia"/>
                      <w:color w:val="auto"/>
                      <w:kern w:val="0"/>
                      <w:vertAlign w:val="baseline"/>
                      <w:lang w:val="en-US" w:eastAsia="zh-CN"/>
                    </w:rPr>
                    <w:t>/h）</w:t>
                  </w:r>
                </w:p>
              </w:tc>
              <w:tc>
                <w:tcPr>
                  <w:tcW w:w="598" w:type="pct"/>
                  <w:tcBorders>
                    <w:tl2br w:val="nil"/>
                    <w:tr2bl w:val="nil"/>
                  </w:tcBorders>
                  <w:vAlign w:val="center"/>
                </w:tcPr>
                <w:p w14:paraId="732DA2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排放速率（kg/h）</w:t>
                  </w:r>
                </w:p>
              </w:tc>
              <w:tc>
                <w:tcPr>
                  <w:tcW w:w="648" w:type="pct"/>
                  <w:vMerge w:val="continue"/>
                  <w:tcBorders>
                    <w:tl2br w:val="nil"/>
                    <w:tr2bl w:val="nil"/>
                  </w:tcBorders>
                  <w:vAlign w:val="center"/>
                </w:tcPr>
                <w:p w14:paraId="3D5D0E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vertAlign w:val="baseline"/>
                      <w:lang w:val="en-US" w:eastAsia="zh-CN"/>
                    </w:rPr>
                  </w:pPr>
                </w:p>
              </w:tc>
              <w:tc>
                <w:tcPr>
                  <w:tcW w:w="438" w:type="pct"/>
                  <w:vMerge w:val="continue"/>
                  <w:tcBorders>
                    <w:tl2br w:val="nil"/>
                    <w:tr2bl w:val="nil"/>
                  </w:tcBorders>
                  <w:vAlign w:val="center"/>
                </w:tcPr>
                <w:p w14:paraId="1C0A6F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vertAlign w:val="baseline"/>
                      <w:lang w:val="en-US" w:eastAsia="zh-CN"/>
                    </w:rPr>
                  </w:pPr>
                </w:p>
              </w:tc>
            </w:tr>
            <w:tr w14:paraId="65902D7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1" w:type="pct"/>
                  <w:vMerge w:val="restart"/>
                  <w:tcBorders>
                    <w:tl2br w:val="nil"/>
                    <w:tr2bl w:val="nil"/>
                  </w:tcBorders>
                  <w:vAlign w:val="center"/>
                </w:tcPr>
                <w:p w14:paraId="100793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2020.11.10</w:t>
                  </w:r>
                </w:p>
              </w:tc>
              <w:tc>
                <w:tcPr>
                  <w:tcW w:w="451" w:type="pct"/>
                  <w:vMerge w:val="restart"/>
                  <w:tcBorders>
                    <w:tl2br w:val="nil"/>
                    <w:tr2bl w:val="nil"/>
                  </w:tcBorders>
                  <w:vAlign w:val="center"/>
                </w:tcPr>
                <w:p w14:paraId="2D0B1A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2#排气筒进口</w:t>
                  </w:r>
                </w:p>
              </w:tc>
              <w:tc>
                <w:tcPr>
                  <w:tcW w:w="517" w:type="pct"/>
                  <w:vMerge w:val="restart"/>
                  <w:tcBorders>
                    <w:tl2br w:val="nil"/>
                    <w:tr2bl w:val="nil"/>
                  </w:tcBorders>
                  <w:vAlign w:val="center"/>
                </w:tcPr>
                <w:p w14:paraId="5DB7CB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颗粒物</w:t>
                  </w:r>
                </w:p>
              </w:tc>
              <w:tc>
                <w:tcPr>
                  <w:tcW w:w="614" w:type="pct"/>
                  <w:tcBorders>
                    <w:tl2br w:val="nil"/>
                    <w:tr2bl w:val="nil"/>
                  </w:tcBorders>
                  <w:vAlign w:val="center"/>
                </w:tcPr>
                <w:p w14:paraId="5F2411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第一次</w:t>
                  </w:r>
                </w:p>
              </w:tc>
              <w:tc>
                <w:tcPr>
                  <w:tcW w:w="666" w:type="pct"/>
                  <w:tcBorders>
                    <w:tl2br w:val="nil"/>
                    <w:tr2bl w:val="nil"/>
                  </w:tcBorders>
                  <w:vAlign w:val="center"/>
                </w:tcPr>
                <w:p w14:paraId="7205FA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22.6</w:t>
                  </w:r>
                </w:p>
              </w:tc>
              <w:tc>
                <w:tcPr>
                  <w:tcW w:w="614" w:type="pct"/>
                  <w:tcBorders>
                    <w:tl2br w:val="nil"/>
                    <w:tr2bl w:val="nil"/>
                  </w:tcBorders>
                  <w:vAlign w:val="center"/>
                </w:tcPr>
                <w:p w14:paraId="09FB91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13056</w:t>
                  </w:r>
                </w:p>
              </w:tc>
              <w:tc>
                <w:tcPr>
                  <w:tcW w:w="598" w:type="pct"/>
                  <w:tcBorders>
                    <w:tl2br w:val="nil"/>
                    <w:tr2bl w:val="nil"/>
                  </w:tcBorders>
                  <w:vAlign w:val="center"/>
                </w:tcPr>
                <w:p w14:paraId="3F931A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0.3</w:t>
                  </w:r>
                </w:p>
              </w:tc>
              <w:tc>
                <w:tcPr>
                  <w:tcW w:w="648" w:type="pct"/>
                  <w:vMerge w:val="restart"/>
                  <w:tcBorders>
                    <w:tl2br w:val="nil"/>
                    <w:tr2bl w:val="nil"/>
                  </w:tcBorders>
                  <w:vAlign w:val="center"/>
                </w:tcPr>
                <w:p w14:paraId="519BD8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w:t>
                  </w:r>
                </w:p>
              </w:tc>
              <w:tc>
                <w:tcPr>
                  <w:tcW w:w="438" w:type="pct"/>
                  <w:vMerge w:val="restart"/>
                  <w:tcBorders>
                    <w:tl2br w:val="nil"/>
                    <w:tr2bl w:val="nil"/>
                  </w:tcBorders>
                  <w:vAlign w:val="center"/>
                </w:tcPr>
                <w:p w14:paraId="5A87B3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w:t>
                  </w:r>
                </w:p>
              </w:tc>
            </w:tr>
            <w:tr w14:paraId="36E73DE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1" w:type="pct"/>
                  <w:vMerge w:val="continue"/>
                  <w:tcBorders>
                    <w:tl2br w:val="nil"/>
                    <w:tr2bl w:val="nil"/>
                  </w:tcBorders>
                  <w:vAlign w:val="center"/>
                </w:tcPr>
                <w:p w14:paraId="27CAEA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51" w:type="pct"/>
                  <w:vMerge w:val="continue"/>
                  <w:tcBorders>
                    <w:tl2br w:val="nil"/>
                    <w:tr2bl w:val="nil"/>
                  </w:tcBorders>
                  <w:vAlign w:val="center"/>
                </w:tcPr>
                <w:p w14:paraId="6BAED7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17" w:type="pct"/>
                  <w:vMerge w:val="continue"/>
                  <w:tcBorders>
                    <w:tl2br w:val="nil"/>
                    <w:tr2bl w:val="nil"/>
                  </w:tcBorders>
                  <w:vAlign w:val="center"/>
                </w:tcPr>
                <w:p w14:paraId="5505EF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614" w:type="pct"/>
                  <w:tcBorders>
                    <w:tl2br w:val="nil"/>
                    <w:tr2bl w:val="nil"/>
                  </w:tcBorders>
                  <w:vAlign w:val="center"/>
                </w:tcPr>
                <w:p w14:paraId="413846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第二次</w:t>
                  </w:r>
                </w:p>
              </w:tc>
              <w:tc>
                <w:tcPr>
                  <w:tcW w:w="666" w:type="pct"/>
                  <w:tcBorders>
                    <w:tl2br w:val="nil"/>
                    <w:tr2bl w:val="nil"/>
                  </w:tcBorders>
                  <w:vAlign w:val="center"/>
                </w:tcPr>
                <w:p w14:paraId="65344F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24.8</w:t>
                  </w:r>
                </w:p>
              </w:tc>
              <w:tc>
                <w:tcPr>
                  <w:tcW w:w="614" w:type="pct"/>
                  <w:tcBorders>
                    <w:tl2br w:val="nil"/>
                    <w:tr2bl w:val="nil"/>
                  </w:tcBorders>
                  <w:vAlign w:val="center"/>
                </w:tcPr>
                <w:p w14:paraId="2FC0ED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13255</w:t>
                  </w:r>
                </w:p>
              </w:tc>
              <w:tc>
                <w:tcPr>
                  <w:tcW w:w="598" w:type="pct"/>
                  <w:tcBorders>
                    <w:tl2br w:val="nil"/>
                    <w:tr2bl w:val="nil"/>
                  </w:tcBorders>
                  <w:vAlign w:val="center"/>
                </w:tcPr>
                <w:p w14:paraId="643FAA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0.33</w:t>
                  </w:r>
                </w:p>
              </w:tc>
              <w:tc>
                <w:tcPr>
                  <w:tcW w:w="648" w:type="pct"/>
                  <w:vMerge w:val="continue"/>
                  <w:tcBorders>
                    <w:tl2br w:val="nil"/>
                    <w:tr2bl w:val="nil"/>
                  </w:tcBorders>
                  <w:vAlign w:val="center"/>
                </w:tcPr>
                <w:p w14:paraId="0F4115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38" w:type="pct"/>
                  <w:vMerge w:val="continue"/>
                  <w:tcBorders>
                    <w:tl2br w:val="nil"/>
                    <w:tr2bl w:val="nil"/>
                  </w:tcBorders>
                  <w:vAlign w:val="center"/>
                </w:tcPr>
                <w:p w14:paraId="705352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r>
            <w:tr w14:paraId="3059E75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1" w:type="pct"/>
                  <w:vMerge w:val="continue"/>
                  <w:tcBorders>
                    <w:tl2br w:val="nil"/>
                    <w:tr2bl w:val="nil"/>
                  </w:tcBorders>
                  <w:vAlign w:val="center"/>
                </w:tcPr>
                <w:p w14:paraId="232405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51" w:type="pct"/>
                  <w:vMerge w:val="continue"/>
                  <w:tcBorders>
                    <w:tl2br w:val="nil"/>
                    <w:tr2bl w:val="nil"/>
                  </w:tcBorders>
                  <w:vAlign w:val="center"/>
                </w:tcPr>
                <w:p w14:paraId="243AD8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17" w:type="pct"/>
                  <w:vMerge w:val="continue"/>
                  <w:tcBorders>
                    <w:tl2br w:val="nil"/>
                    <w:tr2bl w:val="nil"/>
                  </w:tcBorders>
                  <w:vAlign w:val="center"/>
                </w:tcPr>
                <w:p w14:paraId="512C4A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614" w:type="pct"/>
                  <w:tcBorders>
                    <w:tl2br w:val="nil"/>
                    <w:tr2bl w:val="nil"/>
                  </w:tcBorders>
                  <w:vAlign w:val="center"/>
                </w:tcPr>
                <w:p w14:paraId="04CE84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第三次</w:t>
                  </w:r>
                </w:p>
              </w:tc>
              <w:tc>
                <w:tcPr>
                  <w:tcW w:w="666" w:type="pct"/>
                  <w:tcBorders>
                    <w:tl2br w:val="nil"/>
                    <w:tr2bl w:val="nil"/>
                  </w:tcBorders>
                  <w:vAlign w:val="center"/>
                </w:tcPr>
                <w:p w14:paraId="2CA0B3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27.2</w:t>
                  </w:r>
                </w:p>
              </w:tc>
              <w:tc>
                <w:tcPr>
                  <w:tcW w:w="614" w:type="pct"/>
                  <w:tcBorders>
                    <w:tl2br w:val="nil"/>
                    <w:tr2bl w:val="nil"/>
                  </w:tcBorders>
                  <w:vAlign w:val="center"/>
                </w:tcPr>
                <w:p w14:paraId="5C3092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13048</w:t>
                  </w:r>
                </w:p>
              </w:tc>
              <w:tc>
                <w:tcPr>
                  <w:tcW w:w="598" w:type="pct"/>
                  <w:tcBorders>
                    <w:tl2br w:val="nil"/>
                    <w:tr2bl w:val="nil"/>
                  </w:tcBorders>
                  <w:vAlign w:val="center"/>
                </w:tcPr>
                <w:p w14:paraId="6B844B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0.35</w:t>
                  </w:r>
                </w:p>
              </w:tc>
              <w:tc>
                <w:tcPr>
                  <w:tcW w:w="648" w:type="pct"/>
                  <w:vMerge w:val="continue"/>
                  <w:tcBorders>
                    <w:tl2br w:val="nil"/>
                    <w:tr2bl w:val="nil"/>
                  </w:tcBorders>
                  <w:vAlign w:val="center"/>
                </w:tcPr>
                <w:p w14:paraId="3DC99E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38" w:type="pct"/>
                  <w:vMerge w:val="continue"/>
                  <w:tcBorders>
                    <w:tl2br w:val="nil"/>
                    <w:tr2bl w:val="nil"/>
                  </w:tcBorders>
                  <w:vAlign w:val="center"/>
                </w:tcPr>
                <w:p w14:paraId="3C4E51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r>
            <w:tr w14:paraId="24C3E73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1" w:type="pct"/>
                  <w:vMerge w:val="continue"/>
                  <w:tcBorders>
                    <w:tl2br w:val="nil"/>
                    <w:tr2bl w:val="nil"/>
                  </w:tcBorders>
                  <w:vAlign w:val="center"/>
                </w:tcPr>
                <w:p w14:paraId="253A70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51" w:type="pct"/>
                  <w:vMerge w:val="continue"/>
                  <w:tcBorders>
                    <w:tl2br w:val="nil"/>
                    <w:tr2bl w:val="nil"/>
                  </w:tcBorders>
                  <w:vAlign w:val="center"/>
                </w:tcPr>
                <w:p w14:paraId="52C88C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17" w:type="pct"/>
                  <w:vMerge w:val="restart"/>
                  <w:tcBorders>
                    <w:tl2br w:val="nil"/>
                    <w:tr2bl w:val="nil"/>
                  </w:tcBorders>
                  <w:vAlign w:val="center"/>
                </w:tcPr>
                <w:p w14:paraId="2CFAF0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挥发性有机物</w:t>
                  </w:r>
                </w:p>
              </w:tc>
              <w:tc>
                <w:tcPr>
                  <w:tcW w:w="614" w:type="pct"/>
                  <w:tcBorders>
                    <w:tl2br w:val="nil"/>
                    <w:tr2bl w:val="nil"/>
                  </w:tcBorders>
                  <w:vAlign w:val="center"/>
                </w:tcPr>
                <w:p w14:paraId="0B1ECC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第一次</w:t>
                  </w:r>
                </w:p>
              </w:tc>
              <w:tc>
                <w:tcPr>
                  <w:tcW w:w="666" w:type="pct"/>
                  <w:tcBorders>
                    <w:tl2br w:val="nil"/>
                    <w:tr2bl w:val="nil"/>
                  </w:tcBorders>
                  <w:vAlign w:val="center"/>
                </w:tcPr>
                <w:p w14:paraId="1E8BE7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3.94</w:t>
                  </w:r>
                </w:p>
              </w:tc>
              <w:tc>
                <w:tcPr>
                  <w:tcW w:w="614" w:type="pct"/>
                  <w:tcBorders>
                    <w:tl2br w:val="nil"/>
                    <w:tr2bl w:val="nil"/>
                  </w:tcBorders>
                  <w:vAlign w:val="center"/>
                </w:tcPr>
                <w:p w14:paraId="5C2529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13056</w:t>
                  </w:r>
                </w:p>
              </w:tc>
              <w:tc>
                <w:tcPr>
                  <w:tcW w:w="598" w:type="pct"/>
                  <w:tcBorders>
                    <w:tl2br w:val="nil"/>
                    <w:tr2bl w:val="nil"/>
                  </w:tcBorders>
                  <w:vAlign w:val="center"/>
                </w:tcPr>
                <w:p w14:paraId="6DCA6C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0.05</w:t>
                  </w:r>
                </w:p>
              </w:tc>
              <w:tc>
                <w:tcPr>
                  <w:tcW w:w="648" w:type="pct"/>
                  <w:vMerge w:val="restart"/>
                  <w:tcBorders>
                    <w:tl2br w:val="nil"/>
                    <w:tr2bl w:val="nil"/>
                  </w:tcBorders>
                  <w:vAlign w:val="center"/>
                </w:tcPr>
                <w:p w14:paraId="3A96A2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w:t>
                  </w:r>
                </w:p>
              </w:tc>
              <w:tc>
                <w:tcPr>
                  <w:tcW w:w="438" w:type="pct"/>
                  <w:vMerge w:val="restart"/>
                  <w:tcBorders>
                    <w:tl2br w:val="nil"/>
                    <w:tr2bl w:val="nil"/>
                  </w:tcBorders>
                  <w:vAlign w:val="center"/>
                </w:tcPr>
                <w:p w14:paraId="1C9451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w:t>
                  </w:r>
                </w:p>
              </w:tc>
            </w:tr>
            <w:tr w14:paraId="4CDFF0B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1" w:type="pct"/>
                  <w:vMerge w:val="continue"/>
                  <w:tcBorders>
                    <w:tl2br w:val="nil"/>
                    <w:tr2bl w:val="nil"/>
                  </w:tcBorders>
                  <w:vAlign w:val="center"/>
                </w:tcPr>
                <w:p w14:paraId="7E7C27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51" w:type="pct"/>
                  <w:vMerge w:val="continue"/>
                  <w:tcBorders>
                    <w:tl2br w:val="nil"/>
                    <w:tr2bl w:val="nil"/>
                  </w:tcBorders>
                  <w:vAlign w:val="center"/>
                </w:tcPr>
                <w:p w14:paraId="041D11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17" w:type="pct"/>
                  <w:vMerge w:val="continue"/>
                  <w:tcBorders>
                    <w:tl2br w:val="nil"/>
                    <w:tr2bl w:val="nil"/>
                  </w:tcBorders>
                  <w:vAlign w:val="center"/>
                </w:tcPr>
                <w:p w14:paraId="3C00DA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614" w:type="pct"/>
                  <w:tcBorders>
                    <w:tl2br w:val="nil"/>
                    <w:tr2bl w:val="nil"/>
                  </w:tcBorders>
                  <w:vAlign w:val="center"/>
                </w:tcPr>
                <w:p w14:paraId="7497B7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第二次</w:t>
                  </w:r>
                </w:p>
              </w:tc>
              <w:tc>
                <w:tcPr>
                  <w:tcW w:w="666" w:type="pct"/>
                  <w:tcBorders>
                    <w:tl2br w:val="nil"/>
                    <w:tr2bl w:val="nil"/>
                  </w:tcBorders>
                  <w:vAlign w:val="center"/>
                </w:tcPr>
                <w:p w14:paraId="70DD44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3.05</w:t>
                  </w:r>
                </w:p>
              </w:tc>
              <w:tc>
                <w:tcPr>
                  <w:tcW w:w="614" w:type="pct"/>
                  <w:tcBorders>
                    <w:tl2br w:val="nil"/>
                    <w:tr2bl w:val="nil"/>
                  </w:tcBorders>
                  <w:vAlign w:val="center"/>
                </w:tcPr>
                <w:p w14:paraId="22042F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13255</w:t>
                  </w:r>
                </w:p>
              </w:tc>
              <w:tc>
                <w:tcPr>
                  <w:tcW w:w="598" w:type="pct"/>
                  <w:tcBorders>
                    <w:tl2br w:val="nil"/>
                    <w:tr2bl w:val="nil"/>
                  </w:tcBorders>
                  <w:vAlign w:val="center"/>
                </w:tcPr>
                <w:p w14:paraId="09CA79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0.04</w:t>
                  </w:r>
                </w:p>
              </w:tc>
              <w:tc>
                <w:tcPr>
                  <w:tcW w:w="648" w:type="pct"/>
                  <w:vMerge w:val="continue"/>
                  <w:tcBorders>
                    <w:tl2br w:val="nil"/>
                    <w:tr2bl w:val="nil"/>
                  </w:tcBorders>
                  <w:vAlign w:val="center"/>
                </w:tcPr>
                <w:p w14:paraId="423755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38" w:type="pct"/>
                  <w:vMerge w:val="continue"/>
                  <w:tcBorders>
                    <w:tl2br w:val="nil"/>
                    <w:tr2bl w:val="nil"/>
                  </w:tcBorders>
                  <w:vAlign w:val="center"/>
                </w:tcPr>
                <w:p w14:paraId="56AB5F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r>
            <w:tr w14:paraId="481E425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1" w:type="pct"/>
                  <w:vMerge w:val="continue"/>
                  <w:tcBorders>
                    <w:tl2br w:val="nil"/>
                    <w:tr2bl w:val="nil"/>
                  </w:tcBorders>
                  <w:vAlign w:val="center"/>
                </w:tcPr>
                <w:p w14:paraId="444A14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51" w:type="pct"/>
                  <w:vMerge w:val="continue"/>
                  <w:tcBorders>
                    <w:tl2br w:val="nil"/>
                    <w:tr2bl w:val="nil"/>
                  </w:tcBorders>
                  <w:vAlign w:val="center"/>
                </w:tcPr>
                <w:p w14:paraId="74D6B5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17" w:type="pct"/>
                  <w:vMerge w:val="continue"/>
                  <w:tcBorders>
                    <w:tl2br w:val="nil"/>
                    <w:tr2bl w:val="nil"/>
                  </w:tcBorders>
                  <w:vAlign w:val="center"/>
                </w:tcPr>
                <w:p w14:paraId="2A179B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614" w:type="pct"/>
                  <w:tcBorders>
                    <w:tl2br w:val="nil"/>
                    <w:tr2bl w:val="nil"/>
                  </w:tcBorders>
                  <w:vAlign w:val="center"/>
                </w:tcPr>
                <w:p w14:paraId="63A756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第三次</w:t>
                  </w:r>
                </w:p>
              </w:tc>
              <w:tc>
                <w:tcPr>
                  <w:tcW w:w="666" w:type="pct"/>
                  <w:tcBorders>
                    <w:tl2br w:val="nil"/>
                    <w:tr2bl w:val="nil"/>
                  </w:tcBorders>
                  <w:vAlign w:val="center"/>
                </w:tcPr>
                <w:p w14:paraId="2CAD3A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3.29</w:t>
                  </w:r>
                </w:p>
              </w:tc>
              <w:tc>
                <w:tcPr>
                  <w:tcW w:w="614" w:type="pct"/>
                  <w:tcBorders>
                    <w:tl2br w:val="nil"/>
                    <w:tr2bl w:val="nil"/>
                  </w:tcBorders>
                  <w:vAlign w:val="center"/>
                </w:tcPr>
                <w:p w14:paraId="0B1238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13048</w:t>
                  </w:r>
                </w:p>
              </w:tc>
              <w:tc>
                <w:tcPr>
                  <w:tcW w:w="598" w:type="pct"/>
                  <w:tcBorders>
                    <w:tl2br w:val="nil"/>
                    <w:tr2bl w:val="nil"/>
                  </w:tcBorders>
                  <w:vAlign w:val="center"/>
                </w:tcPr>
                <w:p w14:paraId="1509EF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0.04</w:t>
                  </w:r>
                </w:p>
              </w:tc>
              <w:tc>
                <w:tcPr>
                  <w:tcW w:w="648" w:type="pct"/>
                  <w:vMerge w:val="continue"/>
                  <w:tcBorders>
                    <w:tl2br w:val="nil"/>
                    <w:tr2bl w:val="nil"/>
                  </w:tcBorders>
                  <w:vAlign w:val="center"/>
                </w:tcPr>
                <w:p w14:paraId="2E2169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38" w:type="pct"/>
                  <w:vMerge w:val="continue"/>
                  <w:tcBorders>
                    <w:tl2br w:val="nil"/>
                    <w:tr2bl w:val="nil"/>
                  </w:tcBorders>
                  <w:vAlign w:val="center"/>
                </w:tcPr>
                <w:p w14:paraId="4C29AD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r>
            <w:tr w14:paraId="4D94C20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1" w:type="pct"/>
                  <w:vMerge w:val="continue"/>
                  <w:tcBorders>
                    <w:tl2br w:val="nil"/>
                    <w:tr2bl w:val="nil"/>
                  </w:tcBorders>
                  <w:vAlign w:val="center"/>
                </w:tcPr>
                <w:p w14:paraId="37AF3B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51" w:type="pct"/>
                  <w:vMerge w:val="restart"/>
                  <w:tcBorders>
                    <w:tl2br w:val="nil"/>
                    <w:tr2bl w:val="nil"/>
                  </w:tcBorders>
                  <w:vAlign w:val="center"/>
                </w:tcPr>
                <w:p w14:paraId="4333EE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2#排气筒出口</w:t>
                  </w:r>
                </w:p>
              </w:tc>
              <w:tc>
                <w:tcPr>
                  <w:tcW w:w="517" w:type="pct"/>
                  <w:vMerge w:val="restart"/>
                  <w:tcBorders>
                    <w:tl2br w:val="nil"/>
                    <w:tr2bl w:val="nil"/>
                  </w:tcBorders>
                  <w:vAlign w:val="center"/>
                </w:tcPr>
                <w:p w14:paraId="654D3B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低浓度颗粒物</w:t>
                  </w:r>
                </w:p>
              </w:tc>
              <w:tc>
                <w:tcPr>
                  <w:tcW w:w="614" w:type="pct"/>
                  <w:tcBorders>
                    <w:tl2br w:val="nil"/>
                    <w:tr2bl w:val="nil"/>
                  </w:tcBorders>
                  <w:vAlign w:val="center"/>
                </w:tcPr>
                <w:p w14:paraId="5510DD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第一次</w:t>
                  </w:r>
                </w:p>
              </w:tc>
              <w:tc>
                <w:tcPr>
                  <w:tcW w:w="666" w:type="pct"/>
                  <w:tcBorders>
                    <w:tl2br w:val="nil"/>
                    <w:tr2bl w:val="nil"/>
                  </w:tcBorders>
                  <w:vAlign w:val="center"/>
                </w:tcPr>
                <w:p w14:paraId="78EDDD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2.2</w:t>
                  </w:r>
                </w:p>
              </w:tc>
              <w:tc>
                <w:tcPr>
                  <w:tcW w:w="614" w:type="pct"/>
                  <w:tcBorders>
                    <w:tl2br w:val="nil"/>
                    <w:tr2bl w:val="nil"/>
                  </w:tcBorders>
                  <w:vAlign w:val="center"/>
                </w:tcPr>
                <w:p w14:paraId="7F9947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13962</w:t>
                  </w:r>
                </w:p>
              </w:tc>
              <w:tc>
                <w:tcPr>
                  <w:tcW w:w="598" w:type="pct"/>
                  <w:tcBorders>
                    <w:tl2br w:val="nil"/>
                    <w:tr2bl w:val="nil"/>
                  </w:tcBorders>
                  <w:vAlign w:val="center"/>
                </w:tcPr>
                <w:p w14:paraId="7B8FD2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0.03</w:t>
                  </w:r>
                </w:p>
              </w:tc>
              <w:tc>
                <w:tcPr>
                  <w:tcW w:w="648" w:type="pct"/>
                  <w:vMerge w:val="restart"/>
                  <w:tcBorders>
                    <w:tl2br w:val="nil"/>
                    <w:tr2bl w:val="nil"/>
                  </w:tcBorders>
                  <w:vAlign w:val="center"/>
                </w:tcPr>
                <w:p w14:paraId="178ECD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10</w:t>
                  </w:r>
                </w:p>
              </w:tc>
              <w:tc>
                <w:tcPr>
                  <w:tcW w:w="438" w:type="pct"/>
                  <w:vMerge w:val="restart"/>
                  <w:tcBorders>
                    <w:tl2br w:val="nil"/>
                    <w:tr2bl w:val="nil"/>
                  </w:tcBorders>
                  <w:vAlign w:val="center"/>
                </w:tcPr>
                <w:p w14:paraId="5AF93A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达标</w:t>
                  </w:r>
                </w:p>
              </w:tc>
            </w:tr>
            <w:tr w14:paraId="65000DB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1" w:type="pct"/>
                  <w:vMerge w:val="continue"/>
                  <w:tcBorders>
                    <w:tl2br w:val="nil"/>
                    <w:tr2bl w:val="nil"/>
                  </w:tcBorders>
                  <w:vAlign w:val="center"/>
                </w:tcPr>
                <w:p w14:paraId="18C4BF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51" w:type="pct"/>
                  <w:vMerge w:val="continue"/>
                  <w:tcBorders>
                    <w:tl2br w:val="nil"/>
                    <w:tr2bl w:val="nil"/>
                  </w:tcBorders>
                  <w:vAlign w:val="center"/>
                </w:tcPr>
                <w:p w14:paraId="337D83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17" w:type="pct"/>
                  <w:vMerge w:val="continue"/>
                  <w:tcBorders>
                    <w:tl2br w:val="nil"/>
                    <w:tr2bl w:val="nil"/>
                  </w:tcBorders>
                  <w:vAlign w:val="center"/>
                </w:tcPr>
                <w:p w14:paraId="38D052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614" w:type="pct"/>
                  <w:tcBorders>
                    <w:tl2br w:val="nil"/>
                    <w:tr2bl w:val="nil"/>
                  </w:tcBorders>
                  <w:vAlign w:val="center"/>
                </w:tcPr>
                <w:p w14:paraId="58C4E2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第二次</w:t>
                  </w:r>
                </w:p>
              </w:tc>
              <w:tc>
                <w:tcPr>
                  <w:tcW w:w="666" w:type="pct"/>
                  <w:tcBorders>
                    <w:tl2br w:val="nil"/>
                    <w:tr2bl w:val="nil"/>
                  </w:tcBorders>
                  <w:vAlign w:val="center"/>
                </w:tcPr>
                <w:p w14:paraId="40EB21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1.9</w:t>
                  </w:r>
                </w:p>
              </w:tc>
              <w:tc>
                <w:tcPr>
                  <w:tcW w:w="614" w:type="pct"/>
                  <w:tcBorders>
                    <w:tl2br w:val="nil"/>
                    <w:tr2bl w:val="nil"/>
                  </w:tcBorders>
                  <w:vAlign w:val="center"/>
                </w:tcPr>
                <w:p w14:paraId="5B3CE9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13867</w:t>
                  </w:r>
                </w:p>
              </w:tc>
              <w:tc>
                <w:tcPr>
                  <w:tcW w:w="598" w:type="pct"/>
                  <w:tcBorders>
                    <w:tl2br w:val="nil"/>
                    <w:tr2bl w:val="nil"/>
                  </w:tcBorders>
                  <w:vAlign w:val="center"/>
                </w:tcPr>
                <w:p w14:paraId="44FBFF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0.03</w:t>
                  </w:r>
                </w:p>
              </w:tc>
              <w:tc>
                <w:tcPr>
                  <w:tcW w:w="648" w:type="pct"/>
                  <w:vMerge w:val="continue"/>
                  <w:tcBorders>
                    <w:tl2br w:val="nil"/>
                    <w:tr2bl w:val="nil"/>
                  </w:tcBorders>
                  <w:vAlign w:val="center"/>
                </w:tcPr>
                <w:p w14:paraId="59A295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38" w:type="pct"/>
                  <w:vMerge w:val="continue"/>
                  <w:tcBorders>
                    <w:tl2br w:val="nil"/>
                    <w:tr2bl w:val="nil"/>
                  </w:tcBorders>
                  <w:vAlign w:val="center"/>
                </w:tcPr>
                <w:p w14:paraId="0B6360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r>
            <w:tr w14:paraId="0C1E0FA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1" w:type="pct"/>
                  <w:vMerge w:val="continue"/>
                  <w:tcBorders>
                    <w:tl2br w:val="nil"/>
                    <w:tr2bl w:val="nil"/>
                  </w:tcBorders>
                  <w:vAlign w:val="center"/>
                </w:tcPr>
                <w:p w14:paraId="470B78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51" w:type="pct"/>
                  <w:vMerge w:val="continue"/>
                  <w:tcBorders>
                    <w:tl2br w:val="nil"/>
                    <w:tr2bl w:val="nil"/>
                  </w:tcBorders>
                  <w:vAlign w:val="center"/>
                </w:tcPr>
                <w:p w14:paraId="47A610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17" w:type="pct"/>
                  <w:vMerge w:val="continue"/>
                  <w:tcBorders>
                    <w:tl2br w:val="nil"/>
                    <w:tr2bl w:val="nil"/>
                  </w:tcBorders>
                  <w:vAlign w:val="center"/>
                </w:tcPr>
                <w:p w14:paraId="6B18BF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614" w:type="pct"/>
                  <w:tcBorders>
                    <w:tl2br w:val="nil"/>
                    <w:tr2bl w:val="nil"/>
                  </w:tcBorders>
                  <w:vAlign w:val="center"/>
                </w:tcPr>
                <w:p w14:paraId="4742DD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第三次</w:t>
                  </w:r>
                </w:p>
              </w:tc>
              <w:tc>
                <w:tcPr>
                  <w:tcW w:w="666" w:type="pct"/>
                  <w:tcBorders>
                    <w:tl2br w:val="nil"/>
                    <w:tr2bl w:val="nil"/>
                  </w:tcBorders>
                  <w:vAlign w:val="center"/>
                </w:tcPr>
                <w:p w14:paraId="2852AB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2.2</w:t>
                  </w:r>
                </w:p>
              </w:tc>
              <w:tc>
                <w:tcPr>
                  <w:tcW w:w="614" w:type="pct"/>
                  <w:tcBorders>
                    <w:tl2br w:val="nil"/>
                    <w:tr2bl w:val="nil"/>
                  </w:tcBorders>
                  <w:vAlign w:val="center"/>
                </w:tcPr>
                <w:p w14:paraId="0CE50C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13454</w:t>
                  </w:r>
                </w:p>
              </w:tc>
              <w:tc>
                <w:tcPr>
                  <w:tcW w:w="598" w:type="pct"/>
                  <w:tcBorders>
                    <w:tl2br w:val="nil"/>
                    <w:tr2bl w:val="nil"/>
                  </w:tcBorders>
                  <w:vAlign w:val="center"/>
                </w:tcPr>
                <w:p w14:paraId="176692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0.03</w:t>
                  </w:r>
                </w:p>
              </w:tc>
              <w:tc>
                <w:tcPr>
                  <w:tcW w:w="648" w:type="pct"/>
                  <w:vMerge w:val="continue"/>
                  <w:tcBorders>
                    <w:tl2br w:val="nil"/>
                    <w:tr2bl w:val="nil"/>
                  </w:tcBorders>
                  <w:vAlign w:val="center"/>
                </w:tcPr>
                <w:p w14:paraId="7A407D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38" w:type="pct"/>
                  <w:vMerge w:val="continue"/>
                  <w:tcBorders>
                    <w:tl2br w:val="nil"/>
                    <w:tr2bl w:val="nil"/>
                  </w:tcBorders>
                  <w:vAlign w:val="center"/>
                </w:tcPr>
                <w:p w14:paraId="39EFD3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r>
            <w:tr w14:paraId="5224F4B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1" w:type="pct"/>
                  <w:vMerge w:val="continue"/>
                  <w:tcBorders>
                    <w:tl2br w:val="nil"/>
                    <w:tr2bl w:val="nil"/>
                  </w:tcBorders>
                  <w:vAlign w:val="center"/>
                </w:tcPr>
                <w:p w14:paraId="2ECDC1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51" w:type="pct"/>
                  <w:vMerge w:val="continue"/>
                  <w:tcBorders>
                    <w:tl2br w:val="nil"/>
                    <w:tr2bl w:val="nil"/>
                  </w:tcBorders>
                  <w:vAlign w:val="center"/>
                </w:tcPr>
                <w:p w14:paraId="74F7D5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17" w:type="pct"/>
                  <w:vMerge w:val="restart"/>
                  <w:tcBorders>
                    <w:tl2br w:val="nil"/>
                    <w:tr2bl w:val="nil"/>
                  </w:tcBorders>
                  <w:vAlign w:val="center"/>
                </w:tcPr>
                <w:p w14:paraId="6F5147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挥发性有机物</w:t>
                  </w:r>
                </w:p>
              </w:tc>
              <w:tc>
                <w:tcPr>
                  <w:tcW w:w="614" w:type="pct"/>
                  <w:tcBorders>
                    <w:tl2br w:val="nil"/>
                    <w:tr2bl w:val="nil"/>
                  </w:tcBorders>
                  <w:vAlign w:val="center"/>
                </w:tcPr>
                <w:p w14:paraId="291AB1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第一次</w:t>
                  </w:r>
                </w:p>
              </w:tc>
              <w:tc>
                <w:tcPr>
                  <w:tcW w:w="666" w:type="pct"/>
                  <w:tcBorders>
                    <w:tl2br w:val="nil"/>
                    <w:tr2bl w:val="nil"/>
                  </w:tcBorders>
                  <w:vAlign w:val="center"/>
                </w:tcPr>
                <w:p w14:paraId="093784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1.81</w:t>
                  </w:r>
                </w:p>
              </w:tc>
              <w:tc>
                <w:tcPr>
                  <w:tcW w:w="614" w:type="pct"/>
                  <w:tcBorders>
                    <w:tl2br w:val="nil"/>
                    <w:tr2bl w:val="nil"/>
                  </w:tcBorders>
                  <w:vAlign w:val="center"/>
                </w:tcPr>
                <w:p w14:paraId="46B1A4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13962</w:t>
                  </w:r>
                </w:p>
              </w:tc>
              <w:tc>
                <w:tcPr>
                  <w:tcW w:w="598" w:type="pct"/>
                  <w:tcBorders>
                    <w:tl2br w:val="nil"/>
                    <w:tr2bl w:val="nil"/>
                  </w:tcBorders>
                  <w:vAlign w:val="center"/>
                </w:tcPr>
                <w:p w14:paraId="71C6D1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0.03</w:t>
                  </w:r>
                </w:p>
              </w:tc>
              <w:tc>
                <w:tcPr>
                  <w:tcW w:w="648" w:type="pct"/>
                  <w:vMerge w:val="restart"/>
                  <w:tcBorders>
                    <w:tl2br w:val="nil"/>
                    <w:tr2bl w:val="nil"/>
                  </w:tcBorders>
                  <w:vAlign w:val="center"/>
                </w:tcPr>
                <w:p w14:paraId="5E3CAD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50</w:t>
                  </w:r>
                </w:p>
              </w:tc>
              <w:tc>
                <w:tcPr>
                  <w:tcW w:w="438" w:type="pct"/>
                  <w:vMerge w:val="restart"/>
                  <w:tcBorders>
                    <w:tl2br w:val="nil"/>
                    <w:tr2bl w:val="nil"/>
                  </w:tcBorders>
                  <w:vAlign w:val="center"/>
                </w:tcPr>
                <w:p w14:paraId="3843F8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达标</w:t>
                  </w:r>
                </w:p>
              </w:tc>
            </w:tr>
            <w:tr w14:paraId="02AE68A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1" w:type="pct"/>
                  <w:vMerge w:val="continue"/>
                  <w:tcBorders>
                    <w:tl2br w:val="nil"/>
                    <w:tr2bl w:val="nil"/>
                  </w:tcBorders>
                  <w:vAlign w:val="center"/>
                </w:tcPr>
                <w:p w14:paraId="548786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51" w:type="pct"/>
                  <w:vMerge w:val="continue"/>
                  <w:tcBorders>
                    <w:tl2br w:val="nil"/>
                    <w:tr2bl w:val="nil"/>
                  </w:tcBorders>
                  <w:vAlign w:val="center"/>
                </w:tcPr>
                <w:p w14:paraId="6B12E9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17" w:type="pct"/>
                  <w:vMerge w:val="continue"/>
                  <w:tcBorders>
                    <w:tl2br w:val="nil"/>
                    <w:tr2bl w:val="nil"/>
                  </w:tcBorders>
                  <w:vAlign w:val="center"/>
                </w:tcPr>
                <w:p w14:paraId="0F4C98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614" w:type="pct"/>
                  <w:tcBorders>
                    <w:tl2br w:val="nil"/>
                    <w:tr2bl w:val="nil"/>
                  </w:tcBorders>
                  <w:vAlign w:val="center"/>
                </w:tcPr>
                <w:p w14:paraId="41B14E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第二次</w:t>
                  </w:r>
                </w:p>
              </w:tc>
              <w:tc>
                <w:tcPr>
                  <w:tcW w:w="666" w:type="pct"/>
                  <w:tcBorders>
                    <w:tl2br w:val="nil"/>
                    <w:tr2bl w:val="nil"/>
                  </w:tcBorders>
                  <w:vAlign w:val="center"/>
                </w:tcPr>
                <w:p w14:paraId="7B4C80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0.939</w:t>
                  </w:r>
                </w:p>
              </w:tc>
              <w:tc>
                <w:tcPr>
                  <w:tcW w:w="614" w:type="pct"/>
                  <w:tcBorders>
                    <w:tl2br w:val="nil"/>
                    <w:tr2bl w:val="nil"/>
                  </w:tcBorders>
                  <w:vAlign w:val="center"/>
                </w:tcPr>
                <w:p w14:paraId="29C77C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13867</w:t>
                  </w:r>
                </w:p>
              </w:tc>
              <w:tc>
                <w:tcPr>
                  <w:tcW w:w="598" w:type="pct"/>
                  <w:tcBorders>
                    <w:tl2br w:val="nil"/>
                    <w:tr2bl w:val="nil"/>
                  </w:tcBorders>
                  <w:vAlign w:val="center"/>
                </w:tcPr>
                <w:p w14:paraId="4112E8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0.01</w:t>
                  </w:r>
                </w:p>
              </w:tc>
              <w:tc>
                <w:tcPr>
                  <w:tcW w:w="648" w:type="pct"/>
                  <w:vMerge w:val="continue"/>
                  <w:tcBorders>
                    <w:tl2br w:val="nil"/>
                    <w:tr2bl w:val="nil"/>
                  </w:tcBorders>
                  <w:vAlign w:val="center"/>
                </w:tcPr>
                <w:p w14:paraId="21536C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38" w:type="pct"/>
                  <w:vMerge w:val="continue"/>
                  <w:tcBorders>
                    <w:tl2br w:val="nil"/>
                    <w:tr2bl w:val="nil"/>
                  </w:tcBorders>
                  <w:vAlign w:val="center"/>
                </w:tcPr>
                <w:p w14:paraId="2E7D7B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r>
            <w:tr w14:paraId="0A8AC9C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1" w:type="pct"/>
                  <w:vMerge w:val="continue"/>
                  <w:tcBorders>
                    <w:tl2br w:val="nil"/>
                    <w:tr2bl w:val="nil"/>
                  </w:tcBorders>
                  <w:vAlign w:val="center"/>
                </w:tcPr>
                <w:p w14:paraId="3BBB00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51" w:type="pct"/>
                  <w:vMerge w:val="continue"/>
                  <w:tcBorders>
                    <w:tl2br w:val="nil"/>
                    <w:tr2bl w:val="nil"/>
                  </w:tcBorders>
                  <w:vAlign w:val="center"/>
                </w:tcPr>
                <w:p w14:paraId="7F0FF9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17" w:type="pct"/>
                  <w:vMerge w:val="continue"/>
                  <w:tcBorders>
                    <w:tl2br w:val="nil"/>
                    <w:tr2bl w:val="nil"/>
                  </w:tcBorders>
                  <w:vAlign w:val="center"/>
                </w:tcPr>
                <w:p w14:paraId="1FA5EF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614" w:type="pct"/>
                  <w:tcBorders>
                    <w:tl2br w:val="nil"/>
                    <w:tr2bl w:val="nil"/>
                  </w:tcBorders>
                  <w:vAlign w:val="center"/>
                </w:tcPr>
                <w:p w14:paraId="18167F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第三次</w:t>
                  </w:r>
                </w:p>
              </w:tc>
              <w:tc>
                <w:tcPr>
                  <w:tcW w:w="666" w:type="pct"/>
                  <w:tcBorders>
                    <w:tl2br w:val="nil"/>
                    <w:tr2bl w:val="nil"/>
                  </w:tcBorders>
                  <w:vAlign w:val="center"/>
                </w:tcPr>
                <w:p w14:paraId="371B00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1.02</w:t>
                  </w:r>
                </w:p>
              </w:tc>
              <w:tc>
                <w:tcPr>
                  <w:tcW w:w="614" w:type="pct"/>
                  <w:tcBorders>
                    <w:tl2br w:val="nil"/>
                    <w:tr2bl w:val="nil"/>
                  </w:tcBorders>
                  <w:vAlign w:val="center"/>
                </w:tcPr>
                <w:p w14:paraId="40417C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13454</w:t>
                  </w:r>
                </w:p>
              </w:tc>
              <w:tc>
                <w:tcPr>
                  <w:tcW w:w="598" w:type="pct"/>
                  <w:tcBorders>
                    <w:tl2br w:val="nil"/>
                    <w:tr2bl w:val="nil"/>
                  </w:tcBorders>
                  <w:vAlign w:val="center"/>
                </w:tcPr>
                <w:p w14:paraId="210211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0.01</w:t>
                  </w:r>
                </w:p>
              </w:tc>
              <w:tc>
                <w:tcPr>
                  <w:tcW w:w="648" w:type="pct"/>
                  <w:vMerge w:val="continue"/>
                  <w:tcBorders>
                    <w:tl2br w:val="nil"/>
                    <w:tr2bl w:val="nil"/>
                  </w:tcBorders>
                  <w:vAlign w:val="center"/>
                </w:tcPr>
                <w:p w14:paraId="350665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38" w:type="pct"/>
                  <w:vMerge w:val="continue"/>
                  <w:tcBorders>
                    <w:tl2br w:val="nil"/>
                    <w:tr2bl w:val="nil"/>
                  </w:tcBorders>
                  <w:vAlign w:val="center"/>
                </w:tcPr>
                <w:p w14:paraId="75387A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r>
            <w:tr w14:paraId="5D244C8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1" w:type="pct"/>
                  <w:vMerge w:val="continue"/>
                  <w:tcBorders>
                    <w:tl2br w:val="nil"/>
                    <w:tr2bl w:val="nil"/>
                  </w:tcBorders>
                  <w:vAlign w:val="center"/>
                </w:tcPr>
                <w:p w14:paraId="615E0D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51" w:type="pct"/>
                  <w:vMerge w:val="restart"/>
                  <w:tcBorders>
                    <w:tl2br w:val="nil"/>
                    <w:tr2bl w:val="nil"/>
                  </w:tcBorders>
                  <w:vAlign w:val="center"/>
                </w:tcPr>
                <w:p w14:paraId="372FC1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1#排气筒进口</w:t>
                  </w:r>
                </w:p>
              </w:tc>
              <w:tc>
                <w:tcPr>
                  <w:tcW w:w="517" w:type="pct"/>
                  <w:vMerge w:val="restart"/>
                  <w:tcBorders>
                    <w:tl2br w:val="nil"/>
                    <w:tr2bl w:val="nil"/>
                  </w:tcBorders>
                  <w:vAlign w:val="center"/>
                </w:tcPr>
                <w:p w14:paraId="4BAF1D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颗粒物</w:t>
                  </w:r>
                </w:p>
              </w:tc>
              <w:tc>
                <w:tcPr>
                  <w:tcW w:w="614" w:type="pct"/>
                  <w:tcBorders>
                    <w:tl2br w:val="nil"/>
                    <w:tr2bl w:val="nil"/>
                  </w:tcBorders>
                  <w:vAlign w:val="center"/>
                </w:tcPr>
                <w:p w14:paraId="24DCA8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vertAlign w:val="baseline"/>
                      <w:lang w:val="en-US" w:eastAsia="zh-CN"/>
                    </w:rPr>
                  </w:pPr>
                  <w:r>
                    <w:rPr>
                      <w:rFonts w:hint="eastAsia"/>
                      <w:color w:val="auto"/>
                      <w:kern w:val="0"/>
                      <w:vertAlign w:val="baseline"/>
                      <w:lang w:val="en-US" w:eastAsia="zh-CN"/>
                    </w:rPr>
                    <w:t>第一次</w:t>
                  </w:r>
                </w:p>
              </w:tc>
              <w:tc>
                <w:tcPr>
                  <w:tcW w:w="666" w:type="pct"/>
                  <w:tcBorders>
                    <w:tl2br w:val="nil"/>
                    <w:tr2bl w:val="nil"/>
                  </w:tcBorders>
                  <w:vAlign w:val="center"/>
                </w:tcPr>
                <w:p w14:paraId="41BAA9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89.2</w:t>
                  </w:r>
                </w:p>
              </w:tc>
              <w:tc>
                <w:tcPr>
                  <w:tcW w:w="614" w:type="pct"/>
                  <w:tcBorders>
                    <w:tl2br w:val="nil"/>
                    <w:tr2bl w:val="nil"/>
                  </w:tcBorders>
                  <w:vAlign w:val="center"/>
                </w:tcPr>
                <w:p w14:paraId="246C1E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10614</w:t>
                  </w:r>
                </w:p>
              </w:tc>
              <w:tc>
                <w:tcPr>
                  <w:tcW w:w="598" w:type="pct"/>
                  <w:tcBorders>
                    <w:tl2br w:val="nil"/>
                    <w:tr2bl w:val="nil"/>
                  </w:tcBorders>
                  <w:vAlign w:val="center"/>
                </w:tcPr>
                <w:p w14:paraId="4B7143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0.95</w:t>
                  </w:r>
                </w:p>
              </w:tc>
              <w:tc>
                <w:tcPr>
                  <w:tcW w:w="648" w:type="pct"/>
                  <w:vMerge w:val="restart"/>
                  <w:tcBorders>
                    <w:tl2br w:val="nil"/>
                    <w:tr2bl w:val="nil"/>
                  </w:tcBorders>
                  <w:vAlign w:val="center"/>
                </w:tcPr>
                <w:p w14:paraId="116A65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w:t>
                  </w:r>
                </w:p>
              </w:tc>
              <w:tc>
                <w:tcPr>
                  <w:tcW w:w="438" w:type="pct"/>
                  <w:vMerge w:val="restart"/>
                  <w:tcBorders>
                    <w:tl2br w:val="nil"/>
                    <w:tr2bl w:val="nil"/>
                  </w:tcBorders>
                  <w:vAlign w:val="center"/>
                </w:tcPr>
                <w:p w14:paraId="0E1E9D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w:t>
                  </w:r>
                </w:p>
              </w:tc>
            </w:tr>
            <w:tr w14:paraId="1BD25E0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1" w:type="pct"/>
                  <w:vMerge w:val="continue"/>
                  <w:tcBorders>
                    <w:tl2br w:val="nil"/>
                    <w:tr2bl w:val="nil"/>
                  </w:tcBorders>
                  <w:vAlign w:val="center"/>
                </w:tcPr>
                <w:p w14:paraId="7A6D5C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51" w:type="pct"/>
                  <w:vMerge w:val="continue"/>
                  <w:tcBorders>
                    <w:tl2br w:val="nil"/>
                    <w:tr2bl w:val="nil"/>
                  </w:tcBorders>
                  <w:vAlign w:val="center"/>
                </w:tcPr>
                <w:p w14:paraId="2B13CF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17" w:type="pct"/>
                  <w:vMerge w:val="continue"/>
                  <w:tcBorders>
                    <w:tl2br w:val="nil"/>
                    <w:tr2bl w:val="nil"/>
                  </w:tcBorders>
                  <w:vAlign w:val="center"/>
                </w:tcPr>
                <w:p w14:paraId="3620A0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614" w:type="pct"/>
                  <w:tcBorders>
                    <w:tl2br w:val="nil"/>
                    <w:tr2bl w:val="nil"/>
                  </w:tcBorders>
                  <w:vAlign w:val="center"/>
                </w:tcPr>
                <w:p w14:paraId="77C4BD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vertAlign w:val="baseline"/>
                      <w:lang w:val="en-US" w:eastAsia="zh-CN"/>
                    </w:rPr>
                  </w:pPr>
                  <w:r>
                    <w:rPr>
                      <w:rFonts w:hint="eastAsia"/>
                      <w:color w:val="auto"/>
                      <w:kern w:val="0"/>
                      <w:vertAlign w:val="baseline"/>
                      <w:lang w:val="en-US" w:eastAsia="zh-CN"/>
                    </w:rPr>
                    <w:t>第二次</w:t>
                  </w:r>
                </w:p>
              </w:tc>
              <w:tc>
                <w:tcPr>
                  <w:tcW w:w="666" w:type="pct"/>
                  <w:tcBorders>
                    <w:tl2br w:val="nil"/>
                    <w:tr2bl w:val="nil"/>
                  </w:tcBorders>
                  <w:vAlign w:val="center"/>
                </w:tcPr>
                <w:p w14:paraId="24CD54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94.9</w:t>
                  </w:r>
                </w:p>
              </w:tc>
              <w:tc>
                <w:tcPr>
                  <w:tcW w:w="614" w:type="pct"/>
                  <w:tcBorders>
                    <w:tl2br w:val="nil"/>
                    <w:tr2bl w:val="nil"/>
                  </w:tcBorders>
                  <w:vAlign w:val="center"/>
                </w:tcPr>
                <w:p w14:paraId="53F59E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10586</w:t>
                  </w:r>
                </w:p>
              </w:tc>
              <w:tc>
                <w:tcPr>
                  <w:tcW w:w="598" w:type="pct"/>
                  <w:tcBorders>
                    <w:tl2br w:val="nil"/>
                    <w:tr2bl w:val="nil"/>
                  </w:tcBorders>
                  <w:vAlign w:val="center"/>
                </w:tcPr>
                <w:p w14:paraId="67221C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1.01</w:t>
                  </w:r>
                </w:p>
              </w:tc>
              <w:tc>
                <w:tcPr>
                  <w:tcW w:w="648" w:type="pct"/>
                  <w:vMerge w:val="continue"/>
                  <w:tcBorders>
                    <w:tl2br w:val="nil"/>
                    <w:tr2bl w:val="nil"/>
                  </w:tcBorders>
                  <w:vAlign w:val="center"/>
                </w:tcPr>
                <w:p w14:paraId="381A9E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38" w:type="pct"/>
                  <w:vMerge w:val="continue"/>
                  <w:tcBorders>
                    <w:tl2br w:val="nil"/>
                    <w:tr2bl w:val="nil"/>
                  </w:tcBorders>
                  <w:vAlign w:val="center"/>
                </w:tcPr>
                <w:p w14:paraId="01BC51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r>
            <w:tr w14:paraId="165DA39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1" w:type="pct"/>
                  <w:vMerge w:val="continue"/>
                  <w:tcBorders>
                    <w:tl2br w:val="nil"/>
                    <w:tr2bl w:val="nil"/>
                  </w:tcBorders>
                  <w:vAlign w:val="center"/>
                </w:tcPr>
                <w:p w14:paraId="555DFA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51" w:type="pct"/>
                  <w:vMerge w:val="continue"/>
                  <w:tcBorders>
                    <w:tl2br w:val="nil"/>
                    <w:tr2bl w:val="nil"/>
                  </w:tcBorders>
                  <w:vAlign w:val="center"/>
                </w:tcPr>
                <w:p w14:paraId="735ADD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17" w:type="pct"/>
                  <w:vMerge w:val="continue"/>
                  <w:tcBorders>
                    <w:tl2br w:val="nil"/>
                    <w:tr2bl w:val="nil"/>
                  </w:tcBorders>
                  <w:vAlign w:val="center"/>
                </w:tcPr>
                <w:p w14:paraId="6F84A1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614" w:type="pct"/>
                  <w:tcBorders>
                    <w:tl2br w:val="nil"/>
                    <w:tr2bl w:val="nil"/>
                  </w:tcBorders>
                  <w:vAlign w:val="center"/>
                </w:tcPr>
                <w:p w14:paraId="3599AC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vertAlign w:val="baseline"/>
                      <w:lang w:val="en-US" w:eastAsia="zh-CN"/>
                    </w:rPr>
                  </w:pPr>
                  <w:r>
                    <w:rPr>
                      <w:rFonts w:hint="eastAsia"/>
                      <w:color w:val="auto"/>
                      <w:kern w:val="0"/>
                      <w:vertAlign w:val="baseline"/>
                      <w:lang w:val="en-US" w:eastAsia="zh-CN"/>
                    </w:rPr>
                    <w:t>第三次</w:t>
                  </w:r>
                </w:p>
              </w:tc>
              <w:tc>
                <w:tcPr>
                  <w:tcW w:w="666" w:type="pct"/>
                  <w:tcBorders>
                    <w:tl2br w:val="nil"/>
                    <w:tr2bl w:val="nil"/>
                  </w:tcBorders>
                  <w:vAlign w:val="center"/>
                </w:tcPr>
                <w:p w14:paraId="0BC647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96.8</w:t>
                  </w:r>
                </w:p>
              </w:tc>
              <w:tc>
                <w:tcPr>
                  <w:tcW w:w="614" w:type="pct"/>
                  <w:tcBorders>
                    <w:tl2br w:val="nil"/>
                    <w:tr2bl w:val="nil"/>
                  </w:tcBorders>
                  <w:vAlign w:val="center"/>
                </w:tcPr>
                <w:p w14:paraId="3C406C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10610</w:t>
                  </w:r>
                </w:p>
              </w:tc>
              <w:tc>
                <w:tcPr>
                  <w:tcW w:w="598" w:type="pct"/>
                  <w:tcBorders>
                    <w:tl2br w:val="nil"/>
                    <w:tr2bl w:val="nil"/>
                  </w:tcBorders>
                  <w:vAlign w:val="center"/>
                </w:tcPr>
                <w:p w14:paraId="587393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1.03</w:t>
                  </w:r>
                </w:p>
              </w:tc>
              <w:tc>
                <w:tcPr>
                  <w:tcW w:w="648" w:type="pct"/>
                  <w:vMerge w:val="continue"/>
                  <w:tcBorders>
                    <w:tl2br w:val="nil"/>
                    <w:tr2bl w:val="nil"/>
                  </w:tcBorders>
                  <w:vAlign w:val="center"/>
                </w:tcPr>
                <w:p w14:paraId="68F3AF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38" w:type="pct"/>
                  <w:vMerge w:val="continue"/>
                  <w:tcBorders>
                    <w:tl2br w:val="nil"/>
                    <w:tr2bl w:val="nil"/>
                  </w:tcBorders>
                  <w:vAlign w:val="center"/>
                </w:tcPr>
                <w:p w14:paraId="5C4121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r>
            <w:tr w14:paraId="3C58D42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451" w:type="pct"/>
                  <w:vMerge w:val="continue"/>
                  <w:tcBorders>
                    <w:tl2br w:val="nil"/>
                    <w:tr2bl w:val="nil"/>
                  </w:tcBorders>
                  <w:vAlign w:val="center"/>
                </w:tcPr>
                <w:p w14:paraId="67A0A2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51" w:type="pct"/>
                  <w:vMerge w:val="restart"/>
                  <w:tcBorders>
                    <w:tl2br w:val="nil"/>
                    <w:tr2bl w:val="nil"/>
                  </w:tcBorders>
                  <w:vAlign w:val="center"/>
                </w:tcPr>
                <w:p w14:paraId="2CF257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1#排气筒出口</w:t>
                  </w:r>
                </w:p>
              </w:tc>
              <w:tc>
                <w:tcPr>
                  <w:tcW w:w="517" w:type="pct"/>
                  <w:vMerge w:val="restart"/>
                  <w:tcBorders>
                    <w:tl2br w:val="nil"/>
                    <w:tr2bl w:val="nil"/>
                  </w:tcBorders>
                  <w:vAlign w:val="center"/>
                </w:tcPr>
                <w:p w14:paraId="4EB1F2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低浓度颗粒物</w:t>
                  </w:r>
                </w:p>
              </w:tc>
              <w:tc>
                <w:tcPr>
                  <w:tcW w:w="614" w:type="pct"/>
                  <w:tcBorders>
                    <w:tl2br w:val="nil"/>
                    <w:tr2bl w:val="nil"/>
                  </w:tcBorders>
                  <w:vAlign w:val="center"/>
                </w:tcPr>
                <w:p w14:paraId="5355B9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vertAlign w:val="baseline"/>
                      <w:lang w:val="en-US" w:eastAsia="zh-CN"/>
                    </w:rPr>
                  </w:pPr>
                  <w:r>
                    <w:rPr>
                      <w:rFonts w:hint="eastAsia"/>
                      <w:color w:val="auto"/>
                      <w:kern w:val="0"/>
                      <w:vertAlign w:val="baseline"/>
                      <w:lang w:val="en-US" w:eastAsia="zh-CN"/>
                    </w:rPr>
                    <w:t>第一次</w:t>
                  </w:r>
                </w:p>
              </w:tc>
              <w:tc>
                <w:tcPr>
                  <w:tcW w:w="666" w:type="pct"/>
                  <w:tcBorders>
                    <w:tl2br w:val="nil"/>
                    <w:tr2bl w:val="nil"/>
                  </w:tcBorders>
                  <w:vAlign w:val="center"/>
                </w:tcPr>
                <w:p w14:paraId="487A5E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3.4</w:t>
                  </w:r>
                </w:p>
              </w:tc>
              <w:tc>
                <w:tcPr>
                  <w:tcW w:w="614" w:type="pct"/>
                  <w:tcBorders>
                    <w:tl2br w:val="nil"/>
                    <w:tr2bl w:val="nil"/>
                  </w:tcBorders>
                  <w:vAlign w:val="center"/>
                </w:tcPr>
                <w:p w14:paraId="6D505A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9740</w:t>
                  </w:r>
                </w:p>
              </w:tc>
              <w:tc>
                <w:tcPr>
                  <w:tcW w:w="598" w:type="pct"/>
                  <w:tcBorders>
                    <w:tl2br w:val="nil"/>
                    <w:tr2bl w:val="nil"/>
                  </w:tcBorders>
                  <w:vAlign w:val="center"/>
                </w:tcPr>
                <w:p w14:paraId="0FA4F3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0.03</w:t>
                  </w:r>
                </w:p>
              </w:tc>
              <w:tc>
                <w:tcPr>
                  <w:tcW w:w="648" w:type="pct"/>
                  <w:vMerge w:val="restart"/>
                  <w:tcBorders>
                    <w:tl2br w:val="nil"/>
                    <w:tr2bl w:val="nil"/>
                  </w:tcBorders>
                  <w:vAlign w:val="center"/>
                </w:tcPr>
                <w:p w14:paraId="156C07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10</w:t>
                  </w:r>
                </w:p>
              </w:tc>
              <w:tc>
                <w:tcPr>
                  <w:tcW w:w="438" w:type="pct"/>
                  <w:vMerge w:val="restart"/>
                  <w:tcBorders>
                    <w:tl2br w:val="nil"/>
                    <w:tr2bl w:val="nil"/>
                  </w:tcBorders>
                  <w:vAlign w:val="center"/>
                </w:tcPr>
                <w:p w14:paraId="48D0FA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达标</w:t>
                  </w:r>
                </w:p>
              </w:tc>
            </w:tr>
            <w:tr w14:paraId="1258543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1" w:type="pct"/>
                  <w:vMerge w:val="continue"/>
                  <w:tcBorders>
                    <w:tl2br w:val="nil"/>
                    <w:tr2bl w:val="nil"/>
                  </w:tcBorders>
                  <w:vAlign w:val="center"/>
                </w:tcPr>
                <w:p w14:paraId="151FA7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51" w:type="pct"/>
                  <w:vMerge w:val="continue"/>
                  <w:tcBorders>
                    <w:tl2br w:val="nil"/>
                    <w:tr2bl w:val="nil"/>
                  </w:tcBorders>
                  <w:vAlign w:val="center"/>
                </w:tcPr>
                <w:p w14:paraId="5A84B4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17" w:type="pct"/>
                  <w:vMerge w:val="continue"/>
                  <w:tcBorders>
                    <w:tl2br w:val="nil"/>
                    <w:tr2bl w:val="nil"/>
                  </w:tcBorders>
                  <w:vAlign w:val="center"/>
                </w:tcPr>
                <w:p w14:paraId="78A37F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614" w:type="pct"/>
                  <w:tcBorders>
                    <w:tl2br w:val="nil"/>
                    <w:tr2bl w:val="nil"/>
                  </w:tcBorders>
                  <w:vAlign w:val="center"/>
                </w:tcPr>
                <w:p w14:paraId="35EC2A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vertAlign w:val="baseline"/>
                      <w:lang w:val="en-US" w:eastAsia="zh-CN"/>
                    </w:rPr>
                  </w:pPr>
                  <w:r>
                    <w:rPr>
                      <w:rFonts w:hint="eastAsia"/>
                      <w:color w:val="auto"/>
                      <w:kern w:val="0"/>
                      <w:vertAlign w:val="baseline"/>
                      <w:lang w:val="en-US" w:eastAsia="zh-CN"/>
                    </w:rPr>
                    <w:t>第二次</w:t>
                  </w:r>
                </w:p>
              </w:tc>
              <w:tc>
                <w:tcPr>
                  <w:tcW w:w="666" w:type="pct"/>
                  <w:tcBorders>
                    <w:tl2br w:val="nil"/>
                    <w:tr2bl w:val="nil"/>
                  </w:tcBorders>
                  <w:vAlign w:val="center"/>
                </w:tcPr>
                <w:p w14:paraId="002CCE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3.9</w:t>
                  </w:r>
                </w:p>
              </w:tc>
              <w:tc>
                <w:tcPr>
                  <w:tcW w:w="614" w:type="pct"/>
                  <w:tcBorders>
                    <w:tl2br w:val="nil"/>
                    <w:tr2bl w:val="nil"/>
                  </w:tcBorders>
                  <w:vAlign w:val="center"/>
                </w:tcPr>
                <w:p w14:paraId="442B60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9949</w:t>
                  </w:r>
                </w:p>
              </w:tc>
              <w:tc>
                <w:tcPr>
                  <w:tcW w:w="598" w:type="pct"/>
                  <w:tcBorders>
                    <w:tl2br w:val="nil"/>
                    <w:tr2bl w:val="nil"/>
                  </w:tcBorders>
                  <w:vAlign w:val="center"/>
                </w:tcPr>
                <w:p w14:paraId="6DFDE6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0.03</w:t>
                  </w:r>
                </w:p>
              </w:tc>
              <w:tc>
                <w:tcPr>
                  <w:tcW w:w="648" w:type="pct"/>
                  <w:vMerge w:val="continue"/>
                  <w:tcBorders>
                    <w:tl2br w:val="nil"/>
                    <w:tr2bl w:val="nil"/>
                  </w:tcBorders>
                  <w:vAlign w:val="center"/>
                </w:tcPr>
                <w:p w14:paraId="07A74D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38" w:type="pct"/>
                  <w:vMerge w:val="continue"/>
                  <w:tcBorders>
                    <w:tl2br w:val="nil"/>
                    <w:tr2bl w:val="nil"/>
                  </w:tcBorders>
                  <w:vAlign w:val="center"/>
                </w:tcPr>
                <w:p w14:paraId="56EAB8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r>
            <w:tr w14:paraId="435700B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1" w:type="pct"/>
                  <w:vMerge w:val="continue"/>
                  <w:tcBorders>
                    <w:tl2br w:val="nil"/>
                    <w:tr2bl w:val="nil"/>
                  </w:tcBorders>
                  <w:vAlign w:val="center"/>
                </w:tcPr>
                <w:p w14:paraId="1717DC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51" w:type="pct"/>
                  <w:vMerge w:val="continue"/>
                  <w:tcBorders>
                    <w:tl2br w:val="nil"/>
                    <w:tr2bl w:val="nil"/>
                  </w:tcBorders>
                  <w:vAlign w:val="center"/>
                </w:tcPr>
                <w:p w14:paraId="6FDF69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17" w:type="pct"/>
                  <w:vMerge w:val="continue"/>
                  <w:tcBorders>
                    <w:tl2br w:val="nil"/>
                    <w:tr2bl w:val="nil"/>
                  </w:tcBorders>
                  <w:vAlign w:val="center"/>
                </w:tcPr>
                <w:p w14:paraId="2F7F0D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614" w:type="pct"/>
                  <w:tcBorders>
                    <w:tl2br w:val="nil"/>
                    <w:tr2bl w:val="nil"/>
                  </w:tcBorders>
                  <w:vAlign w:val="center"/>
                </w:tcPr>
                <w:p w14:paraId="400761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vertAlign w:val="baseline"/>
                      <w:lang w:val="en-US" w:eastAsia="zh-CN"/>
                    </w:rPr>
                  </w:pPr>
                  <w:r>
                    <w:rPr>
                      <w:rFonts w:hint="eastAsia"/>
                      <w:color w:val="auto"/>
                      <w:kern w:val="0"/>
                      <w:vertAlign w:val="baseline"/>
                      <w:lang w:val="en-US" w:eastAsia="zh-CN"/>
                    </w:rPr>
                    <w:t>第三次</w:t>
                  </w:r>
                </w:p>
              </w:tc>
              <w:tc>
                <w:tcPr>
                  <w:tcW w:w="666" w:type="pct"/>
                  <w:tcBorders>
                    <w:tl2br w:val="nil"/>
                    <w:tr2bl w:val="nil"/>
                  </w:tcBorders>
                  <w:vAlign w:val="center"/>
                </w:tcPr>
                <w:p w14:paraId="077071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3.0</w:t>
                  </w:r>
                </w:p>
              </w:tc>
              <w:tc>
                <w:tcPr>
                  <w:tcW w:w="614" w:type="pct"/>
                  <w:tcBorders>
                    <w:tl2br w:val="nil"/>
                    <w:tr2bl w:val="nil"/>
                  </w:tcBorders>
                  <w:vAlign w:val="center"/>
                </w:tcPr>
                <w:p w14:paraId="08324E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9757</w:t>
                  </w:r>
                </w:p>
              </w:tc>
              <w:tc>
                <w:tcPr>
                  <w:tcW w:w="598" w:type="pct"/>
                  <w:tcBorders>
                    <w:tl2br w:val="nil"/>
                    <w:tr2bl w:val="nil"/>
                  </w:tcBorders>
                  <w:vAlign w:val="center"/>
                </w:tcPr>
                <w:p w14:paraId="554AC3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0.03</w:t>
                  </w:r>
                </w:p>
              </w:tc>
              <w:tc>
                <w:tcPr>
                  <w:tcW w:w="648" w:type="pct"/>
                  <w:vMerge w:val="continue"/>
                  <w:tcBorders>
                    <w:tl2br w:val="nil"/>
                    <w:tr2bl w:val="nil"/>
                  </w:tcBorders>
                  <w:vAlign w:val="center"/>
                </w:tcPr>
                <w:p w14:paraId="5140F4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38" w:type="pct"/>
                  <w:vMerge w:val="continue"/>
                  <w:tcBorders>
                    <w:tl2br w:val="nil"/>
                    <w:tr2bl w:val="nil"/>
                  </w:tcBorders>
                  <w:vAlign w:val="center"/>
                </w:tcPr>
                <w:p w14:paraId="401243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r>
            <w:tr w14:paraId="42D25BA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1" w:type="pct"/>
                  <w:vMerge w:val="restart"/>
                  <w:tcBorders>
                    <w:tl2br w:val="nil"/>
                    <w:tr2bl w:val="nil"/>
                  </w:tcBorders>
                  <w:vAlign w:val="center"/>
                </w:tcPr>
                <w:p w14:paraId="6DA81A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采样日期</w:t>
                  </w:r>
                </w:p>
              </w:tc>
              <w:tc>
                <w:tcPr>
                  <w:tcW w:w="451" w:type="pct"/>
                  <w:vMerge w:val="restart"/>
                  <w:tcBorders>
                    <w:tl2br w:val="nil"/>
                    <w:tr2bl w:val="nil"/>
                  </w:tcBorders>
                  <w:vAlign w:val="center"/>
                </w:tcPr>
                <w:p w14:paraId="5CC227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采样点位</w:t>
                  </w:r>
                </w:p>
              </w:tc>
              <w:tc>
                <w:tcPr>
                  <w:tcW w:w="517" w:type="pct"/>
                  <w:vMerge w:val="restart"/>
                  <w:tcBorders>
                    <w:tl2br w:val="nil"/>
                    <w:tr2bl w:val="nil"/>
                  </w:tcBorders>
                  <w:vAlign w:val="center"/>
                </w:tcPr>
                <w:p w14:paraId="1A6EFE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检测项目</w:t>
                  </w:r>
                </w:p>
              </w:tc>
              <w:tc>
                <w:tcPr>
                  <w:tcW w:w="614" w:type="pct"/>
                  <w:vMerge w:val="restart"/>
                  <w:tcBorders>
                    <w:tl2br w:val="nil"/>
                    <w:tr2bl w:val="nil"/>
                  </w:tcBorders>
                  <w:vAlign w:val="center"/>
                </w:tcPr>
                <w:p w14:paraId="07FDDC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检测频次</w:t>
                  </w:r>
                </w:p>
              </w:tc>
              <w:tc>
                <w:tcPr>
                  <w:tcW w:w="1879" w:type="pct"/>
                  <w:gridSpan w:val="3"/>
                  <w:tcBorders>
                    <w:tl2br w:val="nil"/>
                    <w:tr2bl w:val="nil"/>
                  </w:tcBorders>
                  <w:vAlign w:val="center"/>
                </w:tcPr>
                <w:p w14:paraId="14A61C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检测结果</w:t>
                  </w:r>
                </w:p>
              </w:tc>
              <w:tc>
                <w:tcPr>
                  <w:tcW w:w="648" w:type="pct"/>
                  <w:vMerge w:val="restart"/>
                  <w:tcBorders>
                    <w:tl2br w:val="nil"/>
                    <w:tr2bl w:val="nil"/>
                  </w:tcBorders>
                  <w:vAlign w:val="center"/>
                </w:tcPr>
                <w:p w14:paraId="69F068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标准限值（mg/m</w:t>
                  </w:r>
                  <w:r>
                    <w:rPr>
                      <w:rFonts w:hint="eastAsia"/>
                      <w:color w:val="auto"/>
                      <w:kern w:val="0"/>
                      <w:vertAlign w:val="superscript"/>
                      <w:lang w:val="en-US" w:eastAsia="zh-CN"/>
                    </w:rPr>
                    <w:t>3</w:t>
                  </w:r>
                  <w:r>
                    <w:rPr>
                      <w:rFonts w:hint="eastAsia"/>
                      <w:color w:val="auto"/>
                      <w:kern w:val="0"/>
                      <w:vertAlign w:val="baseline"/>
                      <w:lang w:val="en-US" w:eastAsia="zh-CN"/>
                    </w:rPr>
                    <w:t>）</w:t>
                  </w:r>
                </w:p>
              </w:tc>
              <w:tc>
                <w:tcPr>
                  <w:tcW w:w="438" w:type="pct"/>
                  <w:vMerge w:val="restart"/>
                  <w:tcBorders>
                    <w:tl2br w:val="nil"/>
                    <w:tr2bl w:val="nil"/>
                  </w:tcBorders>
                  <w:vAlign w:val="center"/>
                </w:tcPr>
                <w:p w14:paraId="79C02E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达标判定</w:t>
                  </w:r>
                </w:p>
              </w:tc>
            </w:tr>
            <w:tr w14:paraId="7EFEBD7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1" w:type="pct"/>
                  <w:vMerge w:val="continue"/>
                  <w:tcBorders>
                    <w:tl2br w:val="nil"/>
                    <w:tr2bl w:val="nil"/>
                  </w:tcBorders>
                  <w:vAlign w:val="center"/>
                </w:tcPr>
                <w:p w14:paraId="6C9670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51" w:type="pct"/>
                  <w:vMerge w:val="continue"/>
                  <w:tcBorders>
                    <w:tl2br w:val="nil"/>
                    <w:tr2bl w:val="nil"/>
                  </w:tcBorders>
                  <w:vAlign w:val="center"/>
                </w:tcPr>
                <w:p w14:paraId="239ECC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17" w:type="pct"/>
                  <w:vMerge w:val="continue"/>
                  <w:tcBorders>
                    <w:tl2br w:val="nil"/>
                    <w:tr2bl w:val="nil"/>
                  </w:tcBorders>
                  <w:vAlign w:val="center"/>
                </w:tcPr>
                <w:p w14:paraId="0116E8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614" w:type="pct"/>
                  <w:vMerge w:val="continue"/>
                  <w:tcBorders>
                    <w:tl2br w:val="nil"/>
                    <w:tr2bl w:val="nil"/>
                  </w:tcBorders>
                  <w:vAlign w:val="center"/>
                </w:tcPr>
                <w:p w14:paraId="0515AF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666" w:type="pct"/>
                  <w:tcBorders>
                    <w:tl2br w:val="nil"/>
                    <w:tr2bl w:val="nil"/>
                  </w:tcBorders>
                  <w:vAlign w:val="center"/>
                </w:tcPr>
                <w:p w14:paraId="428BA2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排放浓度（mg/m</w:t>
                  </w:r>
                  <w:r>
                    <w:rPr>
                      <w:rFonts w:hint="eastAsia"/>
                      <w:color w:val="auto"/>
                      <w:kern w:val="0"/>
                      <w:vertAlign w:val="superscript"/>
                      <w:lang w:val="en-US" w:eastAsia="zh-CN"/>
                    </w:rPr>
                    <w:t>3</w:t>
                  </w:r>
                  <w:r>
                    <w:rPr>
                      <w:rFonts w:hint="eastAsia"/>
                      <w:color w:val="auto"/>
                      <w:kern w:val="0"/>
                      <w:vertAlign w:val="baseline"/>
                      <w:lang w:val="en-US" w:eastAsia="zh-CN"/>
                    </w:rPr>
                    <w:t>）</w:t>
                  </w:r>
                </w:p>
              </w:tc>
              <w:tc>
                <w:tcPr>
                  <w:tcW w:w="614" w:type="pct"/>
                  <w:tcBorders>
                    <w:tl2br w:val="nil"/>
                    <w:tr2bl w:val="nil"/>
                  </w:tcBorders>
                  <w:vAlign w:val="center"/>
                </w:tcPr>
                <w:p w14:paraId="142FED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标干流量（m</w:t>
                  </w:r>
                  <w:r>
                    <w:rPr>
                      <w:rFonts w:hint="eastAsia"/>
                      <w:color w:val="auto"/>
                      <w:kern w:val="0"/>
                      <w:vertAlign w:val="superscript"/>
                      <w:lang w:val="en-US" w:eastAsia="zh-CN"/>
                    </w:rPr>
                    <w:t>3</w:t>
                  </w:r>
                  <w:r>
                    <w:rPr>
                      <w:rFonts w:hint="eastAsia"/>
                      <w:color w:val="auto"/>
                      <w:kern w:val="0"/>
                      <w:vertAlign w:val="baseline"/>
                      <w:lang w:val="en-US" w:eastAsia="zh-CN"/>
                    </w:rPr>
                    <w:t>/h）</w:t>
                  </w:r>
                </w:p>
              </w:tc>
              <w:tc>
                <w:tcPr>
                  <w:tcW w:w="598" w:type="pct"/>
                  <w:tcBorders>
                    <w:tl2br w:val="nil"/>
                    <w:tr2bl w:val="nil"/>
                  </w:tcBorders>
                  <w:vAlign w:val="center"/>
                </w:tcPr>
                <w:p w14:paraId="7301E5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排放速率（kg/h）</w:t>
                  </w:r>
                </w:p>
              </w:tc>
              <w:tc>
                <w:tcPr>
                  <w:tcW w:w="648" w:type="pct"/>
                  <w:vMerge w:val="continue"/>
                  <w:tcBorders>
                    <w:tl2br w:val="nil"/>
                    <w:tr2bl w:val="nil"/>
                  </w:tcBorders>
                  <w:vAlign w:val="center"/>
                </w:tcPr>
                <w:p w14:paraId="6AFEC0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vertAlign w:val="baseline"/>
                      <w:lang w:val="en-US" w:eastAsia="zh-CN"/>
                    </w:rPr>
                  </w:pPr>
                </w:p>
              </w:tc>
              <w:tc>
                <w:tcPr>
                  <w:tcW w:w="438" w:type="pct"/>
                  <w:vMerge w:val="continue"/>
                  <w:tcBorders>
                    <w:tl2br w:val="nil"/>
                    <w:tr2bl w:val="nil"/>
                  </w:tcBorders>
                  <w:vAlign w:val="center"/>
                </w:tcPr>
                <w:p w14:paraId="141F2F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vertAlign w:val="baseline"/>
                      <w:lang w:val="en-US" w:eastAsia="zh-CN"/>
                    </w:rPr>
                  </w:pPr>
                </w:p>
              </w:tc>
            </w:tr>
            <w:tr w14:paraId="1B7EADE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1" w:type="pct"/>
                  <w:vMerge w:val="restart"/>
                  <w:tcBorders>
                    <w:tl2br w:val="nil"/>
                    <w:tr2bl w:val="nil"/>
                  </w:tcBorders>
                  <w:vAlign w:val="center"/>
                </w:tcPr>
                <w:p w14:paraId="3A9D60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2020.11.11</w:t>
                  </w:r>
                </w:p>
              </w:tc>
              <w:tc>
                <w:tcPr>
                  <w:tcW w:w="451" w:type="pct"/>
                  <w:vMerge w:val="restart"/>
                  <w:tcBorders>
                    <w:tl2br w:val="nil"/>
                    <w:tr2bl w:val="nil"/>
                  </w:tcBorders>
                  <w:vAlign w:val="center"/>
                </w:tcPr>
                <w:p w14:paraId="766F33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2#排气筒进口</w:t>
                  </w:r>
                </w:p>
              </w:tc>
              <w:tc>
                <w:tcPr>
                  <w:tcW w:w="517" w:type="pct"/>
                  <w:vMerge w:val="restart"/>
                  <w:tcBorders>
                    <w:tl2br w:val="nil"/>
                    <w:tr2bl w:val="nil"/>
                  </w:tcBorders>
                  <w:vAlign w:val="center"/>
                </w:tcPr>
                <w:p w14:paraId="5C39D2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颗粒物</w:t>
                  </w:r>
                </w:p>
              </w:tc>
              <w:tc>
                <w:tcPr>
                  <w:tcW w:w="614" w:type="pct"/>
                  <w:tcBorders>
                    <w:tl2br w:val="nil"/>
                    <w:tr2bl w:val="nil"/>
                  </w:tcBorders>
                  <w:vAlign w:val="center"/>
                </w:tcPr>
                <w:p w14:paraId="1CBCEF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第一次</w:t>
                  </w:r>
                </w:p>
              </w:tc>
              <w:tc>
                <w:tcPr>
                  <w:tcW w:w="666" w:type="pct"/>
                  <w:tcBorders>
                    <w:tl2br w:val="nil"/>
                    <w:tr2bl w:val="nil"/>
                  </w:tcBorders>
                  <w:vAlign w:val="center"/>
                </w:tcPr>
                <w:p w14:paraId="3A8749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25.6</w:t>
                  </w:r>
                </w:p>
              </w:tc>
              <w:tc>
                <w:tcPr>
                  <w:tcW w:w="614" w:type="pct"/>
                  <w:tcBorders>
                    <w:tl2br w:val="nil"/>
                    <w:tr2bl w:val="nil"/>
                  </w:tcBorders>
                  <w:vAlign w:val="center"/>
                </w:tcPr>
                <w:p w14:paraId="43B42E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13051</w:t>
                  </w:r>
                </w:p>
              </w:tc>
              <w:tc>
                <w:tcPr>
                  <w:tcW w:w="598" w:type="pct"/>
                  <w:tcBorders>
                    <w:tl2br w:val="nil"/>
                    <w:tr2bl w:val="nil"/>
                  </w:tcBorders>
                  <w:vAlign w:val="center"/>
                </w:tcPr>
                <w:p w14:paraId="77F5AE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0.33</w:t>
                  </w:r>
                </w:p>
              </w:tc>
              <w:tc>
                <w:tcPr>
                  <w:tcW w:w="648" w:type="pct"/>
                  <w:vMerge w:val="restart"/>
                  <w:tcBorders>
                    <w:tl2br w:val="nil"/>
                    <w:tr2bl w:val="nil"/>
                  </w:tcBorders>
                  <w:vAlign w:val="center"/>
                </w:tcPr>
                <w:p w14:paraId="070D19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w:t>
                  </w:r>
                </w:p>
              </w:tc>
              <w:tc>
                <w:tcPr>
                  <w:tcW w:w="438" w:type="pct"/>
                  <w:vMerge w:val="restart"/>
                  <w:tcBorders>
                    <w:tl2br w:val="nil"/>
                    <w:tr2bl w:val="nil"/>
                  </w:tcBorders>
                  <w:vAlign w:val="center"/>
                </w:tcPr>
                <w:p w14:paraId="0F2E1A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w:t>
                  </w:r>
                </w:p>
              </w:tc>
            </w:tr>
            <w:tr w14:paraId="3123145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1" w:type="pct"/>
                  <w:vMerge w:val="continue"/>
                  <w:tcBorders>
                    <w:tl2br w:val="nil"/>
                    <w:tr2bl w:val="nil"/>
                  </w:tcBorders>
                  <w:vAlign w:val="center"/>
                </w:tcPr>
                <w:p w14:paraId="251BDD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51" w:type="pct"/>
                  <w:vMerge w:val="continue"/>
                  <w:tcBorders>
                    <w:tl2br w:val="nil"/>
                    <w:tr2bl w:val="nil"/>
                  </w:tcBorders>
                  <w:vAlign w:val="center"/>
                </w:tcPr>
                <w:p w14:paraId="6B96B5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17" w:type="pct"/>
                  <w:vMerge w:val="continue"/>
                  <w:tcBorders>
                    <w:tl2br w:val="nil"/>
                    <w:tr2bl w:val="nil"/>
                  </w:tcBorders>
                  <w:vAlign w:val="center"/>
                </w:tcPr>
                <w:p w14:paraId="0739E1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614" w:type="pct"/>
                  <w:tcBorders>
                    <w:tl2br w:val="nil"/>
                    <w:tr2bl w:val="nil"/>
                  </w:tcBorders>
                  <w:vAlign w:val="center"/>
                </w:tcPr>
                <w:p w14:paraId="37E533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第二次</w:t>
                  </w:r>
                </w:p>
              </w:tc>
              <w:tc>
                <w:tcPr>
                  <w:tcW w:w="666" w:type="pct"/>
                  <w:tcBorders>
                    <w:tl2br w:val="nil"/>
                    <w:tr2bl w:val="nil"/>
                  </w:tcBorders>
                  <w:vAlign w:val="center"/>
                </w:tcPr>
                <w:p w14:paraId="024D5B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24.8</w:t>
                  </w:r>
                </w:p>
              </w:tc>
              <w:tc>
                <w:tcPr>
                  <w:tcW w:w="614" w:type="pct"/>
                  <w:tcBorders>
                    <w:tl2br w:val="nil"/>
                    <w:tr2bl w:val="nil"/>
                  </w:tcBorders>
                  <w:vAlign w:val="center"/>
                </w:tcPr>
                <w:p w14:paraId="3B1685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13243</w:t>
                  </w:r>
                </w:p>
              </w:tc>
              <w:tc>
                <w:tcPr>
                  <w:tcW w:w="598" w:type="pct"/>
                  <w:tcBorders>
                    <w:tl2br w:val="nil"/>
                    <w:tr2bl w:val="nil"/>
                  </w:tcBorders>
                  <w:vAlign w:val="center"/>
                </w:tcPr>
                <w:p w14:paraId="2D383E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0.33</w:t>
                  </w:r>
                </w:p>
              </w:tc>
              <w:tc>
                <w:tcPr>
                  <w:tcW w:w="648" w:type="pct"/>
                  <w:vMerge w:val="continue"/>
                  <w:tcBorders>
                    <w:tl2br w:val="nil"/>
                    <w:tr2bl w:val="nil"/>
                  </w:tcBorders>
                  <w:vAlign w:val="center"/>
                </w:tcPr>
                <w:p w14:paraId="2D55EA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38" w:type="pct"/>
                  <w:vMerge w:val="continue"/>
                  <w:tcBorders>
                    <w:tl2br w:val="nil"/>
                    <w:tr2bl w:val="nil"/>
                  </w:tcBorders>
                  <w:vAlign w:val="center"/>
                </w:tcPr>
                <w:p w14:paraId="6B12B9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r>
            <w:tr w14:paraId="65555B6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1" w:type="pct"/>
                  <w:vMerge w:val="continue"/>
                  <w:tcBorders>
                    <w:tl2br w:val="nil"/>
                    <w:tr2bl w:val="nil"/>
                  </w:tcBorders>
                  <w:vAlign w:val="center"/>
                </w:tcPr>
                <w:p w14:paraId="43F451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51" w:type="pct"/>
                  <w:vMerge w:val="continue"/>
                  <w:tcBorders>
                    <w:tl2br w:val="nil"/>
                    <w:tr2bl w:val="nil"/>
                  </w:tcBorders>
                  <w:vAlign w:val="center"/>
                </w:tcPr>
                <w:p w14:paraId="501992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17" w:type="pct"/>
                  <w:vMerge w:val="continue"/>
                  <w:tcBorders>
                    <w:tl2br w:val="nil"/>
                    <w:tr2bl w:val="nil"/>
                  </w:tcBorders>
                  <w:vAlign w:val="center"/>
                </w:tcPr>
                <w:p w14:paraId="780BDD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614" w:type="pct"/>
                  <w:tcBorders>
                    <w:tl2br w:val="nil"/>
                    <w:tr2bl w:val="nil"/>
                  </w:tcBorders>
                  <w:vAlign w:val="center"/>
                </w:tcPr>
                <w:p w14:paraId="55369C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第三次</w:t>
                  </w:r>
                </w:p>
              </w:tc>
              <w:tc>
                <w:tcPr>
                  <w:tcW w:w="666" w:type="pct"/>
                  <w:tcBorders>
                    <w:tl2br w:val="nil"/>
                    <w:tr2bl w:val="nil"/>
                  </w:tcBorders>
                  <w:vAlign w:val="center"/>
                </w:tcPr>
                <w:p w14:paraId="56BF57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26.2</w:t>
                  </w:r>
                </w:p>
              </w:tc>
              <w:tc>
                <w:tcPr>
                  <w:tcW w:w="614" w:type="pct"/>
                  <w:tcBorders>
                    <w:tl2br w:val="nil"/>
                    <w:tr2bl w:val="nil"/>
                  </w:tcBorders>
                  <w:vAlign w:val="center"/>
                </w:tcPr>
                <w:p w14:paraId="17AA9E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13127</w:t>
                  </w:r>
                </w:p>
              </w:tc>
              <w:tc>
                <w:tcPr>
                  <w:tcW w:w="598" w:type="pct"/>
                  <w:tcBorders>
                    <w:tl2br w:val="nil"/>
                    <w:tr2bl w:val="nil"/>
                  </w:tcBorders>
                  <w:vAlign w:val="center"/>
                </w:tcPr>
                <w:p w14:paraId="2D24C7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0.34</w:t>
                  </w:r>
                </w:p>
              </w:tc>
              <w:tc>
                <w:tcPr>
                  <w:tcW w:w="648" w:type="pct"/>
                  <w:vMerge w:val="continue"/>
                  <w:tcBorders>
                    <w:tl2br w:val="nil"/>
                    <w:tr2bl w:val="nil"/>
                  </w:tcBorders>
                  <w:vAlign w:val="center"/>
                </w:tcPr>
                <w:p w14:paraId="1838D6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38" w:type="pct"/>
                  <w:vMerge w:val="continue"/>
                  <w:tcBorders>
                    <w:tl2br w:val="nil"/>
                    <w:tr2bl w:val="nil"/>
                  </w:tcBorders>
                  <w:vAlign w:val="center"/>
                </w:tcPr>
                <w:p w14:paraId="468659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r>
            <w:tr w14:paraId="2DDDEF4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1" w:type="pct"/>
                  <w:vMerge w:val="continue"/>
                  <w:tcBorders>
                    <w:tl2br w:val="nil"/>
                    <w:tr2bl w:val="nil"/>
                  </w:tcBorders>
                  <w:vAlign w:val="center"/>
                </w:tcPr>
                <w:p w14:paraId="29C241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51" w:type="pct"/>
                  <w:vMerge w:val="continue"/>
                  <w:tcBorders>
                    <w:tl2br w:val="nil"/>
                    <w:tr2bl w:val="nil"/>
                  </w:tcBorders>
                  <w:vAlign w:val="center"/>
                </w:tcPr>
                <w:p w14:paraId="71E324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17" w:type="pct"/>
                  <w:vMerge w:val="restart"/>
                  <w:tcBorders>
                    <w:tl2br w:val="nil"/>
                    <w:tr2bl w:val="nil"/>
                  </w:tcBorders>
                  <w:vAlign w:val="center"/>
                </w:tcPr>
                <w:p w14:paraId="682936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挥发性有机物</w:t>
                  </w:r>
                </w:p>
              </w:tc>
              <w:tc>
                <w:tcPr>
                  <w:tcW w:w="614" w:type="pct"/>
                  <w:tcBorders>
                    <w:tl2br w:val="nil"/>
                    <w:tr2bl w:val="nil"/>
                  </w:tcBorders>
                  <w:vAlign w:val="center"/>
                </w:tcPr>
                <w:p w14:paraId="6CDE6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第一次</w:t>
                  </w:r>
                </w:p>
              </w:tc>
              <w:tc>
                <w:tcPr>
                  <w:tcW w:w="666" w:type="pct"/>
                  <w:tcBorders>
                    <w:tl2br w:val="nil"/>
                    <w:tr2bl w:val="nil"/>
                  </w:tcBorders>
                  <w:vAlign w:val="center"/>
                </w:tcPr>
                <w:p w14:paraId="6ACB0C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2.61</w:t>
                  </w:r>
                </w:p>
              </w:tc>
              <w:tc>
                <w:tcPr>
                  <w:tcW w:w="614" w:type="pct"/>
                  <w:tcBorders>
                    <w:tl2br w:val="nil"/>
                    <w:tr2bl w:val="nil"/>
                  </w:tcBorders>
                  <w:vAlign w:val="center"/>
                </w:tcPr>
                <w:p w14:paraId="0BF4A5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13051</w:t>
                  </w:r>
                </w:p>
              </w:tc>
              <w:tc>
                <w:tcPr>
                  <w:tcW w:w="598" w:type="pct"/>
                  <w:tcBorders>
                    <w:tl2br w:val="nil"/>
                    <w:tr2bl w:val="nil"/>
                  </w:tcBorders>
                  <w:vAlign w:val="center"/>
                </w:tcPr>
                <w:p w14:paraId="033717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0.03</w:t>
                  </w:r>
                </w:p>
              </w:tc>
              <w:tc>
                <w:tcPr>
                  <w:tcW w:w="648" w:type="pct"/>
                  <w:vMerge w:val="restart"/>
                  <w:tcBorders>
                    <w:tl2br w:val="nil"/>
                    <w:tr2bl w:val="nil"/>
                  </w:tcBorders>
                  <w:vAlign w:val="center"/>
                </w:tcPr>
                <w:p w14:paraId="0D37AC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w:t>
                  </w:r>
                </w:p>
              </w:tc>
              <w:tc>
                <w:tcPr>
                  <w:tcW w:w="438" w:type="pct"/>
                  <w:vMerge w:val="restart"/>
                  <w:tcBorders>
                    <w:tl2br w:val="nil"/>
                    <w:tr2bl w:val="nil"/>
                  </w:tcBorders>
                  <w:vAlign w:val="center"/>
                </w:tcPr>
                <w:p w14:paraId="4CFA85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w:t>
                  </w:r>
                </w:p>
              </w:tc>
            </w:tr>
            <w:tr w14:paraId="0D34E43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1" w:type="pct"/>
                  <w:vMerge w:val="continue"/>
                  <w:tcBorders>
                    <w:tl2br w:val="nil"/>
                    <w:tr2bl w:val="nil"/>
                  </w:tcBorders>
                  <w:vAlign w:val="center"/>
                </w:tcPr>
                <w:p w14:paraId="520BD2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51" w:type="pct"/>
                  <w:vMerge w:val="continue"/>
                  <w:tcBorders>
                    <w:tl2br w:val="nil"/>
                    <w:tr2bl w:val="nil"/>
                  </w:tcBorders>
                  <w:vAlign w:val="center"/>
                </w:tcPr>
                <w:p w14:paraId="70F8B0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17" w:type="pct"/>
                  <w:vMerge w:val="continue"/>
                  <w:tcBorders>
                    <w:tl2br w:val="nil"/>
                    <w:tr2bl w:val="nil"/>
                  </w:tcBorders>
                  <w:vAlign w:val="center"/>
                </w:tcPr>
                <w:p w14:paraId="38AA7C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614" w:type="pct"/>
                  <w:tcBorders>
                    <w:tl2br w:val="nil"/>
                    <w:tr2bl w:val="nil"/>
                  </w:tcBorders>
                  <w:vAlign w:val="center"/>
                </w:tcPr>
                <w:p w14:paraId="3FF6B0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第二次</w:t>
                  </w:r>
                </w:p>
              </w:tc>
              <w:tc>
                <w:tcPr>
                  <w:tcW w:w="666" w:type="pct"/>
                  <w:tcBorders>
                    <w:tl2br w:val="nil"/>
                    <w:tr2bl w:val="nil"/>
                  </w:tcBorders>
                  <w:vAlign w:val="center"/>
                </w:tcPr>
                <w:p w14:paraId="28CE32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3.15</w:t>
                  </w:r>
                </w:p>
              </w:tc>
              <w:tc>
                <w:tcPr>
                  <w:tcW w:w="614" w:type="pct"/>
                  <w:tcBorders>
                    <w:tl2br w:val="nil"/>
                    <w:tr2bl w:val="nil"/>
                  </w:tcBorders>
                  <w:vAlign w:val="center"/>
                </w:tcPr>
                <w:p w14:paraId="63F33E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13243</w:t>
                  </w:r>
                </w:p>
              </w:tc>
              <w:tc>
                <w:tcPr>
                  <w:tcW w:w="598" w:type="pct"/>
                  <w:tcBorders>
                    <w:tl2br w:val="nil"/>
                    <w:tr2bl w:val="nil"/>
                  </w:tcBorders>
                  <w:vAlign w:val="center"/>
                </w:tcPr>
                <w:p w14:paraId="1F8BDE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0.04</w:t>
                  </w:r>
                </w:p>
              </w:tc>
              <w:tc>
                <w:tcPr>
                  <w:tcW w:w="648" w:type="pct"/>
                  <w:vMerge w:val="continue"/>
                  <w:tcBorders>
                    <w:tl2br w:val="nil"/>
                    <w:tr2bl w:val="nil"/>
                  </w:tcBorders>
                  <w:vAlign w:val="center"/>
                </w:tcPr>
                <w:p w14:paraId="131634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38" w:type="pct"/>
                  <w:vMerge w:val="continue"/>
                  <w:tcBorders>
                    <w:tl2br w:val="nil"/>
                    <w:tr2bl w:val="nil"/>
                  </w:tcBorders>
                  <w:vAlign w:val="center"/>
                </w:tcPr>
                <w:p w14:paraId="7D0E9E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r>
            <w:tr w14:paraId="6A7BC4F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1" w:type="pct"/>
                  <w:vMerge w:val="continue"/>
                  <w:tcBorders>
                    <w:tl2br w:val="nil"/>
                    <w:tr2bl w:val="nil"/>
                  </w:tcBorders>
                  <w:vAlign w:val="center"/>
                </w:tcPr>
                <w:p w14:paraId="3C52BD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51" w:type="pct"/>
                  <w:vMerge w:val="continue"/>
                  <w:tcBorders>
                    <w:tl2br w:val="nil"/>
                    <w:tr2bl w:val="nil"/>
                  </w:tcBorders>
                  <w:vAlign w:val="center"/>
                </w:tcPr>
                <w:p w14:paraId="1C7FF3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17" w:type="pct"/>
                  <w:vMerge w:val="continue"/>
                  <w:tcBorders>
                    <w:tl2br w:val="nil"/>
                    <w:tr2bl w:val="nil"/>
                  </w:tcBorders>
                  <w:vAlign w:val="center"/>
                </w:tcPr>
                <w:p w14:paraId="357ACC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614" w:type="pct"/>
                  <w:tcBorders>
                    <w:tl2br w:val="nil"/>
                    <w:tr2bl w:val="nil"/>
                  </w:tcBorders>
                  <w:vAlign w:val="center"/>
                </w:tcPr>
                <w:p w14:paraId="2CE394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第三次</w:t>
                  </w:r>
                </w:p>
              </w:tc>
              <w:tc>
                <w:tcPr>
                  <w:tcW w:w="666" w:type="pct"/>
                  <w:tcBorders>
                    <w:tl2br w:val="nil"/>
                    <w:tr2bl w:val="nil"/>
                  </w:tcBorders>
                  <w:vAlign w:val="center"/>
                </w:tcPr>
                <w:p w14:paraId="32B296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4.56</w:t>
                  </w:r>
                </w:p>
              </w:tc>
              <w:tc>
                <w:tcPr>
                  <w:tcW w:w="614" w:type="pct"/>
                  <w:tcBorders>
                    <w:tl2br w:val="nil"/>
                    <w:tr2bl w:val="nil"/>
                  </w:tcBorders>
                  <w:vAlign w:val="center"/>
                </w:tcPr>
                <w:p w14:paraId="5CE9F8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13127</w:t>
                  </w:r>
                </w:p>
              </w:tc>
              <w:tc>
                <w:tcPr>
                  <w:tcW w:w="598" w:type="pct"/>
                  <w:tcBorders>
                    <w:tl2br w:val="nil"/>
                    <w:tr2bl w:val="nil"/>
                  </w:tcBorders>
                  <w:vAlign w:val="center"/>
                </w:tcPr>
                <w:p w14:paraId="749B8F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0.06</w:t>
                  </w:r>
                </w:p>
              </w:tc>
              <w:tc>
                <w:tcPr>
                  <w:tcW w:w="648" w:type="pct"/>
                  <w:vMerge w:val="continue"/>
                  <w:tcBorders>
                    <w:tl2br w:val="nil"/>
                    <w:tr2bl w:val="nil"/>
                  </w:tcBorders>
                  <w:vAlign w:val="center"/>
                </w:tcPr>
                <w:p w14:paraId="595F35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38" w:type="pct"/>
                  <w:vMerge w:val="continue"/>
                  <w:tcBorders>
                    <w:tl2br w:val="nil"/>
                    <w:tr2bl w:val="nil"/>
                  </w:tcBorders>
                  <w:vAlign w:val="center"/>
                </w:tcPr>
                <w:p w14:paraId="196E19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r>
            <w:tr w14:paraId="011B7B1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1" w:type="pct"/>
                  <w:vMerge w:val="continue"/>
                  <w:tcBorders>
                    <w:tl2br w:val="nil"/>
                    <w:tr2bl w:val="nil"/>
                  </w:tcBorders>
                  <w:vAlign w:val="center"/>
                </w:tcPr>
                <w:p w14:paraId="0CE156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51" w:type="pct"/>
                  <w:vMerge w:val="restart"/>
                  <w:tcBorders>
                    <w:tl2br w:val="nil"/>
                    <w:tr2bl w:val="nil"/>
                  </w:tcBorders>
                  <w:vAlign w:val="center"/>
                </w:tcPr>
                <w:p w14:paraId="0F1440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2#排气筒出口</w:t>
                  </w:r>
                </w:p>
              </w:tc>
              <w:tc>
                <w:tcPr>
                  <w:tcW w:w="517" w:type="pct"/>
                  <w:vMerge w:val="restart"/>
                  <w:tcBorders>
                    <w:tl2br w:val="nil"/>
                    <w:tr2bl w:val="nil"/>
                  </w:tcBorders>
                  <w:vAlign w:val="center"/>
                </w:tcPr>
                <w:p w14:paraId="07DC65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低浓度颗粒物</w:t>
                  </w:r>
                </w:p>
              </w:tc>
              <w:tc>
                <w:tcPr>
                  <w:tcW w:w="614" w:type="pct"/>
                  <w:tcBorders>
                    <w:tl2br w:val="nil"/>
                    <w:tr2bl w:val="nil"/>
                  </w:tcBorders>
                  <w:vAlign w:val="center"/>
                </w:tcPr>
                <w:p w14:paraId="445EED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第一次</w:t>
                  </w:r>
                </w:p>
              </w:tc>
              <w:tc>
                <w:tcPr>
                  <w:tcW w:w="666" w:type="pct"/>
                  <w:tcBorders>
                    <w:tl2br w:val="nil"/>
                    <w:tr2bl w:val="nil"/>
                  </w:tcBorders>
                  <w:vAlign w:val="center"/>
                </w:tcPr>
                <w:p w14:paraId="568EAC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2.2</w:t>
                  </w:r>
                </w:p>
              </w:tc>
              <w:tc>
                <w:tcPr>
                  <w:tcW w:w="614" w:type="pct"/>
                  <w:tcBorders>
                    <w:tl2br w:val="nil"/>
                    <w:tr2bl w:val="nil"/>
                  </w:tcBorders>
                  <w:vAlign w:val="center"/>
                </w:tcPr>
                <w:p w14:paraId="6D2F27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13526</w:t>
                  </w:r>
                </w:p>
              </w:tc>
              <w:tc>
                <w:tcPr>
                  <w:tcW w:w="598" w:type="pct"/>
                  <w:tcBorders>
                    <w:tl2br w:val="nil"/>
                    <w:tr2bl w:val="nil"/>
                  </w:tcBorders>
                  <w:vAlign w:val="center"/>
                </w:tcPr>
                <w:p w14:paraId="0653AE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0.03</w:t>
                  </w:r>
                </w:p>
              </w:tc>
              <w:tc>
                <w:tcPr>
                  <w:tcW w:w="648" w:type="pct"/>
                  <w:vMerge w:val="restart"/>
                  <w:tcBorders>
                    <w:tl2br w:val="nil"/>
                    <w:tr2bl w:val="nil"/>
                  </w:tcBorders>
                  <w:vAlign w:val="center"/>
                </w:tcPr>
                <w:p w14:paraId="3C5520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10</w:t>
                  </w:r>
                </w:p>
              </w:tc>
              <w:tc>
                <w:tcPr>
                  <w:tcW w:w="438" w:type="pct"/>
                  <w:vMerge w:val="restart"/>
                  <w:tcBorders>
                    <w:tl2br w:val="nil"/>
                    <w:tr2bl w:val="nil"/>
                  </w:tcBorders>
                  <w:vAlign w:val="center"/>
                </w:tcPr>
                <w:p w14:paraId="677F4A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达标</w:t>
                  </w:r>
                </w:p>
              </w:tc>
            </w:tr>
            <w:tr w14:paraId="112ACB4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1" w:type="pct"/>
                  <w:vMerge w:val="continue"/>
                  <w:tcBorders>
                    <w:tl2br w:val="nil"/>
                    <w:tr2bl w:val="nil"/>
                  </w:tcBorders>
                  <w:vAlign w:val="center"/>
                </w:tcPr>
                <w:p w14:paraId="79436D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51" w:type="pct"/>
                  <w:vMerge w:val="continue"/>
                  <w:tcBorders>
                    <w:tl2br w:val="nil"/>
                    <w:tr2bl w:val="nil"/>
                  </w:tcBorders>
                  <w:vAlign w:val="center"/>
                </w:tcPr>
                <w:p w14:paraId="532236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17" w:type="pct"/>
                  <w:vMerge w:val="continue"/>
                  <w:tcBorders>
                    <w:tl2br w:val="nil"/>
                    <w:tr2bl w:val="nil"/>
                  </w:tcBorders>
                  <w:vAlign w:val="center"/>
                </w:tcPr>
                <w:p w14:paraId="7E8D7A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614" w:type="pct"/>
                  <w:tcBorders>
                    <w:tl2br w:val="nil"/>
                    <w:tr2bl w:val="nil"/>
                  </w:tcBorders>
                  <w:vAlign w:val="center"/>
                </w:tcPr>
                <w:p w14:paraId="4D1E15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第二次</w:t>
                  </w:r>
                </w:p>
              </w:tc>
              <w:tc>
                <w:tcPr>
                  <w:tcW w:w="666" w:type="pct"/>
                  <w:tcBorders>
                    <w:tl2br w:val="nil"/>
                    <w:tr2bl w:val="nil"/>
                  </w:tcBorders>
                  <w:vAlign w:val="center"/>
                </w:tcPr>
                <w:p w14:paraId="5BC233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1.9</w:t>
                  </w:r>
                </w:p>
              </w:tc>
              <w:tc>
                <w:tcPr>
                  <w:tcW w:w="614" w:type="pct"/>
                  <w:tcBorders>
                    <w:tl2br w:val="nil"/>
                    <w:tr2bl w:val="nil"/>
                  </w:tcBorders>
                  <w:vAlign w:val="center"/>
                </w:tcPr>
                <w:p w14:paraId="28FDA1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13790</w:t>
                  </w:r>
                </w:p>
              </w:tc>
              <w:tc>
                <w:tcPr>
                  <w:tcW w:w="598" w:type="pct"/>
                  <w:tcBorders>
                    <w:tl2br w:val="nil"/>
                    <w:tr2bl w:val="nil"/>
                  </w:tcBorders>
                  <w:vAlign w:val="center"/>
                </w:tcPr>
                <w:p w14:paraId="211471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0.03</w:t>
                  </w:r>
                </w:p>
              </w:tc>
              <w:tc>
                <w:tcPr>
                  <w:tcW w:w="648" w:type="pct"/>
                  <w:vMerge w:val="continue"/>
                  <w:tcBorders>
                    <w:tl2br w:val="nil"/>
                    <w:tr2bl w:val="nil"/>
                  </w:tcBorders>
                  <w:vAlign w:val="center"/>
                </w:tcPr>
                <w:p w14:paraId="2B1ED4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38" w:type="pct"/>
                  <w:vMerge w:val="continue"/>
                  <w:tcBorders>
                    <w:tl2br w:val="nil"/>
                    <w:tr2bl w:val="nil"/>
                  </w:tcBorders>
                  <w:vAlign w:val="center"/>
                </w:tcPr>
                <w:p w14:paraId="302954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r>
            <w:tr w14:paraId="2FB3308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1" w:type="pct"/>
                  <w:vMerge w:val="continue"/>
                  <w:tcBorders>
                    <w:tl2br w:val="nil"/>
                    <w:tr2bl w:val="nil"/>
                  </w:tcBorders>
                  <w:vAlign w:val="center"/>
                </w:tcPr>
                <w:p w14:paraId="3F0D4E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51" w:type="pct"/>
                  <w:vMerge w:val="continue"/>
                  <w:tcBorders>
                    <w:tl2br w:val="nil"/>
                    <w:tr2bl w:val="nil"/>
                  </w:tcBorders>
                  <w:vAlign w:val="center"/>
                </w:tcPr>
                <w:p w14:paraId="038CAD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17" w:type="pct"/>
                  <w:vMerge w:val="continue"/>
                  <w:tcBorders>
                    <w:tl2br w:val="nil"/>
                    <w:tr2bl w:val="nil"/>
                  </w:tcBorders>
                  <w:vAlign w:val="center"/>
                </w:tcPr>
                <w:p w14:paraId="21B82F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614" w:type="pct"/>
                  <w:tcBorders>
                    <w:tl2br w:val="nil"/>
                    <w:tr2bl w:val="nil"/>
                  </w:tcBorders>
                  <w:vAlign w:val="center"/>
                </w:tcPr>
                <w:p w14:paraId="131F31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第三次</w:t>
                  </w:r>
                </w:p>
              </w:tc>
              <w:tc>
                <w:tcPr>
                  <w:tcW w:w="666" w:type="pct"/>
                  <w:tcBorders>
                    <w:tl2br w:val="nil"/>
                    <w:tr2bl w:val="nil"/>
                  </w:tcBorders>
                  <w:vAlign w:val="center"/>
                </w:tcPr>
                <w:p w14:paraId="10A1A3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2.2</w:t>
                  </w:r>
                </w:p>
              </w:tc>
              <w:tc>
                <w:tcPr>
                  <w:tcW w:w="614" w:type="pct"/>
                  <w:tcBorders>
                    <w:tl2br w:val="nil"/>
                    <w:tr2bl w:val="nil"/>
                  </w:tcBorders>
                  <w:vAlign w:val="center"/>
                </w:tcPr>
                <w:p w14:paraId="4B36F0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13636</w:t>
                  </w:r>
                </w:p>
              </w:tc>
              <w:tc>
                <w:tcPr>
                  <w:tcW w:w="598" w:type="pct"/>
                  <w:tcBorders>
                    <w:tl2br w:val="nil"/>
                    <w:tr2bl w:val="nil"/>
                  </w:tcBorders>
                  <w:vAlign w:val="center"/>
                </w:tcPr>
                <w:p w14:paraId="1F09B8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0.03</w:t>
                  </w:r>
                </w:p>
              </w:tc>
              <w:tc>
                <w:tcPr>
                  <w:tcW w:w="648" w:type="pct"/>
                  <w:vMerge w:val="continue"/>
                  <w:tcBorders>
                    <w:tl2br w:val="nil"/>
                    <w:tr2bl w:val="nil"/>
                  </w:tcBorders>
                  <w:vAlign w:val="center"/>
                </w:tcPr>
                <w:p w14:paraId="0C0616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38" w:type="pct"/>
                  <w:vMerge w:val="continue"/>
                  <w:tcBorders>
                    <w:tl2br w:val="nil"/>
                    <w:tr2bl w:val="nil"/>
                  </w:tcBorders>
                  <w:vAlign w:val="center"/>
                </w:tcPr>
                <w:p w14:paraId="29824B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r>
            <w:tr w14:paraId="586C4C7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1" w:type="pct"/>
                  <w:vMerge w:val="continue"/>
                  <w:tcBorders>
                    <w:tl2br w:val="nil"/>
                    <w:tr2bl w:val="nil"/>
                  </w:tcBorders>
                  <w:vAlign w:val="center"/>
                </w:tcPr>
                <w:p w14:paraId="0B95D1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51" w:type="pct"/>
                  <w:vMerge w:val="continue"/>
                  <w:tcBorders>
                    <w:tl2br w:val="nil"/>
                    <w:tr2bl w:val="nil"/>
                  </w:tcBorders>
                  <w:vAlign w:val="center"/>
                </w:tcPr>
                <w:p w14:paraId="10828A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17" w:type="pct"/>
                  <w:vMerge w:val="restart"/>
                  <w:tcBorders>
                    <w:tl2br w:val="nil"/>
                    <w:tr2bl w:val="nil"/>
                  </w:tcBorders>
                  <w:vAlign w:val="center"/>
                </w:tcPr>
                <w:p w14:paraId="1D0210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挥发性有机物</w:t>
                  </w:r>
                </w:p>
              </w:tc>
              <w:tc>
                <w:tcPr>
                  <w:tcW w:w="614" w:type="pct"/>
                  <w:tcBorders>
                    <w:tl2br w:val="nil"/>
                    <w:tr2bl w:val="nil"/>
                  </w:tcBorders>
                  <w:vAlign w:val="center"/>
                </w:tcPr>
                <w:p w14:paraId="0A25FA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第一次</w:t>
                  </w:r>
                </w:p>
              </w:tc>
              <w:tc>
                <w:tcPr>
                  <w:tcW w:w="666" w:type="pct"/>
                  <w:tcBorders>
                    <w:tl2br w:val="nil"/>
                    <w:tr2bl w:val="nil"/>
                  </w:tcBorders>
                  <w:vAlign w:val="center"/>
                </w:tcPr>
                <w:p w14:paraId="008232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0.892</w:t>
                  </w:r>
                </w:p>
              </w:tc>
              <w:tc>
                <w:tcPr>
                  <w:tcW w:w="614" w:type="pct"/>
                  <w:tcBorders>
                    <w:tl2br w:val="nil"/>
                    <w:tr2bl w:val="nil"/>
                  </w:tcBorders>
                  <w:vAlign w:val="center"/>
                </w:tcPr>
                <w:p w14:paraId="305997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13526</w:t>
                  </w:r>
                </w:p>
              </w:tc>
              <w:tc>
                <w:tcPr>
                  <w:tcW w:w="598" w:type="pct"/>
                  <w:tcBorders>
                    <w:tl2br w:val="nil"/>
                    <w:tr2bl w:val="nil"/>
                  </w:tcBorders>
                  <w:vAlign w:val="center"/>
                </w:tcPr>
                <w:p w14:paraId="3C3FDB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0.01</w:t>
                  </w:r>
                </w:p>
              </w:tc>
              <w:tc>
                <w:tcPr>
                  <w:tcW w:w="648" w:type="pct"/>
                  <w:vMerge w:val="restart"/>
                  <w:tcBorders>
                    <w:tl2br w:val="nil"/>
                    <w:tr2bl w:val="nil"/>
                  </w:tcBorders>
                  <w:vAlign w:val="center"/>
                </w:tcPr>
                <w:p w14:paraId="5D6E00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50</w:t>
                  </w:r>
                </w:p>
              </w:tc>
              <w:tc>
                <w:tcPr>
                  <w:tcW w:w="438" w:type="pct"/>
                  <w:vMerge w:val="restart"/>
                  <w:tcBorders>
                    <w:tl2br w:val="nil"/>
                    <w:tr2bl w:val="nil"/>
                  </w:tcBorders>
                  <w:vAlign w:val="center"/>
                </w:tcPr>
                <w:p w14:paraId="12EDE8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达标</w:t>
                  </w:r>
                </w:p>
              </w:tc>
            </w:tr>
            <w:tr w14:paraId="5B3D16B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1" w:type="pct"/>
                  <w:vMerge w:val="continue"/>
                  <w:tcBorders>
                    <w:tl2br w:val="nil"/>
                    <w:tr2bl w:val="nil"/>
                  </w:tcBorders>
                  <w:vAlign w:val="center"/>
                </w:tcPr>
                <w:p w14:paraId="4E5B33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51" w:type="pct"/>
                  <w:vMerge w:val="continue"/>
                  <w:tcBorders>
                    <w:tl2br w:val="nil"/>
                    <w:tr2bl w:val="nil"/>
                  </w:tcBorders>
                  <w:vAlign w:val="center"/>
                </w:tcPr>
                <w:p w14:paraId="503B16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17" w:type="pct"/>
                  <w:vMerge w:val="continue"/>
                  <w:tcBorders>
                    <w:tl2br w:val="nil"/>
                    <w:tr2bl w:val="nil"/>
                  </w:tcBorders>
                  <w:vAlign w:val="center"/>
                </w:tcPr>
                <w:p w14:paraId="4128E8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614" w:type="pct"/>
                  <w:tcBorders>
                    <w:tl2br w:val="nil"/>
                    <w:tr2bl w:val="nil"/>
                  </w:tcBorders>
                  <w:vAlign w:val="center"/>
                </w:tcPr>
                <w:p w14:paraId="42495C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第二次</w:t>
                  </w:r>
                </w:p>
              </w:tc>
              <w:tc>
                <w:tcPr>
                  <w:tcW w:w="666" w:type="pct"/>
                  <w:tcBorders>
                    <w:tl2br w:val="nil"/>
                    <w:tr2bl w:val="nil"/>
                  </w:tcBorders>
                  <w:vAlign w:val="center"/>
                </w:tcPr>
                <w:p w14:paraId="6A8AFA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1.08</w:t>
                  </w:r>
                </w:p>
              </w:tc>
              <w:tc>
                <w:tcPr>
                  <w:tcW w:w="614" w:type="pct"/>
                  <w:tcBorders>
                    <w:tl2br w:val="nil"/>
                    <w:tr2bl w:val="nil"/>
                  </w:tcBorders>
                  <w:vAlign w:val="center"/>
                </w:tcPr>
                <w:p w14:paraId="4284D8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13790</w:t>
                  </w:r>
                </w:p>
              </w:tc>
              <w:tc>
                <w:tcPr>
                  <w:tcW w:w="598" w:type="pct"/>
                  <w:tcBorders>
                    <w:tl2br w:val="nil"/>
                    <w:tr2bl w:val="nil"/>
                  </w:tcBorders>
                  <w:vAlign w:val="center"/>
                </w:tcPr>
                <w:p w14:paraId="40055D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0.02</w:t>
                  </w:r>
                </w:p>
              </w:tc>
              <w:tc>
                <w:tcPr>
                  <w:tcW w:w="648" w:type="pct"/>
                  <w:vMerge w:val="continue"/>
                  <w:tcBorders>
                    <w:tl2br w:val="nil"/>
                    <w:tr2bl w:val="nil"/>
                  </w:tcBorders>
                  <w:vAlign w:val="center"/>
                </w:tcPr>
                <w:p w14:paraId="75DB97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38" w:type="pct"/>
                  <w:vMerge w:val="continue"/>
                  <w:tcBorders>
                    <w:tl2br w:val="nil"/>
                    <w:tr2bl w:val="nil"/>
                  </w:tcBorders>
                  <w:vAlign w:val="center"/>
                </w:tcPr>
                <w:p w14:paraId="6C24C2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r>
            <w:tr w14:paraId="38C57ED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1" w:type="pct"/>
                  <w:vMerge w:val="continue"/>
                  <w:tcBorders>
                    <w:tl2br w:val="nil"/>
                    <w:tr2bl w:val="nil"/>
                  </w:tcBorders>
                  <w:vAlign w:val="center"/>
                </w:tcPr>
                <w:p w14:paraId="33C85C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51" w:type="pct"/>
                  <w:vMerge w:val="continue"/>
                  <w:tcBorders>
                    <w:tl2br w:val="nil"/>
                    <w:tr2bl w:val="nil"/>
                  </w:tcBorders>
                  <w:vAlign w:val="center"/>
                </w:tcPr>
                <w:p w14:paraId="01C29B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17" w:type="pct"/>
                  <w:vMerge w:val="continue"/>
                  <w:tcBorders>
                    <w:tl2br w:val="nil"/>
                    <w:tr2bl w:val="nil"/>
                  </w:tcBorders>
                  <w:vAlign w:val="center"/>
                </w:tcPr>
                <w:p w14:paraId="4BB708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614" w:type="pct"/>
                  <w:tcBorders>
                    <w:tl2br w:val="nil"/>
                    <w:tr2bl w:val="nil"/>
                  </w:tcBorders>
                  <w:vAlign w:val="center"/>
                </w:tcPr>
                <w:p w14:paraId="648F34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第三次</w:t>
                  </w:r>
                </w:p>
              </w:tc>
              <w:tc>
                <w:tcPr>
                  <w:tcW w:w="666" w:type="pct"/>
                  <w:tcBorders>
                    <w:tl2br w:val="nil"/>
                    <w:tr2bl w:val="nil"/>
                  </w:tcBorders>
                  <w:vAlign w:val="center"/>
                </w:tcPr>
                <w:p w14:paraId="2F279C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1.32</w:t>
                  </w:r>
                </w:p>
              </w:tc>
              <w:tc>
                <w:tcPr>
                  <w:tcW w:w="614" w:type="pct"/>
                  <w:tcBorders>
                    <w:tl2br w:val="nil"/>
                    <w:tr2bl w:val="nil"/>
                  </w:tcBorders>
                  <w:vAlign w:val="center"/>
                </w:tcPr>
                <w:p w14:paraId="34697F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13636</w:t>
                  </w:r>
                </w:p>
              </w:tc>
              <w:tc>
                <w:tcPr>
                  <w:tcW w:w="598" w:type="pct"/>
                  <w:tcBorders>
                    <w:tl2br w:val="nil"/>
                    <w:tr2bl w:val="nil"/>
                  </w:tcBorders>
                  <w:vAlign w:val="center"/>
                </w:tcPr>
                <w:p w14:paraId="6DD19D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0.02</w:t>
                  </w:r>
                </w:p>
              </w:tc>
              <w:tc>
                <w:tcPr>
                  <w:tcW w:w="648" w:type="pct"/>
                  <w:vMerge w:val="continue"/>
                  <w:tcBorders>
                    <w:tl2br w:val="nil"/>
                    <w:tr2bl w:val="nil"/>
                  </w:tcBorders>
                  <w:vAlign w:val="center"/>
                </w:tcPr>
                <w:p w14:paraId="116FFB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38" w:type="pct"/>
                  <w:vMerge w:val="continue"/>
                  <w:tcBorders>
                    <w:tl2br w:val="nil"/>
                    <w:tr2bl w:val="nil"/>
                  </w:tcBorders>
                  <w:vAlign w:val="center"/>
                </w:tcPr>
                <w:p w14:paraId="10169D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r>
            <w:tr w14:paraId="2B3A01C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1" w:type="pct"/>
                  <w:vMerge w:val="continue"/>
                  <w:tcBorders>
                    <w:tl2br w:val="nil"/>
                    <w:tr2bl w:val="nil"/>
                  </w:tcBorders>
                  <w:vAlign w:val="center"/>
                </w:tcPr>
                <w:p w14:paraId="771577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51" w:type="pct"/>
                  <w:vMerge w:val="restart"/>
                  <w:tcBorders>
                    <w:tl2br w:val="nil"/>
                    <w:tr2bl w:val="nil"/>
                  </w:tcBorders>
                  <w:vAlign w:val="center"/>
                </w:tcPr>
                <w:p w14:paraId="30A968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1#排气筒进口</w:t>
                  </w:r>
                </w:p>
              </w:tc>
              <w:tc>
                <w:tcPr>
                  <w:tcW w:w="517" w:type="pct"/>
                  <w:vMerge w:val="restart"/>
                  <w:tcBorders>
                    <w:tl2br w:val="nil"/>
                    <w:tr2bl w:val="nil"/>
                  </w:tcBorders>
                  <w:vAlign w:val="center"/>
                </w:tcPr>
                <w:p w14:paraId="67A056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颗粒物</w:t>
                  </w:r>
                </w:p>
              </w:tc>
              <w:tc>
                <w:tcPr>
                  <w:tcW w:w="614" w:type="pct"/>
                  <w:tcBorders>
                    <w:tl2br w:val="nil"/>
                    <w:tr2bl w:val="nil"/>
                  </w:tcBorders>
                  <w:shd w:val="clear" w:color="auto" w:fill="auto"/>
                  <w:vAlign w:val="center"/>
                </w:tcPr>
                <w:p w14:paraId="1A544F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0"/>
                      <w:sz w:val="21"/>
                      <w:szCs w:val="21"/>
                      <w:vertAlign w:val="baseline"/>
                      <w:lang w:val="en-US" w:eastAsia="zh-CN" w:bidi="ar-SA"/>
                    </w:rPr>
                  </w:pPr>
                  <w:r>
                    <w:rPr>
                      <w:rFonts w:hint="eastAsia"/>
                      <w:color w:val="auto"/>
                      <w:kern w:val="0"/>
                      <w:vertAlign w:val="baseline"/>
                      <w:lang w:val="en-US" w:eastAsia="zh-CN"/>
                    </w:rPr>
                    <w:t>第一次</w:t>
                  </w:r>
                </w:p>
              </w:tc>
              <w:tc>
                <w:tcPr>
                  <w:tcW w:w="666" w:type="pct"/>
                  <w:tcBorders>
                    <w:tl2br w:val="nil"/>
                    <w:tr2bl w:val="nil"/>
                  </w:tcBorders>
                  <w:vAlign w:val="center"/>
                </w:tcPr>
                <w:p w14:paraId="5105B9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81.2</w:t>
                  </w:r>
                </w:p>
              </w:tc>
              <w:tc>
                <w:tcPr>
                  <w:tcW w:w="614" w:type="pct"/>
                  <w:tcBorders>
                    <w:tl2br w:val="nil"/>
                    <w:tr2bl w:val="nil"/>
                  </w:tcBorders>
                  <w:vAlign w:val="center"/>
                </w:tcPr>
                <w:p w14:paraId="3B15FD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10653</w:t>
                  </w:r>
                </w:p>
              </w:tc>
              <w:tc>
                <w:tcPr>
                  <w:tcW w:w="598" w:type="pct"/>
                  <w:tcBorders>
                    <w:tl2br w:val="nil"/>
                    <w:tr2bl w:val="nil"/>
                  </w:tcBorders>
                  <w:vAlign w:val="center"/>
                </w:tcPr>
                <w:p w14:paraId="502F89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0.87</w:t>
                  </w:r>
                </w:p>
              </w:tc>
              <w:tc>
                <w:tcPr>
                  <w:tcW w:w="648" w:type="pct"/>
                  <w:vMerge w:val="restart"/>
                  <w:tcBorders>
                    <w:tl2br w:val="nil"/>
                    <w:tr2bl w:val="nil"/>
                  </w:tcBorders>
                  <w:shd w:val="clear" w:color="auto" w:fill="auto"/>
                  <w:vAlign w:val="center"/>
                </w:tcPr>
                <w:p w14:paraId="63E1D7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w:t>
                  </w:r>
                </w:p>
              </w:tc>
              <w:tc>
                <w:tcPr>
                  <w:tcW w:w="438" w:type="pct"/>
                  <w:vMerge w:val="restart"/>
                  <w:tcBorders>
                    <w:tl2br w:val="nil"/>
                    <w:tr2bl w:val="nil"/>
                  </w:tcBorders>
                  <w:shd w:val="clear" w:color="auto" w:fill="auto"/>
                  <w:vAlign w:val="center"/>
                </w:tcPr>
                <w:p w14:paraId="35FEE0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w:t>
                  </w:r>
                </w:p>
              </w:tc>
            </w:tr>
            <w:tr w14:paraId="1888359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1" w:type="pct"/>
                  <w:vMerge w:val="continue"/>
                  <w:tcBorders>
                    <w:tl2br w:val="nil"/>
                    <w:tr2bl w:val="nil"/>
                  </w:tcBorders>
                  <w:vAlign w:val="center"/>
                </w:tcPr>
                <w:p w14:paraId="4FA1CB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51" w:type="pct"/>
                  <w:vMerge w:val="continue"/>
                  <w:tcBorders>
                    <w:tl2br w:val="nil"/>
                    <w:tr2bl w:val="nil"/>
                  </w:tcBorders>
                  <w:vAlign w:val="center"/>
                </w:tcPr>
                <w:p w14:paraId="2ACC22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17" w:type="pct"/>
                  <w:vMerge w:val="continue"/>
                  <w:tcBorders>
                    <w:tl2br w:val="nil"/>
                    <w:tr2bl w:val="nil"/>
                  </w:tcBorders>
                  <w:vAlign w:val="center"/>
                </w:tcPr>
                <w:p w14:paraId="3898C9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614" w:type="pct"/>
                  <w:tcBorders>
                    <w:tl2br w:val="nil"/>
                    <w:tr2bl w:val="nil"/>
                  </w:tcBorders>
                  <w:shd w:val="clear" w:color="auto" w:fill="auto"/>
                  <w:vAlign w:val="center"/>
                </w:tcPr>
                <w:p w14:paraId="1036D4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0"/>
                      <w:sz w:val="21"/>
                      <w:szCs w:val="21"/>
                      <w:vertAlign w:val="baseline"/>
                      <w:lang w:val="en-US" w:eastAsia="zh-CN" w:bidi="ar-SA"/>
                    </w:rPr>
                  </w:pPr>
                  <w:r>
                    <w:rPr>
                      <w:rFonts w:hint="eastAsia"/>
                      <w:color w:val="auto"/>
                      <w:kern w:val="0"/>
                      <w:vertAlign w:val="baseline"/>
                      <w:lang w:val="en-US" w:eastAsia="zh-CN"/>
                    </w:rPr>
                    <w:t>第二次</w:t>
                  </w:r>
                </w:p>
              </w:tc>
              <w:tc>
                <w:tcPr>
                  <w:tcW w:w="666" w:type="pct"/>
                  <w:tcBorders>
                    <w:tl2br w:val="nil"/>
                    <w:tr2bl w:val="nil"/>
                  </w:tcBorders>
                  <w:vAlign w:val="center"/>
                </w:tcPr>
                <w:p w14:paraId="6929D1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92.9</w:t>
                  </w:r>
                </w:p>
              </w:tc>
              <w:tc>
                <w:tcPr>
                  <w:tcW w:w="614" w:type="pct"/>
                  <w:tcBorders>
                    <w:tl2br w:val="nil"/>
                    <w:tr2bl w:val="nil"/>
                  </w:tcBorders>
                  <w:vAlign w:val="center"/>
                </w:tcPr>
                <w:p w14:paraId="04813C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10587</w:t>
                  </w:r>
                </w:p>
              </w:tc>
              <w:tc>
                <w:tcPr>
                  <w:tcW w:w="598" w:type="pct"/>
                  <w:tcBorders>
                    <w:tl2br w:val="nil"/>
                    <w:tr2bl w:val="nil"/>
                  </w:tcBorders>
                  <w:vAlign w:val="center"/>
                </w:tcPr>
                <w:p w14:paraId="59A7D3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0.98</w:t>
                  </w:r>
                </w:p>
              </w:tc>
              <w:tc>
                <w:tcPr>
                  <w:tcW w:w="648" w:type="pct"/>
                  <w:vMerge w:val="continue"/>
                  <w:tcBorders>
                    <w:tl2br w:val="nil"/>
                    <w:tr2bl w:val="nil"/>
                  </w:tcBorders>
                  <w:vAlign w:val="center"/>
                </w:tcPr>
                <w:p w14:paraId="56CF0D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38" w:type="pct"/>
                  <w:vMerge w:val="continue"/>
                  <w:tcBorders>
                    <w:tl2br w:val="nil"/>
                    <w:tr2bl w:val="nil"/>
                  </w:tcBorders>
                  <w:vAlign w:val="center"/>
                </w:tcPr>
                <w:p w14:paraId="7C0A79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r>
            <w:tr w14:paraId="3582737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1" w:type="pct"/>
                  <w:vMerge w:val="continue"/>
                  <w:tcBorders>
                    <w:tl2br w:val="nil"/>
                    <w:tr2bl w:val="nil"/>
                  </w:tcBorders>
                  <w:vAlign w:val="center"/>
                </w:tcPr>
                <w:p w14:paraId="1D46EC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51" w:type="pct"/>
                  <w:vMerge w:val="continue"/>
                  <w:tcBorders>
                    <w:tl2br w:val="nil"/>
                    <w:tr2bl w:val="nil"/>
                  </w:tcBorders>
                  <w:vAlign w:val="center"/>
                </w:tcPr>
                <w:p w14:paraId="67ED07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17" w:type="pct"/>
                  <w:vMerge w:val="continue"/>
                  <w:tcBorders>
                    <w:tl2br w:val="nil"/>
                    <w:tr2bl w:val="nil"/>
                  </w:tcBorders>
                  <w:vAlign w:val="center"/>
                </w:tcPr>
                <w:p w14:paraId="524302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614" w:type="pct"/>
                  <w:tcBorders>
                    <w:tl2br w:val="nil"/>
                    <w:tr2bl w:val="nil"/>
                  </w:tcBorders>
                  <w:shd w:val="clear" w:color="auto" w:fill="auto"/>
                  <w:vAlign w:val="center"/>
                </w:tcPr>
                <w:p w14:paraId="31583B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0"/>
                      <w:sz w:val="21"/>
                      <w:szCs w:val="21"/>
                      <w:vertAlign w:val="baseline"/>
                      <w:lang w:val="en-US" w:eastAsia="zh-CN" w:bidi="ar-SA"/>
                    </w:rPr>
                  </w:pPr>
                  <w:r>
                    <w:rPr>
                      <w:rFonts w:hint="eastAsia"/>
                      <w:color w:val="auto"/>
                      <w:kern w:val="0"/>
                      <w:vertAlign w:val="baseline"/>
                      <w:lang w:val="en-US" w:eastAsia="zh-CN"/>
                    </w:rPr>
                    <w:t>第三次</w:t>
                  </w:r>
                </w:p>
              </w:tc>
              <w:tc>
                <w:tcPr>
                  <w:tcW w:w="666" w:type="pct"/>
                  <w:tcBorders>
                    <w:tl2br w:val="nil"/>
                    <w:tr2bl w:val="nil"/>
                  </w:tcBorders>
                  <w:vAlign w:val="center"/>
                </w:tcPr>
                <w:p w14:paraId="18535E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91.8</w:t>
                  </w:r>
                </w:p>
              </w:tc>
              <w:tc>
                <w:tcPr>
                  <w:tcW w:w="614" w:type="pct"/>
                  <w:tcBorders>
                    <w:tl2br w:val="nil"/>
                    <w:tr2bl w:val="nil"/>
                  </w:tcBorders>
                  <w:vAlign w:val="center"/>
                </w:tcPr>
                <w:p w14:paraId="2B48B3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10589</w:t>
                  </w:r>
                </w:p>
              </w:tc>
              <w:tc>
                <w:tcPr>
                  <w:tcW w:w="598" w:type="pct"/>
                  <w:tcBorders>
                    <w:tl2br w:val="nil"/>
                    <w:tr2bl w:val="nil"/>
                  </w:tcBorders>
                  <w:vAlign w:val="center"/>
                </w:tcPr>
                <w:p w14:paraId="1DCA0E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0.97</w:t>
                  </w:r>
                </w:p>
              </w:tc>
              <w:tc>
                <w:tcPr>
                  <w:tcW w:w="648" w:type="pct"/>
                  <w:vMerge w:val="continue"/>
                  <w:tcBorders>
                    <w:tl2br w:val="nil"/>
                    <w:tr2bl w:val="nil"/>
                  </w:tcBorders>
                  <w:vAlign w:val="center"/>
                </w:tcPr>
                <w:p w14:paraId="63C817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38" w:type="pct"/>
                  <w:vMerge w:val="continue"/>
                  <w:tcBorders>
                    <w:tl2br w:val="nil"/>
                    <w:tr2bl w:val="nil"/>
                  </w:tcBorders>
                  <w:vAlign w:val="center"/>
                </w:tcPr>
                <w:p w14:paraId="6E3FF6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r>
            <w:tr w14:paraId="2BA5FCA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1" w:type="pct"/>
                  <w:vMerge w:val="continue"/>
                  <w:tcBorders>
                    <w:tl2br w:val="nil"/>
                    <w:tr2bl w:val="nil"/>
                  </w:tcBorders>
                  <w:vAlign w:val="center"/>
                </w:tcPr>
                <w:p w14:paraId="22B2F4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51" w:type="pct"/>
                  <w:vMerge w:val="restart"/>
                  <w:tcBorders>
                    <w:tl2br w:val="nil"/>
                    <w:tr2bl w:val="nil"/>
                  </w:tcBorders>
                  <w:vAlign w:val="center"/>
                </w:tcPr>
                <w:p w14:paraId="2ACD91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1#排气筒出口</w:t>
                  </w:r>
                </w:p>
              </w:tc>
              <w:tc>
                <w:tcPr>
                  <w:tcW w:w="517" w:type="pct"/>
                  <w:vMerge w:val="restart"/>
                  <w:tcBorders>
                    <w:tl2br w:val="nil"/>
                    <w:tr2bl w:val="nil"/>
                  </w:tcBorders>
                  <w:vAlign w:val="center"/>
                </w:tcPr>
                <w:p w14:paraId="5C24F2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低浓度颗粒物</w:t>
                  </w:r>
                </w:p>
              </w:tc>
              <w:tc>
                <w:tcPr>
                  <w:tcW w:w="614" w:type="pct"/>
                  <w:tcBorders>
                    <w:tl2br w:val="nil"/>
                    <w:tr2bl w:val="nil"/>
                  </w:tcBorders>
                  <w:shd w:val="clear" w:color="auto" w:fill="auto"/>
                  <w:vAlign w:val="center"/>
                </w:tcPr>
                <w:p w14:paraId="784720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0"/>
                      <w:sz w:val="21"/>
                      <w:szCs w:val="21"/>
                      <w:vertAlign w:val="baseline"/>
                      <w:lang w:val="en-US" w:eastAsia="zh-CN" w:bidi="ar-SA"/>
                    </w:rPr>
                  </w:pPr>
                  <w:r>
                    <w:rPr>
                      <w:rFonts w:hint="eastAsia"/>
                      <w:color w:val="auto"/>
                      <w:kern w:val="0"/>
                      <w:vertAlign w:val="baseline"/>
                      <w:lang w:val="en-US" w:eastAsia="zh-CN"/>
                    </w:rPr>
                    <w:t>第一次</w:t>
                  </w:r>
                </w:p>
              </w:tc>
              <w:tc>
                <w:tcPr>
                  <w:tcW w:w="666" w:type="pct"/>
                  <w:tcBorders>
                    <w:tl2br w:val="nil"/>
                    <w:tr2bl w:val="nil"/>
                  </w:tcBorders>
                  <w:vAlign w:val="center"/>
                </w:tcPr>
                <w:p w14:paraId="07654C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3.0</w:t>
                  </w:r>
                </w:p>
              </w:tc>
              <w:tc>
                <w:tcPr>
                  <w:tcW w:w="614" w:type="pct"/>
                  <w:tcBorders>
                    <w:tl2br w:val="nil"/>
                    <w:tr2bl w:val="nil"/>
                  </w:tcBorders>
                  <w:vAlign w:val="center"/>
                </w:tcPr>
                <w:p w14:paraId="2ECFA3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10031</w:t>
                  </w:r>
                </w:p>
              </w:tc>
              <w:tc>
                <w:tcPr>
                  <w:tcW w:w="598" w:type="pct"/>
                  <w:tcBorders>
                    <w:tl2br w:val="nil"/>
                    <w:tr2bl w:val="nil"/>
                  </w:tcBorders>
                  <w:vAlign w:val="center"/>
                </w:tcPr>
                <w:p w14:paraId="7BCBDA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0.03</w:t>
                  </w:r>
                </w:p>
              </w:tc>
              <w:tc>
                <w:tcPr>
                  <w:tcW w:w="648" w:type="pct"/>
                  <w:vMerge w:val="restart"/>
                  <w:tcBorders>
                    <w:tl2br w:val="nil"/>
                    <w:tr2bl w:val="nil"/>
                  </w:tcBorders>
                  <w:shd w:val="clear" w:color="auto" w:fill="auto"/>
                  <w:vAlign w:val="center"/>
                </w:tcPr>
                <w:p w14:paraId="171D96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vertAlign w:val="baseline"/>
                      <w:lang w:val="en-US" w:eastAsia="zh-CN" w:bidi="ar-SA"/>
                    </w:rPr>
                  </w:pPr>
                  <w:r>
                    <w:rPr>
                      <w:rFonts w:hint="eastAsia"/>
                      <w:color w:val="auto"/>
                      <w:kern w:val="0"/>
                      <w:vertAlign w:val="baseline"/>
                      <w:lang w:val="en-US" w:eastAsia="zh-CN"/>
                    </w:rPr>
                    <w:t>10</w:t>
                  </w:r>
                </w:p>
              </w:tc>
              <w:tc>
                <w:tcPr>
                  <w:tcW w:w="438" w:type="pct"/>
                  <w:vMerge w:val="restart"/>
                  <w:tcBorders>
                    <w:tl2br w:val="nil"/>
                    <w:tr2bl w:val="nil"/>
                  </w:tcBorders>
                  <w:shd w:val="clear" w:color="auto" w:fill="auto"/>
                  <w:vAlign w:val="center"/>
                </w:tcPr>
                <w:p w14:paraId="7AB07D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vertAlign w:val="baseline"/>
                      <w:lang w:val="en-US" w:eastAsia="zh-CN" w:bidi="ar-SA"/>
                    </w:rPr>
                  </w:pPr>
                  <w:r>
                    <w:rPr>
                      <w:rFonts w:hint="eastAsia"/>
                      <w:color w:val="auto"/>
                      <w:kern w:val="0"/>
                      <w:vertAlign w:val="baseline"/>
                      <w:lang w:val="en-US" w:eastAsia="zh-CN"/>
                    </w:rPr>
                    <w:t>达标</w:t>
                  </w:r>
                </w:p>
              </w:tc>
            </w:tr>
            <w:tr w14:paraId="4572FC9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1" w:type="pct"/>
                  <w:vMerge w:val="continue"/>
                  <w:tcBorders>
                    <w:tl2br w:val="nil"/>
                    <w:tr2bl w:val="nil"/>
                  </w:tcBorders>
                  <w:vAlign w:val="center"/>
                </w:tcPr>
                <w:p w14:paraId="0DA0F8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51" w:type="pct"/>
                  <w:vMerge w:val="continue"/>
                  <w:tcBorders>
                    <w:tl2br w:val="nil"/>
                    <w:tr2bl w:val="nil"/>
                  </w:tcBorders>
                  <w:vAlign w:val="center"/>
                </w:tcPr>
                <w:p w14:paraId="4040EA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17" w:type="pct"/>
                  <w:vMerge w:val="continue"/>
                  <w:tcBorders>
                    <w:tl2br w:val="nil"/>
                    <w:tr2bl w:val="nil"/>
                  </w:tcBorders>
                  <w:vAlign w:val="center"/>
                </w:tcPr>
                <w:p w14:paraId="40789A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614" w:type="pct"/>
                  <w:tcBorders>
                    <w:tl2br w:val="nil"/>
                    <w:tr2bl w:val="nil"/>
                  </w:tcBorders>
                  <w:shd w:val="clear" w:color="auto" w:fill="auto"/>
                  <w:vAlign w:val="center"/>
                </w:tcPr>
                <w:p w14:paraId="68206E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0"/>
                      <w:sz w:val="21"/>
                      <w:szCs w:val="21"/>
                      <w:vertAlign w:val="baseline"/>
                      <w:lang w:val="en-US" w:eastAsia="zh-CN" w:bidi="ar-SA"/>
                    </w:rPr>
                  </w:pPr>
                  <w:r>
                    <w:rPr>
                      <w:rFonts w:hint="eastAsia"/>
                      <w:color w:val="auto"/>
                      <w:kern w:val="0"/>
                      <w:vertAlign w:val="baseline"/>
                      <w:lang w:val="en-US" w:eastAsia="zh-CN"/>
                    </w:rPr>
                    <w:t>第二次</w:t>
                  </w:r>
                </w:p>
              </w:tc>
              <w:tc>
                <w:tcPr>
                  <w:tcW w:w="666" w:type="pct"/>
                  <w:tcBorders>
                    <w:tl2br w:val="nil"/>
                    <w:tr2bl w:val="nil"/>
                  </w:tcBorders>
                  <w:vAlign w:val="center"/>
                </w:tcPr>
                <w:p w14:paraId="59C033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3.4</w:t>
                  </w:r>
                </w:p>
              </w:tc>
              <w:tc>
                <w:tcPr>
                  <w:tcW w:w="614" w:type="pct"/>
                  <w:tcBorders>
                    <w:tl2br w:val="nil"/>
                    <w:tr2bl w:val="nil"/>
                  </w:tcBorders>
                  <w:vAlign w:val="center"/>
                </w:tcPr>
                <w:p w14:paraId="04A620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9612</w:t>
                  </w:r>
                </w:p>
              </w:tc>
              <w:tc>
                <w:tcPr>
                  <w:tcW w:w="598" w:type="pct"/>
                  <w:tcBorders>
                    <w:tl2br w:val="nil"/>
                    <w:tr2bl w:val="nil"/>
                  </w:tcBorders>
                  <w:vAlign w:val="center"/>
                </w:tcPr>
                <w:p w14:paraId="28B895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0.03</w:t>
                  </w:r>
                </w:p>
              </w:tc>
              <w:tc>
                <w:tcPr>
                  <w:tcW w:w="648" w:type="pct"/>
                  <w:vMerge w:val="continue"/>
                  <w:tcBorders>
                    <w:tl2br w:val="nil"/>
                    <w:tr2bl w:val="nil"/>
                  </w:tcBorders>
                  <w:vAlign w:val="center"/>
                </w:tcPr>
                <w:p w14:paraId="204CF8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38" w:type="pct"/>
                  <w:vMerge w:val="continue"/>
                  <w:tcBorders>
                    <w:tl2br w:val="nil"/>
                    <w:tr2bl w:val="nil"/>
                  </w:tcBorders>
                  <w:vAlign w:val="center"/>
                </w:tcPr>
                <w:p w14:paraId="2D57D5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r>
            <w:tr w14:paraId="37C59AE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1" w:type="pct"/>
                  <w:vMerge w:val="continue"/>
                  <w:tcBorders>
                    <w:tl2br w:val="nil"/>
                    <w:tr2bl w:val="nil"/>
                  </w:tcBorders>
                  <w:vAlign w:val="center"/>
                </w:tcPr>
                <w:p w14:paraId="54EF68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51" w:type="pct"/>
                  <w:vMerge w:val="continue"/>
                  <w:tcBorders>
                    <w:tl2br w:val="nil"/>
                    <w:tr2bl w:val="nil"/>
                  </w:tcBorders>
                  <w:vAlign w:val="center"/>
                </w:tcPr>
                <w:p w14:paraId="51A8AA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17" w:type="pct"/>
                  <w:vMerge w:val="continue"/>
                  <w:tcBorders>
                    <w:tl2br w:val="nil"/>
                    <w:tr2bl w:val="nil"/>
                  </w:tcBorders>
                  <w:vAlign w:val="center"/>
                </w:tcPr>
                <w:p w14:paraId="5ED382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614" w:type="pct"/>
                  <w:tcBorders>
                    <w:tl2br w:val="nil"/>
                    <w:tr2bl w:val="nil"/>
                  </w:tcBorders>
                  <w:shd w:val="clear" w:color="auto" w:fill="auto"/>
                  <w:vAlign w:val="center"/>
                </w:tcPr>
                <w:p w14:paraId="2344A3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0"/>
                      <w:sz w:val="21"/>
                      <w:szCs w:val="21"/>
                      <w:vertAlign w:val="baseline"/>
                      <w:lang w:val="en-US" w:eastAsia="zh-CN" w:bidi="ar-SA"/>
                    </w:rPr>
                  </w:pPr>
                  <w:r>
                    <w:rPr>
                      <w:rFonts w:hint="eastAsia"/>
                      <w:color w:val="auto"/>
                      <w:kern w:val="0"/>
                      <w:vertAlign w:val="baseline"/>
                      <w:lang w:val="en-US" w:eastAsia="zh-CN"/>
                    </w:rPr>
                    <w:t>第三次</w:t>
                  </w:r>
                </w:p>
              </w:tc>
              <w:tc>
                <w:tcPr>
                  <w:tcW w:w="666" w:type="pct"/>
                  <w:tcBorders>
                    <w:tl2br w:val="nil"/>
                    <w:tr2bl w:val="nil"/>
                  </w:tcBorders>
                  <w:vAlign w:val="center"/>
                </w:tcPr>
                <w:p w14:paraId="446A07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2.5</w:t>
                  </w:r>
                </w:p>
              </w:tc>
              <w:tc>
                <w:tcPr>
                  <w:tcW w:w="614" w:type="pct"/>
                  <w:tcBorders>
                    <w:tl2br w:val="nil"/>
                    <w:tr2bl w:val="nil"/>
                  </w:tcBorders>
                  <w:vAlign w:val="center"/>
                </w:tcPr>
                <w:p w14:paraId="468520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10108</w:t>
                  </w:r>
                </w:p>
              </w:tc>
              <w:tc>
                <w:tcPr>
                  <w:tcW w:w="598" w:type="pct"/>
                  <w:tcBorders>
                    <w:tl2br w:val="nil"/>
                    <w:tr2bl w:val="nil"/>
                  </w:tcBorders>
                  <w:vAlign w:val="center"/>
                </w:tcPr>
                <w:p w14:paraId="7CAC6F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0.03</w:t>
                  </w:r>
                </w:p>
              </w:tc>
              <w:tc>
                <w:tcPr>
                  <w:tcW w:w="648" w:type="pct"/>
                  <w:vMerge w:val="continue"/>
                  <w:tcBorders>
                    <w:tl2br w:val="nil"/>
                    <w:tr2bl w:val="nil"/>
                  </w:tcBorders>
                  <w:vAlign w:val="center"/>
                </w:tcPr>
                <w:p w14:paraId="017AF2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38" w:type="pct"/>
                  <w:vMerge w:val="continue"/>
                  <w:tcBorders>
                    <w:tl2br w:val="nil"/>
                    <w:tr2bl w:val="nil"/>
                  </w:tcBorders>
                  <w:vAlign w:val="center"/>
                </w:tcPr>
                <w:p w14:paraId="36F625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r>
          </w:tbl>
          <w:p w14:paraId="583B15BD">
            <w:pPr>
              <w:adjustRightInd w:val="0"/>
              <w:snapToGrid w:val="0"/>
              <w:spacing w:line="240" w:lineRule="auto"/>
              <w:jc w:val="center"/>
              <w:rPr>
                <w:rFonts w:hint="default"/>
                <w:b/>
                <w:bCs/>
                <w:color w:val="auto"/>
                <w:kern w:val="0"/>
                <w:lang w:val="en-US" w:eastAsia="zh-CN"/>
              </w:rPr>
            </w:pPr>
            <w:r>
              <w:rPr>
                <w:rFonts w:hint="eastAsia"/>
                <w:b/>
                <w:bCs/>
                <w:color w:val="auto"/>
                <w:kern w:val="0"/>
                <w:lang w:val="en-US" w:eastAsia="zh-CN"/>
              </w:rPr>
              <w:t>表2-9   无组织废气检测结果表</w:t>
            </w:r>
          </w:p>
          <w:tbl>
            <w:tblPr>
              <w:tblStyle w:val="60"/>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76"/>
              <w:gridCol w:w="870"/>
              <w:gridCol w:w="779"/>
              <w:gridCol w:w="930"/>
              <w:gridCol w:w="921"/>
              <w:gridCol w:w="921"/>
              <w:gridCol w:w="921"/>
              <w:gridCol w:w="925"/>
              <w:gridCol w:w="779"/>
              <w:gridCol w:w="724"/>
            </w:tblGrid>
            <w:tr w14:paraId="6187248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454" w:type="pct"/>
                  <w:vMerge w:val="restart"/>
                  <w:tcBorders>
                    <w:tl2br w:val="nil"/>
                    <w:tr2bl w:val="nil"/>
                  </w:tcBorders>
                  <w:vAlign w:val="center"/>
                </w:tcPr>
                <w:p w14:paraId="2AC841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采样日期</w:t>
                  </w:r>
                </w:p>
              </w:tc>
              <w:tc>
                <w:tcPr>
                  <w:tcW w:w="509" w:type="pct"/>
                  <w:vMerge w:val="restart"/>
                  <w:tcBorders>
                    <w:tl2br w:val="nil"/>
                    <w:tr2bl w:val="nil"/>
                  </w:tcBorders>
                  <w:vAlign w:val="center"/>
                </w:tcPr>
                <w:p w14:paraId="512FA8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检测项目</w:t>
                  </w:r>
                </w:p>
              </w:tc>
              <w:tc>
                <w:tcPr>
                  <w:tcW w:w="456" w:type="pct"/>
                  <w:vMerge w:val="restart"/>
                  <w:tcBorders>
                    <w:tl2br w:val="nil"/>
                    <w:tr2bl w:val="nil"/>
                  </w:tcBorders>
                  <w:vAlign w:val="center"/>
                </w:tcPr>
                <w:p w14:paraId="7218F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单位</w:t>
                  </w:r>
                </w:p>
              </w:tc>
              <w:tc>
                <w:tcPr>
                  <w:tcW w:w="544" w:type="pct"/>
                  <w:vMerge w:val="restart"/>
                  <w:tcBorders>
                    <w:tl2br w:val="nil"/>
                    <w:tr2bl w:val="nil"/>
                  </w:tcBorders>
                  <w:vAlign w:val="center"/>
                </w:tcPr>
                <w:p w14:paraId="03E949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检测频次</w:t>
                  </w:r>
                </w:p>
              </w:tc>
              <w:tc>
                <w:tcPr>
                  <w:tcW w:w="2158" w:type="pct"/>
                  <w:gridSpan w:val="4"/>
                  <w:tcBorders>
                    <w:tl2br w:val="nil"/>
                    <w:tr2bl w:val="nil"/>
                  </w:tcBorders>
                  <w:vAlign w:val="center"/>
                </w:tcPr>
                <w:p w14:paraId="62ED51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检测结果</w:t>
                  </w:r>
                </w:p>
              </w:tc>
              <w:tc>
                <w:tcPr>
                  <w:tcW w:w="456" w:type="pct"/>
                  <w:vMerge w:val="restart"/>
                  <w:tcBorders>
                    <w:tl2br w:val="nil"/>
                    <w:tr2bl w:val="nil"/>
                  </w:tcBorders>
                  <w:vAlign w:val="center"/>
                </w:tcPr>
                <w:p w14:paraId="27918F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标准限值mg/m</w:t>
                  </w:r>
                  <w:r>
                    <w:rPr>
                      <w:rFonts w:hint="eastAsia"/>
                      <w:color w:val="auto"/>
                      <w:kern w:val="0"/>
                      <w:vertAlign w:val="superscript"/>
                      <w:lang w:val="en-US" w:eastAsia="zh-CN"/>
                    </w:rPr>
                    <w:t>3</w:t>
                  </w:r>
                </w:p>
              </w:tc>
              <w:tc>
                <w:tcPr>
                  <w:tcW w:w="420" w:type="pct"/>
                  <w:vMerge w:val="restart"/>
                  <w:tcBorders>
                    <w:tl2br w:val="nil"/>
                    <w:tr2bl w:val="nil"/>
                  </w:tcBorders>
                  <w:vAlign w:val="center"/>
                </w:tcPr>
                <w:p w14:paraId="28F1F8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达标判定</w:t>
                  </w:r>
                </w:p>
              </w:tc>
            </w:tr>
            <w:tr w14:paraId="27631E5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4" w:type="pct"/>
                  <w:vMerge w:val="continue"/>
                  <w:tcBorders>
                    <w:tl2br w:val="nil"/>
                    <w:tr2bl w:val="nil"/>
                  </w:tcBorders>
                  <w:vAlign w:val="center"/>
                </w:tcPr>
                <w:p w14:paraId="65AF11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09" w:type="pct"/>
                  <w:vMerge w:val="continue"/>
                  <w:tcBorders>
                    <w:tl2br w:val="nil"/>
                    <w:tr2bl w:val="nil"/>
                  </w:tcBorders>
                  <w:vAlign w:val="center"/>
                </w:tcPr>
                <w:p w14:paraId="4A6F01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56" w:type="pct"/>
                  <w:vMerge w:val="continue"/>
                  <w:tcBorders>
                    <w:tl2br w:val="nil"/>
                    <w:tr2bl w:val="nil"/>
                  </w:tcBorders>
                  <w:vAlign w:val="center"/>
                </w:tcPr>
                <w:p w14:paraId="484517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44" w:type="pct"/>
                  <w:vMerge w:val="continue"/>
                  <w:tcBorders>
                    <w:tl2br w:val="nil"/>
                    <w:tr2bl w:val="nil"/>
                  </w:tcBorders>
                  <w:vAlign w:val="center"/>
                </w:tcPr>
                <w:p w14:paraId="07427A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39" w:type="pct"/>
                  <w:tcBorders>
                    <w:tl2br w:val="nil"/>
                    <w:tr2bl w:val="nil"/>
                  </w:tcBorders>
                  <w:vAlign w:val="center"/>
                </w:tcPr>
                <w:p w14:paraId="6D47EE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厂界上风向1#监测点</w:t>
                  </w:r>
                </w:p>
              </w:tc>
              <w:tc>
                <w:tcPr>
                  <w:tcW w:w="539" w:type="pct"/>
                  <w:tcBorders>
                    <w:tl2br w:val="nil"/>
                    <w:tr2bl w:val="nil"/>
                  </w:tcBorders>
                  <w:vAlign w:val="center"/>
                </w:tcPr>
                <w:p w14:paraId="22715C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厂界下风向2#监测点</w:t>
                  </w:r>
                </w:p>
              </w:tc>
              <w:tc>
                <w:tcPr>
                  <w:tcW w:w="539" w:type="pct"/>
                  <w:tcBorders>
                    <w:tl2br w:val="nil"/>
                    <w:tr2bl w:val="nil"/>
                  </w:tcBorders>
                  <w:vAlign w:val="center"/>
                </w:tcPr>
                <w:p w14:paraId="172CCB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厂界下风向3#监测点</w:t>
                  </w:r>
                </w:p>
              </w:tc>
              <w:tc>
                <w:tcPr>
                  <w:tcW w:w="540" w:type="pct"/>
                  <w:tcBorders>
                    <w:tl2br w:val="nil"/>
                    <w:tr2bl w:val="nil"/>
                  </w:tcBorders>
                  <w:vAlign w:val="center"/>
                </w:tcPr>
                <w:p w14:paraId="4C69C3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厂界下风向4#监测点</w:t>
                  </w:r>
                </w:p>
              </w:tc>
              <w:tc>
                <w:tcPr>
                  <w:tcW w:w="456" w:type="pct"/>
                  <w:vMerge w:val="continue"/>
                  <w:tcBorders>
                    <w:tl2br w:val="nil"/>
                    <w:tr2bl w:val="nil"/>
                  </w:tcBorders>
                  <w:vAlign w:val="center"/>
                </w:tcPr>
                <w:p w14:paraId="65536E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20" w:type="pct"/>
                  <w:vMerge w:val="continue"/>
                  <w:tcBorders>
                    <w:tl2br w:val="nil"/>
                    <w:tr2bl w:val="nil"/>
                  </w:tcBorders>
                  <w:vAlign w:val="center"/>
                </w:tcPr>
                <w:p w14:paraId="5A5E84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r>
            <w:tr w14:paraId="26F68E6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4" w:type="pct"/>
                  <w:vMerge w:val="restart"/>
                  <w:tcBorders>
                    <w:tl2br w:val="nil"/>
                    <w:tr2bl w:val="nil"/>
                  </w:tcBorders>
                  <w:vAlign w:val="center"/>
                </w:tcPr>
                <w:p w14:paraId="13089D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2020.11.10</w:t>
                  </w:r>
                </w:p>
              </w:tc>
              <w:tc>
                <w:tcPr>
                  <w:tcW w:w="509" w:type="pct"/>
                  <w:vMerge w:val="restart"/>
                  <w:tcBorders>
                    <w:tl2br w:val="nil"/>
                    <w:tr2bl w:val="nil"/>
                  </w:tcBorders>
                  <w:vAlign w:val="center"/>
                </w:tcPr>
                <w:p w14:paraId="79A04A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总悬浮颗粒物</w:t>
                  </w:r>
                </w:p>
              </w:tc>
              <w:tc>
                <w:tcPr>
                  <w:tcW w:w="456" w:type="pct"/>
                  <w:vMerge w:val="restart"/>
                  <w:tcBorders>
                    <w:tl2br w:val="nil"/>
                    <w:tr2bl w:val="nil"/>
                  </w:tcBorders>
                  <w:vAlign w:val="center"/>
                </w:tcPr>
                <w:p w14:paraId="2714FB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mg/m</w:t>
                  </w:r>
                  <w:r>
                    <w:rPr>
                      <w:rFonts w:hint="eastAsia"/>
                      <w:color w:val="auto"/>
                      <w:kern w:val="0"/>
                      <w:vertAlign w:val="superscript"/>
                      <w:lang w:val="en-US" w:eastAsia="zh-CN"/>
                    </w:rPr>
                    <w:t>3</w:t>
                  </w:r>
                </w:p>
              </w:tc>
              <w:tc>
                <w:tcPr>
                  <w:tcW w:w="544" w:type="pct"/>
                  <w:tcBorders>
                    <w:tl2br w:val="nil"/>
                    <w:tr2bl w:val="nil"/>
                  </w:tcBorders>
                  <w:vAlign w:val="center"/>
                </w:tcPr>
                <w:p w14:paraId="5A3AB9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第一次</w:t>
                  </w:r>
                </w:p>
              </w:tc>
              <w:tc>
                <w:tcPr>
                  <w:tcW w:w="539" w:type="pct"/>
                  <w:tcBorders>
                    <w:tl2br w:val="nil"/>
                    <w:tr2bl w:val="nil"/>
                  </w:tcBorders>
                  <w:vAlign w:val="center"/>
                </w:tcPr>
                <w:p w14:paraId="018331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0.159</w:t>
                  </w:r>
                </w:p>
              </w:tc>
              <w:tc>
                <w:tcPr>
                  <w:tcW w:w="539" w:type="pct"/>
                  <w:tcBorders>
                    <w:tl2br w:val="nil"/>
                    <w:tr2bl w:val="nil"/>
                  </w:tcBorders>
                  <w:vAlign w:val="center"/>
                </w:tcPr>
                <w:p w14:paraId="6E2AC1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0.211</w:t>
                  </w:r>
                </w:p>
              </w:tc>
              <w:tc>
                <w:tcPr>
                  <w:tcW w:w="539" w:type="pct"/>
                  <w:tcBorders>
                    <w:tl2br w:val="nil"/>
                    <w:tr2bl w:val="nil"/>
                  </w:tcBorders>
                  <w:vAlign w:val="center"/>
                </w:tcPr>
                <w:p w14:paraId="72FB28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0.229</w:t>
                  </w:r>
                </w:p>
              </w:tc>
              <w:tc>
                <w:tcPr>
                  <w:tcW w:w="540" w:type="pct"/>
                  <w:tcBorders>
                    <w:tl2br w:val="nil"/>
                    <w:tr2bl w:val="nil"/>
                  </w:tcBorders>
                  <w:vAlign w:val="center"/>
                </w:tcPr>
                <w:p w14:paraId="759289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0.282</w:t>
                  </w:r>
                </w:p>
              </w:tc>
              <w:tc>
                <w:tcPr>
                  <w:tcW w:w="456" w:type="pct"/>
                  <w:vMerge w:val="restart"/>
                  <w:tcBorders>
                    <w:tl2br w:val="nil"/>
                    <w:tr2bl w:val="nil"/>
                  </w:tcBorders>
                  <w:vAlign w:val="center"/>
                </w:tcPr>
                <w:p w14:paraId="39CE1A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0.5</w:t>
                  </w:r>
                </w:p>
              </w:tc>
              <w:tc>
                <w:tcPr>
                  <w:tcW w:w="420" w:type="pct"/>
                  <w:vMerge w:val="restart"/>
                  <w:tcBorders>
                    <w:tl2br w:val="nil"/>
                    <w:tr2bl w:val="nil"/>
                  </w:tcBorders>
                  <w:vAlign w:val="center"/>
                </w:tcPr>
                <w:p w14:paraId="71243F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达标</w:t>
                  </w:r>
                </w:p>
              </w:tc>
            </w:tr>
            <w:tr w14:paraId="66462FF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4" w:type="pct"/>
                  <w:vMerge w:val="continue"/>
                  <w:tcBorders>
                    <w:tl2br w:val="nil"/>
                    <w:tr2bl w:val="nil"/>
                  </w:tcBorders>
                  <w:vAlign w:val="center"/>
                </w:tcPr>
                <w:p w14:paraId="266393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09" w:type="pct"/>
                  <w:vMerge w:val="continue"/>
                  <w:tcBorders>
                    <w:tl2br w:val="nil"/>
                    <w:tr2bl w:val="nil"/>
                  </w:tcBorders>
                  <w:vAlign w:val="center"/>
                </w:tcPr>
                <w:p w14:paraId="1E56F7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56" w:type="pct"/>
                  <w:vMerge w:val="continue"/>
                  <w:tcBorders>
                    <w:tl2br w:val="nil"/>
                    <w:tr2bl w:val="nil"/>
                  </w:tcBorders>
                  <w:vAlign w:val="center"/>
                </w:tcPr>
                <w:p w14:paraId="7E2AF7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44" w:type="pct"/>
                  <w:tcBorders>
                    <w:tl2br w:val="nil"/>
                    <w:tr2bl w:val="nil"/>
                  </w:tcBorders>
                  <w:vAlign w:val="center"/>
                </w:tcPr>
                <w:p w14:paraId="0481AB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第二次</w:t>
                  </w:r>
                </w:p>
              </w:tc>
              <w:tc>
                <w:tcPr>
                  <w:tcW w:w="539" w:type="pct"/>
                  <w:tcBorders>
                    <w:tl2br w:val="nil"/>
                    <w:tr2bl w:val="nil"/>
                  </w:tcBorders>
                  <w:vAlign w:val="center"/>
                </w:tcPr>
                <w:p w14:paraId="6F22C0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0.108</w:t>
                  </w:r>
                </w:p>
              </w:tc>
              <w:tc>
                <w:tcPr>
                  <w:tcW w:w="539" w:type="pct"/>
                  <w:tcBorders>
                    <w:tl2br w:val="nil"/>
                    <w:tr2bl w:val="nil"/>
                  </w:tcBorders>
                  <w:vAlign w:val="center"/>
                </w:tcPr>
                <w:p w14:paraId="027856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0.269</w:t>
                  </w:r>
                </w:p>
              </w:tc>
              <w:tc>
                <w:tcPr>
                  <w:tcW w:w="539" w:type="pct"/>
                  <w:tcBorders>
                    <w:tl2br w:val="nil"/>
                    <w:tr2bl w:val="nil"/>
                  </w:tcBorders>
                  <w:vAlign w:val="center"/>
                </w:tcPr>
                <w:p w14:paraId="307BCF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0.215</w:t>
                  </w:r>
                </w:p>
              </w:tc>
              <w:tc>
                <w:tcPr>
                  <w:tcW w:w="540" w:type="pct"/>
                  <w:tcBorders>
                    <w:tl2br w:val="nil"/>
                    <w:tr2bl w:val="nil"/>
                  </w:tcBorders>
                  <w:vAlign w:val="center"/>
                </w:tcPr>
                <w:p w14:paraId="64C4E8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0.251</w:t>
                  </w:r>
                </w:p>
              </w:tc>
              <w:tc>
                <w:tcPr>
                  <w:tcW w:w="456" w:type="pct"/>
                  <w:vMerge w:val="continue"/>
                  <w:tcBorders>
                    <w:tl2br w:val="nil"/>
                    <w:tr2bl w:val="nil"/>
                  </w:tcBorders>
                  <w:vAlign w:val="center"/>
                </w:tcPr>
                <w:p w14:paraId="29F35B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20" w:type="pct"/>
                  <w:vMerge w:val="continue"/>
                  <w:tcBorders>
                    <w:tl2br w:val="nil"/>
                    <w:tr2bl w:val="nil"/>
                  </w:tcBorders>
                  <w:vAlign w:val="center"/>
                </w:tcPr>
                <w:p w14:paraId="291E9D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r>
            <w:tr w14:paraId="15E5D65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4" w:type="pct"/>
                  <w:vMerge w:val="continue"/>
                  <w:tcBorders>
                    <w:tl2br w:val="nil"/>
                    <w:tr2bl w:val="nil"/>
                  </w:tcBorders>
                  <w:vAlign w:val="center"/>
                </w:tcPr>
                <w:p w14:paraId="728B28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09" w:type="pct"/>
                  <w:vMerge w:val="continue"/>
                  <w:tcBorders>
                    <w:tl2br w:val="nil"/>
                    <w:tr2bl w:val="nil"/>
                  </w:tcBorders>
                  <w:vAlign w:val="center"/>
                </w:tcPr>
                <w:p w14:paraId="60DF5C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56" w:type="pct"/>
                  <w:vMerge w:val="continue"/>
                  <w:tcBorders>
                    <w:tl2br w:val="nil"/>
                    <w:tr2bl w:val="nil"/>
                  </w:tcBorders>
                  <w:vAlign w:val="center"/>
                </w:tcPr>
                <w:p w14:paraId="4A5F32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44" w:type="pct"/>
                  <w:tcBorders>
                    <w:tl2br w:val="nil"/>
                    <w:tr2bl w:val="nil"/>
                  </w:tcBorders>
                  <w:vAlign w:val="center"/>
                </w:tcPr>
                <w:p w14:paraId="116B4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第三次</w:t>
                  </w:r>
                </w:p>
              </w:tc>
              <w:tc>
                <w:tcPr>
                  <w:tcW w:w="539" w:type="pct"/>
                  <w:tcBorders>
                    <w:tl2br w:val="nil"/>
                    <w:tr2bl w:val="nil"/>
                  </w:tcBorders>
                  <w:vAlign w:val="center"/>
                </w:tcPr>
                <w:p w14:paraId="3480A0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0.126</w:t>
                  </w:r>
                </w:p>
              </w:tc>
              <w:tc>
                <w:tcPr>
                  <w:tcW w:w="539" w:type="pct"/>
                  <w:tcBorders>
                    <w:tl2br w:val="nil"/>
                    <w:tr2bl w:val="nil"/>
                  </w:tcBorders>
                  <w:vAlign w:val="center"/>
                </w:tcPr>
                <w:p w14:paraId="7127B1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0.234</w:t>
                  </w:r>
                </w:p>
              </w:tc>
              <w:tc>
                <w:tcPr>
                  <w:tcW w:w="539" w:type="pct"/>
                  <w:tcBorders>
                    <w:tl2br w:val="nil"/>
                    <w:tr2bl w:val="nil"/>
                  </w:tcBorders>
                  <w:vAlign w:val="center"/>
                </w:tcPr>
                <w:p w14:paraId="1565CF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0.198</w:t>
                  </w:r>
                </w:p>
              </w:tc>
              <w:tc>
                <w:tcPr>
                  <w:tcW w:w="540" w:type="pct"/>
                  <w:tcBorders>
                    <w:tl2br w:val="nil"/>
                    <w:tr2bl w:val="nil"/>
                  </w:tcBorders>
                  <w:vAlign w:val="center"/>
                </w:tcPr>
                <w:p w14:paraId="3A9251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0.288</w:t>
                  </w:r>
                </w:p>
              </w:tc>
              <w:tc>
                <w:tcPr>
                  <w:tcW w:w="456" w:type="pct"/>
                  <w:vMerge w:val="continue"/>
                  <w:tcBorders>
                    <w:tl2br w:val="nil"/>
                    <w:tr2bl w:val="nil"/>
                  </w:tcBorders>
                  <w:vAlign w:val="center"/>
                </w:tcPr>
                <w:p w14:paraId="738149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20" w:type="pct"/>
                  <w:vMerge w:val="continue"/>
                  <w:tcBorders>
                    <w:tl2br w:val="nil"/>
                    <w:tr2bl w:val="nil"/>
                  </w:tcBorders>
                  <w:vAlign w:val="center"/>
                </w:tcPr>
                <w:p w14:paraId="6CB99E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r>
            <w:tr w14:paraId="7F53685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4" w:type="pct"/>
                  <w:vMerge w:val="restart"/>
                  <w:tcBorders>
                    <w:tl2br w:val="nil"/>
                    <w:tr2bl w:val="nil"/>
                  </w:tcBorders>
                  <w:vAlign w:val="center"/>
                </w:tcPr>
                <w:p w14:paraId="5B6189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2020.11.11</w:t>
                  </w:r>
                </w:p>
              </w:tc>
              <w:tc>
                <w:tcPr>
                  <w:tcW w:w="509" w:type="pct"/>
                  <w:vMerge w:val="continue"/>
                  <w:tcBorders>
                    <w:tl2br w:val="nil"/>
                    <w:tr2bl w:val="nil"/>
                  </w:tcBorders>
                  <w:vAlign w:val="center"/>
                </w:tcPr>
                <w:p w14:paraId="63D81C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56" w:type="pct"/>
                  <w:vMerge w:val="continue"/>
                  <w:tcBorders>
                    <w:tl2br w:val="nil"/>
                    <w:tr2bl w:val="nil"/>
                  </w:tcBorders>
                  <w:vAlign w:val="center"/>
                </w:tcPr>
                <w:p w14:paraId="63B5C9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44" w:type="pct"/>
                  <w:tcBorders>
                    <w:tl2br w:val="nil"/>
                    <w:tr2bl w:val="nil"/>
                  </w:tcBorders>
                  <w:vAlign w:val="center"/>
                </w:tcPr>
                <w:p w14:paraId="624A4F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vertAlign w:val="baseline"/>
                      <w:lang w:val="en-US" w:eastAsia="zh-CN"/>
                    </w:rPr>
                  </w:pPr>
                  <w:r>
                    <w:rPr>
                      <w:rFonts w:hint="eastAsia"/>
                      <w:color w:val="auto"/>
                      <w:kern w:val="0"/>
                      <w:vertAlign w:val="baseline"/>
                      <w:lang w:val="en-US" w:eastAsia="zh-CN"/>
                    </w:rPr>
                    <w:t>第一次</w:t>
                  </w:r>
                </w:p>
              </w:tc>
              <w:tc>
                <w:tcPr>
                  <w:tcW w:w="539" w:type="pct"/>
                  <w:tcBorders>
                    <w:tl2br w:val="nil"/>
                    <w:tr2bl w:val="nil"/>
                  </w:tcBorders>
                  <w:vAlign w:val="center"/>
                </w:tcPr>
                <w:p w14:paraId="101563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0.141</w:t>
                  </w:r>
                </w:p>
              </w:tc>
              <w:tc>
                <w:tcPr>
                  <w:tcW w:w="539" w:type="pct"/>
                  <w:tcBorders>
                    <w:tl2br w:val="nil"/>
                    <w:tr2bl w:val="nil"/>
                  </w:tcBorders>
                  <w:vAlign w:val="center"/>
                </w:tcPr>
                <w:p w14:paraId="1B3440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0.246</w:t>
                  </w:r>
                </w:p>
              </w:tc>
              <w:tc>
                <w:tcPr>
                  <w:tcW w:w="539" w:type="pct"/>
                  <w:tcBorders>
                    <w:tl2br w:val="nil"/>
                    <w:tr2bl w:val="nil"/>
                  </w:tcBorders>
                  <w:vAlign w:val="center"/>
                </w:tcPr>
                <w:p w14:paraId="06A8A9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0.264</w:t>
                  </w:r>
                </w:p>
              </w:tc>
              <w:tc>
                <w:tcPr>
                  <w:tcW w:w="540" w:type="pct"/>
                  <w:tcBorders>
                    <w:tl2br w:val="nil"/>
                    <w:tr2bl w:val="nil"/>
                  </w:tcBorders>
                  <w:vAlign w:val="center"/>
                </w:tcPr>
                <w:p w14:paraId="05191C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0.193</w:t>
                  </w:r>
                </w:p>
              </w:tc>
              <w:tc>
                <w:tcPr>
                  <w:tcW w:w="456" w:type="pct"/>
                  <w:vMerge w:val="continue"/>
                  <w:tcBorders>
                    <w:tl2br w:val="nil"/>
                    <w:tr2bl w:val="nil"/>
                  </w:tcBorders>
                  <w:vAlign w:val="center"/>
                </w:tcPr>
                <w:p w14:paraId="13F4BF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20" w:type="pct"/>
                  <w:vMerge w:val="continue"/>
                  <w:tcBorders>
                    <w:tl2br w:val="nil"/>
                    <w:tr2bl w:val="nil"/>
                  </w:tcBorders>
                  <w:vAlign w:val="center"/>
                </w:tcPr>
                <w:p w14:paraId="158990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r>
            <w:tr w14:paraId="4398D94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4" w:type="pct"/>
                  <w:vMerge w:val="continue"/>
                  <w:tcBorders>
                    <w:tl2br w:val="nil"/>
                    <w:tr2bl w:val="nil"/>
                  </w:tcBorders>
                  <w:vAlign w:val="center"/>
                </w:tcPr>
                <w:p w14:paraId="624E8A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09" w:type="pct"/>
                  <w:vMerge w:val="continue"/>
                  <w:tcBorders>
                    <w:tl2br w:val="nil"/>
                    <w:tr2bl w:val="nil"/>
                  </w:tcBorders>
                  <w:vAlign w:val="center"/>
                </w:tcPr>
                <w:p w14:paraId="7E9AF8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56" w:type="pct"/>
                  <w:vMerge w:val="continue"/>
                  <w:tcBorders>
                    <w:tl2br w:val="nil"/>
                    <w:tr2bl w:val="nil"/>
                  </w:tcBorders>
                  <w:vAlign w:val="center"/>
                </w:tcPr>
                <w:p w14:paraId="05C2A2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44" w:type="pct"/>
                  <w:tcBorders>
                    <w:tl2br w:val="nil"/>
                    <w:tr2bl w:val="nil"/>
                  </w:tcBorders>
                  <w:vAlign w:val="center"/>
                </w:tcPr>
                <w:p w14:paraId="14714C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vertAlign w:val="baseline"/>
                      <w:lang w:val="en-US" w:eastAsia="zh-CN"/>
                    </w:rPr>
                  </w:pPr>
                  <w:r>
                    <w:rPr>
                      <w:rFonts w:hint="eastAsia"/>
                      <w:color w:val="auto"/>
                      <w:kern w:val="0"/>
                      <w:vertAlign w:val="baseline"/>
                      <w:lang w:val="en-US" w:eastAsia="zh-CN"/>
                    </w:rPr>
                    <w:t>第二次</w:t>
                  </w:r>
                </w:p>
              </w:tc>
              <w:tc>
                <w:tcPr>
                  <w:tcW w:w="539" w:type="pct"/>
                  <w:tcBorders>
                    <w:tl2br w:val="nil"/>
                    <w:tr2bl w:val="nil"/>
                  </w:tcBorders>
                  <w:vAlign w:val="center"/>
                </w:tcPr>
                <w:p w14:paraId="067333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0.125</w:t>
                  </w:r>
                </w:p>
              </w:tc>
              <w:tc>
                <w:tcPr>
                  <w:tcW w:w="539" w:type="pct"/>
                  <w:tcBorders>
                    <w:tl2br w:val="nil"/>
                    <w:tr2bl w:val="nil"/>
                  </w:tcBorders>
                  <w:vAlign w:val="center"/>
                </w:tcPr>
                <w:p w14:paraId="6CD9E1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0.196</w:t>
                  </w:r>
                </w:p>
              </w:tc>
              <w:tc>
                <w:tcPr>
                  <w:tcW w:w="539" w:type="pct"/>
                  <w:tcBorders>
                    <w:tl2br w:val="nil"/>
                    <w:tr2bl w:val="nil"/>
                  </w:tcBorders>
                  <w:vAlign w:val="center"/>
                </w:tcPr>
                <w:p w14:paraId="3E26A9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0.286</w:t>
                  </w:r>
                </w:p>
              </w:tc>
              <w:tc>
                <w:tcPr>
                  <w:tcW w:w="540" w:type="pct"/>
                  <w:tcBorders>
                    <w:tl2br w:val="nil"/>
                    <w:tr2bl w:val="nil"/>
                  </w:tcBorders>
                  <w:vAlign w:val="center"/>
                </w:tcPr>
                <w:p w14:paraId="32279B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0.232</w:t>
                  </w:r>
                </w:p>
              </w:tc>
              <w:tc>
                <w:tcPr>
                  <w:tcW w:w="456" w:type="pct"/>
                  <w:vMerge w:val="continue"/>
                  <w:tcBorders>
                    <w:tl2br w:val="nil"/>
                    <w:tr2bl w:val="nil"/>
                  </w:tcBorders>
                  <w:vAlign w:val="center"/>
                </w:tcPr>
                <w:p w14:paraId="09C42F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20" w:type="pct"/>
                  <w:vMerge w:val="continue"/>
                  <w:tcBorders>
                    <w:tl2br w:val="nil"/>
                    <w:tr2bl w:val="nil"/>
                  </w:tcBorders>
                  <w:vAlign w:val="center"/>
                </w:tcPr>
                <w:p w14:paraId="7319E2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r>
            <w:tr w14:paraId="3BD10FF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4" w:type="pct"/>
                  <w:vMerge w:val="continue"/>
                  <w:tcBorders>
                    <w:tl2br w:val="nil"/>
                    <w:tr2bl w:val="nil"/>
                  </w:tcBorders>
                  <w:vAlign w:val="center"/>
                </w:tcPr>
                <w:p w14:paraId="136561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09" w:type="pct"/>
                  <w:vMerge w:val="continue"/>
                  <w:tcBorders>
                    <w:tl2br w:val="nil"/>
                    <w:tr2bl w:val="nil"/>
                  </w:tcBorders>
                  <w:vAlign w:val="center"/>
                </w:tcPr>
                <w:p w14:paraId="0533F6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56" w:type="pct"/>
                  <w:vMerge w:val="continue"/>
                  <w:tcBorders>
                    <w:tl2br w:val="nil"/>
                    <w:tr2bl w:val="nil"/>
                  </w:tcBorders>
                  <w:vAlign w:val="center"/>
                </w:tcPr>
                <w:p w14:paraId="75441B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44" w:type="pct"/>
                  <w:tcBorders>
                    <w:tl2br w:val="nil"/>
                    <w:tr2bl w:val="nil"/>
                  </w:tcBorders>
                  <w:vAlign w:val="center"/>
                </w:tcPr>
                <w:p w14:paraId="163597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vertAlign w:val="baseline"/>
                      <w:lang w:val="en-US" w:eastAsia="zh-CN"/>
                    </w:rPr>
                  </w:pPr>
                  <w:r>
                    <w:rPr>
                      <w:rFonts w:hint="eastAsia"/>
                      <w:color w:val="auto"/>
                      <w:kern w:val="0"/>
                      <w:vertAlign w:val="baseline"/>
                      <w:lang w:val="en-US" w:eastAsia="zh-CN"/>
                    </w:rPr>
                    <w:t>第三次</w:t>
                  </w:r>
                </w:p>
              </w:tc>
              <w:tc>
                <w:tcPr>
                  <w:tcW w:w="539" w:type="pct"/>
                  <w:tcBorders>
                    <w:tl2br w:val="nil"/>
                    <w:tr2bl w:val="nil"/>
                  </w:tcBorders>
                  <w:vAlign w:val="center"/>
                </w:tcPr>
                <w:p w14:paraId="346300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0.108</w:t>
                  </w:r>
                </w:p>
              </w:tc>
              <w:tc>
                <w:tcPr>
                  <w:tcW w:w="539" w:type="pct"/>
                  <w:tcBorders>
                    <w:tl2br w:val="nil"/>
                    <w:tr2bl w:val="nil"/>
                  </w:tcBorders>
                  <w:vAlign w:val="center"/>
                </w:tcPr>
                <w:p w14:paraId="3DADDB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0.216</w:t>
                  </w:r>
                </w:p>
              </w:tc>
              <w:tc>
                <w:tcPr>
                  <w:tcW w:w="539" w:type="pct"/>
                  <w:tcBorders>
                    <w:tl2br w:val="nil"/>
                    <w:tr2bl w:val="nil"/>
                  </w:tcBorders>
                  <w:vAlign w:val="center"/>
                </w:tcPr>
                <w:p w14:paraId="7AB45A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0.251</w:t>
                  </w:r>
                </w:p>
              </w:tc>
              <w:tc>
                <w:tcPr>
                  <w:tcW w:w="540" w:type="pct"/>
                  <w:tcBorders>
                    <w:tl2br w:val="nil"/>
                    <w:tr2bl w:val="nil"/>
                  </w:tcBorders>
                  <w:vAlign w:val="center"/>
                </w:tcPr>
                <w:p w14:paraId="1809F0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0.269</w:t>
                  </w:r>
                </w:p>
              </w:tc>
              <w:tc>
                <w:tcPr>
                  <w:tcW w:w="456" w:type="pct"/>
                  <w:vMerge w:val="continue"/>
                  <w:tcBorders>
                    <w:tl2br w:val="nil"/>
                    <w:tr2bl w:val="nil"/>
                  </w:tcBorders>
                  <w:vAlign w:val="center"/>
                </w:tcPr>
                <w:p w14:paraId="22D5EE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20" w:type="pct"/>
                  <w:vMerge w:val="continue"/>
                  <w:tcBorders>
                    <w:tl2br w:val="nil"/>
                    <w:tr2bl w:val="nil"/>
                  </w:tcBorders>
                  <w:vAlign w:val="center"/>
                </w:tcPr>
                <w:p w14:paraId="36FA7E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r>
            <w:tr w14:paraId="269426D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01" w:hRule="atLeast"/>
                <w:jc w:val="center"/>
              </w:trPr>
              <w:tc>
                <w:tcPr>
                  <w:tcW w:w="454" w:type="pct"/>
                  <w:vMerge w:val="restart"/>
                  <w:tcBorders>
                    <w:tl2br w:val="nil"/>
                    <w:tr2bl w:val="nil"/>
                  </w:tcBorders>
                  <w:vAlign w:val="center"/>
                </w:tcPr>
                <w:p w14:paraId="4620AD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2020.11.10</w:t>
                  </w:r>
                </w:p>
              </w:tc>
              <w:tc>
                <w:tcPr>
                  <w:tcW w:w="509" w:type="pct"/>
                  <w:vMerge w:val="restart"/>
                  <w:tcBorders>
                    <w:tl2br w:val="nil"/>
                    <w:tr2bl w:val="nil"/>
                  </w:tcBorders>
                  <w:vAlign w:val="center"/>
                </w:tcPr>
                <w:p w14:paraId="38BFD6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挥发性有机物</w:t>
                  </w:r>
                </w:p>
              </w:tc>
              <w:tc>
                <w:tcPr>
                  <w:tcW w:w="456" w:type="pct"/>
                  <w:vMerge w:val="restart"/>
                  <w:tcBorders>
                    <w:tl2br w:val="nil"/>
                    <w:tr2bl w:val="nil"/>
                  </w:tcBorders>
                  <w:vAlign w:val="center"/>
                </w:tcPr>
                <w:p w14:paraId="38046D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default" w:ascii="Times New Roman" w:hAnsi="Times New Roman" w:cs="Times New Roman"/>
                      <w:color w:val="auto"/>
                      <w:kern w:val="0"/>
                      <w:vertAlign w:val="baseline"/>
                      <w:lang w:val="en-US" w:eastAsia="zh-CN"/>
                    </w:rPr>
                    <w:t>μg/m</w:t>
                  </w:r>
                  <w:r>
                    <w:rPr>
                      <w:rFonts w:hint="default" w:ascii="Times New Roman" w:hAnsi="Times New Roman" w:cs="Times New Roman"/>
                      <w:color w:val="auto"/>
                      <w:kern w:val="0"/>
                      <w:vertAlign w:val="superscript"/>
                      <w:lang w:val="en-US" w:eastAsia="zh-CN"/>
                    </w:rPr>
                    <w:t>3</w:t>
                  </w:r>
                </w:p>
              </w:tc>
              <w:tc>
                <w:tcPr>
                  <w:tcW w:w="544" w:type="pct"/>
                  <w:tcBorders>
                    <w:tl2br w:val="nil"/>
                    <w:tr2bl w:val="nil"/>
                  </w:tcBorders>
                  <w:vAlign w:val="center"/>
                </w:tcPr>
                <w:p w14:paraId="42AD9D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vertAlign w:val="baseline"/>
                      <w:lang w:val="en-US" w:eastAsia="zh-CN"/>
                    </w:rPr>
                  </w:pPr>
                  <w:r>
                    <w:rPr>
                      <w:rFonts w:hint="eastAsia"/>
                      <w:color w:val="auto"/>
                      <w:kern w:val="0"/>
                      <w:vertAlign w:val="baseline"/>
                      <w:lang w:val="en-US" w:eastAsia="zh-CN"/>
                    </w:rPr>
                    <w:t>第一次</w:t>
                  </w:r>
                </w:p>
              </w:tc>
              <w:tc>
                <w:tcPr>
                  <w:tcW w:w="539" w:type="pct"/>
                  <w:tcBorders>
                    <w:tl2br w:val="nil"/>
                    <w:tr2bl w:val="nil"/>
                  </w:tcBorders>
                  <w:vAlign w:val="center"/>
                </w:tcPr>
                <w:p w14:paraId="676310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123</w:t>
                  </w:r>
                </w:p>
              </w:tc>
              <w:tc>
                <w:tcPr>
                  <w:tcW w:w="539" w:type="pct"/>
                  <w:tcBorders>
                    <w:tl2br w:val="nil"/>
                    <w:tr2bl w:val="nil"/>
                  </w:tcBorders>
                  <w:vAlign w:val="center"/>
                </w:tcPr>
                <w:p w14:paraId="265D70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613</w:t>
                  </w:r>
                </w:p>
              </w:tc>
              <w:tc>
                <w:tcPr>
                  <w:tcW w:w="539" w:type="pct"/>
                  <w:tcBorders>
                    <w:tl2br w:val="nil"/>
                    <w:tr2bl w:val="nil"/>
                  </w:tcBorders>
                  <w:vAlign w:val="center"/>
                </w:tcPr>
                <w:p w14:paraId="10789E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615</w:t>
                  </w:r>
                </w:p>
              </w:tc>
              <w:tc>
                <w:tcPr>
                  <w:tcW w:w="540" w:type="pct"/>
                  <w:tcBorders>
                    <w:tl2br w:val="nil"/>
                    <w:tr2bl w:val="nil"/>
                  </w:tcBorders>
                  <w:vAlign w:val="center"/>
                </w:tcPr>
                <w:p w14:paraId="4E2FBF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626</w:t>
                  </w:r>
                </w:p>
              </w:tc>
              <w:tc>
                <w:tcPr>
                  <w:tcW w:w="456" w:type="pct"/>
                  <w:vMerge w:val="restart"/>
                  <w:tcBorders>
                    <w:tl2br w:val="nil"/>
                    <w:tr2bl w:val="nil"/>
                  </w:tcBorders>
                  <w:vAlign w:val="center"/>
                </w:tcPr>
                <w:p w14:paraId="401E69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4.0</w:t>
                  </w:r>
                </w:p>
              </w:tc>
              <w:tc>
                <w:tcPr>
                  <w:tcW w:w="420" w:type="pct"/>
                  <w:vMerge w:val="restart"/>
                  <w:tcBorders>
                    <w:tl2br w:val="nil"/>
                    <w:tr2bl w:val="nil"/>
                  </w:tcBorders>
                  <w:vAlign w:val="center"/>
                </w:tcPr>
                <w:p w14:paraId="24C1FE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达标</w:t>
                  </w:r>
                </w:p>
              </w:tc>
            </w:tr>
            <w:tr w14:paraId="4593F05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4" w:type="pct"/>
                  <w:vMerge w:val="continue"/>
                  <w:tcBorders>
                    <w:tl2br w:val="nil"/>
                    <w:tr2bl w:val="nil"/>
                  </w:tcBorders>
                  <w:vAlign w:val="center"/>
                </w:tcPr>
                <w:p w14:paraId="76CDDF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09" w:type="pct"/>
                  <w:vMerge w:val="continue"/>
                  <w:tcBorders>
                    <w:tl2br w:val="nil"/>
                    <w:tr2bl w:val="nil"/>
                  </w:tcBorders>
                  <w:vAlign w:val="center"/>
                </w:tcPr>
                <w:p w14:paraId="1FBDC6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56" w:type="pct"/>
                  <w:vMerge w:val="continue"/>
                  <w:tcBorders>
                    <w:tl2br w:val="nil"/>
                    <w:tr2bl w:val="nil"/>
                  </w:tcBorders>
                  <w:vAlign w:val="center"/>
                </w:tcPr>
                <w:p w14:paraId="51629A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44" w:type="pct"/>
                  <w:tcBorders>
                    <w:tl2br w:val="nil"/>
                    <w:tr2bl w:val="nil"/>
                  </w:tcBorders>
                  <w:vAlign w:val="center"/>
                </w:tcPr>
                <w:p w14:paraId="72F568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vertAlign w:val="baseline"/>
                      <w:lang w:val="en-US" w:eastAsia="zh-CN"/>
                    </w:rPr>
                  </w:pPr>
                  <w:r>
                    <w:rPr>
                      <w:rFonts w:hint="eastAsia"/>
                      <w:color w:val="auto"/>
                      <w:kern w:val="0"/>
                      <w:vertAlign w:val="baseline"/>
                      <w:lang w:val="en-US" w:eastAsia="zh-CN"/>
                    </w:rPr>
                    <w:t>第二次</w:t>
                  </w:r>
                </w:p>
              </w:tc>
              <w:tc>
                <w:tcPr>
                  <w:tcW w:w="539" w:type="pct"/>
                  <w:tcBorders>
                    <w:tl2br w:val="nil"/>
                    <w:tr2bl w:val="nil"/>
                  </w:tcBorders>
                  <w:vAlign w:val="center"/>
                </w:tcPr>
                <w:p w14:paraId="51D1E5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455</w:t>
                  </w:r>
                </w:p>
              </w:tc>
              <w:tc>
                <w:tcPr>
                  <w:tcW w:w="539" w:type="pct"/>
                  <w:tcBorders>
                    <w:tl2br w:val="nil"/>
                    <w:tr2bl w:val="nil"/>
                  </w:tcBorders>
                  <w:vAlign w:val="center"/>
                </w:tcPr>
                <w:p w14:paraId="6E6F5E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857</w:t>
                  </w:r>
                </w:p>
              </w:tc>
              <w:tc>
                <w:tcPr>
                  <w:tcW w:w="539" w:type="pct"/>
                  <w:tcBorders>
                    <w:tl2br w:val="nil"/>
                    <w:tr2bl w:val="nil"/>
                  </w:tcBorders>
                  <w:vAlign w:val="center"/>
                </w:tcPr>
                <w:p w14:paraId="073DE4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798</w:t>
                  </w:r>
                </w:p>
              </w:tc>
              <w:tc>
                <w:tcPr>
                  <w:tcW w:w="540" w:type="pct"/>
                  <w:tcBorders>
                    <w:tl2br w:val="nil"/>
                    <w:tr2bl w:val="nil"/>
                  </w:tcBorders>
                  <w:vAlign w:val="center"/>
                </w:tcPr>
                <w:p w14:paraId="3E3FA0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639</w:t>
                  </w:r>
                </w:p>
              </w:tc>
              <w:tc>
                <w:tcPr>
                  <w:tcW w:w="456" w:type="pct"/>
                  <w:vMerge w:val="continue"/>
                  <w:tcBorders>
                    <w:tl2br w:val="nil"/>
                    <w:tr2bl w:val="nil"/>
                  </w:tcBorders>
                  <w:vAlign w:val="center"/>
                </w:tcPr>
                <w:p w14:paraId="720C8E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20" w:type="pct"/>
                  <w:vMerge w:val="continue"/>
                  <w:tcBorders>
                    <w:tl2br w:val="nil"/>
                    <w:tr2bl w:val="nil"/>
                  </w:tcBorders>
                  <w:vAlign w:val="center"/>
                </w:tcPr>
                <w:p w14:paraId="459664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r>
            <w:tr w14:paraId="0B71573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4" w:type="pct"/>
                  <w:vMerge w:val="continue"/>
                  <w:tcBorders>
                    <w:tl2br w:val="nil"/>
                    <w:tr2bl w:val="nil"/>
                  </w:tcBorders>
                  <w:vAlign w:val="center"/>
                </w:tcPr>
                <w:p w14:paraId="5553FA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09" w:type="pct"/>
                  <w:vMerge w:val="continue"/>
                  <w:tcBorders>
                    <w:tl2br w:val="nil"/>
                    <w:tr2bl w:val="nil"/>
                  </w:tcBorders>
                  <w:vAlign w:val="center"/>
                </w:tcPr>
                <w:p w14:paraId="1C6868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56" w:type="pct"/>
                  <w:vMerge w:val="continue"/>
                  <w:tcBorders>
                    <w:tl2br w:val="nil"/>
                    <w:tr2bl w:val="nil"/>
                  </w:tcBorders>
                  <w:vAlign w:val="center"/>
                </w:tcPr>
                <w:p w14:paraId="7AFEBB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44" w:type="pct"/>
                  <w:tcBorders>
                    <w:tl2br w:val="nil"/>
                    <w:tr2bl w:val="nil"/>
                  </w:tcBorders>
                  <w:vAlign w:val="center"/>
                </w:tcPr>
                <w:p w14:paraId="67BED5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vertAlign w:val="baseline"/>
                      <w:lang w:val="en-US" w:eastAsia="zh-CN"/>
                    </w:rPr>
                  </w:pPr>
                  <w:r>
                    <w:rPr>
                      <w:rFonts w:hint="eastAsia"/>
                      <w:color w:val="auto"/>
                      <w:kern w:val="0"/>
                      <w:vertAlign w:val="baseline"/>
                      <w:lang w:val="en-US" w:eastAsia="zh-CN"/>
                    </w:rPr>
                    <w:t>第三次</w:t>
                  </w:r>
                </w:p>
              </w:tc>
              <w:tc>
                <w:tcPr>
                  <w:tcW w:w="539" w:type="pct"/>
                  <w:tcBorders>
                    <w:tl2br w:val="nil"/>
                    <w:tr2bl w:val="nil"/>
                  </w:tcBorders>
                  <w:vAlign w:val="center"/>
                </w:tcPr>
                <w:p w14:paraId="6A0937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528</w:t>
                  </w:r>
                </w:p>
              </w:tc>
              <w:tc>
                <w:tcPr>
                  <w:tcW w:w="539" w:type="pct"/>
                  <w:tcBorders>
                    <w:tl2br w:val="nil"/>
                    <w:tr2bl w:val="nil"/>
                  </w:tcBorders>
                  <w:vAlign w:val="center"/>
                </w:tcPr>
                <w:p w14:paraId="3D605F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794</w:t>
                  </w:r>
                </w:p>
              </w:tc>
              <w:tc>
                <w:tcPr>
                  <w:tcW w:w="539" w:type="pct"/>
                  <w:tcBorders>
                    <w:tl2br w:val="nil"/>
                    <w:tr2bl w:val="nil"/>
                  </w:tcBorders>
                  <w:vAlign w:val="center"/>
                </w:tcPr>
                <w:p w14:paraId="4BDDC8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702</w:t>
                  </w:r>
                </w:p>
              </w:tc>
              <w:tc>
                <w:tcPr>
                  <w:tcW w:w="540" w:type="pct"/>
                  <w:tcBorders>
                    <w:tl2br w:val="nil"/>
                    <w:tr2bl w:val="nil"/>
                  </w:tcBorders>
                  <w:vAlign w:val="center"/>
                </w:tcPr>
                <w:p w14:paraId="60E670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698</w:t>
                  </w:r>
                </w:p>
              </w:tc>
              <w:tc>
                <w:tcPr>
                  <w:tcW w:w="456" w:type="pct"/>
                  <w:vMerge w:val="continue"/>
                  <w:tcBorders>
                    <w:tl2br w:val="nil"/>
                    <w:tr2bl w:val="nil"/>
                  </w:tcBorders>
                  <w:vAlign w:val="center"/>
                </w:tcPr>
                <w:p w14:paraId="0C740E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20" w:type="pct"/>
                  <w:vMerge w:val="continue"/>
                  <w:tcBorders>
                    <w:tl2br w:val="nil"/>
                    <w:tr2bl w:val="nil"/>
                  </w:tcBorders>
                  <w:vAlign w:val="center"/>
                </w:tcPr>
                <w:p w14:paraId="71842A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r>
            <w:tr w14:paraId="4674DFD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4" w:type="pct"/>
                  <w:vMerge w:val="restart"/>
                  <w:tcBorders>
                    <w:tl2br w:val="nil"/>
                    <w:tr2bl w:val="nil"/>
                  </w:tcBorders>
                  <w:vAlign w:val="center"/>
                </w:tcPr>
                <w:p w14:paraId="524175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2020.11.11</w:t>
                  </w:r>
                </w:p>
              </w:tc>
              <w:tc>
                <w:tcPr>
                  <w:tcW w:w="509" w:type="pct"/>
                  <w:vMerge w:val="continue"/>
                  <w:tcBorders>
                    <w:tl2br w:val="nil"/>
                    <w:tr2bl w:val="nil"/>
                  </w:tcBorders>
                  <w:vAlign w:val="center"/>
                </w:tcPr>
                <w:p w14:paraId="5E5226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56" w:type="pct"/>
                  <w:vMerge w:val="continue"/>
                  <w:tcBorders>
                    <w:tl2br w:val="nil"/>
                    <w:tr2bl w:val="nil"/>
                  </w:tcBorders>
                  <w:vAlign w:val="center"/>
                </w:tcPr>
                <w:p w14:paraId="01BB0F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44" w:type="pct"/>
                  <w:tcBorders>
                    <w:tl2br w:val="nil"/>
                    <w:tr2bl w:val="nil"/>
                  </w:tcBorders>
                  <w:vAlign w:val="center"/>
                </w:tcPr>
                <w:p w14:paraId="746700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vertAlign w:val="baseline"/>
                      <w:lang w:val="en-US" w:eastAsia="zh-CN"/>
                    </w:rPr>
                  </w:pPr>
                  <w:r>
                    <w:rPr>
                      <w:rFonts w:hint="eastAsia"/>
                      <w:color w:val="auto"/>
                      <w:kern w:val="0"/>
                      <w:vertAlign w:val="baseline"/>
                      <w:lang w:val="en-US" w:eastAsia="zh-CN"/>
                    </w:rPr>
                    <w:t>第一次</w:t>
                  </w:r>
                </w:p>
              </w:tc>
              <w:tc>
                <w:tcPr>
                  <w:tcW w:w="539" w:type="pct"/>
                  <w:tcBorders>
                    <w:tl2br w:val="nil"/>
                    <w:tr2bl w:val="nil"/>
                  </w:tcBorders>
                  <w:vAlign w:val="center"/>
                </w:tcPr>
                <w:p w14:paraId="5B182B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324</w:t>
                  </w:r>
                </w:p>
              </w:tc>
              <w:tc>
                <w:tcPr>
                  <w:tcW w:w="539" w:type="pct"/>
                  <w:tcBorders>
                    <w:tl2br w:val="nil"/>
                    <w:tr2bl w:val="nil"/>
                  </w:tcBorders>
                  <w:vAlign w:val="center"/>
                </w:tcPr>
                <w:p w14:paraId="412FA2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vertAlign w:val="baseline"/>
                      <w:lang w:val="en-US" w:eastAsia="zh-CN"/>
                    </w:rPr>
                  </w:pPr>
                  <w:r>
                    <w:rPr>
                      <w:rFonts w:hint="default" w:ascii="Times New Roman" w:hAnsi="Times New Roman" w:cs="Times New Roman"/>
                      <w:color w:val="auto"/>
                      <w:kern w:val="0"/>
                      <w:vertAlign w:val="baseline"/>
                      <w:lang w:val="en-US" w:eastAsia="zh-CN"/>
                    </w:rPr>
                    <w:t>594</w:t>
                  </w:r>
                </w:p>
              </w:tc>
              <w:tc>
                <w:tcPr>
                  <w:tcW w:w="539" w:type="pct"/>
                  <w:tcBorders>
                    <w:tl2br w:val="nil"/>
                    <w:tr2bl w:val="nil"/>
                  </w:tcBorders>
                  <w:vAlign w:val="center"/>
                </w:tcPr>
                <w:p w14:paraId="447611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vertAlign w:val="baseline"/>
                      <w:lang w:val="en-US" w:eastAsia="zh-CN"/>
                    </w:rPr>
                  </w:pPr>
                  <w:r>
                    <w:rPr>
                      <w:rFonts w:hint="default" w:ascii="Times New Roman" w:hAnsi="Times New Roman" w:cs="Times New Roman"/>
                      <w:color w:val="auto"/>
                      <w:kern w:val="0"/>
                      <w:vertAlign w:val="baseline"/>
                      <w:lang w:val="en-US" w:eastAsia="zh-CN"/>
                    </w:rPr>
                    <w:t>1.38×10</w:t>
                  </w:r>
                  <w:r>
                    <w:rPr>
                      <w:rFonts w:hint="default" w:ascii="Times New Roman" w:hAnsi="Times New Roman" w:cs="Times New Roman"/>
                      <w:color w:val="auto"/>
                      <w:kern w:val="0"/>
                      <w:vertAlign w:val="superscript"/>
                      <w:lang w:val="en-US" w:eastAsia="zh-CN"/>
                    </w:rPr>
                    <w:t>3</w:t>
                  </w:r>
                </w:p>
              </w:tc>
              <w:tc>
                <w:tcPr>
                  <w:tcW w:w="540" w:type="pct"/>
                  <w:tcBorders>
                    <w:tl2br w:val="nil"/>
                    <w:tr2bl w:val="nil"/>
                  </w:tcBorders>
                  <w:vAlign w:val="center"/>
                </w:tcPr>
                <w:p w14:paraId="6028BD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436</w:t>
                  </w:r>
                </w:p>
              </w:tc>
              <w:tc>
                <w:tcPr>
                  <w:tcW w:w="456" w:type="pct"/>
                  <w:vMerge w:val="continue"/>
                  <w:tcBorders>
                    <w:tl2br w:val="nil"/>
                    <w:tr2bl w:val="nil"/>
                  </w:tcBorders>
                  <w:vAlign w:val="center"/>
                </w:tcPr>
                <w:p w14:paraId="507C1C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20" w:type="pct"/>
                  <w:vMerge w:val="continue"/>
                  <w:tcBorders>
                    <w:tl2br w:val="nil"/>
                    <w:tr2bl w:val="nil"/>
                  </w:tcBorders>
                  <w:vAlign w:val="center"/>
                </w:tcPr>
                <w:p w14:paraId="7282DB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r>
            <w:tr w14:paraId="13B597A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4" w:type="pct"/>
                  <w:vMerge w:val="continue"/>
                  <w:tcBorders>
                    <w:tl2br w:val="nil"/>
                    <w:tr2bl w:val="nil"/>
                  </w:tcBorders>
                  <w:vAlign w:val="center"/>
                </w:tcPr>
                <w:p w14:paraId="7C1FDF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09" w:type="pct"/>
                  <w:vMerge w:val="continue"/>
                  <w:tcBorders>
                    <w:tl2br w:val="nil"/>
                    <w:tr2bl w:val="nil"/>
                  </w:tcBorders>
                  <w:vAlign w:val="center"/>
                </w:tcPr>
                <w:p w14:paraId="6465AF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56" w:type="pct"/>
                  <w:vMerge w:val="continue"/>
                  <w:tcBorders>
                    <w:tl2br w:val="nil"/>
                    <w:tr2bl w:val="nil"/>
                  </w:tcBorders>
                  <w:vAlign w:val="center"/>
                </w:tcPr>
                <w:p w14:paraId="3EB3E9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44" w:type="pct"/>
                  <w:tcBorders>
                    <w:tl2br w:val="nil"/>
                    <w:tr2bl w:val="nil"/>
                  </w:tcBorders>
                  <w:vAlign w:val="center"/>
                </w:tcPr>
                <w:p w14:paraId="7463B3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vertAlign w:val="baseline"/>
                      <w:lang w:val="en-US" w:eastAsia="zh-CN"/>
                    </w:rPr>
                  </w:pPr>
                  <w:r>
                    <w:rPr>
                      <w:rFonts w:hint="eastAsia"/>
                      <w:color w:val="auto"/>
                      <w:kern w:val="0"/>
                      <w:vertAlign w:val="baseline"/>
                      <w:lang w:val="en-US" w:eastAsia="zh-CN"/>
                    </w:rPr>
                    <w:t>第二次</w:t>
                  </w:r>
                </w:p>
              </w:tc>
              <w:tc>
                <w:tcPr>
                  <w:tcW w:w="539" w:type="pct"/>
                  <w:tcBorders>
                    <w:tl2br w:val="nil"/>
                    <w:tr2bl w:val="nil"/>
                  </w:tcBorders>
                  <w:vAlign w:val="center"/>
                </w:tcPr>
                <w:p w14:paraId="3518ED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45.8</w:t>
                  </w:r>
                </w:p>
              </w:tc>
              <w:tc>
                <w:tcPr>
                  <w:tcW w:w="539" w:type="pct"/>
                  <w:tcBorders>
                    <w:tl2br w:val="nil"/>
                    <w:tr2bl w:val="nil"/>
                  </w:tcBorders>
                  <w:vAlign w:val="center"/>
                </w:tcPr>
                <w:p w14:paraId="3AA55C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559</w:t>
                  </w:r>
                </w:p>
              </w:tc>
              <w:tc>
                <w:tcPr>
                  <w:tcW w:w="539" w:type="pct"/>
                  <w:tcBorders>
                    <w:tl2br w:val="nil"/>
                    <w:tr2bl w:val="nil"/>
                  </w:tcBorders>
                  <w:vAlign w:val="center"/>
                </w:tcPr>
                <w:p w14:paraId="227B76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default" w:ascii="Times New Roman" w:hAnsi="Times New Roman" w:cs="Times New Roman"/>
                      <w:color w:val="auto"/>
                      <w:kern w:val="0"/>
                      <w:vertAlign w:val="baseline"/>
                      <w:lang w:val="en-US" w:eastAsia="zh-CN"/>
                    </w:rPr>
                    <w:t>1.3</w:t>
                  </w:r>
                  <w:r>
                    <w:rPr>
                      <w:rFonts w:hint="eastAsia" w:cs="Times New Roman"/>
                      <w:color w:val="auto"/>
                      <w:kern w:val="0"/>
                      <w:vertAlign w:val="baseline"/>
                      <w:lang w:val="en-US" w:eastAsia="zh-CN"/>
                    </w:rPr>
                    <w:t>1</w:t>
                  </w:r>
                  <w:r>
                    <w:rPr>
                      <w:rFonts w:hint="default" w:ascii="Times New Roman" w:hAnsi="Times New Roman" w:cs="Times New Roman"/>
                      <w:color w:val="auto"/>
                      <w:kern w:val="0"/>
                      <w:vertAlign w:val="baseline"/>
                      <w:lang w:val="en-US" w:eastAsia="zh-CN"/>
                    </w:rPr>
                    <w:t>×10</w:t>
                  </w:r>
                  <w:r>
                    <w:rPr>
                      <w:rFonts w:hint="default" w:ascii="Times New Roman" w:hAnsi="Times New Roman" w:cs="Times New Roman"/>
                      <w:color w:val="auto"/>
                      <w:kern w:val="0"/>
                      <w:vertAlign w:val="superscript"/>
                      <w:lang w:val="en-US" w:eastAsia="zh-CN"/>
                    </w:rPr>
                    <w:t>3</w:t>
                  </w:r>
                </w:p>
              </w:tc>
              <w:tc>
                <w:tcPr>
                  <w:tcW w:w="540" w:type="pct"/>
                  <w:tcBorders>
                    <w:tl2br w:val="nil"/>
                    <w:tr2bl w:val="nil"/>
                  </w:tcBorders>
                  <w:vAlign w:val="center"/>
                </w:tcPr>
                <w:p w14:paraId="34BA46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610</w:t>
                  </w:r>
                </w:p>
              </w:tc>
              <w:tc>
                <w:tcPr>
                  <w:tcW w:w="456" w:type="pct"/>
                  <w:vMerge w:val="continue"/>
                  <w:tcBorders>
                    <w:tl2br w:val="nil"/>
                    <w:tr2bl w:val="nil"/>
                  </w:tcBorders>
                  <w:vAlign w:val="center"/>
                </w:tcPr>
                <w:p w14:paraId="031A7C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20" w:type="pct"/>
                  <w:vMerge w:val="continue"/>
                  <w:tcBorders>
                    <w:tl2br w:val="nil"/>
                    <w:tr2bl w:val="nil"/>
                  </w:tcBorders>
                  <w:vAlign w:val="center"/>
                </w:tcPr>
                <w:p w14:paraId="477AA7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r>
            <w:tr w14:paraId="48E340B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4" w:type="pct"/>
                  <w:vMerge w:val="continue"/>
                  <w:tcBorders>
                    <w:tl2br w:val="nil"/>
                    <w:tr2bl w:val="nil"/>
                  </w:tcBorders>
                  <w:vAlign w:val="center"/>
                </w:tcPr>
                <w:p w14:paraId="5C7998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09" w:type="pct"/>
                  <w:vMerge w:val="continue"/>
                  <w:tcBorders>
                    <w:tl2br w:val="nil"/>
                    <w:tr2bl w:val="nil"/>
                  </w:tcBorders>
                  <w:vAlign w:val="center"/>
                </w:tcPr>
                <w:p w14:paraId="2A565F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56" w:type="pct"/>
                  <w:vMerge w:val="continue"/>
                  <w:tcBorders>
                    <w:tl2br w:val="nil"/>
                    <w:tr2bl w:val="nil"/>
                  </w:tcBorders>
                  <w:vAlign w:val="center"/>
                </w:tcPr>
                <w:p w14:paraId="525435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44" w:type="pct"/>
                  <w:tcBorders>
                    <w:tl2br w:val="nil"/>
                    <w:tr2bl w:val="nil"/>
                  </w:tcBorders>
                  <w:vAlign w:val="center"/>
                </w:tcPr>
                <w:p w14:paraId="17C559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vertAlign w:val="baseline"/>
                      <w:lang w:val="en-US" w:eastAsia="zh-CN"/>
                    </w:rPr>
                  </w:pPr>
                  <w:r>
                    <w:rPr>
                      <w:rFonts w:hint="eastAsia"/>
                      <w:color w:val="auto"/>
                      <w:kern w:val="0"/>
                      <w:vertAlign w:val="baseline"/>
                      <w:lang w:val="en-US" w:eastAsia="zh-CN"/>
                    </w:rPr>
                    <w:t>第三次</w:t>
                  </w:r>
                </w:p>
              </w:tc>
              <w:tc>
                <w:tcPr>
                  <w:tcW w:w="539" w:type="pct"/>
                  <w:tcBorders>
                    <w:tl2br w:val="nil"/>
                    <w:tr2bl w:val="nil"/>
                  </w:tcBorders>
                  <w:vAlign w:val="center"/>
                </w:tcPr>
                <w:p w14:paraId="69B185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166</w:t>
                  </w:r>
                </w:p>
              </w:tc>
              <w:tc>
                <w:tcPr>
                  <w:tcW w:w="539" w:type="pct"/>
                  <w:tcBorders>
                    <w:tl2br w:val="nil"/>
                    <w:tr2bl w:val="nil"/>
                  </w:tcBorders>
                  <w:vAlign w:val="center"/>
                </w:tcPr>
                <w:p w14:paraId="39A52E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849</w:t>
                  </w:r>
                </w:p>
              </w:tc>
              <w:tc>
                <w:tcPr>
                  <w:tcW w:w="539" w:type="pct"/>
                  <w:tcBorders>
                    <w:tl2br w:val="nil"/>
                    <w:tr2bl w:val="nil"/>
                  </w:tcBorders>
                  <w:vAlign w:val="center"/>
                </w:tcPr>
                <w:p w14:paraId="1DD193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default" w:ascii="Times New Roman" w:hAnsi="Times New Roman" w:cs="Times New Roman"/>
                      <w:color w:val="auto"/>
                      <w:kern w:val="0"/>
                      <w:vertAlign w:val="baseline"/>
                      <w:lang w:val="en-US" w:eastAsia="zh-CN"/>
                    </w:rPr>
                    <w:t>1.38×10</w:t>
                  </w:r>
                  <w:r>
                    <w:rPr>
                      <w:rFonts w:hint="default" w:ascii="Times New Roman" w:hAnsi="Times New Roman" w:cs="Times New Roman"/>
                      <w:color w:val="auto"/>
                      <w:kern w:val="0"/>
                      <w:vertAlign w:val="superscript"/>
                      <w:lang w:val="en-US" w:eastAsia="zh-CN"/>
                    </w:rPr>
                    <w:t>3</w:t>
                  </w:r>
                </w:p>
              </w:tc>
              <w:tc>
                <w:tcPr>
                  <w:tcW w:w="540" w:type="pct"/>
                  <w:tcBorders>
                    <w:tl2br w:val="nil"/>
                    <w:tr2bl w:val="nil"/>
                  </w:tcBorders>
                  <w:vAlign w:val="center"/>
                </w:tcPr>
                <w:p w14:paraId="2D1887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670</w:t>
                  </w:r>
                </w:p>
              </w:tc>
              <w:tc>
                <w:tcPr>
                  <w:tcW w:w="456" w:type="pct"/>
                  <w:vMerge w:val="continue"/>
                  <w:tcBorders>
                    <w:tl2br w:val="nil"/>
                    <w:tr2bl w:val="nil"/>
                  </w:tcBorders>
                  <w:vAlign w:val="center"/>
                </w:tcPr>
                <w:p w14:paraId="607BCB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20" w:type="pct"/>
                  <w:vMerge w:val="continue"/>
                  <w:tcBorders>
                    <w:tl2br w:val="nil"/>
                    <w:tr2bl w:val="nil"/>
                  </w:tcBorders>
                  <w:vAlign w:val="center"/>
                </w:tcPr>
                <w:p w14:paraId="5A37C9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r>
            <w:tr w14:paraId="242EC69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10"/>
                  <w:tcBorders>
                    <w:tl2br w:val="nil"/>
                    <w:tr2bl w:val="nil"/>
                  </w:tcBorders>
                  <w:vAlign w:val="center"/>
                </w:tcPr>
                <w:p w14:paraId="7716C1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车间外1m处5#监测点</w:t>
                  </w:r>
                </w:p>
              </w:tc>
            </w:tr>
            <w:tr w14:paraId="4C36F2F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4" w:type="pct"/>
                  <w:tcBorders>
                    <w:tl2br w:val="nil"/>
                    <w:tr2bl w:val="nil"/>
                  </w:tcBorders>
                  <w:vAlign w:val="center"/>
                </w:tcPr>
                <w:p w14:paraId="542229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2020.11.10</w:t>
                  </w:r>
                </w:p>
              </w:tc>
              <w:tc>
                <w:tcPr>
                  <w:tcW w:w="509" w:type="pct"/>
                  <w:tcBorders>
                    <w:tl2br w:val="nil"/>
                    <w:tr2bl w:val="nil"/>
                  </w:tcBorders>
                  <w:vAlign w:val="center"/>
                </w:tcPr>
                <w:p w14:paraId="79BFA7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非甲烷总烃</w:t>
                  </w:r>
                </w:p>
              </w:tc>
              <w:tc>
                <w:tcPr>
                  <w:tcW w:w="456" w:type="pct"/>
                  <w:tcBorders>
                    <w:tl2br w:val="nil"/>
                    <w:tr2bl w:val="nil"/>
                  </w:tcBorders>
                  <w:vAlign w:val="center"/>
                </w:tcPr>
                <w:p w14:paraId="335B64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mg/m</w:t>
                  </w:r>
                  <w:r>
                    <w:rPr>
                      <w:rFonts w:hint="eastAsia"/>
                      <w:color w:val="auto"/>
                      <w:kern w:val="0"/>
                      <w:vertAlign w:val="superscript"/>
                      <w:lang w:val="en-US" w:eastAsia="zh-CN"/>
                    </w:rPr>
                    <w:t>3</w:t>
                  </w:r>
                </w:p>
              </w:tc>
              <w:tc>
                <w:tcPr>
                  <w:tcW w:w="544" w:type="pct"/>
                  <w:tcBorders>
                    <w:tl2br w:val="nil"/>
                    <w:tr2bl w:val="nil"/>
                  </w:tcBorders>
                  <w:vAlign w:val="center"/>
                </w:tcPr>
                <w:p w14:paraId="450829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w:t>
                  </w:r>
                </w:p>
              </w:tc>
              <w:tc>
                <w:tcPr>
                  <w:tcW w:w="2158" w:type="pct"/>
                  <w:gridSpan w:val="4"/>
                  <w:tcBorders>
                    <w:tl2br w:val="nil"/>
                    <w:tr2bl w:val="nil"/>
                  </w:tcBorders>
                  <w:vAlign w:val="center"/>
                </w:tcPr>
                <w:p w14:paraId="21B59F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3.0（监控点处任意一次浓度值）</w:t>
                  </w:r>
                </w:p>
              </w:tc>
              <w:tc>
                <w:tcPr>
                  <w:tcW w:w="456" w:type="pct"/>
                  <w:tcBorders>
                    <w:tl2br w:val="nil"/>
                    <w:tr2bl w:val="nil"/>
                  </w:tcBorders>
                  <w:vAlign w:val="center"/>
                </w:tcPr>
                <w:p w14:paraId="70A882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20</w:t>
                  </w:r>
                </w:p>
              </w:tc>
              <w:tc>
                <w:tcPr>
                  <w:tcW w:w="420" w:type="pct"/>
                  <w:tcBorders>
                    <w:tl2br w:val="nil"/>
                    <w:tr2bl w:val="nil"/>
                  </w:tcBorders>
                  <w:vAlign w:val="center"/>
                </w:tcPr>
                <w:p w14:paraId="6F7530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达标</w:t>
                  </w:r>
                </w:p>
              </w:tc>
            </w:tr>
          </w:tbl>
          <w:p w14:paraId="19424D8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color w:val="auto"/>
                <w:kern w:val="0"/>
                <w:sz w:val="21"/>
                <w:szCs w:val="21"/>
                <w:lang w:val="en-US" w:eastAsia="zh-CN"/>
              </w:rPr>
            </w:pPr>
            <w:r>
              <w:rPr>
                <w:rFonts w:hint="eastAsia"/>
                <w:color w:val="auto"/>
                <w:kern w:val="0"/>
                <w:sz w:val="21"/>
                <w:szCs w:val="21"/>
                <w:lang w:val="en-US" w:eastAsia="zh-CN"/>
              </w:rPr>
              <w:t>监测结果表明，建设单位颗粒物、非甲烷总烃排放浓度和排放速率均符合</w:t>
            </w:r>
            <w:r>
              <w:rPr>
                <w:rFonts w:hint="eastAsia"/>
                <w:color w:val="auto"/>
              </w:rPr>
              <w:t>《工业涂装工序大气污染物排放标准》（DB32 4439-2022）表</w:t>
            </w:r>
            <w:r>
              <w:rPr>
                <w:rFonts w:hint="eastAsia"/>
                <w:color w:val="auto"/>
                <w:lang w:val="en-US" w:eastAsia="zh-CN"/>
              </w:rPr>
              <w:t>1</w:t>
            </w:r>
            <w:r>
              <w:rPr>
                <w:rFonts w:hint="eastAsia"/>
                <w:color w:val="auto"/>
                <w:kern w:val="0"/>
                <w:sz w:val="21"/>
                <w:szCs w:val="21"/>
                <w:lang w:val="en-US" w:eastAsia="zh-CN"/>
              </w:rPr>
              <w:t>。</w:t>
            </w:r>
          </w:p>
          <w:p w14:paraId="3A8C6A3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color w:val="auto"/>
                <w:kern w:val="0"/>
                <w:lang w:val="en-US" w:eastAsia="zh-CN"/>
              </w:rPr>
            </w:pPr>
            <w:r>
              <w:rPr>
                <w:rFonts w:hint="default"/>
                <w:color w:val="auto"/>
                <w:kern w:val="0"/>
                <w:sz w:val="21"/>
                <w:szCs w:val="21"/>
                <w:lang w:val="en-US" w:eastAsia="zh-CN"/>
              </w:rPr>
              <w:t>无组织排放废气中</w:t>
            </w:r>
            <w:r>
              <w:rPr>
                <w:rFonts w:hint="eastAsia"/>
                <w:color w:val="auto"/>
                <w:kern w:val="0"/>
                <w:sz w:val="21"/>
                <w:szCs w:val="21"/>
                <w:lang w:val="en-US" w:eastAsia="zh-CN"/>
              </w:rPr>
              <w:t>颗粒物、非甲烷总烃</w:t>
            </w:r>
            <w:r>
              <w:rPr>
                <w:rFonts w:hint="default"/>
                <w:color w:val="auto"/>
                <w:kern w:val="0"/>
                <w:sz w:val="21"/>
                <w:szCs w:val="21"/>
                <w:lang w:val="en-US" w:eastAsia="zh-CN"/>
              </w:rPr>
              <w:t>边界外浓度最高值均符合《大气污染物综合排放标准》</w:t>
            </w:r>
            <w:r>
              <w:rPr>
                <w:rFonts w:hint="eastAsia"/>
                <w:color w:val="auto"/>
                <w:kern w:val="0"/>
                <w:sz w:val="21"/>
                <w:szCs w:val="21"/>
                <w:lang w:val="en-US" w:eastAsia="zh-CN"/>
              </w:rPr>
              <w:t>（</w:t>
            </w:r>
            <w:r>
              <w:rPr>
                <w:rFonts w:hint="default"/>
                <w:color w:val="auto"/>
                <w:kern w:val="0"/>
                <w:sz w:val="21"/>
                <w:szCs w:val="21"/>
                <w:lang w:val="en-US" w:eastAsia="zh-CN"/>
              </w:rPr>
              <w:t>DB3214041-2021</w:t>
            </w:r>
            <w:r>
              <w:rPr>
                <w:rFonts w:hint="eastAsia"/>
                <w:color w:val="auto"/>
                <w:kern w:val="0"/>
                <w:sz w:val="21"/>
                <w:szCs w:val="21"/>
                <w:lang w:val="en-US" w:eastAsia="zh-CN"/>
              </w:rPr>
              <w:t>）</w:t>
            </w:r>
            <w:r>
              <w:rPr>
                <w:rFonts w:hint="default"/>
                <w:color w:val="auto"/>
                <w:kern w:val="0"/>
                <w:sz w:val="21"/>
                <w:szCs w:val="21"/>
                <w:lang w:val="en-US" w:eastAsia="zh-CN"/>
              </w:rPr>
              <w:t>表3边界大气污染物排放监控浓度限值。</w:t>
            </w:r>
            <w:r>
              <w:rPr>
                <w:rFonts w:hint="eastAsia"/>
                <w:color w:val="auto"/>
                <w:kern w:val="0"/>
                <w:sz w:val="21"/>
                <w:szCs w:val="21"/>
                <w:lang w:val="en-US" w:eastAsia="zh-CN"/>
              </w:rPr>
              <w:t>厂区无组织非甲烷总烃浓度满足</w:t>
            </w:r>
            <w:r>
              <w:rPr>
                <w:rFonts w:hint="eastAsia"/>
                <w:color w:val="auto"/>
                <w:sz w:val="21"/>
                <w:szCs w:val="21"/>
              </w:rPr>
              <w:t>《工业涂装工序大气污染物排放标准》（DB32 4439-2022）表</w:t>
            </w:r>
            <w:r>
              <w:rPr>
                <w:rFonts w:hint="eastAsia"/>
                <w:color w:val="auto"/>
                <w:sz w:val="21"/>
                <w:szCs w:val="21"/>
                <w:lang w:val="en-US" w:eastAsia="zh-CN"/>
              </w:rPr>
              <w:t>3</w:t>
            </w:r>
            <w:r>
              <w:rPr>
                <w:rFonts w:hint="eastAsia"/>
                <w:color w:val="auto"/>
                <w:kern w:val="0"/>
                <w:sz w:val="21"/>
                <w:szCs w:val="21"/>
                <w:lang w:val="en-US" w:eastAsia="zh-CN"/>
              </w:rPr>
              <w:t>。</w:t>
            </w:r>
          </w:p>
          <w:p w14:paraId="67FE9839">
            <w:pPr>
              <w:adjustRightInd w:val="0"/>
              <w:snapToGrid w:val="0"/>
              <w:spacing w:line="360" w:lineRule="auto"/>
              <w:ind w:firstLine="422" w:firstLineChars="200"/>
              <w:rPr>
                <w:rFonts w:hint="default"/>
                <w:b/>
                <w:bCs/>
                <w:color w:val="auto"/>
                <w:kern w:val="0"/>
                <w:lang w:val="en-US" w:eastAsia="zh-CN"/>
              </w:rPr>
            </w:pPr>
            <w:r>
              <w:rPr>
                <w:rFonts w:hint="eastAsia"/>
                <w:b/>
                <w:bCs/>
                <w:color w:val="auto"/>
                <w:kern w:val="0"/>
                <w:lang w:val="en-US" w:eastAsia="zh-CN"/>
              </w:rPr>
              <w:t>废水：</w:t>
            </w:r>
          </w:p>
          <w:p w14:paraId="55CC67BC">
            <w:pPr>
              <w:adjustRightInd w:val="0"/>
              <w:snapToGrid w:val="0"/>
              <w:spacing w:line="240" w:lineRule="auto"/>
              <w:jc w:val="center"/>
              <w:rPr>
                <w:rFonts w:hint="default"/>
                <w:color w:val="auto"/>
                <w:kern w:val="0"/>
                <w:lang w:val="en-US" w:eastAsia="zh-CN"/>
              </w:rPr>
            </w:pPr>
            <w:r>
              <w:rPr>
                <w:rFonts w:hint="eastAsia"/>
                <w:b/>
                <w:bCs/>
                <w:color w:val="auto"/>
                <w:kern w:val="0"/>
                <w:lang w:val="en-US" w:eastAsia="zh-CN"/>
              </w:rPr>
              <w:t>表2-10   废水检测结果表</w:t>
            </w:r>
          </w:p>
          <w:tbl>
            <w:tblPr>
              <w:tblStyle w:val="60"/>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77"/>
              <w:gridCol w:w="718"/>
              <w:gridCol w:w="931"/>
              <w:gridCol w:w="931"/>
              <w:gridCol w:w="922"/>
              <w:gridCol w:w="922"/>
              <w:gridCol w:w="922"/>
              <w:gridCol w:w="925"/>
              <w:gridCol w:w="780"/>
              <w:gridCol w:w="718"/>
            </w:tblGrid>
            <w:tr w14:paraId="7CB8B56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4" w:type="pct"/>
                  <w:vMerge w:val="restart"/>
                  <w:tcBorders>
                    <w:tl2br w:val="nil"/>
                    <w:tr2bl w:val="nil"/>
                  </w:tcBorders>
                  <w:vAlign w:val="center"/>
                </w:tcPr>
                <w:p w14:paraId="1BF77A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采样日期</w:t>
                  </w:r>
                </w:p>
              </w:tc>
              <w:tc>
                <w:tcPr>
                  <w:tcW w:w="420" w:type="pct"/>
                  <w:vMerge w:val="restart"/>
                  <w:tcBorders>
                    <w:tl2br w:val="nil"/>
                    <w:tr2bl w:val="nil"/>
                  </w:tcBorders>
                  <w:vAlign w:val="center"/>
                </w:tcPr>
                <w:p w14:paraId="433248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采样点位</w:t>
                  </w:r>
                </w:p>
              </w:tc>
              <w:tc>
                <w:tcPr>
                  <w:tcW w:w="544" w:type="pct"/>
                  <w:vMerge w:val="restart"/>
                  <w:tcBorders>
                    <w:tl2br w:val="nil"/>
                    <w:tr2bl w:val="nil"/>
                  </w:tcBorders>
                  <w:vAlign w:val="center"/>
                </w:tcPr>
                <w:p w14:paraId="7DFE69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监测项目</w:t>
                  </w:r>
                </w:p>
              </w:tc>
              <w:tc>
                <w:tcPr>
                  <w:tcW w:w="544" w:type="pct"/>
                  <w:vMerge w:val="restart"/>
                  <w:tcBorders>
                    <w:tl2br w:val="nil"/>
                    <w:tr2bl w:val="nil"/>
                  </w:tcBorders>
                  <w:vAlign w:val="center"/>
                </w:tcPr>
                <w:p w14:paraId="368825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单位</w:t>
                  </w:r>
                </w:p>
              </w:tc>
              <w:tc>
                <w:tcPr>
                  <w:tcW w:w="2158" w:type="pct"/>
                  <w:gridSpan w:val="4"/>
                  <w:tcBorders>
                    <w:tl2br w:val="nil"/>
                    <w:tr2bl w:val="nil"/>
                  </w:tcBorders>
                  <w:vAlign w:val="center"/>
                </w:tcPr>
                <w:p w14:paraId="200491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检测结果</w:t>
                  </w:r>
                </w:p>
              </w:tc>
              <w:tc>
                <w:tcPr>
                  <w:tcW w:w="456" w:type="pct"/>
                  <w:vMerge w:val="restart"/>
                  <w:tcBorders>
                    <w:tl2br w:val="nil"/>
                    <w:tr2bl w:val="nil"/>
                  </w:tcBorders>
                  <w:vAlign w:val="center"/>
                </w:tcPr>
                <w:p w14:paraId="32D4A4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标准限值</w:t>
                  </w:r>
                </w:p>
              </w:tc>
              <w:tc>
                <w:tcPr>
                  <w:tcW w:w="420" w:type="pct"/>
                  <w:vMerge w:val="restart"/>
                  <w:tcBorders>
                    <w:tl2br w:val="nil"/>
                    <w:tr2bl w:val="nil"/>
                  </w:tcBorders>
                  <w:vAlign w:val="center"/>
                </w:tcPr>
                <w:p w14:paraId="67582D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达标判定</w:t>
                  </w:r>
                </w:p>
              </w:tc>
            </w:tr>
            <w:tr w14:paraId="11C7582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4" w:type="pct"/>
                  <w:vMerge w:val="continue"/>
                  <w:tcBorders>
                    <w:tl2br w:val="nil"/>
                    <w:tr2bl w:val="nil"/>
                  </w:tcBorders>
                  <w:vAlign w:val="center"/>
                </w:tcPr>
                <w:p w14:paraId="333E56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20" w:type="pct"/>
                  <w:vMerge w:val="continue"/>
                  <w:tcBorders>
                    <w:tl2br w:val="nil"/>
                    <w:tr2bl w:val="nil"/>
                  </w:tcBorders>
                  <w:vAlign w:val="center"/>
                </w:tcPr>
                <w:p w14:paraId="3DABBE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44" w:type="pct"/>
                  <w:vMerge w:val="continue"/>
                  <w:tcBorders>
                    <w:tl2br w:val="nil"/>
                    <w:tr2bl w:val="nil"/>
                  </w:tcBorders>
                  <w:vAlign w:val="center"/>
                </w:tcPr>
                <w:p w14:paraId="4A2B70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44" w:type="pct"/>
                  <w:vMerge w:val="continue"/>
                  <w:tcBorders>
                    <w:tl2br w:val="nil"/>
                    <w:tr2bl w:val="nil"/>
                  </w:tcBorders>
                  <w:vAlign w:val="center"/>
                </w:tcPr>
                <w:p w14:paraId="5EE690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39" w:type="pct"/>
                  <w:tcBorders>
                    <w:tl2br w:val="nil"/>
                    <w:tr2bl w:val="nil"/>
                  </w:tcBorders>
                  <w:vAlign w:val="center"/>
                </w:tcPr>
                <w:p w14:paraId="3003B6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第一次</w:t>
                  </w:r>
                </w:p>
              </w:tc>
              <w:tc>
                <w:tcPr>
                  <w:tcW w:w="539" w:type="pct"/>
                  <w:tcBorders>
                    <w:tl2br w:val="nil"/>
                    <w:tr2bl w:val="nil"/>
                  </w:tcBorders>
                  <w:vAlign w:val="center"/>
                </w:tcPr>
                <w:p w14:paraId="635DEB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第二次</w:t>
                  </w:r>
                </w:p>
              </w:tc>
              <w:tc>
                <w:tcPr>
                  <w:tcW w:w="539" w:type="pct"/>
                  <w:tcBorders>
                    <w:tl2br w:val="nil"/>
                    <w:tr2bl w:val="nil"/>
                  </w:tcBorders>
                  <w:vAlign w:val="center"/>
                </w:tcPr>
                <w:p w14:paraId="09919F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第三次</w:t>
                  </w:r>
                </w:p>
              </w:tc>
              <w:tc>
                <w:tcPr>
                  <w:tcW w:w="540" w:type="pct"/>
                  <w:tcBorders>
                    <w:tl2br w:val="nil"/>
                    <w:tr2bl w:val="nil"/>
                  </w:tcBorders>
                  <w:vAlign w:val="center"/>
                </w:tcPr>
                <w:p w14:paraId="2EEA42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第四次</w:t>
                  </w:r>
                </w:p>
              </w:tc>
              <w:tc>
                <w:tcPr>
                  <w:tcW w:w="456" w:type="pct"/>
                  <w:vMerge w:val="continue"/>
                  <w:tcBorders>
                    <w:tl2br w:val="nil"/>
                    <w:tr2bl w:val="nil"/>
                  </w:tcBorders>
                  <w:vAlign w:val="center"/>
                </w:tcPr>
                <w:p w14:paraId="053E1E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20" w:type="pct"/>
                  <w:vMerge w:val="continue"/>
                  <w:tcBorders>
                    <w:tl2br w:val="nil"/>
                    <w:tr2bl w:val="nil"/>
                  </w:tcBorders>
                  <w:vAlign w:val="center"/>
                </w:tcPr>
                <w:p w14:paraId="12EFA3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r>
            <w:tr w14:paraId="246FB8B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4" w:type="pct"/>
                  <w:vMerge w:val="restart"/>
                  <w:tcBorders>
                    <w:tl2br w:val="nil"/>
                    <w:tr2bl w:val="nil"/>
                  </w:tcBorders>
                  <w:vAlign w:val="center"/>
                </w:tcPr>
                <w:p w14:paraId="2DD786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2020.11.10</w:t>
                  </w:r>
                </w:p>
              </w:tc>
              <w:tc>
                <w:tcPr>
                  <w:tcW w:w="420" w:type="pct"/>
                  <w:vMerge w:val="restart"/>
                  <w:tcBorders>
                    <w:tl2br w:val="nil"/>
                    <w:tr2bl w:val="nil"/>
                  </w:tcBorders>
                  <w:vAlign w:val="center"/>
                </w:tcPr>
                <w:p w14:paraId="094F49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厂区废水排污口</w:t>
                  </w:r>
                </w:p>
              </w:tc>
              <w:tc>
                <w:tcPr>
                  <w:tcW w:w="544" w:type="pct"/>
                  <w:tcBorders>
                    <w:tl2br w:val="nil"/>
                    <w:tr2bl w:val="nil"/>
                  </w:tcBorders>
                  <w:vAlign w:val="center"/>
                </w:tcPr>
                <w:p w14:paraId="5424A6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pH值</w:t>
                  </w:r>
                </w:p>
              </w:tc>
              <w:tc>
                <w:tcPr>
                  <w:tcW w:w="544" w:type="pct"/>
                  <w:tcBorders>
                    <w:tl2br w:val="nil"/>
                    <w:tr2bl w:val="nil"/>
                  </w:tcBorders>
                  <w:vAlign w:val="center"/>
                </w:tcPr>
                <w:p w14:paraId="5BC33A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无量纲</w:t>
                  </w:r>
                </w:p>
              </w:tc>
              <w:tc>
                <w:tcPr>
                  <w:tcW w:w="539" w:type="pct"/>
                  <w:tcBorders>
                    <w:tl2br w:val="nil"/>
                    <w:tr2bl w:val="nil"/>
                  </w:tcBorders>
                  <w:vAlign w:val="center"/>
                </w:tcPr>
                <w:p w14:paraId="5FF7F8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7.8</w:t>
                  </w:r>
                </w:p>
              </w:tc>
              <w:tc>
                <w:tcPr>
                  <w:tcW w:w="539" w:type="pct"/>
                  <w:tcBorders>
                    <w:tl2br w:val="nil"/>
                    <w:tr2bl w:val="nil"/>
                  </w:tcBorders>
                  <w:vAlign w:val="center"/>
                </w:tcPr>
                <w:p w14:paraId="0F622C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7.8</w:t>
                  </w:r>
                </w:p>
              </w:tc>
              <w:tc>
                <w:tcPr>
                  <w:tcW w:w="539" w:type="pct"/>
                  <w:tcBorders>
                    <w:tl2br w:val="nil"/>
                    <w:tr2bl w:val="nil"/>
                  </w:tcBorders>
                  <w:vAlign w:val="center"/>
                </w:tcPr>
                <w:p w14:paraId="608747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7.7</w:t>
                  </w:r>
                </w:p>
              </w:tc>
              <w:tc>
                <w:tcPr>
                  <w:tcW w:w="540" w:type="pct"/>
                  <w:tcBorders>
                    <w:tl2br w:val="nil"/>
                    <w:tr2bl w:val="nil"/>
                  </w:tcBorders>
                  <w:vAlign w:val="center"/>
                </w:tcPr>
                <w:p w14:paraId="788D8C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7.7</w:t>
                  </w:r>
                </w:p>
              </w:tc>
              <w:tc>
                <w:tcPr>
                  <w:tcW w:w="456" w:type="pct"/>
                  <w:tcBorders>
                    <w:tl2br w:val="nil"/>
                    <w:tr2bl w:val="nil"/>
                  </w:tcBorders>
                  <w:vAlign w:val="center"/>
                </w:tcPr>
                <w:p w14:paraId="79E22A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6-9</w:t>
                  </w:r>
                </w:p>
              </w:tc>
              <w:tc>
                <w:tcPr>
                  <w:tcW w:w="420" w:type="pct"/>
                  <w:tcBorders>
                    <w:tl2br w:val="nil"/>
                    <w:tr2bl w:val="nil"/>
                  </w:tcBorders>
                  <w:vAlign w:val="center"/>
                </w:tcPr>
                <w:p w14:paraId="3E1B43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达标</w:t>
                  </w:r>
                </w:p>
              </w:tc>
            </w:tr>
            <w:tr w14:paraId="06A7688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4" w:type="pct"/>
                  <w:vMerge w:val="continue"/>
                  <w:tcBorders>
                    <w:tl2br w:val="nil"/>
                    <w:tr2bl w:val="nil"/>
                  </w:tcBorders>
                  <w:vAlign w:val="center"/>
                </w:tcPr>
                <w:p w14:paraId="6B0BAD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20" w:type="pct"/>
                  <w:vMerge w:val="continue"/>
                  <w:tcBorders>
                    <w:tl2br w:val="nil"/>
                    <w:tr2bl w:val="nil"/>
                  </w:tcBorders>
                  <w:vAlign w:val="center"/>
                </w:tcPr>
                <w:p w14:paraId="3ABDF1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44" w:type="pct"/>
                  <w:tcBorders>
                    <w:tl2br w:val="nil"/>
                    <w:tr2bl w:val="nil"/>
                  </w:tcBorders>
                  <w:vAlign w:val="center"/>
                </w:tcPr>
                <w:p w14:paraId="05370F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化学需氧量</w:t>
                  </w:r>
                </w:p>
              </w:tc>
              <w:tc>
                <w:tcPr>
                  <w:tcW w:w="544" w:type="pct"/>
                  <w:tcBorders>
                    <w:tl2br w:val="nil"/>
                    <w:tr2bl w:val="nil"/>
                  </w:tcBorders>
                  <w:vAlign w:val="center"/>
                </w:tcPr>
                <w:p w14:paraId="5F416E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mg/L</w:t>
                  </w:r>
                </w:p>
              </w:tc>
              <w:tc>
                <w:tcPr>
                  <w:tcW w:w="539" w:type="pct"/>
                  <w:tcBorders>
                    <w:tl2br w:val="nil"/>
                    <w:tr2bl w:val="nil"/>
                  </w:tcBorders>
                  <w:vAlign w:val="center"/>
                </w:tcPr>
                <w:p w14:paraId="482E30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187</w:t>
                  </w:r>
                </w:p>
              </w:tc>
              <w:tc>
                <w:tcPr>
                  <w:tcW w:w="539" w:type="pct"/>
                  <w:tcBorders>
                    <w:tl2br w:val="nil"/>
                    <w:tr2bl w:val="nil"/>
                  </w:tcBorders>
                  <w:vAlign w:val="center"/>
                </w:tcPr>
                <w:p w14:paraId="195365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182</w:t>
                  </w:r>
                </w:p>
              </w:tc>
              <w:tc>
                <w:tcPr>
                  <w:tcW w:w="539" w:type="pct"/>
                  <w:tcBorders>
                    <w:tl2br w:val="nil"/>
                    <w:tr2bl w:val="nil"/>
                  </w:tcBorders>
                  <w:vAlign w:val="center"/>
                </w:tcPr>
                <w:p w14:paraId="3B039E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197</w:t>
                  </w:r>
                </w:p>
              </w:tc>
              <w:tc>
                <w:tcPr>
                  <w:tcW w:w="540" w:type="pct"/>
                  <w:tcBorders>
                    <w:tl2br w:val="nil"/>
                    <w:tr2bl w:val="nil"/>
                  </w:tcBorders>
                  <w:vAlign w:val="center"/>
                </w:tcPr>
                <w:p w14:paraId="323F24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190</w:t>
                  </w:r>
                </w:p>
              </w:tc>
              <w:tc>
                <w:tcPr>
                  <w:tcW w:w="456" w:type="pct"/>
                  <w:tcBorders>
                    <w:tl2br w:val="nil"/>
                    <w:tr2bl w:val="nil"/>
                  </w:tcBorders>
                  <w:vAlign w:val="center"/>
                </w:tcPr>
                <w:p w14:paraId="1333BE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500</w:t>
                  </w:r>
                </w:p>
              </w:tc>
              <w:tc>
                <w:tcPr>
                  <w:tcW w:w="420" w:type="pct"/>
                  <w:tcBorders>
                    <w:tl2br w:val="nil"/>
                    <w:tr2bl w:val="nil"/>
                  </w:tcBorders>
                  <w:vAlign w:val="center"/>
                </w:tcPr>
                <w:p w14:paraId="4882B0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达标</w:t>
                  </w:r>
                </w:p>
              </w:tc>
            </w:tr>
            <w:tr w14:paraId="070A392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4" w:type="pct"/>
                  <w:vMerge w:val="continue"/>
                  <w:tcBorders>
                    <w:tl2br w:val="nil"/>
                    <w:tr2bl w:val="nil"/>
                  </w:tcBorders>
                  <w:vAlign w:val="center"/>
                </w:tcPr>
                <w:p w14:paraId="5A2FB5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20" w:type="pct"/>
                  <w:vMerge w:val="continue"/>
                  <w:tcBorders>
                    <w:tl2br w:val="nil"/>
                    <w:tr2bl w:val="nil"/>
                  </w:tcBorders>
                  <w:vAlign w:val="center"/>
                </w:tcPr>
                <w:p w14:paraId="0757BF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44" w:type="pct"/>
                  <w:tcBorders>
                    <w:tl2br w:val="nil"/>
                    <w:tr2bl w:val="nil"/>
                  </w:tcBorders>
                  <w:vAlign w:val="center"/>
                </w:tcPr>
                <w:p w14:paraId="0ED8C1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悬浮物</w:t>
                  </w:r>
                </w:p>
              </w:tc>
              <w:tc>
                <w:tcPr>
                  <w:tcW w:w="544" w:type="pct"/>
                  <w:tcBorders>
                    <w:tl2br w:val="nil"/>
                    <w:tr2bl w:val="nil"/>
                  </w:tcBorders>
                  <w:vAlign w:val="center"/>
                </w:tcPr>
                <w:p w14:paraId="34D66F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mg/L</w:t>
                  </w:r>
                </w:p>
              </w:tc>
              <w:tc>
                <w:tcPr>
                  <w:tcW w:w="539" w:type="pct"/>
                  <w:tcBorders>
                    <w:tl2br w:val="nil"/>
                    <w:tr2bl w:val="nil"/>
                  </w:tcBorders>
                  <w:vAlign w:val="center"/>
                </w:tcPr>
                <w:p w14:paraId="0AB7D6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72</w:t>
                  </w:r>
                </w:p>
              </w:tc>
              <w:tc>
                <w:tcPr>
                  <w:tcW w:w="539" w:type="pct"/>
                  <w:tcBorders>
                    <w:tl2br w:val="nil"/>
                    <w:tr2bl w:val="nil"/>
                  </w:tcBorders>
                  <w:vAlign w:val="center"/>
                </w:tcPr>
                <w:p w14:paraId="2D5E8D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80</w:t>
                  </w:r>
                </w:p>
              </w:tc>
              <w:tc>
                <w:tcPr>
                  <w:tcW w:w="539" w:type="pct"/>
                  <w:tcBorders>
                    <w:tl2br w:val="nil"/>
                    <w:tr2bl w:val="nil"/>
                  </w:tcBorders>
                  <w:vAlign w:val="center"/>
                </w:tcPr>
                <w:p w14:paraId="79BBB7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86</w:t>
                  </w:r>
                </w:p>
              </w:tc>
              <w:tc>
                <w:tcPr>
                  <w:tcW w:w="540" w:type="pct"/>
                  <w:tcBorders>
                    <w:tl2br w:val="nil"/>
                    <w:tr2bl w:val="nil"/>
                  </w:tcBorders>
                  <w:vAlign w:val="center"/>
                </w:tcPr>
                <w:p w14:paraId="048FC6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78</w:t>
                  </w:r>
                </w:p>
              </w:tc>
              <w:tc>
                <w:tcPr>
                  <w:tcW w:w="456" w:type="pct"/>
                  <w:tcBorders>
                    <w:tl2br w:val="nil"/>
                    <w:tr2bl w:val="nil"/>
                  </w:tcBorders>
                  <w:vAlign w:val="center"/>
                </w:tcPr>
                <w:p w14:paraId="77DA7F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250</w:t>
                  </w:r>
                </w:p>
              </w:tc>
              <w:tc>
                <w:tcPr>
                  <w:tcW w:w="420" w:type="pct"/>
                  <w:tcBorders>
                    <w:tl2br w:val="nil"/>
                    <w:tr2bl w:val="nil"/>
                  </w:tcBorders>
                  <w:vAlign w:val="center"/>
                </w:tcPr>
                <w:p w14:paraId="1353E2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达标</w:t>
                  </w:r>
                </w:p>
              </w:tc>
            </w:tr>
            <w:tr w14:paraId="52C5526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4" w:type="pct"/>
                  <w:vMerge w:val="continue"/>
                  <w:tcBorders>
                    <w:tl2br w:val="nil"/>
                    <w:tr2bl w:val="nil"/>
                  </w:tcBorders>
                  <w:vAlign w:val="center"/>
                </w:tcPr>
                <w:p w14:paraId="107625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20" w:type="pct"/>
                  <w:vMerge w:val="continue"/>
                  <w:tcBorders>
                    <w:tl2br w:val="nil"/>
                    <w:tr2bl w:val="nil"/>
                  </w:tcBorders>
                  <w:vAlign w:val="center"/>
                </w:tcPr>
                <w:p w14:paraId="3578C6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44" w:type="pct"/>
                  <w:tcBorders>
                    <w:tl2br w:val="nil"/>
                    <w:tr2bl w:val="nil"/>
                  </w:tcBorders>
                  <w:vAlign w:val="center"/>
                </w:tcPr>
                <w:p w14:paraId="36A328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氨氮</w:t>
                  </w:r>
                </w:p>
              </w:tc>
              <w:tc>
                <w:tcPr>
                  <w:tcW w:w="544" w:type="pct"/>
                  <w:tcBorders>
                    <w:tl2br w:val="nil"/>
                    <w:tr2bl w:val="nil"/>
                  </w:tcBorders>
                  <w:vAlign w:val="center"/>
                </w:tcPr>
                <w:p w14:paraId="30B1A9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vertAlign w:val="baseline"/>
                      <w:lang w:val="en-US" w:eastAsia="zh-CN"/>
                    </w:rPr>
                  </w:pPr>
                  <w:r>
                    <w:rPr>
                      <w:rFonts w:hint="eastAsia"/>
                      <w:color w:val="auto"/>
                      <w:kern w:val="0"/>
                      <w:vertAlign w:val="baseline"/>
                      <w:lang w:val="en-US" w:eastAsia="zh-CN"/>
                    </w:rPr>
                    <w:t>mg/L</w:t>
                  </w:r>
                </w:p>
              </w:tc>
              <w:tc>
                <w:tcPr>
                  <w:tcW w:w="539" w:type="pct"/>
                  <w:tcBorders>
                    <w:tl2br w:val="nil"/>
                    <w:tr2bl w:val="nil"/>
                  </w:tcBorders>
                  <w:vAlign w:val="center"/>
                </w:tcPr>
                <w:p w14:paraId="43F52E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24.0</w:t>
                  </w:r>
                </w:p>
              </w:tc>
              <w:tc>
                <w:tcPr>
                  <w:tcW w:w="539" w:type="pct"/>
                  <w:tcBorders>
                    <w:tl2br w:val="nil"/>
                    <w:tr2bl w:val="nil"/>
                  </w:tcBorders>
                  <w:vAlign w:val="center"/>
                </w:tcPr>
                <w:p w14:paraId="37846B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23.1</w:t>
                  </w:r>
                </w:p>
              </w:tc>
              <w:tc>
                <w:tcPr>
                  <w:tcW w:w="539" w:type="pct"/>
                  <w:tcBorders>
                    <w:tl2br w:val="nil"/>
                    <w:tr2bl w:val="nil"/>
                  </w:tcBorders>
                  <w:vAlign w:val="center"/>
                </w:tcPr>
                <w:p w14:paraId="00231B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24.4</w:t>
                  </w:r>
                </w:p>
              </w:tc>
              <w:tc>
                <w:tcPr>
                  <w:tcW w:w="540" w:type="pct"/>
                  <w:tcBorders>
                    <w:tl2br w:val="nil"/>
                    <w:tr2bl w:val="nil"/>
                  </w:tcBorders>
                  <w:vAlign w:val="center"/>
                </w:tcPr>
                <w:p w14:paraId="26070F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23.4</w:t>
                  </w:r>
                </w:p>
              </w:tc>
              <w:tc>
                <w:tcPr>
                  <w:tcW w:w="456" w:type="pct"/>
                  <w:tcBorders>
                    <w:tl2br w:val="nil"/>
                    <w:tr2bl w:val="nil"/>
                  </w:tcBorders>
                  <w:vAlign w:val="center"/>
                </w:tcPr>
                <w:p w14:paraId="4A2E86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35</w:t>
                  </w:r>
                </w:p>
              </w:tc>
              <w:tc>
                <w:tcPr>
                  <w:tcW w:w="420" w:type="pct"/>
                  <w:tcBorders>
                    <w:tl2br w:val="nil"/>
                    <w:tr2bl w:val="nil"/>
                  </w:tcBorders>
                  <w:vAlign w:val="center"/>
                </w:tcPr>
                <w:p w14:paraId="2D8125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达标</w:t>
                  </w:r>
                </w:p>
              </w:tc>
            </w:tr>
            <w:tr w14:paraId="68E5B95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4" w:type="pct"/>
                  <w:vMerge w:val="continue"/>
                  <w:tcBorders>
                    <w:tl2br w:val="nil"/>
                    <w:tr2bl w:val="nil"/>
                  </w:tcBorders>
                  <w:vAlign w:val="center"/>
                </w:tcPr>
                <w:p w14:paraId="780D8C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20" w:type="pct"/>
                  <w:vMerge w:val="continue"/>
                  <w:tcBorders>
                    <w:tl2br w:val="nil"/>
                    <w:tr2bl w:val="nil"/>
                  </w:tcBorders>
                  <w:vAlign w:val="center"/>
                </w:tcPr>
                <w:p w14:paraId="69981B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44" w:type="pct"/>
                  <w:tcBorders>
                    <w:tl2br w:val="nil"/>
                    <w:tr2bl w:val="nil"/>
                  </w:tcBorders>
                  <w:vAlign w:val="center"/>
                </w:tcPr>
                <w:p w14:paraId="79B4EB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总氮</w:t>
                  </w:r>
                </w:p>
              </w:tc>
              <w:tc>
                <w:tcPr>
                  <w:tcW w:w="544" w:type="pct"/>
                  <w:tcBorders>
                    <w:tl2br w:val="nil"/>
                    <w:tr2bl w:val="nil"/>
                  </w:tcBorders>
                  <w:vAlign w:val="center"/>
                </w:tcPr>
                <w:p w14:paraId="05973A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vertAlign w:val="baseline"/>
                      <w:lang w:val="en-US" w:eastAsia="zh-CN"/>
                    </w:rPr>
                  </w:pPr>
                  <w:r>
                    <w:rPr>
                      <w:rFonts w:hint="eastAsia"/>
                      <w:color w:val="auto"/>
                      <w:kern w:val="0"/>
                      <w:vertAlign w:val="baseline"/>
                      <w:lang w:val="en-US" w:eastAsia="zh-CN"/>
                    </w:rPr>
                    <w:t>mg/L</w:t>
                  </w:r>
                </w:p>
              </w:tc>
              <w:tc>
                <w:tcPr>
                  <w:tcW w:w="539" w:type="pct"/>
                  <w:tcBorders>
                    <w:tl2br w:val="nil"/>
                    <w:tr2bl w:val="nil"/>
                  </w:tcBorders>
                  <w:vAlign w:val="center"/>
                </w:tcPr>
                <w:p w14:paraId="708337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33.2</w:t>
                  </w:r>
                </w:p>
              </w:tc>
              <w:tc>
                <w:tcPr>
                  <w:tcW w:w="539" w:type="pct"/>
                  <w:tcBorders>
                    <w:tl2br w:val="nil"/>
                    <w:tr2bl w:val="nil"/>
                  </w:tcBorders>
                  <w:vAlign w:val="center"/>
                </w:tcPr>
                <w:p w14:paraId="4B88DA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33.6</w:t>
                  </w:r>
                </w:p>
              </w:tc>
              <w:tc>
                <w:tcPr>
                  <w:tcW w:w="539" w:type="pct"/>
                  <w:tcBorders>
                    <w:tl2br w:val="nil"/>
                    <w:tr2bl w:val="nil"/>
                  </w:tcBorders>
                  <w:vAlign w:val="center"/>
                </w:tcPr>
                <w:p w14:paraId="4517B9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32.9</w:t>
                  </w:r>
                </w:p>
              </w:tc>
              <w:tc>
                <w:tcPr>
                  <w:tcW w:w="540" w:type="pct"/>
                  <w:tcBorders>
                    <w:tl2br w:val="nil"/>
                    <w:tr2bl w:val="nil"/>
                  </w:tcBorders>
                  <w:vAlign w:val="center"/>
                </w:tcPr>
                <w:p w14:paraId="749397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33.8</w:t>
                  </w:r>
                </w:p>
              </w:tc>
              <w:tc>
                <w:tcPr>
                  <w:tcW w:w="456" w:type="pct"/>
                  <w:tcBorders>
                    <w:tl2br w:val="nil"/>
                    <w:tr2bl w:val="nil"/>
                  </w:tcBorders>
                  <w:vAlign w:val="center"/>
                </w:tcPr>
                <w:p w14:paraId="6B995D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50</w:t>
                  </w:r>
                </w:p>
              </w:tc>
              <w:tc>
                <w:tcPr>
                  <w:tcW w:w="420" w:type="pct"/>
                  <w:tcBorders>
                    <w:tl2br w:val="nil"/>
                    <w:tr2bl w:val="nil"/>
                  </w:tcBorders>
                  <w:vAlign w:val="center"/>
                </w:tcPr>
                <w:p w14:paraId="1DBB09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达标</w:t>
                  </w:r>
                </w:p>
              </w:tc>
            </w:tr>
            <w:tr w14:paraId="078A795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4" w:type="pct"/>
                  <w:vMerge w:val="continue"/>
                  <w:tcBorders>
                    <w:tl2br w:val="nil"/>
                    <w:tr2bl w:val="nil"/>
                  </w:tcBorders>
                  <w:vAlign w:val="center"/>
                </w:tcPr>
                <w:p w14:paraId="2E766B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20" w:type="pct"/>
                  <w:vMerge w:val="continue"/>
                  <w:tcBorders>
                    <w:tl2br w:val="nil"/>
                    <w:tr2bl w:val="nil"/>
                  </w:tcBorders>
                  <w:vAlign w:val="center"/>
                </w:tcPr>
                <w:p w14:paraId="12D433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44" w:type="pct"/>
                  <w:tcBorders>
                    <w:tl2br w:val="nil"/>
                    <w:tr2bl w:val="nil"/>
                  </w:tcBorders>
                  <w:vAlign w:val="center"/>
                </w:tcPr>
                <w:p w14:paraId="15259E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总磷</w:t>
                  </w:r>
                </w:p>
              </w:tc>
              <w:tc>
                <w:tcPr>
                  <w:tcW w:w="544" w:type="pct"/>
                  <w:tcBorders>
                    <w:tl2br w:val="nil"/>
                    <w:tr2bl w:val="nil"/>
                  </w:tcBorders>
                  <w:vAlign w:val="center"/>
                </w:tcPr>
                <w:p w14:paraId="5E92A0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vertAlign w:val="baseline"/>
                      <w:lang w:val="en-US" w:eastAsia="zh-CN"/>
                    </w:rPr>
                  </w:pPr>
                  <w:r>
                    <w:rPr>
                      <w:rFonts w:hint="eastAsia"/>
                      <w:color w:val="auto"/>
                      <w:kern w:val="0"/>
                      <w:vertAlign w:val="baseline"/>
                      <w:lang w:val="en-US" w:eastAsia="zh-CN"/>
                    </w:rPr>
                    <w:t>mg/L</w:t>
                  </w:r>
                </w:p>
              </w:tc>
              <w:tc>
                <w:tcPr>
                  <w:tcW w:w="539" w:type="pct"/>
                  <w:tcBorders>
                    <w:tl2br w:val="nil"/>
                    <w:tr2bl w:val="nil"/>
                  </w:tcBorders>
                  <w:vAlign w:val="center"/>
                </w:tcPr>
                <w:p w14:paraId="34E2C1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2.72</w:t>
                  </w:r>
                </w:p>
              </w:tc>
              <w:tc>
                <w:tcPr>
                  <w:tcW w:w="539" w:type="pct"/>
                  <w:tcBorders>
                    <w:tl2br w:val="nil"/>
                    <w:tr2bl w:val="nil"/>
                  </w:tcBorders>
                  <w:vAlign w:val="center"/>
                </w:tcPr>
                <w:p w14:paraId="21D7DD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2.77</w:t>
                  </w:r>
                </w:p>
              </w:tc>
              <w:tc>
                <w:tcPr>
                  <w:tcW w:w="539" w:type="pct"/>
                  <w:tcBorders>
                    <w:tl2br w:val="nil"/>
                    <w:tr2bl w:val="nil"/>
                  </w:tcBorders>
                  <w:vAlign w:val="center"/>
                </w:tcPr>
                <w:p w14:paraId="4AD724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2.70</w:t>
                  </w:r>
                </w:p>
              </w:tc>
              <w:tc>
                <w:tcPr>
                  <w:tcW w:w="540" w:type="pct"/>
                  <w:tcBorders>
                    <w:tl2br w:val="nil"/>
                    <w:tr2bl w:val="nil"/>
                  </w:tcBorders>
                  <w:vAlign w:val="center"/>
                </w:tcPr>
                <w:p w14:paraId="3457F5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2.76</w:t>
                  </w:r>
                </w:p>
              </w:tc>
              <w:tc>
                <w:tcPr>
                  <w:tcW w:w="456" w:type="pct"/>
                  <w:tcBorders>
                    <w:tl2br w:val="nil"/>
                    <w:tr2bl w:val="nil"/>
                  </w:tcBorders>
                  <w:vAlign w:val="center"/>
                </w:tcPr>
                <w:p w14:paraId="303A06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3</w:t>
                  </w:r>
                </w:p>
              </w:tc>
              <w:tc>
                <w:tcPr>
                  <w:tcW w:w="420" w:type="pct"/>
                  <w:tcBorders>
                    <w:tl2br w:val="nil"/>
                    <w:tr2bl w:val="nil"/>
                  </w:tcBorders>
                  <w:vAlign w:val="center"/>
                </w:tcPr>
                <w:p w14:paraId="0C1989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达标</w:t>
                  </w:r>
                </w:p>
              </w:tc>
            </w:tr>
            <w:tr w14:paraId="5D4216C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01" w:hRule="atLeast"/>
                <w:jc w:val="center"/>
              </w:trPr>
              <w:tc>
                <w:tcPr>
                  <w:tcW w:w="454" w:type="pct"/>
                  <w:vMerge w:val="restart"/>
                  <w:tcBorders>
                    <w:tl2br w:val="nil"/>
                    <w:tr2bl w:val="nil"/>
                  </w:tcBorders>
                  <w:vAlign w:val="center"/>
                </w:tcPr>
                <w:p w14:paraId="4B0CA9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2020.11.11</w:t>
                  </w:r>
                </w:p>
              </w:tc>
              <w:tc>
                <w:tcPr>
                  <w:tcW w:w="420" w:type="pct"/>
                  <w:vMerge w:val="continue"/>
                  <w:tcBorders>
                    <w:tl2br w:val="nil"/>
                    <w:tr2bl w:val="nil"/>
                  </w:tcBorders>
                  <w:vAlign w:val="center"/>
                </w:tcPr>
                <w:p w14:paraId="1E328A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44" w:type="pct"/>
                  <w:tcBorders>
                    <w:tl2br w:val="nil"/>
                    <w:tr2bl w:val="nil"/>
                  </w:tcBorders>
                  <w:shd w:val="clear" w:color="auto" w:fill="auto"/>
                  <w:vAlign w:val="center"/>
                </w:tcPr>
                <w:p w14:paraId="64DD36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vertAlign w:val="baseline"/>
                      <w:lang w:val="en-US" w:eastAsia="zh-CN" w:bidi="ar-SA"/>
                    </w:rPr>
                  </w:pPr>
                  <w:r>
                    <w:rPr>
                      <w:rFonts w:hint="eastAsia"/>
                      <w:color w:val="auto"/>
                      <w:kern w:val="0"/>
                      <w:vertAlign w:val="baseline"/>
                      <w:lang w:val="en-US" w:eastAsia="zh-CN"/>
                    </w:rPr>
                    <w:t>pH值</w:t>
                  </w:r>
                </w:p>
              </w:tc>
              <w:tc>
                <w:tcPr>
                  <w:tcW w:w="544" w:type="pct"/>
                  <w:tcBorders>
                    <w:tl2br w:val="nil"/>
                    <w:tr2bl w:val="nil"/>
                  </w:tcBorders>
                  <w:shd w:val="clear" w:color="auto" w:fill="auto"/>
                  <w:vAlign w:val="center"/>
                </w:tcPr>
                <w:p w14:paraId="216A0C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0"/>
                      <w:sz w:val="21"/>
                      <w:szCs w:val="21"/>
                      <w:vertAlign w:val="baseline"/>
                      <w:lang w:val="en-US" w:eastAsia="zh-CN" w:bidi="ar-SA"/>
                    </w:rPr>
                  </w:pPr>
                  <w:r>
                    <w:rPr>
                      <w:rFonts w:hint="eastAsia"/>
                      <w:color w:val="auto"/>
                      <w:kern w:val="0"/>
                      <w:vertAlign w:val="baseline"/>
                      <w:lang w:val="en-US" w:eastAsia="zh-CN"/>
                    </w:rPr>
                    <w:t>无量纲</w:t>
                  </w:r>
                </w:p>
              </w:tc>
              <w:tc>
                <w:tcPr>
                  <w:tcW w:w="539" w:type="pct"/>
                  <w:tcBorders>
                    <w:tl2br w:val="nil"/>
                    <w:tr2bl w:val="nil"/>
                  </w:tcBorders>
                  <w:vAlign w:val="center"/>
                </w:tcPr>
                <w:p w14:paraId="1B8582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7.7</w:t>
                  </w:r>
                </w:p>
              </w:tc>
              <w:tc>
                <w:tcPr>
                  <w:tcW w:w="539" w:type="pct"/>
                  <w:tcBorders>
                    <w:tl2br w:val="nil"/>
                    <w:tr2bl w:val="nil"/>
                  </w:tcBorders>
                  <w:vAlign w:val="center"/>
                </w:tcPr>
                <w:p w14:paraId="514CDD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7.8</w:t>
                  </w:r>
                </w:p>
              </w:tc>
              <w:tc>
                <w:tcPr>
                  <w:tcW w:w="539" w:type="pct"/>
                  <w:tcBorders>
                    <w:tl2br w:val="nil"/>
                    <w:tr2bl w:val="nil"/>
                  </w:tcBorders>
                  <w:vAlign w:val="center"/>
                </w:tcPr>
                <w:p w14:paraId="02CF7D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7.7</w:t>
                  </w:r>
                </w:p>
              </w:tc>
              <w:tc>
                <w:tcPr>
                  <w:tcW w:w="540" w:type="pct"/>
                  <w:tcBorders>
                    <w:tl2br w:val="nil"/>
                    <w:tr2bl w:val="nil"/>
                  </w:tcBorders>
                  <w:vAlign w:val="center"/>
                </w:tcPr>
                <w:p w14:paraId="00A6AB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7.6</w:t>
                  </w:r>
                </w:p>
              </w:tc>
              <w:tc>
                <w:tcPr>
                  <w:tcW w:w="456" w:type="pct"/>
                  <w:tcBorders>
                    <w:tl2br w:val="nil"/>
                    <w:tr2bl w:val="nil"/>
                  </w:tcBorders>
                  <w:shd w:val="clear" w:color="auto" w:fill="auto"/>
                  <w:vAlign w:val="center"/>
                </w:tcPr>
                <w:p w14:paraId="087DF8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vertAlign w:val="baseline"/>
                      <w:lang w:val="en-US" w:eastAsia="zh-CN" w:bidi="ar-SA"/>
                    </w:rPr>
                  </w:pPr>
                  <w:r>
                    <w:rPr>
                      <w:rFonts w:hint="eastAsia"/>
                      <w:color w:val="auto"/>
                      <w:kern w:val="0"/>
                      <w:vertAlign w:val="baseline"/>
                      <w:lang w:val="en-US" w:eastAsia="zh-CN"/>
                    </w:rPr>
                    <w:t>6-9</w:t>
                  </w:r>
                </w:p>
              </w:tc>
              <w:tc>
                <w:tcPr>
                  <w:tcW w:w="420" w:type="pct"/>
                  <w:tcBorders>
                    <w:tl2br w:val="nil"/>
                    <w:tr2bl w:val="nil"/>
                  </w:tcBorders>
                  <w:vAlign w:val="center"/>
                </w:tcPr>
                <w:p w14:paraId="77DCE5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达标</w:t>
                  </w:r>
                </w:p>
              </w:tc>
            </w:tr>
            <w:tr w14:paraId="165C104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4" w:type="pct"/>
                  <w:vMerge w:val="continue"/>
                  <w:tcBorders>
                    <w:tl2br w:val="nil"/>
                    <w:tr2bl w:val="nil"/>
                  </w:tcBorders>
                  <w:vAlign w:val="center"/>
                </w:tcPr>
                <w:p w14:paraId="547F9C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20" w:type="pct"/>
                  <w:vMerge w:val="continue"/>
                  <w:tcBorders>
                    <w:tl2br w:val="nil"/>
                    <w:tr2bl w:val="nil"/>
                  </w:tcBorders>
                  <w:vAlign w:val="center"/>
                </w:tcPr>
                <w:p w14:paraId="2F09AB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44" w:type="pct"/>
                  <w:tcBorders>
                    <w:tl2br w:val="nil"/>
                    <w:tr2bl w:val="nil"/>
                  </w:tcBorders>
                  <w:shd w:val="clear" w:color="auto" w:fill="auto"/>
                  <w:vAlign w:val="center"/>
                </w:tcPr>
                <w:p w14:paraId="7EB8EA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vertAlign w:val="baseline"/>
                      <w:lang w:val="en-US" w:eastAsia="zh-CN" w:bidi="ar-SA"/>
                    </w:rPr>
                  </w:pPr>
                  <w:r>
                    <w:rPr>
                      <w:rFonts w:hint="eastAsia"/>
                      <w:color w:val="auto"/>
                      <w:kern w:val="0"/>
                      <w:vertAlign w:val="baseline"/>
                      <w:lang w:val="en-US" w:eastAsia="zh-CN"/>
                    </w:rPr>
                    <w:t>化学需氧量</w:t>
                  </w:r>
                </w:p>
              </w:tc>
              <w:tc>
                <w:tcPr>
                  <w:tcW w:w="544" w:type="pct"/>
                  <w:tcBorders>
                    <w:tl2br w:val="nil"/>
                    <w:tr2bl w:val="nil"/>
                  </w:tcBorders>
                  <w:shd w:val="clear" w:color="auto" w:fill="auto"/>
                  <w:vAlign w:val="center"/>
                </w:tcPr>
                <w:p w14:paraId="25D882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0"/>
                      <w:sz w:val="21"/>
                      <w:szCs w:val="21"/>
                      <w:vertAlign w:val="baseline"/>
                      <w:lang w:val="en-US" w:eastAsia="zh-CN" w:bidi="ar-SA"/>
                    </w:rPr>
                  </w:pPr>
                  <w:r>
                    <w:rPr>
                      <w:rFonts w:hint="eastAsia"/>
                      <w:color w:val="auto"/>
                      <w:kern w:val="0"/>
                      <w:vertAlign w:val="baseline"/>
                      <w:lang w:val="en-US" w:eastAsia="zh-CN"/>
                    </w:rPr>
                    <w:t>mg/L</w:t>
                  </w:r>
                </w:p>
              </w:tc>
              <w:tc>
                <w:tcPr>
                  <w:tcW w:w="539" w:type="pct"/>
                  <w:tcBorders>
                    <w:tl2br w:val="nil"/>
                    <w:tr2bl w:val="nil"/>
                  </w:tcBorders>
                  <w:vAlign w:val="center"/>
                </w:tcPr>
                <w:p w14:paraId="221C77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178</w:t>
                  </w:r>
                </w:p>
              </w:tc>
              <w:tc>
                <w:tcPr>
                  <w:tcW w:w="539" w:type="pct"/>
                  <w:tcBorders>
                    <w:tl2br w:val="nil"/>
                    <w:tr2bl w:val="nil"/>
                  </w:tcBorders>
                  <w:vAlign w:val="center"/>
                </w:tcPr>
                <w:p w14:paraId="38FB29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183</w:t>
                  </w:r>
                </w:p>
              </w:tc>
              <w:tc>
                <w:tcPr>
                  <w:tcW w:w="539" w:type="pct"/>
                  <w:tcBorders>
                    <w:tl2br w:val="nil"/>
                    <w:tr2bl w:val="nil"/>
                  </w:tcBorders>
                  <w:vAlign w:val="center"/>
                </w:tcPr>
                <w:p w14:paraId="223AEC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172</w:t>
                  </w:r>
                </w:p>
              </w:tc>
              <w:tc>
                <w:tcPr>
                  <w:tcW w:w="540" w:type="pct"/>
                  <w:tcBorders>
                    <w:tl2br w:val="nil"/>
                    <w:tr2bl w:val="nil"/>
                  </w:tcBorders>
                  <w:vAlign w:val="center"/>
                </w:tcPr>
                <w:p w14:paraId="5DB266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180</w:t>
                  </w:r>
                </w:p>
              </w:tc>
              <w:tc>
                <w:tcPr>
                  <w:tcW w:w="456" w:type="pct"/>
                  <w:tcBorders>
                    <w:tl2br w:val="nil"/>
                    <w:tr2bl w:val="nil"/>
                  </w:tcBorders>
                  <w:shd w:val="clear" w:color="auto" w:fill="auto"/>
                  <w:vAlign w:val="center"/>
                </w:tcPr>
                <w:p w14:paraId="425020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vertAlign w:val="baseline"/>
                      <w:lang w:val="en-US" w:eastAsia="zh-CN" w:bidi="ar-SA"/>
                    </w:rPr>
                  </w:pPr>
                  <w:r>
                    <w:rPr>
                      <w:rFonts w:hint="eastAsia"/>
                      <w:color w:val="auto"/>
                      <w:kern w:val="0"/>
                      <w:vertAlign w:val="baseline"/>
                      <w:lang w:val="en-US" w:eastAsia="zh-CN"/>
                    </w:rPr>
                    <w:t>500</w:t>
                  </w:r>
                </w:p>
              </w:tc>
              <w:tc>
                <w:tcPr>
                  <w:tcW w:w="420" w:type="pct"/>
                  <w:tcBorders>
                    <w:tl2br w:val="nil"/>
                    <w:tr2bl w:val="nil"/>
                  </w:tcBorders>
                  <w:vAlign w:val="center"/>
                </w:tcPr>
                <w:p w14:paraId="073296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达标</w:t>
                  </w:r>
                </w:p>
              </w:tc>
            </w:tr>
            <w:tr w14:paraId="03A94AB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4" w:type="pct"/>
                  <w:vMerge w:val="continue"/>
                  <w:tcBorders>
                    <w:tl2br w:val="nil"/>
                    <w:tr2bl w:val="nil"/>
                  </w:tcBorders>
                  <w:vAlign w:val="center"/>
                </w:tcPr>
                <w:p w14:paraId="06CBCC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20" w:type="pct"/>
                  <w:vMerge w:val="continue"/>
                  <w:tcBorders>
                    <w:tl2br w:val="nil"/>
                    <w:tr2bl w:val="nil"/>
                  </w:tcBorders>
                  <w:vAlign w:val="center"/>
                </w:tcPr>
                <w:p w14:paraId="7FB140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44" w:type="pct"/>
                  <w:tcBorders>
                    <w:tl2br w:val="nil"/>
                    <w:tr2bl w:val="nil"/>
                  </w:tcBorders>
                  <w:shd w:val="clear" w:color="auto" w:fill="auto"/>
                  <w:vAlign w:val="center"/>
                </w:tcPr>
                <w:p w14:paraId="3BC21C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vertAlign w:val="baseline"/>
                      <w:lang w:val="en-US" w:eastAsia="zh-CN" w:bidi="ar-SA"/>
                    </w:rPr>
                  </w:pPr>
                  <w:r>
                    <w:rPr>
                      <w:rFonts w:hint="eastAsia"/>
                      <w:color w:val="auto"/>
                      <w:kern w:val="0"/>
                      <w:vertAlign w:val="baseline"/>
                      <w:lang w:val="en-US" w:eastAsia="zh-CN"/>
                    </w:rPr>
                    <w:t>悬浮物</w:t>
                  </w:r>
                </w:p>
              </w:tc>
              <w:tc>
                <w:tcPr>
                  <w:tcW w:w="544" w:type="pct"/>
                  <w:tcBorders>
                    <w:tl2br w:val="nil"/>
                    <w:tr2bl w:val="nil"/>
                  </w:tcBorders>
                  <w:shd w:val="clear" w:color="auto" w:fill="auto"/>
                  <w:vAlign w:val="center"/>
                </w:tcPr>
                <w:p w14:paraId="44C6C6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0"/>
                      <w:sz w:val="21"/>
                      <w:szCs w:val="21"/>
                      <w:vertAlign w:val="baseline"/>
                      <w:lang w:val="en-US" w:eastAsia="zh-CN" w:bidi="ar-SA"/>
                    </w:rPr>
                  </w:pPr>
                  <w:r>
                    <w:rPr>
                      <w:rFonts w:hint="eastAsia"/>
                      <w:color w:val="auto"/>
                      <w:kern w:val="0"/>
                      <w:vertAlign w:val="baseline"/>
                      <w:lang w:val="en-US" w:eastAsia="zh-CN"/>
                    </w:rPr>
                    <w:t>mg/L</w:t>
                  </w:r>
                </w:p>
              </w:tc>
              <w:tc>
                <w:tcPr>
                  <w:tcW w:w="539" w:type="pct"/>
                  <w:tcBorders>
                    <w:tl2br w:val="nil"/>
                    <w:tr2bl w:val="nil"/>
                  </w:tcBorders>
                  <w:vAlign w:val="center"/>
                </w:tcPr>
                <w:p w14:paraId="610EB6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79</w:t>
                  </w:r>
                </w:p>
              </w:tc>
              <w:tc>
                <w:tcPr>
                  <w:tcW w:w="539" w:type="pct"/>
                  <w:tcBorders>
                    <w:tl2br w:val="nil"/>
                    <w:tr2bl w:val="nil"/>
                  </w:tcBorders>
                  <w:vAlign w:val="center"/>
                </w:tcPr>
                <w:p w14:paraId="2AB7A8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88</w:t>
                  </w:r>
                </w:p>
              </w:tc>
              <w:tc>
                <w:tcPr>
                  <w:tcW w:w="539" w:type="pct"/>
                  <w:tcBorders>
                    <w:tl2br w:val="nil"/>
                    <w:tr2bl w:val="nil"/>
                  </w:tcBorders>
                  <w:vAlign w:val="center"/>
                </w:tcPr>
                <w:p w14:paraId="0B4B39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75</w:t>
                  </w:r>
                </w:p>
              </w:tc>
              <w:tc>
                <w:tcPr>
                  <w:tcW w:w="540" w:type="pct"/>
                  <w:tcBorders>
                    <w:tl2br w:val="nil"/>
                    <w:tr2bl w:val="nil"/>
                  </w:tcBorders>
                  <w:vAlign w:val="center"/>
                </w:tcPr>
                <w:p w14:paraId="43169D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82</w:t>
                  </w:r>
                </w:p>
              </w:tc>
              <w:tc>
                <w:tcPr>
                  <w:tcW w:w="456" w:type="pct"/>
                  <w:tcBorders>
                    <w:tl2br w:val="nil"/>
                    <w:tr2bl w:val="nil"/>
                  </w:tcBorders>
                  <w:shd w:val="clear" w:color="auto" w:fill="auto"/>
                  <w:vAlign w:val="center"/>
                </w:tcPr>
                <w:p w14:paraId="3BA2AA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vertAlign w:val="baseline"/>
                      <w:lang w:val="en-US" w:eastAsia="zh-CN" w:bidi="ar-SA"/>
                    </w:rPr>
                  </w:pPr>
                  <w:r>
                    <w:rPr>
                      <w:rFonts w:hint="eastAsia"/>
                      <w:color w:val="auto"/>
                      <w:kern w:val="0"/>
                      <w:vertAlign w:val="baseline"/>
                      <w:lang w:val="en-US" w:eastAsia="zh-CN"/>
                    </w:rPr>
                    <w:t>250</w:t>
                  </w:r>
                </w:p>
              </w:tc>
              <w:tc>
                <w:tcPr>
                  <w:tcW w:w="420" w:type="pct"/>
                  <w:tcBorders>
                    <w:tl2br w:val="nil"/>
                    <w:tr2bl w:val="nil"/>
                  </w:tcBorders>
                  <w:vAlign w:val="center"/>
                </w:tcPr>
                <w:p w14:paraId="77EE24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达标</w:t>
                  </w:r>
                </w:p>
              </w:tc>
            </w:tr>
            <w:tr w14:paraId="77603F1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4" w:type="pct"/>
                  <w:vMerge w:val="continue"/>
                  <w:tcBorders>
                    <w:tl2br w:val="nil"/>
                    <w:tr2bl w:val="nil"/>
                  </w:tcBorders>
                  <w:shd w:val="clear" w:color="auto" w:fill="auto"/>
                  <w:vAlign w:val="center"/>
                </w:tcPr>
                <w:p w14:paraId="4A33A1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vertAlign w:val="baseline"/>
                      <w:lang w:val="en-US" w:eastAsia="zh-CN" w:bidi="ar-SA"/>
                    </w:rPr>
                  </w:pPr>
                </w:p>
              </w:tc>
              <w:tc>
                <w:tcPr>
                  <w:tcW w:w="420" w:type="pct"/>
                  <w:vMerge w:val="continue"/>
                  <w:tcBorders>
                    <w:tl2br w:val="nil"/>
                    <w:tr2bl w:val="nil"/>
                  </w:tcBorders>
                  <w:shd w:val="clear" w:color="auto" w:fill="auto"/>
                  <w:vAlign w:val="center"/>
                </w:tcPr>
                <w:p w14:paraId="452D1B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vertAlign w:val="baseline"/>
                      <w:lang w:val="en-US" w:eastAsia="zh-CN" w:bidi="ar-SA"/>
                    </w:rPr>
                  </w:pPr>
                </w:p>
              </w:tc>
              <w:tc>
                <w:tcPr>
                  <w:tcW w:w="544" w:type="pct"/>
                  <w:tcBorders>
                    <w:tl2br w:val="nil"/>
                    <w:tr2bl w:val="nil"/>
                  </w:tcBorders>
                  <w:shd w:val="clear" w:color="auto" w:fill="auto"/>
                  <w:vAlign w:val="center"/>
                </w:tcPr>
                <w:p w14:paraId="36DD29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vertAlign w:val="baseline"/>
                      <w:lang w:val="en-US" w:eastAsia="zh-CN" w:bidi="ar-SA"/>
                    </w:rPr>
                  </w:pPr>
                  <w:r>
                    <w:rPr>
                      <w:rFonts w:hint="eastAsia"/>
                      <w:color w:val="auto"/>
                      <w:kern w:val="0"/>
                      <w:vertAlign w:val="baseline"/>
                      <w:lang w:val="en-US" w:eastAsia="zh-CN"/>
                    </w:rPr>
                    <w:t>氨氮</w:t>
                  </w:r>
                </w:p>
              </w:tc>
              <w:tc>
                <w:tcPr>
                  <w:tcW w:w="544" w:type="pct"/>
                  <w:tcBorders>
                    <w:tl2br w:val="nil"/>
                    <w:tr2bl w:val="nil"/>
                  </w:tcBorders>
                  <w:shd w:val="clear" w:color="auto" w:fill="auto"/>
                  <w:vAlign w:val="center"/>
                </w:tcPr>
                <w:p w14:paraId="2477B3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0"/>
                      <w:sz w:val="21"/>
                      <w:szCs w:val="21"/>
                      <w:vertAlign w:val="baseline"/>
                      <w:lang w:val="en-US" w:eastAsia="zh-CN" w:bidi="ar-SA"/>
                    </w:rPr>
                  </w:pPr>
                  <w:r>
                    <w:rPr>
                      <w:rFonts w:hint="eastAsia"/>
                      <w:color w:val="auto"/>
                      <w:kern w:val="0"/>
                      <w:vertAlign w:val="baseline"/>
                      <w:lang w:val="en-US" w:eastAsia="zh-CN"/>
                    </w:rPr>
                    <w:t>mg/L</w:t>
                  </w:r>
                </w:p>
              </w:tc>
              <w:tc>
                <w:tcPr>
                  <w:tcW w:w="539" w:type="pct"/>
                  <w:tcBorders>
                    <w:tl2br w:val="nil"/>
                    <w:tr2bl w:val="nil"/>
                  </w:tcBorders>
                  <w:vAlign w:val="center"/>
                </w:tcPr>
                <w:p w14:paraId="70AEB4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22.9</w:t>
                  </w:r>
                </w:p>
              </w:tc>
              <w:tc>
                <w:tcPr>
                  <w:tcW w:w="539" w:type="pct"/>
                  <w:tcBorders>
                    <w:tl2br w:val="nil"/>
                    <w:tr2bl w:val="nil"/>
                  </w:tcBorders>
                  <w:vAlign w:val="center"/>
                </w:tcPr>
                <w:p w14:paraId="17F31F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vertAlign w:val="baseline"/>
                      <w:lang w:val="en-US" w:eastAsia="zh-CN"/>
                    </w:rPr>
                  </w:pPr>
                  <w:r>
                    <w:rPr>
                      <w:rFonts w:hint="eastAsia" w:cs="Times New Roman"/>
                      <w:color w:val="auto"/>
                      <w:kern w:val="0"/>
                      <w:vertAlign w:val="baseline"/>
                      <w:lang w:val="en-US" w:eastAsia="zh-CN"/>
                    </w:rPr>
                    <w:t>23.7</w:t>
                  </w:r>
                </w:p>
              </w:tc>
              <w:tc>
                <w:tcPr>
                  <w:tcW w:w="539" w:type="pct"/>
                  <w:tcBorders>
                    <w:tl2br w:val="nil"/>
                    <w:tr2bl w:val="nil"/>
                  </w:tcBorders>
                  <w:vAlign w:val="center"/>
                </w:tcPr>
                <w:p w14:paraId="0CE644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vertAlign w:val="baseline"/>
                      <w:lang w:val="en-US" w:eastAsia="zh-CN"/>
                    </w:rPr>
                  </w:pPr>
                  <w:r>
                    <w:rPr>
                      <w:rFonts w:hint="eastAsia" w:cs="Times New Roman"/>
                      <w:color w:val="auto"/>
                      <w:kern w:val="0"/>
                      <w:vertAlign w:val="baseline"/>
                      <w:lang w:val="en-US" w:eastAsia="zh-CN"/>
                    </w:rPr>
                    <w:t>22.1</w:t>
                  </w:r>
                </w:p>
              </w:tc>
              <w:tc>
                <w:tcPr>
                  <w:tcW w:w="540" w:type="pct"/>
                  <w:tcBorders>
                    <w:tl2br w:val="nil"/>
                    <w:tr2bl w:val="nil"/>
                  </w:tcBorders>
                  <w:vAlign w:val="center"/>
                </w:tcPr>
                <w:p w14:paraId="403896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22.5</w:t>
                  </w:r>
                </w:p>
              </w:tc>
              <w:tc>
                <w:tcPr>
                  <w:tcW w:w="456" w:type="pct"/>
                  <w:tcBorders>
                    <w:tl2br w:val="nil"/>
                    <w:tr2bl w:val="nil"/>
                  </w:tcBorders>
                  <w:shd w:val="clear" w:color="auto" w:fill="auto"/>
                  <w:vAlign w:val="center"/>
                </w:tcPr>
                <w:p w14:paraId="10E054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vertAlign w:val="baseline"/>
                      <w:lang w:val="en-US" w:eastAsia="zh-CN" w:bidi="ar-SA"/>
                    </w:rPr>
                  </w:pPr>
                  <w:r>
                    <w:rPr>
                      <w:rFonts w:hint="eastAsia"/>
                      <w:color w:val="auto"/>
                      <w:kern w:val="0"/>
                      <w:vertAlign w:val="baseline"/>
                      <w:lang w:val="en-US" w:eastAsia="zh-CN"/>
                    </w:rPr>
                    <w:t>35</w:t>
                  </w:r>
                </w:p>
              </w:tc>
              <w:tc>
                <w:tcPr>
                  <w:tcW w:w="420" w:type="pct"/>
                  <w:tcBorders>
                    <w:tl2br w:val="nil"/>
                    <w:tr2bl w:val="nil"/>
                  </w:tcBorders>
                  <w:vAlign w:val="center"/>
                </w:tcPr>
                <w:p w14:paraId="412C31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达标</w:t>
                  </w:r>
                </w:p>
              </w:tc>
            </w:tr>
            <w:tr w14:paraId="2382F8A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4" w:type="pct"/>
                  <w:vMerge w:val="continue"/>
                  <w:tcBorders>
                    <w:tl2br w:val="nil"/>
                    <w:tr2bl w:val="nil"/>
                  </w:tcBorders>
                  <w:vAlign w:val="center"/>
                </w:tcPr>
                <w:p w14:paraId="214EC3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20" w:type="pct"/>
                  <w:vMerge w:val="continue"/>
                  <w:tcBorders>
                    <w:tl2br w:val="nil"/>
                    <w:tr2bl w:val="nil"/>
                  </w:tcBorders>
                  <w:vAlign w:val="center"/>
                </w:tcPr>
                <w:p w14:paraId="1086D4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44" w:type="pct"/>
                  <w:tcBorders>
                    <w:tl2br w:val="nil"/>
                    <w:tr2bl w:val="nil"/>
                  </w:tcBorders>
                  <w:shd w:val="clear" w:color="auto" w:fill="auto"/>
                  <w:vAlign w:val="center"/>
                </w:tcPr>
                <w:p w14:paraId="58848C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vertAlign w:val="baseline"/>
                      <w:lang w:val="en-US" w:eastAsia="zh-CN" w:bidi="ar-SA"/>
                    </w:rPr>
                  </w:pPr>
                  <w:r>
                    <w:rPr>
                      <w:rFonts w:hint="eastAsia"/>
                      <w:color w:val="auto"/>
                      <w:kern w:val="0"/>
                      <w:vertAlign w:val="baseline"/>
                      <w:lang w:val="en-US" w:eastAsia="zh-CN"/>
                    </w:rPr>
                    <w:t>总氮</w:t>
                  </w:r>
                </w:p>
              </w:tc>
              <w:tc>
                <w:tcPr>
                  <w:tcW w:w="544" w:type="pct"/>
                  <w:tcBorders>
                    <w:tl2br w:val="nil"/>
                    <w:tr2bl w:val="nil"/>
                  </w:tcBorders>
                  <w:shd w:val="clear" w:color="auto" w:fill="auto"/>
                  <w:vAlign w:val="center"/>
                </w:tcPr>
                <w:p w14:paraId="77870D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0"/>
                      <w:sz w:val="21"/>
                      <w:szCs w:val="21"/>
                      <w:vertAlign w:val="baseline"/>
                      <w:lang w:val="en-US" w:eastAsia="zh-CN" w:bidi="ar-SA"/>
                    </w:rPr>
                  </w:pPr>
                  <w:r>
                    <w:rPr>
                      <w:rFonts w:hint="eastAsia"/>
                      <w:color w:val="auto"/>
                      <w:kern w:val="0"/>
                      <w:vertAlign w:val="baseline"/>
                      <w:lang w:val="en-US" w:eastAsia="zh-CN"/>
                    </w:rPr>
                    <w:t>mg/L</w:t>
                  </w:r>
                </w:p>
              </w:tc>
              <w:tc>
                <w:tcPr>
                  <w:tcW w:w="539" w:type="pct"/>
                  <w:tcBorders>
                    <w:tl2br w:val="nil"/>
                    <w:tr2bl w:val="nil"/>
                  </w:tcBorders>
                  <w:vAlign w:val="center"/>
                </w:tcPr>
                <w:p w14:paraId="7BF6EC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33.3</w:t>
                  </w:r>
                </w:p>
              </w:tc>
              <w:tc>
                <w:tcPr>
                  <w:tcW w:w="539" w:type="pct"/>
                  <w:tcBorders>
                    <w:tl2br w:val="nil"/>
                    <w:tr2bl w:val="nil"/>
                  </w:tcBorders>
                  <w:vAlign w:val="center"/>
                </w:tcPr>
                <w:p w14:paraId="2C1F57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33.0</w:t>
                  </w:r>
                </w:p>
              </w:tc>
              <w:tc>
                <w:tcPr>
                  <w:tcW w:w="539" w:type="pct"/>
                  <w:tcBorders>
                    <w:tl2br w:val="nil"/>
                    <w:tr2bl w:val="nil"/>
                  </w:tcBorders>
                  <w:vAlign w:val="center"/>
                </w:tcPr>
                <w:p w14:paraId="09C820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33.7</w:t>
                  </w:r>
                </w:p>
              </w:tc>
              <w:tc>
                <w:tcPr>
                  <w:tcW w:w="540" w:type="pct"/>
                  <w:tcBorders>
                    <w:tl2br w:val="nil"/>
                    <w:tr2bl w:val="nil"/>
                  </w:tcBorders>
                  <w:vAlign w:val="center"/>
                </w:tcPr>
                <w:p w14:paraId="13450A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32.6</w:t>
                  </w:r>
                </w:p>
              </w:tc>
              <w:tc>
                <w:tcPr>
                  <w:tcW w:w="456" w:type="pct"/>
                  <w:tcBorders>
                    <w:tl2br w:val="nil"/>
                    <w:tr2bl w:val="nil"/>
                  </w:tcBorders>
                  <w:shd w:val="clear" w:color="auto" w:fill="auto"/>
                  <w:vAlign w:val="center"/>
                </w:tcPr>
                <w:p w14:paraId="443476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vertAlign w:val="baseline"/>
                      <w:lang w:val="en-US" w:eastAsia="zh-CN" w:bidi="ar-SA"/>
                    </w:rPr>
                  </w:pPr>
                  <w:r>
                    <w:rPr>
                      <w:rFonts w:hint="eastAsia"/>
                      <w:color w:val="auto"/>
                      <w:kern w:val="0"/>
                      <w:vertAlign w:val="baseline"/>
                      <w:lang w:val="en-US" w:eastAsia="zh-CN"/>
                    </w:rPr>
                    <w:t>50</w:t>
                  </w:r>
                </w:p>
              </w:tc>
              <w:tc>
                <w:tcPr>
                  <w:tcW w:w="420" w:type="pct"/>
                  <w:tcBorders>
                    <w:tl2br w:val="nil"/>
                    <w:tr2bl w:val="nil"/>
                  </w:tcBorders>
                  <w:vAlign w:val="center"/>
                </w:tcPr>
                <w:p w14:paraId="136738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达标</w:t>
                  </w:r>
                </w:p>
              </w:tc>
            </w:tr>
            <w:tr w14:paraId="5D022EA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54" w:type="pct"/>
                  <w:vMerge w:val="continue"/>
                  <w:tcBorders>
                    <w:tl2br w:val="nil"/>
                    <w:tr2bl w:val="nil"/>
                  </w:tcBorders>
                  <w:vAlign w:val="center"/>
                </w:tcPr>
                <w:p w14:paraId="03545B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420" w:type="pct"/>
                  <w:vMerge w:val="continue"/>
                  <w:tcBorders>
                    <w:tl2br w:val="nil"/>
                    <w:tr2bl w:val="nil"/>
                  </w:tcBorders>
                  <w:vAlign w:val="center"/>
                </w:tcPr>
                <w:p w14:paraId="13FDEE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544" w:type="pct"/>
                  <w:tcBorders>
                    <w:tl2br w:val="nil"/>
                    <w:tr2bl w:val="nil"/>
                  </w:tcBorders>
                  <w:shd w:val="clear" w:color="auto" w:fill="auto"/>
                  <w:vAlign w:val="center"/>
                </w:tcPr>
                <w:p w14:paraId="169161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vertAlign w:val="baseline"/>
                      <w:lang w:val="en-US" w:eastAsia="zh-CN" w:bidi="ar-SA"/>
                    </w:rPr>
                  </w:pPr>
                  <w:r>
                    <w:rPr>
                      <w:rFonts w:hint="eastAsia"/>
                      <w:color w:val="auto"/>
                      <w:kern w:val="0"/>
                      <w:vertAlign w:val="baseline"/>
                      <w:lang w:val="en-US" w:eastAsia="zh-CN"/>
                    </w:rPr>
                    <w:t>总磷</w:t>
                  </w:r>
                </w:p>
              </w:tc>
              <w:tc>
                <w:tcPr>
                  <w:tcW w:w="544" w:type="pct"/>
                  <w:tcBorders>
                    <w:tl2br w:val="nil"/>
                    <w:tr2bl w:val="nil"/>
                  </w:tcBorders>
                  <w:shd w:val="clear" w:color="auto" w:fill="auto"/>
                  <w:vAlign w:val="center"/>
                </w:tcPr>
                <w:p w14:paraId="3D36CA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auto"/>
                      <w:kern w:val="0"/>
                      <w:sz w:val="21"/>
                      <w:szCs w:val="21"/>
                      <w:vertAlign w:val="baseline"/>
                      <w:lang w:val="en-US" w:eastAsia="zh-CN" w:bidi="ar-SA"/>
                    </w:rPr>
                  </w:pPr>
                  <w:r>
                    <w:rPr>
                      <w:rFonts w:hint="eastAsia"/>
                      <w:color w:val="auto"/>
                      <w:kern w:val="0"/>
                      <w:vertAlign w:val="baseline"/>
                      <w:lang w:val="en-US" w:eastAsia="zh-CN"/>
                    </w:rPr>
                    <w:t>mg/L</w:t>
                  </w:r>
                </w:p>
              </w:tc>
              <w:tc>
                <w:tcPr>
                  <w:tcW w:w="539" w:type="pct"/>
                  <w:tcBorders>
                    <w:tl2br w:val="nil"/>
                    <w:tr2bl w:val="nil"/>
                  </w:tcBorders>
                  <w:vAlign w:val="center"/>
                </w:tcPr>
                <w:p w14:paraId="615A01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2.78</w:t>
                  </w:r>
                </w:p>
              </w:tc>
              <w:tc>
                <w:tcPr>
                  <w:tcW w:w="539" w:type="pct"/>
                  <w:tcBorders>
                    <w:tl2br w:val="nil"/>
                    <w:tr2bl w:val="nil"/>
                  </w:tcBorders>
                  <w:vAlign w:val="center"/>
                </w:tcPr>
                <w:p w14:paraId="24B0F6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2.71</w:t>
                  </w:r>
                </w:p>
              </w:tc>
              <w:tc>
                <w:tcPr>
                  <w:tcW w:w="539" w:type="pct"/>
                  <w:tcBorders>
                    <w:tl2br w:val="nil"/>
                    <w:tr2bl w:val="nil"/>
                  </w:tcBorders>
                  <w:vAlign w:val="center"/>
                </w:tcPr>
                <w:p w14:paraId="4E6484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2.75</w:t>
                  </w:r>
                </w:p>
              </w:tc>
              <w:tc>
                <w:tcPr>
                  <w:tcW w:w="540" w:type="pct"/>
                  <w:tcBorders>
                    <w:tl2br w:val="nil"/>
                    <w:tr2bl w:val="nil"/>
                  </w:tcBorders>
                  <w:vAlign w:val="center"/>
                </w:tcPr>
                <w:p w14:paraId="29F93A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2.80</w:t>
                  </w:r>
                </w:p>
              </w:tc>
              <w:tc>
                <w:tcPr>
                  <w:tcW w:w="456" w:type="pct"/>
                  <w:tcBorders>
                    <w:tl2br w:val="nil"/>
                    <w:tr2bl w:val="nil"/>
                  </w:tcBorders>
                  <w:shd w:val="clear" w:color="auto" w:fill="auto"/>
                  <w:vAlign w:val="center"/>
                </w:tcPr>
                <w:p w14:paraId="0B1D79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vertAlign w:val="baseline"/>
                      <w:lang w:val="en-US" w:eastAsia="zh-CN" w:bidi="ar-SA"/>
                    </w:rPr>
                  </w:pPr>
                  <w:r>
                    <w:rPr>
                      <w:rFonts w:hint="eastAsia"/>
                      <w:color w:val="auto"/>
                      <w:kern w:val="0"/>
                      <w:vertAlign w:val="baseline"/>
                      <w:lang w:val="en-US" w:eastAsia="zh-CN"/>
                    </w:rPr>
                    <w:t>3</w:t>
                  </w:r>
                </w:p>
              </w:tc>
              <w:tc>
                <w:tcPr>
                  <w:tcW w:w="420" w:type="pct"/>
                  <w:tcBorders>
                    <w:tl2br w:val="nil"/>
                    <w:tr2bl w:val="nil"/>
                  </w:tcBorders>
                  <w:vAlign w:val="center"/>
                </w:tcPr>
                <w:p w14:paraId="5666D7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达标</w:t>
                  </w:r>
                </w:p>
              </w:tc>
            </w:tr>
          </w:tbl>
          <w:p w14:paraId="67FEF6B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color w:val="auto"/>
                <w:kern w:val="0"/>
                <w:lang w:val="en-US" w:eastAsia="zh-CN"/>
              </w:rPr>
            </w:pPr>
            <w:r>
              <w:rPr>
                <w:rFonts w:hint="eastAsia"/>
                <w:b w:val="0"/>
                <w:bCs w:val="0"/>
                <w:color w:val="auto"/>
                <w:kern w:val="0"/>
                <w:sz w:val="21"/>
                <w:szCs w:val="21"/>
                <w:lang w:val="en-US" w:eastAsia="zh-CN" w:bidi="ar"/>
              </w:rPr>
              <w:t>监测结果表明，在生活污水正常排放的工况下，厂区生活污水排放口浓度能满足</w:t>
            </w:r>
            <w:r>
              <w:rPr>
                <w:rFonts w:hint="eastAsia"/>
                <w:color w:val="auto"/>
              </w:rPr>
              <w:t>常州金坛区第二污水处理有限公司</w:t>
            </w:r>
            <w:r>
              <w:rPr>
                <w:rFonts w:hint="eastAsia" w:cs="Times New Roman"/>
                <w:color w:val="auto"/>
                <w:sz w:val="21"/>
                <w:szCs w:val="21"/>
                <w:highlight w:val="none"/>
                <w:lang w:val="en-US" w:eastAsia="zh-CN"/>
              </w:rPr>
              <w:t>接管限值</w:t>
            </w:r>
            <w:r>
              <w:rPr>
                <w:rFonts w:hint="eastAsia" w:cs="Times New Roman"/>
                <w:color w:val="auto"/>
                <w:sz w:val="21"/>
                <w:szCs w:val="21"/>
                <w:highlight w:val="none"/>
                <w:lang w:eastAsia="zh-CN"/>
              </w:rPr>
              <w:t>。</w:t>
            </w:r>
          </w:p>
          <w:p w14:paraId="7CB19AEA">
            <w:pPr>
              <w:adjustRightInd w:val="0"/>
              <w:snapToGrid w:val="0"/>
              <w:spacing w:line="360" w:lineRule="auto"/>
              <w:ind w:firstLine="422" w:firstLineChars="200"/>
              <w:rPr>
                <w:rFonts w:hint="default"/>
                <w:b/>
                <w:bCs/>
                <w:color w:val="auto"/>
                <w:kern w:val="0"/>
                <w:lang w:val="en-US" w:eastAsia="zh-CN"/>
              </w:rPr>
            </w:pPr>
            <w:r>
              <w:rPr>
                <w:rFonts w:hint="eastAsia"/>
                <w:b/>
                <w:bCs/>
                <w:color w:val="auto"/>
                <w:kern w:val="0"/>
                <w:lang w:val="en-US" w:eastAsia="zh-CN"/>
              </w:rPr>
              <w:t>噪声：</w:t>
            </w:r>
          </w:p>
          <w:p w14:paraId="69F9DDC8">
            <w:pPr>
              <w:adjustRightInd w:val="0"/>
              <w:snapToGrid w:val="0"/>
              <w:spacing w:line="240" w:lineRule="auto"/>
              <w:jc w:val="center"/>
              <w:rPr>
                <w:rFonts w:hint="default"/>
                <w:b/>
                <w:bCs/>
                <w:color w:val="auto"/>
                <w:kern w:val="0"/>
                <w:lang w:val="en-US" w:eastAsia="zh-CN"/>
              </w:rPr>
            </w:pPr>
            <w:r>
              <w:rPr>
                <w:rFonts w:hint="eastAsia"/>
                <w:b/>
                <w:bCs/>
                <w:color w:val="auto"/>
                <w:kern w:val="0"/>
                <w:lang w:val="en-US" w:eastAsia="zh-CN"/>
              </w:rPr>
              <w:t>表2-11   噪声检测结果表</w:t>
            </w:r>
          </w:p>
          <w:tbl>
            <w:tblPr>
              <w:tblStyle w:val="60"/>
              <w:tblW w:w="8549"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02"/>
              <w:gridCol w:w="1710"/>
              <w:gridCol w:w="1245"/>
              <w:gridCol w:w="1080"/>
              <w:gridCol w:w="1275"/>
              <w:gridCol w:w="1140"/>
              <w:gridCol w:w="705"/>
              <w:gridCol w:w="692"/>
            </w:tblGrid>
            <w:tr w14:paraId="56CE7DF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02" w:type="dxa"/>
                  <w:vMerge w:val="restart"/>
                  <w:tcBorders>
                    <w:tl2br w:val="nil"/>
                    <w:tr2bl w:val="nil"/>
                  </w:tcBorders>
                  <w:vAlign w:val="center"/>
                </w:tcPr>
                <w:p w14:paraId="1FFACB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采样日期</w:t>
                  </w:r>
                </w:p>
              </w:tc>
              <w:tc>
                <w:tcPr>
                  <w:tcW w:w="1710" w:type="dxa"/>
                  <w:vMerge w:val="restart"/>
                  <w:tcBorders>
                    <w:tl2br w:val="nil"/>
                    <w:tr2bl w:val="nil"/>
                  </w:tcBorders>
                  <w:vAlign w:val="center"/>
                </w:tcPr>
                <w:p w14:paraId="2ABE90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采样点位</w:t>
                  </w:r>
                </w:p>
              </w:tc>
              <w:tc>
                <w:tcPr>
                  <w:tcW w:w="2325" w:type="dxa"/>
                  <w:gridSpan w:val="2"/>
                  <w:tcBorders>
                    <w:tl2br w:val="nil"/>
                    <w:tr2bl w:val="nil"/>
                  </w:tcBorders>
                  <w:vAlign w:val="center"/>
                </w:tcPr>
                <w:p w14:paraId="5D9004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昼间</w:t>
                  </w:r>
                </w:p>
              </w:tc>
              <w:tc>
                <w:tcPr>
                  <w:tcW w:w="2415" w:type="dxa"/>
                  <w:gridSpan w:val="2"/>
                  <w:tcBorders>
                    <w:tl2br w:val="nil"/>
                    <w:tr2bl w:val="nil"/>
                  </w:tcBorders>
                  <w:vAlign w:val="center"/>
                </w:tcPr>
                <w:p w14:paraId="4DDB9D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夜间</w:t>
                  </w:r>
                </w:p>
              </w:tc>
              <w:tc>
                <w:tcPr>
                  <w:tcW w:w="705" w:type="dxa"/>
                  <w:vMerge w:val="restart"/>
                  <w:tcBorders>
                    <w:tl2br w:val="nil"/>
                    <w:tr2bl w:val="nil"/>
                  </w:tcBorders>
                  <w:vAlign w:val="center"/>
                </w:tcPr>
                <w:p w14:paraId="16A0AA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标准限值</w:t>
                  </w:r>
                </w:p>
              </w:tc>
              <w:tc>
                <w:tcPr>
                  <w:tcW w:w="692" w:type="dxa"/>
                  <w:vMerge w:val="restart"/>
                  <w:tcBorders>
                    <w:tl2br w:val="nil"/>
                    <w:tr2bl w:val="nil"/>
                  </w:tcBorders>
                  <w:vAlign w:val="center"/>
                </w:tcPr>
                <w:p w14:paraId="5BAB17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达标判定</w:t>
                  </w:r>
                </w:p>
              </w:tc>
            </w:tr>
            <w:tr w14:paraId="1AE4807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02" w:type="dxa"/>
                  <w:vMerge w:val="continue"/>
                  <w:tcBorders>
                    <w:tl2br w:val="nil"/>
                    <w:tr2bl w:val="nil"/>
                  </w:tcBorders>
                  <w:vAlign w:val="center"/>
                </w:tcPr>
                <w:p w14:paraId="6ED07D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1710" w:type="dxa"/>
                  <w:vMerge w:val="continue"/>
                  <w:tcBorders>
                    <w:tl2br w:val="nil"/>
                    <w:tr2bl w:val="nil"/>
                  </w:tcBorders>
                  <w:vAlign w:val="center"/>
                </w:tcPr>
                <w:p w14:paraId="46592B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1245" w:type="dxa"/>
                  <w:tcBorders>
                    <w:tl2br w:val="nil"/>
                    <w:tr2bl w:val="nil"/>
                  </w:tcBorders>
                  <w:vAlign w:val="center"/>
                </w:tcPr>
                <w:p w14:paraId="425B1D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检测时间</w:t>
                  </w:r>
                </w:p>
              </w:tc>
              <w:tc>
                <w:tcPr>
                  <w:tcW w:w="1080" w:type="dxa"/>
                  <w:tcBorders>
                    <w:tl2br w:val="nil"/>
                    <w:tr2bl w:val="nil"/>
                  </w:tcBorders>
                  <w:vAlign w:val="center"/>
                </w:tcPr>
                <w:p w14:paraId="7A3E82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检测结果</w:t>
                  </w:r>
                </w:p>
              </w:tc>
              <w:tc>
                <w:tcPr>
                  <w:tcW w:w="1275" w:type="dxa"/>
                  <w:tcBorders>
                    <w:tl2br w:val="nil"/>
                    <w:tr2bl w:val="nil"/>
                  </w:tcBorders>
                  <w:vAlign w:val="center"/>
                </w:tcPr>
                <w:p w14:paraId="161AEC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检测时间</w:t>
                  </w:r>
                </w:p>
              </w:tc>
              <w:tc>
                <w:tcPr>
                  <w:tcW w:w="1140" w:type="dxa"/>
                  <w:tcBorders>
                    <w:tl2br w:val="nil"/>
                    <w:tr2bl w:val="nil"/>
                  </w:tcBorders>
                  <w:vAlign w:val="center"/>
                </w:tcPr>
                <w:p w14:paraId="392435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检测结果</w:t>
                  </w:r>
                </w:p>
              </w:tc>
              <w:tc>
                <w:tcPr>
                  <w:tcW w:w="705" w:type="dxa"/>
                  <w:vMerge w:val="continue"/>
                  <w:tcBorders>
                    <w:tl2br w:val="nil"/>
                    <w:tr2bl w:val="nil"/>
                  </w:tcBorders>
                  <w:vAlign w:val="center"/>
                </w:tcPr>
                <w:p w14:paraId="599806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692" w:type="dxa"/>
                  <w:vMerge w:val="continue"/>
                  <w:tcBorders>
                    <w:tl2br w:val="nil"/>
                    <w:tr2bl w:val="nil"/>
                  </w:tcBorders>
                  <w:vAlign w:val="center"/>
                </w:tcPr>
                <w:p w14:paraId="48777C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r>
            <w:tr w14:paraId="1B4A957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02" w:type="dxa"/>
                  <w:vMerge w:val="restart"/>
                  <w:tcBorders>
                    <w:tl2br w:val="nil"/>
                    <w:tr2bl w:val="nil"/>
                  </w:tcBorders>
                  <w:vAlign w:val="center"/>
                </w:tcPr>
                <w:p w14:paraId="059F21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2020.11.10</w:t>
                  </w:r>
                </w:p>
              </w:tc>
              <w:tc>
                <w:tcPr>
                  <w:tcW w:w="1710" w:type="dxa"/>
                  <w:tcBorders>
                    <w:tl2br w:val="nil"/>
                    <w:tr2bl w:val="nil"/>
                  </w:tcBorders>
                  <w:vAlign w:val="center"/>
                </w:tcPr>
                <w:p w14:paraId="29F6B0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厂界外东侧1米处1#监测点位</w:t>
                  </w:r>
                </w:p>
              </w:tc>
              <w:tc>
                <w:tcPr>
                  <w:tcW w:w="1245" w:type="dxa"/>
                  <w:tcBorders>
                    <w:tl2br w:val="nil"/>
                    <w:tr2bl w:val="nil"/>
                  </w:tcBorders>
                  <w:vAlign w:val="center"/>
                </w:tcPr>
                <w:p w14:paraId="440A47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17:31-17:32</w:t>
                  </w:r>
                </w:p>
              </w:tc>
              <w:tc>
                <w:tcPr>
                  <w:tcW w:w="1080" w:type="dxa"/>
                  <w:tcBorders>
                    <w:tl2br w:val="nil"/>
                    <w:tr2bl w:val="nil"/>
                  </w:tcBorders>
                  <w:vAlign w:val="center"/>
                </w:tcPr>
                <w:p w14:paraId="52804D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57.7</w:t>
                  </w:r>
                </w:p>
              </w:tc>
              <w:tc>
                <w:tcPr>
                  <w:tcW w:w="1275" w:type="dxa"/>
                  <w:tcBorders>
                    <w:tl2br w:val="nil"/>
                    <w:tr2bl w:val="nil"/>
                  </w:tcBorders>
                  <w:vAlign w:val="center"/>
                </w:tcPr>
                <w:p w14:paraId="314B16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22:00-22:01</w:t>
                  </w:r>
                </w:p>
              </w:tc>
              <w:tc>
                <w:tcPr>
                  <w:tcW w:w="1140" w:type="dxa"/>
                  <w:tcBorders>
                    <w:tl2br w:val="nil"/>
                    <w:tr2bl w:val="nil"/>
                  </w:tcBorders>
                  <w:vAlign w:val="center"/>
                </w:tcPr>
                <w:p w14:paraId="6BC446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48.2</w:t>
                  </w:r>
                </w:p>
              </w:tc>
              <w:tc>
                <w:tcPr>
                  <w:tcW w:w="705" w:type="dxa"/>
                  <w:tcBorders>
                    <w:tl2br w:val="nil"/>
                    <w:tr2bl w:val="nil"/>
                  </w:tcBorders>
                  <w:vAlign w:val="center"/>
                </w:tcPr>
                <w:p w14:paraId="71ED35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60/50</w:t>
                  </w:r>
                </w:p>
              </w:tc>
              <w:tc>
                <w:tcPr>
                  <w:tcW w:w="692" w:type="dxa"/>
                  <w:tcBorders>
                    <w:tl2br w:val="nil"/>
                    <w:tr2bl w:val="nil"/>
                  </w:tcBorders>
                  <w:vAlign w:val="center"/>
                </w:tcPr>
                <w:p w14:paraId="55ACFA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达标</w:t>
                  </w:r>
                </w:p>
              </w:tc>
            </w:tr>
            <w:tr w14:paraId="72B22DD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02" w:type="dxa"/>
                  <w:vMerge w:val="continue"/>
                  <w:tcBorders>
                    <w:tl2br w:val="nil"/>
                    <w:tr2bl w:val="nil"/>
                  </w:tcBorders>
                  <w:vAlign w:val="center"/>
                </w:tcPr>
                <w:p w14:paraId="189CE0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1710" w:type="dxa"/>
                  <w:tcBorders>
                    <w:tl2br w:val="nil"/>
                    <w:tr2bl w:val="nil"/>
                  </w:tcBorders>
                  <w:vAlign w:val="center"/>
                </w:tcPr>
                <w:p w14:paraId="393EEE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厂界外南侧1米处2#监测点位</w:t>
                  </w:r>
                </w:p>
              </w:tc>
              <w:tc>
                <w:tcPr>
                  <w:tcW w:w="1245" w:type="dxa"/>
                  <w:tcBorders>
                    <w:tl2br w:val="nil"/>
                    <w:tr2bl w:val="nil"/>
                  </w:tcBorders>
                  <w:vAlign w:val="center"/>
                </w:tcPr>
                <w:p w14:paraId="7379C1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17:42-17:43</w:t>
                  </w:r>
                </w:p>
              </w:tc>
              <w:tc>
                <w:tcPr>
                  <w:tcW w:w="1080" w:type="dxa"/>
                  <w:tcBorders>
                    <w:tl2br w:val="nil"/>
                    <w:tr2bl w:val="nil"/>
                  </w:tcBorders>
                  <w:vAlign w:val="center"/>
                </w:tcPr>
                <w:p w14:paraId="1C9652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57.1</w:t>
                  </w:r>
                </w:p>
              </w:tc>
              <w:tc>
                <w:tcPr>
                  <w:tcW w:w="1275" w:type="dxa"/>
                  <w:tcBorders>
                    <w:tl2br w:val="nil"/>
                    <w:tr2bl w:val="nil"/>
                  </w:tcBorders>
                  <w:vAlign w:val="center"/>
                </w:tcPr>
                <w:p w14:paraId="4A4BF6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22:11-22:12</w:t>
                  </w:r>
                </w:p>
              </w:tc>
              <w:tc>
                <w:tcPr>
                  <w:tcW w:w="1140" w:type="dxa"/>
                  <w:tcBorders>
                    <w:tl2br w:val="nil"/>
                    <w:tr2bl w:val="nil"/>
                  </w:tcBorders>
                  <w:vAlign w:val="center"/>
                </w:tcPr>
                <w:p w14:paraId="6FF6BE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48.5</w:t>
                  </w:r>
                </w:p>
              </w:tc>
              <w:tc>
                <w:tcPr>
                  <w:tcW w:w="705" w:type="dxa"/>
                  <w:tcBorders>
                    <w:tl2br w:val="nil"/>
                    <w:tr2bl w:val="nil"/>
                  </w:tcBorders>
                  <w:vAlign w:val="center"/>
                </w:tcPr>
                <w:p w14:paraId="000A97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60/50</w:t>
                  </w:r>
                </w:p>
              </w:tc>
              <w:tc>
                <w:tcPr>
                  <w:tcW w:w="692" w:type="dxa"/>
                  <w:tcBorders>
                    <w:tl2br w:val="nil"/>
                    <w:tr2bl w:val="nil"/>
                  </w:tcBorders>
                  <w:vAlign w:val="center"/>
                </w:tcPr>
                <w:p w14:paraId="02C2D7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达标</w:t>
                  </w:r>
                </w:p>
              </w:tc>
            </w:tr>
            <w:tr w14:paraId="5BC3865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02" w:type="dxa"/>
                  <w:vMerge w:val="continue"/>
                  <w:tcBorders>
                    <w:tl2br w:val="nil"/>
                    <w:tr2bl w:val="nil"/>
                  </w:tcBorders>
                  <w:vAlign w:val="center"/>
                </w:tcPr>
                <w:p w14:paraId="175029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1710" w:type="dxa"/>
                  <w:tcBorders>
                    <w:tl2br w:val="nil"/>
                    <w:tr2bl w:val="nil"/>
                  </w:tcBorders>
                  <w:vAlign w:val="center"/>
                </w:tcPr>
                <w:p w14:paraId="0337F6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厂界外西侧1米处3#监测点位</w:t>
                  </w:r>
                </w:p>
              </w:tc>
              <w:tc>
                <w:tcPr>
                  <w:tcW w:w="1245" w:type="dxa"/>
                  <w:tcBorders>
                    <w:tl2br w:val="nil"/>
                    <w:tr2bl w:val="nil"/>
                  </w:tcBorders>
                  <w:vAlign w:val="center"/>
                </w:tcPr>
                <w:p w14:paraId="390B6A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17:58-17:59</w:t>
                  </w:r>
                </w:p>
              </w:tc>
              <w:tc>
                <w:tcPr>
                  <w:tcW w:w="1080" w:type="dxa"/>
                  <w:tcBorders>
                    <w:tl2br w:val="nil"/>
                    <w:tr2bl w:val="nil"/>
                  </w:tcBorders>
                  <w:vAlign w:val="center"/>
                </w:tcPr>
                <w:p w14:paraId="58AE3F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56.9</w:t>
                  </w:r>
                </w:p>
              </w:tc>
              <w:tc>
                <w:tcPr>
                  <w:tcW w:w="1275" w:type="dxa"/>
                  <w:tcBorders>
                    <w:tl2br w:val="nil"/>
                    <w:tr2bl w:val="nil"/>
                  </w:tcBorders>
                  <w:vAlign w:val="center"/>
                </w:tcPr>
                <w:p w14:paraId="01C168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22:22-22:23</w:t>
                  </w:r>
                </w:p>
              </w:tc>
              <w:tc>
                <w:tcPr>
                  <w:tcW w:w="1140" w:type="dxa"/>
                  <w:tcBorders>
                    <w:tl2br w:val="nil"/>
                    <w:tr2bl w:val="nil"/>
                  </w:tcBorders>
                  <w:vAlign w:val="center"/>
                </w:tcPr>
                <w:p w14:paraId="502BC7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49.0</w:t>
                  </w:r>
                </w:p>
              </w:tc>
              <w:tc>
                <w:tcPr>
                  <w:tcW w:w="705" w:type="dxa"/>
                  <w:tcBorders>
                    <w:tl2br w:val="nil"/>
                    <w:tr2bl w:val="nil"/>
                  </w:tcBorders>
                  <w:vAlign w:val="center"/>
                </w:tcPr>
                <w:p w14:paraId="42E26B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60/50</w:t>
                  </w:r>
                </w:p>
              </w:tc>
              <w:tc>
                <w:tcPr>
                  <w:tcW w:w="692" w:type="dxa"/>
                  <w:tcBorders>
                    <w:tl2br w:val="nil"/>
                    <w:tr2bl w:val="nil"/>
                  </w:tcBorders>
                  <w:vAlign w:val="center"/>
                </w:tcPr>
                <w:p w14:paraId="4D817C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达标</w:t>
                  </w:r>
                </w:p>
              </w:tc>
            </w:tr>
            <w:tr w14:paraId="2189784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02" w:type="dxa"/>
                  <w:vMerge w:val="continue"/>
                  <w:tcBorders>
                    <w:tl2br w:val="nil"/>
                    <w:tr2bl w:val="nil"/>
                  </w:tcBorders>
                  <w:vAlign w:val="center"/>
                </w:tcPr>
                <w:p w14:paraId="6A175D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1710" w:type="dxa"/>
                  <w:tcBorders>
                    <w:tl2br w:val="nil"/>
                    <w:tr2bl w:val="nil"/>
                  </w:tcBorders>
                  <w:vAlign w:val="center"/>
                </w:tcPr>
                <w:p w14:paraId="2C606F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厂界外北侧1米处4#监测点位</w:t>
                  </w:r>
                </w:p>
              </w:tc>
              <w:tc>
                <w:tcPr>
                  <w:tcW w:w="1245" w:type="dxa"/>
                  <w:tcBorders>
                    <w:tl2br w:val="nil"/>
                    <w:tr2bl w:val="nil"/>
                  </w:tcBorders>
                  <w:vAlign w:val="center"/>
                </w:tcPr>
                <w:p w14:paraId="1DC51F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18:11-18:12</w:t>
                  </w:r>
                </w:p>
              </w:tc>
              <w:tc>
                <w:tcPr>
                  <w:tcW w:w="1080" w:type="dxa"/>
                  <w:tcBorders>
                    <w:tl2br w:val="nil"/>
                    <w:tr2bl w:val="nil"/>
                  </w:tcBorders>
                  <w:vAlign w:val="center"/>
                </w:tcPr>
                <w:p w14:paraId="7E68C9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56.2</w:t>
                  </w:r>
                </w:p>
              </w:tc>
              <w:tc>
                <w:tcPr>
                  <w:tcW w:w="1275" w:type="dxa"/>
                  <w:tcBorders>
                    <w:tl2br w:val="nil"/>
                    <w:tr2bl w:val="nil"/>
                  </w:tcBorders>
                  <w:vAlign w:val="center"/>
                </w:tcPr>
                <w:p w14:paraId="2C4977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22:35-22:36</w:t>
                  </w:r>
                </w:p>
              </w:tc>
              <w:tc>
                <w:tcPr>
                  <w:tcW w:w="1140" w:type="dxa"/>
                  <w:tcBorders>
                    <w:tl2br w:val="nil"/>
                    <w:tr2bl w:val="nil"/>
                  </w:tcBorders>
                  <w:vAlign w:val="center"/>
                </w:tcPr>
                <w:p w14:paraId="329BB2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48.4</w:t>
                  </w:r>
                </w:p>
              </w:tc>
              <w:tc>
                <w:tcPr>
                  <w:tcW w:w="705" w:type="dxa"/>
                  <w:tcBorders>
                    <w:tl2br w:val="nil"/>
                    <w:tr2bl w:val="nil"/>
                  </w:tcBorders>
                  <w:vAlign w:val="center"/>
                </w:tcPr>
                <w:p w14:paraId="088573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60/50</w:t>
                  </w:r>
                </w:p>
              </w:tc>
              <w:tc>
                <w:tcPr>
                  <w:tcW w:w="692" w:type="dxa"/>
                  <w:tcBorders>
                    <w:tl2br w:val="nil"/>
                    <w:tr2bl w:val="nil"/>
                  </w:tcBorders>
                  <w:vAlign w:val="center"/>
                </w:tcPr>
                <w:p w14:paraId="453738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达标</w:t>
                  </w:r>
                </w:p>
              </w:tc>
            </w:tr>
            <w:tr w14:paraId="722E63F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02" w:type="dxa"/>
                  <w:vMerge w:val="restart"/>
                  <w:tcBorders>
                    <w:tl2br w:val="nil"/>
                    <w:tr2bl w:val="nil"/>
                  </w:tcBorders>
                  <w:vAlign w:val="center"/>
                </w:tcPr>
                <w:p w14:paraId="5C1C6B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2020.11.11</w:t>
                  </w:r>
                </w:p>
              </w:tc>
              <w:tc>
                <w:tcPr>
                  <w:tcW w:w="1710" w:type="dxa"/>
                  <w:tcBorders>
                    <w:tl2br w:val="nil"/>
                    <w:tr2bl w:val="nil"/>
                  </w:tcBorders>
                  <w:shd w:val="clear" w:color="auto" w:fill="auto"/>
                  <w:vAlign w:val="center"/>
                </w:tcPr>
                <w:p w14:paraId="3C6B62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vertAlign w:val="baseline"/>
                      <w:lang w:val="en-US" w:eastAsia="zh-CN" w:bidi="ar-SA"/>
                    </w:rPr>
                  </w:pPr>
                  <w:r>
                    <w:rPr>
                      <w:rFonts w:hint="eastAsia"/>
                      <w:color w:val="auto"/>
                      <w:kern w:val="0"/>
                      <w:vertAlign w:val="baseline"/>
                      <w:lang w:val="en-US" w:eastAsia="zh-CN"/>
                    </w:rPr>
                    <w:t>厂界外东侧1米处1#监测点位</w:t>
                  </w:r>
                </w:p>
              </w:tc>
              <w:tc>
                <w:tcPr>
                  <w:tcW w:w="1245" w:type="dxa"/>
                  <w:tcBorders>
                    <w:tl2br w:val="nil"/>
                    <w:tr2bl w:val="nil"/>
                  </w:tcBorders>
                  <w:vAlign w:val="center"/>
                </w:tcPr>
                <w:p w14:paraId="4783D1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17:35-17:36</w:t>
                  </w:r>
                </w:p>
              </w:tc>
              <w:tc>
                <w:tcPr>
                  <w:tcW w:w="1080" w:type="dxa"/>
                  <w:tcBorders>
                    <w:tl2br w:val="nil"/>
                    <w:tr2bl w:val="nil"/>
                  </w:tcBorders>
                  <w:vAlign w:val="center"/>
                </w:tcPr>
                <w:p w14:paraId="7836FA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57.8</w:t>
                  </w:r>
                </w:p>
              </w:tc>
              <w:tc>
                <w:tcPr>
                  <w:tcW w:w="1275" w:type="dxa"/>
                  <w:tcBorders>
                    <w:tl2br w:val="nil"/>
                    <w:tr2bl w:val="nil"/>
                  </w:tcBorders>
                  <w:vAlign w:val="center"/>
                </w:tcPr>
                <w:p w14:paraId="4018B7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22:11-22:12</w:t>
                  </w:r>
                </w:p>
              </w:tc>
              <w:tc>
                <w:tcPr>
                  <w:tcW w:w="1140" w:type="dxa"/>
                  <w:tcBorders>
                    <w:tl2br w:val="nil"/>
                    <w:tr2bl w:val="nil"/>
                  </w:tcBorders>
                  <w:vAlign w:val="center"/>
                </w:tcPr>
                <w:p w14:paraId="6AF9A8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48.5</w:t>
                  </w:r>
                </w:p>
              </w:tc>
              <w:tc>
                <w:tcPr>
                  <w:tcW w:w="705" w:type="dxa"/>
                  <w:tcBorders>
                    <w:tl2br w:val="nil"/>
                    <w:tr2bl w:val="nil"/>
                  </w:tcBorders>
                  <w:vAlign w:val="center"/>
                </w:tcPr>
                <w:p w14:paraId="54BE34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60/50</w:t>
                  </w:r>
                </w:p>
              </w:tc>
              <w:tc>
                <w:tcPr>
                  <w:tcW w:w="692" w:type="dxa"/>
                  <w:tcBorders>
                    <w:tl2br w:val="nil"/>
                    <w:tr2bl w:val="nil"/>
                  </w:tcBorders>
                  <w:vAlign w:val="center"/>
                </w:tcPr>
                <w:p w14:paraId="7ABA1A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达标</w:t>
                  </w:r>
                </w:p>
              </w:tc>
            </w:tr>
            <w:tr w14:paraId="5F78CC6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02" w:type="dxa"/>
                  <w:vMerge w:val="continue"/>
                  <w:tcBorders>
                    <w:tl2br w:val="nil"/>
                    <w:tr2bl w:val="nil"/>
                  </w:tcBorders>
                  <w:vAlign w:val="center"/>
                </w:tcPr>
                <w:p w14:paraId="3C2696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1710" w:type="dxa"/>
                  <w:tcBorders>
                    <w:tl2br w:val="nil"/>
                    <w:tr2bl w:val="nil"/>
                  </w:tcBorders>
                  <w:shd w:val="clear" w:color="auto" w:fill="auto"/>
                  <w:vAlign w:val="center"/>
                </w:tcPr>
                <w:p w14:paraId="2286D4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vertAlign w:val="baseline"/>
                      <w:lang w:val="en-US" w:eastAsia="zh-CN" w:bidi="ar-SA"/>
                    </w:rPr>
                  </w:pPr>
                  <w:r>
                    <w:rPr>
                      <w:rFonts w:hint="eastAsia"/>
                      <w:color w:val="auto"/>
                      <w:kern w:val="0"/>
                      <w:vertAlign w:val="baseline"/>
                      <w:lang w:val="en-US" w:eastAsia="zh-CN"/>
                    </w:rPr>
                    <w:t>厂界外南侧1米处2#监测点位</w:t>
                  </w:r>
                </w:p>
              </w:tc>
              <w:tc>
                <w:tcPr>
                  <w:tcW w:w="1245" w:type="dxa"/>
                  <w:tcBorders>
                    <w:tl2br w:val="nil"/>
                    <w:tr2bl w:val="nil"/>
                  </w:tcBorders>
                  <w:vAlign w:val="center"/>
                </w:tcPr>
                <w:p w14:paraId="61806C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17:45-17:46</w:t>
                  </w:r>
                </w:p>
              </w:tc>
              <w:tc>
                <w:tcPr>
                  <w:tcW w:w="1080" w:type="dxa"/>
                  <w:tcBorders>
                    <w:tl2br w:val="nil"/>
                    <w:tr2bl w:val="nil"/>
                  </w:tcBorders>
                  <w:vAlign w:val="center"/>
                </w:tcPr>
                <w:p w14:paraId="47B4A8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58.2</w:t>
                  </w:r>
                </w:p>
              </w:tc>
              <w:tc>
                <w:tcPr>
                  <w:tcW w:w="1275" w:type="dxa"/>
                  <w:tcBorders>
                    <w:tl2br w:val="nil"/>
                    <w:tr2bl w:val="nil"/>
                  </w:tcBorders>
                  <w:vAlign w:val="center"/>
                </w:tcPr>
                <w:p w14:paraId="5DCE9E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22:26-22:27</w:t>
                  </w:r>
                </w:p>
              </w:tc>
              <w:tc>
                <w:tcPr>
                  <w:tcW w:w="1140" w:type="dxa"/>
                  <w:tcBorders>
                    <w:tl2br w:val="nil"/>
                    <w:tr2bl w:val="nil"/>
                  </w:tcBorders>
                  <w:vAlign w:val="center"/>
                </w:tcPr>
                <w:p w14:paraId="777BC4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49.2</w:t>
                  </w:r>
                </w:p>
              </w:tc>
              <w:tc>
                <w:tcPr>
                  <w:tcW w:w="705" w:type="dxa"/>
                  <w:tcBorders>
                    <w:tl2br w:val="nil"/>
                    <w:tr2bl w:val="nil"/>
                  </w:tcBorders>
                  <w:vAlign w:val="center"/>
                </w:tcPr>
                <w:p w14:paraId="549190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60/50</w:t>
                  </w:r>
                </w:p>
              </w:tc>
              <w:tc>
                <w:tcPr>
                  <w:tcW w:w="692" w:type="dxa"/>
                  <w:tcBorders>
                    <w:tl2br w:val="nil"/>
                    <w:tr2bl w:val="nil"/>
                  </w:tcBorders>
                  <w:vAlign w:val="center"/>
                </w:tcPr>
                <w:p w14:paraId="3353E6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达标</w:t>
                  </w:r>
                </w:p>
              </w:tc>
            </w:tr>
            <w:tr w14:paraId="1D1E6E6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02" w:type="dxa"/>
                  <w:vMerge w:val="continue"/>
                  <w:tcBorders>
                    <w:tl2br w:val="nil"/>
                    <w:tr2bl w:val="nil"/>
                  </w:tcBorders>
                  <w:vAlign w:val="center"/>
                </w:tcPr>
                <w:p w14:paraId="6F477B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1710" w:type="dxa"/>
                  <w:tcBorders>
                    <w:tl2br w:val="nil"/>
                    <w:tr2bl w:val="nil"/>
                  </w:tcBorders>
                  <w:shd w:val="clear" w:color="auto" w:fill="auto"/>
                  <w:vAlign w:val="center"/>
                </w:tcPr>
                <w:p w14:paraId="3BA615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vertAlign w:val="baseline"/>
                      <w:lang w:val="en-US" w:eastAsia="zh-CN" w:bidi="ar-SA"/>
                    </w:rPr>
                  </w:pPr>
                  <w:r>
                    <w:rPr>
                      <w:rFonts w:hint="eastAsia"/>
                      <w:color w:val="auto"/>
                      <w:kern w:val="0"/>
                      <w:vertAlign w:val="baseline"/>
                      <w:lang w:val="en-US" w:eastAsia="zh-CN"/>
                    </w:rPr>
                    <w:t>厂界外西侧1米处3#监测点位</w:t>
                  </w:r>
                </w:p>
              </w:tc>
              <w:tc>
                <w:tcPr>
                  <w:tcW w:w="1245" w:type="dxa"/>
                  <w:tcBorders>
                    <w:tl2br w:val="nil"/>
                    <w:tr2bl w:val="nil"/>
                  </w:tcBorders>
                  <w:vAlign w:val="center"/>
                </w:tcPr>
                <w:p w14:paraId="02BA73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17:57-17:58</w:t>
                  </w:r>
                </w:p>
              </w:tc>
              <w:tc>
                <w:tcPr>
                  <w:tcW w:w="1080" w:type="dxa"/>
                  <w:tcBorders>
                    <w:tl2br w:val="nil"/>
                    <w:tr2bl w:val="nil"/>
                  </w:tcBorders>
                  <w:vAlign w:val="center"/>
                </w:tcPr>
                <w:p w14:paraId="1CC1FB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58.0</w:t>
                  </w:r>
                </w:p>
              </w:tc>
              <w:tc>
                <w:tcPr>
                  <w:tcW w:w="1275" w:type="dxa"/>
                  <w:tcBorders>
                    <w:tl2br w:val="nil"/>
                    <w:tr2bl w:val="nil"/>
                  </w:tcBorders>
                  <w:vAlign w:val="center"/>
                </w:tcPr>
                <w:p w14:paraId="04C3E7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22:39-22:40</w:t>
                  </w:r>
                </w:p>
              </w:tc>
              <w:tc>
                <w:tcPr>
                  <w:tcW w:w="1140" w:type="dxa"/>
                  <w:tcBorders>
                    <w:tl2br w:val="nil"/>
                    <w:tr2bl w:val="nil"/>
                  </w:tcBorders>
                  <w:vAlign w:val="center"/>
                </w:tcPr>
                <w:p w14:paraId="28385F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48.9</w:t>
                  </w:r>
                </w:p>
              </w:tc>
              <w:tc>
                <w:tcPr>
                  <w:tcW w:w="705" w:type="dxa"/>
                  <w:tcBorders>
                    <w:tl2br w:val="nil"/>
                    <w:tr2bl w:val="nil"/>
                  </w:tcBorders>
                  <w:vAlign w:val="center"/>
                </w:tcPr>
                <w:p w14:paraId="19A19C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60/50</w:t>
                  </w:r>
                </w:p>
              </w:tc>
              <w:tc>
                <w:tcPr>
                  <w:tcW w:w="692" w:type="dxa"/>
                  <w:tcBorders>
                    <w:tl2br w:val="nil"/>
                    <w:tr2bl w:val="nil"/>
                  </w:tcBorders>
                  <w:vAlign w:val="center"/>
                </w:tcPr>
                <w:p w14:paraId="776E30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达标</w:t>
                  </w:r>
                </w:p>
              </w:tc>
            </w:tr>
            <w:tr w14:paraId="65402CE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02" w:type="dxa"/>
                  <w:vMerge w:val="continue"/>
                  <w:tcBorders>
                    <w:tl2br w:val="nil"/>
                    <w:tr2bl w:val="nil"/>
                  </w:tcBorders>
                  <w:vAlign w:val="center"/>
                </w:tcPr>
                <w:p w14:paraId="699ACC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1710" w:type="dxa"/>
                  <w:tcBorders>
                    <w:tl2br w:val="nil"/>
                    <w:tr2bl w:val="nil"/>
                  </w:tcBorders>
                  <w:shd w:val="clear" w:color="auto" w:fill="auto"/>
                  <w:vAlign w:val="center"/>
                </w:tcPr>
                <w:p w14:paraId="6B7157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vertAlign w:val="baseline"/>
                      <w:lang w:val="en-US" w:eastAsia="zh-CN" w:bidi="ar-SA"/>
                    </w:rPr>
                  </w:pPr>
                  <w:r>
                    <w:rPr>
                      <w:rFonts w:hint="eastAsia"/>
                      <w:color w:val="auto"/>
                      <w:kern w:val="0"/>
                      <w:vertAlign w:val="baseline"/>
                      <w:lang w:val="en-US" w:eastAsia="zh-CN"/>
                    </w:rPr>
                    <w:t>厂界外北侧1米处4#监测点位</w:t>
                  </w:r>
                </w:p>
              </w:tc>
              <w:tc>
                <w:tcPr>
                  <w:tcW w:w="1245" w:type="dxa"/>
                  <w:tcBorders>
                    <w:tl2br w:val="nil"/>
                    <w:tr2bl w:val="nil"/>
                  </w:tcBorders>
                  <w:vAlign w:val="center"/>
                </w:tcPr>
                <w:p w14:paraId="731553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18:10-18:11</w:t>
                  </w:r>
                </w:p>
              </w:tc>
              <w:tc>
                <w:tcPr>
                  <w:tcW w:w="1080" w:type="dxa"/>
                  <w:tcBorders>
                    <w:tl2br w:val="nil"/>
                    <w:tr2bl w:val="nil"/>
                  </w:tcBorders>
                  <w:vAlign w:val="center"/>
                </w:tcPr>
                <w:p w14:paraId="2B3DB2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57.7</w:t>
                  </w:r>
                </w:p>
              </w:tc>
              <w:tc>
                <w:tcPr>
                  <w:tcW w:w="1275" w:type="dxa"/>
                  <w:tcBorders>
                    <w:tl2br w:val="nil"/>
                    <w:tr2bl w:val="nil"/>
                  </w:tcBorders>
                  <w:vAlign w:val="center"/>
                </w:tcPr>
                <w:p w14:paraId="70616E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22:54-22:55</w:t>
                  </w:r>
                </w:p>
              </w:tc>
              <w:tc>
                <w:tcPr>
                  <w:tcW w:w="1140" w:type="dxa"/>
                  <w:tcBorders>
                    <w:tl2br w:val="nil"/>
                    <w:tr2bl w:val="nil"/>
                  </w:tcBorders>
                  <w:vAlign w:val="center"/>
                </w:tcPr>
                <w:p w14:paraId="659E00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48.9</w:t>
                  </w:r>
                </w:p>
              </w:tc>
              <w:tc>
                <w:tcPr>
                  <w:tcW w:w="705" w:type="dxa"/>
                  <w:tcBorders>
                    <w:tl2br w:val="nil"/>
                    <w:tr2bl w:val="nil"/>
                  </w:tcBorders>
                  <w:vAlign w:val="center"/>
                </w:tcPr>
                <w:p w14:paraId="7382B2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60/50</w:t>
                  </w:r>
                </w:p>
              </w:tc>
              <w:tc>
                <w:tcPr>
                  <w:tcW w:w="692" w:type="dxa"/>
                  <w:tcBorders>
                    <w:tl2br w:val="nil"/>
                    <w:tr2bl w:val="nil"/>
                  </w:tcBorders>
                  <w:vAlign w:val="center"/>
                </w:tcPr>
                <w:p w14:paraId="6A006A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达标</w:t>
                  </w:r>
                </w:p>
              </w:tc>
            </w:tr>
            <w:tr w14:paraId="7E979DF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02" w:type="dxa"/>
                  <w:vMerge w:val="restart"/>
                  <w:tcBorders>
                    <w:tl2br w:val="nil"/>
                    <w:tr2bl w:val="nil"/>
                  </w:tcBorders>
                  <w:vAlign w:val="center"/>
                </w:tcPr>
                <w:p w14:paraId="6B6D7C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气象参数</w:t>
                  </w:r>
                </w:p>
              </w:tc>
              <w:tc>
                <w:tcPr>
                  <w:tcW w:w="1710" w:type="dxa"/>
                  <w:tcBorders>
                    <w:tl2br w:val="nil"/>
                    <w:tr2bl w:val="nil"/>
                  </w:tcBorders>
                  <w:vAlign w:val="center"/>
                </w:tcPr>
                <w:p w14:paraId="7FDEBB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2020.11.10</w:t>
                  </w:r>
                </w:p>
              </w:tc>
              <w:tc>
                <w:tcPr>
                  <w:tcW w:w="2325" w:type="dxa"/>
                  <w:gridSpan w:val="2"/>
                  <w:tcBorders>
                    <w:tl2br w:val="nil"/>
                    <w:tr2bl w:val="nil"/>
                  </w:tcBorders>
                  <w:vAlign w:val="center"/>
                </w:tcPr>
                <w:p w14:paraId="7A3270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天气：晴、风速：1.1m/s</w:t>
                  </w:r>
                </w:p>
              </w:tc>
              <w:tc>
                <w:tcPr>
                  <w:tcW w:w="2415" w:type="dxa"/>
                  <w:gridSpan w:val="2"/>
                  <w:tcBorders>
                    <w:tl2br w:val="nil"/>
                    <w:tr2bl w:val="nil"/>
                  </w:tcBorders>
                  <w:vAlign w:val="center"/>
                </w:tcPr>
                <w:p w14:paraId="4DB137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天气：晴、风速：1.2m/s</w:t>
                  </w:r>
                </w:p>
              </w:tc>
              <w:tc>
                <w:tcPr>
                  <w:tcW w:w="1397" w:type="dxa"/>
                  <w:gridSpan w:val="2"/>
                  <w:tcBorders>
                    <w:tl2br w:val="nil"/>
                    <w:tr2bl w:val="nil"/>
                  </w:tcBorders>
                  <w:vAlign w:val="center"/>
                </w:tcPr>
                <w:p w14:paraId="3F9F63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w:t>
                  </w:r>
                </w:p>
              </w:tc>
            </w:tr>
            <w:tr w14:paraId="7743C07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02" w:type="dxa"/>
                  <w:vMerge w:val="continue"/>
                  <w:tcBorders>
                    <w:tl2br w:val="nil"/>
                    <w:tr2bl w:val="nil"/>
                  </w:tcBorders>
                  <w:vAlign w:val="center"/>
                </w:tcPr>
                <w:p w14:paraId="34A665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p>
              </w:tc>
              <w:tc>
                <w:tcPr>
                  <w:tcW w:w="1710" w:type="dxa"/>
                  <w:tcBorders>
                    <w:tl2br w:val="nil"/>
                    <w:tr2bl w:val="nil"/>
                  </w:tcBorders>
                  <w:vAlign w:val="center"/>
                </w:tcPr>
                <w:p w14:paraId="680D4F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2020.11.11</w:t>
                  </w:r>
                </w:p>
              </w:tc>
              <w:tc>
                <w:tcPr>
                  <w:tcW w:w="2325" w:type="dxa"/>
                  <w:gridSpan w:val="2"/>
                  <w:tcBorders>
                    <w:tl2br w:val="nil"/>
                    <w:tr2bl w:val="nil"/>
                  </w:tcBorders>
                  <w:vAlign w:val="center"/>
                </w:tcPr>
                <w:p w14:paraId="2EBBA4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天气：晴、风速：1.3m/s</w:t>
                  </w:r>
                </w:p>
              </w:tc>
              <w:tc>
                <w:tcPr>
                  <w:tcW w:w="2415" w:type="dxa"/>
                  <w:gridSpan w:val="2"/>
                  <w:tcBorders>
                    <w:tl2br w:val="nil"/>
                    <w:tr2bl w:val="nil"/>
                  </w:tcBorders>
                  <w:vAlign w:val="center"/>
                </w:tcPr>
                <w:p w14:paraId="2974C3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天气：晴、风速：1.3m/s</w:t>
                  </w:r>
                </w:p>
              </w:tc>
              <w:tc>
                <w:tcPr>
                  <w:tcW w:w="1397" w:type="dxa"/>
                  <w:gridSpan w:val="2"/>
                  <w:tcBorders>
                    <w:tl2br w:val="nil"/>
                    <w:tr2bl w:val="nil"/>
                  </w:tcBorders>
                  <w:vAlign w:val="center"/>
                </w:tcPr>
                <w:p w14:paraId="38D62B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kern w:val="0"/>
                      <w:vertAlign w:val="baseline"/>
                      <w:lang w:val="en-US" w:eastAsia="zh-CN"/>
                    </w:rPr>
                  </w:pPr>
                  <w:r>
                    <w:rPr>
                      <w:rFonts w:hint="eastAsia"/>
                      <w:color w:val="auto"/>
                      <w:kern w:val="0"/>
                      <w:vertAlign w:val="baseline"/>
                      <w:lang w:val="en-US" w:eastAsia="zh-CN"/>
                    </w:rPr>
                    <w:t>--</w:t>
                  </w:r>
                </w:p>
              </w:tc>
            </w:tr>
          </w:tbl>
          <w:p w14:paraId="3D74330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color w:val="auto"/>
                <w:kern w:val="0"/>
                <w:lang w:val="en-US" w:eastAsia="zh-CN"/>
              </w:rPr>
            </w:pPr>
            <w:r>
              <w:rPr>
                <w:rFonts w:hint="eastAsia"/>
                <w:color w:val="auto"/>
                <w:sz w:val="21"/>
                <w:szCs w:val="21"/>
                <w:highlight w:val="none"/>
              </w:rPr>
              <w:t>监测结果表明，厂界噪声监测值均符合《工业企业厂界环境噪声排放标准》（GB12348-2008）</w:t>
            </w:r>
            <w:r>
              <w:rPr>
                <w:rFonts w:hint="eastAsia"/>
                <w:color w:val="auto"/>
                <w:sz w:val="21"/>
                <w:szCs w:val="21"/>
                <w:highlight w:val="none"/>
                <w:lang w:val="en-US" w:eastAsia="zh-CN"/>
              </w:rPr>
              <w:t>2</w:t>
            </w:r>
            <w:r>
              <w:rPr>
                <w:rFonts w:hint="eastAsia"/>
                <w:color w:val="auto"/>
                <w:sz w:val="21"/>
                <w:szCs w:val="21"/>
                <w:highlight w:val="none"/>
              </w:rPr>
              <w:t>类标准限值要求。</w:t>
            </w:r>
          </w:p>
          <w:p w14:paraId="3BB7161E">
            <w:pPr>
              <w:adjustRightInd w:val="0"/>
              <w:snapToGrid w:val="0"/>
              <w:spacing w:line="360" w:lineRule="auto"/>
              <w:rPr>
                <w:rFonts w:hint="default"/>
                <w:b/>
                <w:bCs/>
                <w:color w:val="auto"/>
                <w:kern w:val="0"/>
                <w:lang w:val="en-US" w:eastAsia="zh-CN"/>
              </w:rPr>
            </w:pPr>
            <w:r>
              <w:rPr>
                <w:rFonts w:hint="eastAsia"/>
                <w:b/>
                <w:bCs/>
                <w:color w:val="auto"/>
                <w:kern w:val="0"/>
                <w:lang w:val="en-US" w:eastAsia="zh-CN"/>
              </w:rPr>
              <w:t>4、现有项目污染物排放总量情况</w:t>
            </w:r>
          </w:p>
          <w:p w14:paraId="3B8322E1">
            <w:pPr>
              <w:adjustRightInd w:val="0"/>
              <w:snapToGrid w:val="0"/>
              <w:spacing w:line="360" w:lineRule="auto"/>
              <w:ind w:firstLine="422" w:firstLineChars="200"/>
              <w:rPr>
                <w:rFonts w:hint="default"/>
                <w:b/>
                <w:bCs/>
                <w:color w:val="auto"/>
                <w:kern w:val="0"/>
                <w:lang w:val="en-US" w:eastAsia="zh-CN"/>
              </w:rPr>
            </w:pPr>
            <w:r>
              <w:rPr>
                <w:rFonts w:hint="eastAsia"/>
                <w:b/>
                <w:bCs/>
                <w:color w:val="auto"/>
                <w:kern w:val="0"/>
                <w:lang w:val="en-US" w:eastAsia="zh-CN"/>
              </w:rPr>
              <w:t>（1）废气</w:t>
            </w:r>
          </w:p>
          <w:p w14:paraId="22956728">
            <w:pPr>
              <w:adjustRightInd w:val="0"/>
              <w:snapToGrid w:val="0"/>
              <w:spacing w:line="360" w:lineRule="auto"/>
              <w:ind w:firstLine="420" w:firstLineChars="200"/>
              <w:rPr>
                <w:rFonts w:hint="default"/>
                <w:color w:val="auto"/>
                <w:kern w:val="0"/>
                <w:lang w:val="en-US" w:eastAsia="zh-CN"/>
              </w:rPr>
            </w:pPr>
            <w:r>
              <w:rPr>
                <w:rFonts w:hint="eastAsia"/>
                <w:b w:val="0"/>
                <w:bCs w:val="0"/>
                <w:color w:val="auto"/>
                <w:szCs w:val="21"/>
                <w:lang w:val="en-US" w:eastAsia="zh-CN"/>
              </w:rPr>
              <w:t>根据《环境影响评价技术导则 大气环境》（HJ2.2-2018）：“改建、扩建项目现状工程的污染源和评价范围内拟被替代的污染源调查，可根据数据的可获得性，依次优先使用项目监督性监测数据、在线监测数据、年度排污许可执行报告、自主验收报告、排污许可证数据、环评数据或补充污染源监测数据等”，因此本次选用现有自主验收报告中监测数据对现有项目废气中颗粒物、非甲烷总烃污染源源强进行核算。</w:t>
            </w:r>
          </w:p>
          <w:p w14:paraId="7FD9A8DD">
            <w:pPr>
              <w:adjustRightInd w:val="0"/>
              <w:snapToGrid w:val="0"/>
              <w:spacing w:line="360" w:lineRule="auto"/>
              <w:ind w:firstLine="420" w:firstLineChars="200"/>
              <w:rPr>
                <w:rFonts w:hint="default"/>
                <w:color w:val="auto"/>
                <w:kern w:val="0"/>
                <w:lang w:val="en-US" w:eastAsia="zh-CN"/>
              </w:rPr>
            </w:pPr>
            <w:r>
              <w:rPr>
                <w:rFonts w:hint="eastAsia"/>
                <w:color w:val="auto"/>
                <w:kern w:val="0"/>
                <w:lang w:val="en-US" w:eastAsia="zh-CN"/>
              </w:rPr>
              <w:t>1）1#排气筒废气排放情况</w:t>
            </w:r>
          </w:p>
          <w:p w14:paraId="51121770">
            <w:pPr>
              <w:adjustRightInd w:val="0"/>
              <w:snapToGrid w:val="0"/>
              <w:spacing w:line="360" w:lineRule="auto"/>
              <w:ind w:firstLine="420" w:firstLineChars="200"/>
              <w:rPr>
                <w:rFonts w:hint="default"/>
                <w:color w:val="auto"/>
                <w:kern w:val="0"/>
                <w:lang w:val="en-US" w:eastAsia="zh-CN"/>
              </w:rPr>
            </w:pPr>
            <w:r>
              <w:rPr>
                <w:rFonts w:hint="eastAsia"/>
                <w:color w:val="auto"/>
                <w:kern w:val="0"/>
                <w:lang w:val="en-US" w:eastAsia="zh-CN"/>
              </w:rPr>
              <w:t>现有项目木工加工粉尘</w:t>
            </w:r>
            <w:r>
              <w:rPr>
                <w:rFonts w:hint="eastAsia"/>
                <w:b w:val="0"/>
                <w:bCs w:val="0"/>
                <w:color w:val="auto"/>
                <w:szCs w:val="21"/>
                <w:lang w:val="en-US" w:eastAsia="zh-CN"/>
              </w:rPr>
              <w:t>收集后经中央除尘装置处理后通过15m高排气筒1#排放，根据《常州吉和智能家具有限公司检测报告》（LT20757），监测期间1#排气筒出口处颗粒物排放速率为0.03kg/h，废气处理设施运行时间为2400h，则颗粒物经处理后排放量为0.072t/a。中央除尘装置处理效率95%、废气收集效率90%，则颗粒物有组织产生量为1.44t/a。</w:t>
            </w:r>
          </w:p>
          <w:p w14:paraId="422F383E">
            <w:pPr>
              <w:adjustRightInd w:val="0"/>
              <w:snapToGrid w:val="0"/>
              <w:spacing w:line="360" w:lineRule="auto"/>
              <w:ind w:firstLine="420" w:firstLineChars="200"/>
              <w:rPr>
                <w:rFonts w:hint="eastAsia"/>
                <w:color w:val="auto"/>
                <w:kern w:val="0"/>
                <w:lang w:val="en-US" w:eastAsia="zh-CN"/>
              </w:rPr>
            </w:pPr>
            <w:r>
              <w:rPr>
                <w:rFonts w:hint="eastAsia"/>
                <w:color w:val="auto"/>
                <w:kern w:val="0"/>
                <w:lang w:val="en-US" w:eastAsia="zh-CN"/>
              </w:rPr>
              <w:t>2）2#排气筒废气排放情况</w:t>
            </w:r>
          </w:p>
          <w:p w14:paraId="177FB4BD">
            <w:pPr>
              <w:adjustRightInd w:val="0"/>
              <w:snapToGrid w:val="0"/>
              <w:spacing w:line="360" w:lineRule="auto"/>
              <w:ind w:firstLine="420" w:firstLineChars="200"/>
              <w:rPr>
                <w:rFonts w:hint="default"/>
                <w:color w:val="auto"/>
                <w:kern w:val="0"/>
                <w:lang w:val="en-US" w:eastAsia="zh-CN"/>
              </w:rPr>
            </w:pPr>
            <w:r>
              <w:rPr>
                <w:rFonts w:hint="eastAsia"/>
                <w:color w:val="auto"/>
                <w:kern w:val="0"/>
                <w:lang w:val="en-US" w:eastAsia="zh-CN"/>
              </w:rPr>
              <w:t>现有项目喷漆、调漆刷漆、晾干、修色擦色、胶水挥发颗粒物、非甲烷总烃经水帘+吸雾毡+二级活性炭吸附装置处理后通过15m高排气筒2#排放，根据</w:t>
            </w:r>
            <w:r>
              <w:rPr>
                <w:rFonts w:hint="eastAsia"/>
                <w:b w:val="0"/>
                <w:bCs w:val="0"/>
                <w:color w:val="auto"/>
                <w:szCs w:val="21"/>
                <w:lang w:val="en-US" w:eastAsia="zh-CN"/>
              </w:rPr>
              <w:t>《常州吉和智能家具有限公司检测报告》（LT20757），监测期间2#排气筒出口处颗粒物排放速率为0.03kg/h，废气处理设施运行时间为1000h，则颗粒物经处理后排放量为0.03t/a。水帘对颗粒物处理效率90%、废气收集效率98%，则颗粒物有组织产生量为0.3t/a；</w:t>
            </w:r>
          </w:p>
          <w:p w14:paraId="781EB924">
            <w:pPr>
              <w:adjustRightInd w:val="0"/>
              <w:snapToGrid w:val="0"/>
              <w:spacing w:line="360" w:lineRule="auto"/>
              <w:ind w:firstLine="420" w:firstLineChars="200"/>
              <w:rPr>
                <w:rFonts w:hint="default"/>
                <w:color w:val="auto"/>
                <w:kern w:val="0"/>
                <w:lang w:val="en-US" w:eastAsia="zh-CN"/>
              </w:rPr>
            </w:pPr>
            <w:r>
              <w:rPr>
                <w:rFonts w:hint="eastAsia"/>
                <w:color w:val="auto"/>
                <w:kern w:val="0"/>
                <w:lang w:val="en-US" w:eastAsia="zh-CN"/>
              </w:rPr>
              <w:t>监测期间2#排气筒出口处非甲烷总烃排放速率为0.017kg/h，废气处理设施运行时间为2400h，则非甲烷总烃经处理后排放量为0.0408t/a。活性炭对非甲烷总烃处理效率80%、废气收集效率95%，则非甲烷总烃有组织产生量为0.204t/a。</w:t>
            </w:r>
          </w:p>
          <w:p w14:paraId="1968AC5B">
            <w:pPr>
              <w:adjustRightInd w:val="0"/>
              <w:snapToGrid w:val="0"/>
              <w:spacing w:line="360" w:lineRule="auto"/>
              <w:ind w:firstLine="420" w:firstLineChars="200"/>
              <w:rPr>
                <w:rFonts w:hint="default"/>
                <w:color w:val="auto"/>
                <w:kern w:val="0"/>
                <w:lang w:val="en-US" w:eastAsia="zh-CN"/>
              </w:rPr>
            </w:pPr>
            <w:r>
              <w:rPr>
                <w:rFonts w:hint="eastAsia"/>
                <w:color w:val="auto"/>
                <w:kern w:val="0"/>
                <w:lang w:val="en-US" w:eastAsia="zh-CN"/>
              </w:rPr>
              <w:t>现有项目废气排放情况见下表：</w:t>
            </w:r>
          </w:p>
          <w:p w14:paraId="7AEF62C0">
            <w:pPr>
              <w:pStyle w:val="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b/>
                <w:bCs/>
                <w:color w:val="auto"/>
                <w:szCs w:val="21"/>
                <w:lang w:val="en-US" w:eastAsia="zh-CN"/>
              </w:rPr>
            </w:pPr>
            <w:r>
              <w:rPr>
                <w:rFonts w:hint="eastAsia"/>
                <w:b/>
                <w:bCs/>
                <w:color w:val="auto"/>
                <w:kern w:val="0"/>
                <w:lang w:val="en-US" w:eastAsia="zh-CN"/>
              </w:rPr>
              <w:t xml:space="preserve">表2-12   </w:t>
            </w:r>
            <w:r>
              <w:rPr>
                <w:rFonts w:hint="eastAsia"/>
                <w:b/>
                <w:bCs/>
                <w:color w:val="auto"/>
                <w:szCs w:val="21"/>
                <w:lang w:val="en-US" w:eastAsia="zh-CN"/>
              </w:rPr>
              <w:t>现有项目废气排放情况一览表</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28" w:type="dxa"/>
                <w:bottom w:w="0" w:type="dxa"/>
                <w:right w:w="28" w:type="dxa"/>
              </w:tblCellMar>
            </w:tblPr>
            <w:tblGrid>
              <w:gridCol w:w="1649"/>
              <w:gridCol w:w="1124"/>
              <w:gridCol w:w="914"/>
              <w:gridCol w:w="1289"/>
              <w:gridCol w:w="1786"/>
              <w:gridCol w:w="1787"/>
            </w:tblGrid>
            <w:tr w14:paraId="3000EFC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0" w:hRule="atLeast"/>
                <w:jc w:val="center"/>
              </w:trPr>
              <w:tc>
                <w:tcPr>
                  <w:tcW w:w="1649" w:type="dxa"/>
                  <w:tcBorders>
                    <w:tl2br w:val="nil"/>
                    <w:tr2bl w:val="nil"/>
                  </w:tcBorders>
                  <w:noWrap w:val="0"/>
                  <w:vAlign w:val="center"/>
                </w:tcPr>
                <w:p w14:paraId="31D1E28A">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rPr>
                      <w:rFonts w:hint="eastAsia" w:ascii="Times New Roman" w:hAnsi="Times New Roman" w:eastAsia="宋体"/>
                      <w:b/>
                      <w:color w:val="auto"/>
                      <w:kern w:val="0"/>
                      <w:sz w:val="21"/>
                      <w:szCs w:val="24"/>
                      <w:lang w:val="en-US" w:eastAsia="zh-CN"/>
                    </w:rPr>
                  </w:pPr>
                  <w:r>
                    <w:rPr>
                      <w:rFonts w:hint="eastAsia" w:ascii="Times New Roman" w:hAnsi="Times New Roman" w:eastAsia="宋体"/>
                      <w:b/>
                      <w:color w:val="auto"/>
                      <w:kern w:val="0"/>
                      <w:sz w:val="21"/>
                      <w:szCs w:val="24"/>
                      <w:lang w:val="en-US" w:eastAsia="zh-CN"/>
                    </w:rPr>
                    <w:t>生产线</w:t>
                  </w:r>
                </w:p>
              </w:tc>
              <w:tc>
                <w:tcPr>
                  <w:tcW w:w="1124" w:type="dxa"/>
                  <w:tcBorders>
                    <w:tl2br w:val="nil"/>
                    <w:tr2bl w:val="nil"/>
                  </w:tcBorders>
                  <w:noWrap w:val="0"/>
                  <w:vAlign w:val="center"/>
                </w:tcPr>
                <w:p w14:paraId="60FC6DE4">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rPr>
                      <w:rFonts w:hint="eastAsia" w:ascii="Times New Roman" w:hAnsi="Times New Roman" w:eastAsia="宋体"/>
                      <w:b/>
                      <w:color w:val="auto"/>
                      <w:kern w:val="0"/>
                      <w:sz w:val="21"/>
                      <w:szCs w:val="24"/>
                      <w:lang w:val="en-US" w:eastAsia="zh-CN"/>
                    </w:rPr>
                  </w:pPr>
                  <w:r>
                    <w:rPr>
                      <w:rFonts w:ascii="Times New Roman" w:hAnsi="Times New Roman" w:eastAsia="宋体"/>
                      <w:b/>
                      <w:color w:val="auto"/>
                      <w:kern w:val="0"/>
                      <w:sz w:val="21"/>
                      <w:szCs w:val="24"/>
                      <w:lang w:val="en-US" w:eastAsia="zh-CN"/>
                    </w:rPr>
                    <w:t>产生</w:t>
                  </w:r>
                  <w:r>
                    <w:rPr>
                      <w:rFonts w:hint="eastAsia" w:ascii="Times New Roman" w:hAnsi="Times New Roman" w:eastAsia="宋体"/>
                      <w:b/>
                      <w:color w:val="auto"/>
                      <w:kern w:val="0"/>
                      <w:sz w:val="21"/>
                      <w:szCs w:val="24"/>
                      <w:lang w:val="en-US" w:eastAsia="zh-CN"/>
                    </w:rPr>
                    <w:t>工序</w:t>
                  </w:r>
                </w:p>
              </w:tc>
              <w:tc>
                <w:tcPr>
                  <w:tcW w:w="914" w:type="dxa"/>
                  <w:tcBorders>
                    <w:tl2br w:val="nil"/>
                    <w:tr2bl w:val="nil"/>
                  </w:tcBorders>
                  <w:noWrap w:val="0"/>
                  <w:vAlign w:val="center"/>
                </w:tcPr>
                <w:p w14:paraId="3F1B1A6E">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rPr>
                      <w:rFonts w:ascii="Times New Roman" w:hAnsi="Times New Roman" w:eastAsia="宋体"/>
                      <w:b/>
                      <w:color w:val="auto"/>
                      <w:kern w:val="0"/>
                      <w:sz w:val="21"/>
                      <w:szCs w:val="24"/>
                      <w:lang w:val="en-US" w:eastAsia="zh-CN"/>
                    </w:rPr>
                  </w:pPr>
                  <w:r>
                    <w:rPr>
                      <w:rFonts w:hint="eastAsia" w:ascii="Times New Roman" w:hAnsi="Times New Roman" w:eastAsia="宋体"/>
                      <w:b/>
                      <w:color w:val="auto"/>
                      <w:kern w:val="0"/>
                      <w:sz w:val="21"/>
                      <w:szCs w:val="24"/>
                      <w:lang w:val="en-US" w:eastAsia="zh-CN"/>
                    </w:rPr>
                    <w:t>污染源</w:t>
                  </w:r>
                </w:p>
              </w:tc>
              <w:tc>
                <w:tcPr>
                  <w:tcW w:w="1289" w:type="dxa"/>
                  <w:tcBorders>
                    <w:tl2br w:val="nil"/>
                    <w:tr2bl w:val="nil"/>
                  </w:tcBorders>
                  <w:noWrap w:val="0"/>
                  <w:vAlign w:val="center"/>
                </w:tcPr>
                <w:p w14:paraId="43841882">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rPr>
                      <w:rFonts w:ascii="Times New Roman" w:hAnsi="Times New Roman" w:eastAsia="宋体"/>
                      <w:b/>
                      <w:color w:val="auto"/>
                      <w:kern w:val="0"/>
                      <w:sz w:val="21"/>
                      <w:szCs w:val="24"/>
                      <w:lang w:val="en-US" w:eastAsia="zh-CN"/>
                    </w:rPr>
                  </w:pPr>
                  <w:r>
                    <w:rPr>
                      <w:rFonts w:ascii="Times New Roman" w:hAnsi="Times New Roman" w:eastAsia="宋体"/>
                      <w:b/>
                      <w:color w:val="auto"/>
                      <w:kern w:val="0"/>
                      <w:sz w:val="21"/>
                      <w:szCs w:val="24"/>
                      <w:lang w:val="en-US" w:eastAsia="zh-CN"/>
                    </w:rPr>
                    <w:t>种类</w:t>
                  </w:r>
                </w:p>
              </w:tc>
              <w:tc>
                <w:tcPr>
                  <w:tcW w:w="1786" w:type="dxa"/>
                  <w:tcBorders>
                    <w:tl2br w:val="nil"/>
                    <w:tr2bl w:val="nil"/>
                  </w:tcBorders>
                  <w:noWrap w:val="0"/>
                  <w:vAlign w:val="center"/>
                </w:tcPr>
                <w:p w14:paraId="413DBC2F">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rPr>
                      <w:rFonts w:hint="default" w:ascii="Times New Roman" w:hAnsi="Times New Roman" w:eastAsia="宋体"/>
                      <w:b/>
                      <w:color w:val="auto"/>
                      <w:kern w:val="0"/>
                      <w:sz w:val="21"/>
                      <w:szCs w:val="24"/>
                      <w:lang w:val="en-US" w:eastAsia="zh-CN"/>
                    </w:rPr>
                  </w:pPr>
                  <w:r>
                    <w:rPr>
                      <w:rFonts w:hint="eastAsia" w:ascii="Times New Roman" w:hAnsi="Times New Roman" w:eastAsia="宋体"/>
                      <w:b/>
                      <w:color w:val="auto"/>
                      <w:kern w:val="0"/>
                      <w:sz w:val="21"/>
                      <w:szCs w:val="24"/>
                      <w:lang w:val="en-US" w:eastAsia="zh-CN"/>
                    </w:rPr>
                    <w:t>有组织排放量t/a</w:t>
                  </w:r>
                </w:p>
              </w:tc>
              <w:tc>
                <w:tcPr>
                  <w:tcW w:w="1787" w:type="dxa"/>
                  <w:tcBorders>
                    <w:tl2br w:val="nil"/>
                    <w:tr2bl w:val="nil"/>
                  </w:tcBorders>
                  <w:noWrap w:val="0"/>
                  <w:vAlign w:val="center"/>
                </w:tcPr>
                <w:p w14:paraId="71DC5119">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rPr>
                      <w:rFonts w:hint="default" w:ascii="Times New Roman" w:hAnsi="Times New Roman" w:eastAsia="宋体"/>
                      <w:b/>
                      <w:color w:val="auto"/>
                      <w:kern w:val="0"/>
                      <w:sz w:val="21"/>
                      <w:szCs w:val="24"/>
                      <w:lang w:val="en-US" w:eastAsia="zh-CN"/>
                    </w:rPr>
                  </w:pPr>
                  <w:r>
                    <w:rPr>
                      <w:rFonts w:hint="eastAsia" w:ascii="Times New Roman" w:hAnsi="Times New Roman" w:eastAsia="宋体"/>
                      <w:b/>
                      <w:color w:val="auto"/>
                      <w:kern w:val="0"/>
                      <w:sz w:val="21"/>
                      <w:szCs w:val="24"/>
                      <w:lang w:val="en-US" w:eastAsia="zh-CN"/>
                    </w:rPr>
                    <w:t>无组织排放量t/a</w:t>
                  </w:r>
                </w:p>
              </w:tc>
            </w:tr>
            <w:tr w14:paraId="24EE489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0" w:hRule="atLeast"/>
                <w:jc w:val="center"/>
              </w:trPr>
              <w:tc>
                <w:tcPr>
                  <w:tcW w:w="1649" w:type="dxa"/>
                  <w:vMerge w:val="restart"/>
                  <w:tcBorders>
                    <w:tl2br w:val="nil"/>
                    <w:tr2bl w:val="nil"/>
                  </w:tcBorders>
                  <w:noWrap w:val="0"/>
                  <w:vAlign w:val="center"/>
                </w:tcPr>
                <w:p w14:paraId="4F028B73">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rPr>
                      <w:rFonts w:hint="default" w:ascii="Times New Roman" w:hAnsi="Times New Roman" w:eastAsia="宋体"/>
                      <w:bCs/>
                      <w:color w:val="auto"/>
                      <w:kern w:val="0"/>
                      <w:sz w:val="21"/>
                      <w:szCs w:val="24"/>
                      <w:lang w:val="en-US" w:eastAsia="zh-CN"/>
                    </w:rPr>
                  </w:pPr>
                  <w:r>
                    <w:rPr>
                      <w:rFonts w:hint="eastAsia"/>
                      <w:bCs/>
                      <w:color w:val="auto"/>
                      <w:kern w:val="0"/>
                      <w:sz w:val="21"/>
                      <w:szCs w:val="24"/>
                      <w:lang w:val="en-US" w:eastAsia="zh-CN"/>
                    </w:rPr>
                    <w:t>木质家具</w:t>
                  </w:r>
                  <w:r>
                    <w:rPr>
                      <w:rFonts w:hint="eastAsia" w:ascii="Times New Roman" w:hAnsi="Times New Roman" w:eastAsia="宋体"/>
                      <w:bCs/>
                      <w:color w:val="auto"/>
                      <w:kern w:val="0"/>
                      <w:sz w:val="21"/>
                      <w:szCs w:val="24"/>
                      <w:lang w:val="en-US" w:eastAsia="zh-CN"/>
                    </w:rPr>
                    <w:t>生产线</w:t>
                  </w:r>
                </w:p>
              </w:tc>
              <w:tc>
                <w:tcPr>
                  <w:tcW w:w="1124" w:type="dxa"/>
                  <w:tcBorders>
                    <w:tl2br w:val="nil"/>
                    <w:tr2bl w:val="nil"/>
                  </w:tcBorders>
                  <w:noWrap w:val="0"/>
                  <w:vAlign w:val="center"/>
                </w:tcPr>
                <w:p w14:paraId="40D4AB25">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rPr>
                      <w:rFonts w:hint="default" w:ascii="Times New Roman" w:hAnsi="Times New Roman" w:eastAsia="宋体"/>
                      <w:color w:val="auto"/>
                      <w:kern w:val="0"/>
                      <w:sz w:val="21"/>
                      <w:szCs w:val="24"/>
                      <w:lang w:val="en-US" w:eastAsia="zh-CN"/>
                    </w:rPr>
                  </w:pPr>
                  <w:r>
                    <w:rPr>
                      <w:rFonts w:hint="eastAsia"/>
                      <w:color w:val="auto"/>
                      <w:kern w:val="0"/>
                      <w:sz w:val="21"/>
                      <w:szCs w:val="24"/>
                      <w:lang w:val="en-US" w:eastAsia="zh-CN"/>
                    </w:rPr>
                    <w:t>木工加工</w:t>
                  </w:r>
                </w:p>
              </w:tc>
              <w:tc>
                <w:tcPr>
                  <w:tcW w:w="914" w:type="dxa"/>
                  <w:tcBorders>
                    <w:tl2br w:val="nil"/>
                    <w:tr2bl w:val="nil"/>
                  </w:tcBorders>
                  <w:noWrap w:val="0"/>
                  <w:vAlign w:val="center"/>
                </w:tcPr>
                <w:p w14:paraId="6DE7D063">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rPr>
                      <w:rFonts w:hint="default" w:ascii="Times New Roman" w:hAnsi="Times New Roman" w:eastAsia="宋体"/>
                      <w:color w:val="auto"/>
                      <w:kern w:val="0"/>
                      <w:sz w:val="21"/>
                      <w:szCs w:val="24"/>
                      <w:lang w:val="en-US" w:eastAsia="zh-CN"/>
                    </w:rPr>
                  </w:pPr>
                  <w:r>
                    <w:rPr>
                      <w:rFonts w:hint="eastAsia" w:ascii="Times New Roman" w:hAnsi="Times New Roman" w:eastAsia="宋体"/>
                      <w:color w:val="auto"/>
                      <w:kern w:val="0"/>
                      <w:sz w:val="21"/>
                      <w:szCs w:val="24"/>
                      <w:lang w:val="en-US" w:eastAsia="zh-CN"/>
                    </w:rPr>
                    <w:t>DA001</w:t>
                  </w:r>
                </w:p>
              </w:tc>
              <w:tc>
                <w:tcPr>
                  <w:tcW w:w="1289" w:type="dxa"/>
                  <w:tcBorders>
                    <w:tl2br w:val="nil"/>
                    <w:tr2bl w:val="nil"/>
                  </w:tcBorders>
                  <w:noWrap w:val="0"/>
                  <w:vAlign w:val="center"/>
                </w:tcPr>
                <w:p w14:paraId="0EAE9253">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rPr>
                      <w:rFonts w:hint="eastAsia" w:ascii="Times New Roman" w:hAnsi="Times New Roman" w:eastAsia="宋体"/>
                      <w:color w:val="auto"/>
                      <w:kern w:val="0"/>
                      <w:sz w:val="21"/>
                      <w:szCs w:val="24"/>
                      <w:lang w:val="en-US" w:eastAsia="zh-CN"/>
                    </w:rPr>
                  </w:pPr>
                  <w:r>
                    <w:rPr>
                      <w:rFonts w:hint="eastAsia" w:ascii="Times New Roman" w:hAnsi="Times New Roman" w:eastAsia="宋体"/>
                      <w:color w:val="auto"/>
                      <w:kern w:val="0"/>
                      <w:sz w:val="21"/>
                      <w:szCs w:val="24"/>
                      <w:lang w:val="en-US" w:eastAsia="zh-CN"/>
                    </w:rPr>
                    <w:t>颗粒物</w:t>
                  </w:r>
                </w:p>
              </w:tc>
              <w:tc>
                <w:tcPr>
                  <w:tcW w:w="1786" w:type="dxa"/>
                  <w:tcBorders>
                    <w:tl2br w:val="nil"/>
                    <w:tr2bl w:val="nil"/>
                  </w:tcBorders>
                  <w:noWrap w:val="0"/>
                  <w:vAlign w:val="center"/>
                </w:tcPr>
                <w:p w14:paraId="1DE11624">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rPr>
                      <w:rFonts w:hint="default" w:ascii="Times New Roman" w:hAnsi="Times New Roman" w:eastAsia="宋体"/>
                      <w:color w:val="auto"/>
                      <w:kern w:val="0"/>
                      <w:sz w:val="21"/>
                      <w:szCs w:val="24"/>
                      <w:lang w:val="en-US" w:eastAsia="zh-CN"/>
                    </w:rPr>
                  </w:pPr>
                  <w:r>
                    <w:rPr>
                      <w:rFonts w:hint="eastAsia" w:ascii="Times New Roman" w:hAnsi="Times New Roman" w:eastAsia="宋体"/>
                      <w:color w:val="auto"/>
                      <w:kern w:val="0"/>
                      <w:sz w:val="21"/>
                      <w:szCs w:val="24"/>
                      <w:lang w:val="en-US" w:eastAsia="zh-CN"/>
                    </w:rPr>
                    <w:t>0.0</w:t>
                  </w:r>
                  <w:r>
                    <w:rPr>
                      <w:rFonts w:hint="eastAsia"/>
                      <w:color w:val="auto"/>
                      <w:kern w:val="0"/>
                      <w:sz w:val="21"/>
                      <w:szCs w:val="24"/>
                      <w:lang w:val="en-US" w:eastAsia="zh-CN"/>
                    </w:rPr>
                    <w:t>72</w:t>
                  </w:r>
                </w:p>
              </w:tc>
              <w:tc>
                <w:tcPr>
                  <w:tcW w:w="1787" w:type="dxa"/>
                  <w:tcBorders>
                    <w:tl2br w:val="nil"/>
                    <w:tr2bl w:val="nil"/>
                  </w:tcBorders>
                  <w:noWrap w:val="0"/>
                  <w:vAlign w:val="center"/>
                </w:tcPr>
                <w:p w14:paraId="2410929D">
                  <w:pPr>
                    <w:pStyle w:val="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olor w:val="auto"/>
                      <w:kern w:val="0"/>
                      <w:sz w:val="21"/>
                      <w:szCs w:val="24"/>
                      <w:lang w:val="en-US" w:eastAsia="zh-CN"/>
                    </w:rPr>
                  </w:pPr>
                  <w:r>
                    <w:rPr>
                      <w:rFonts w:hint="eastAsia"/>
                      <w:color w:val="auto"/>
                      <w:kern w:val="0"/>
                      <w:sz w:val="21"/>
                      <w:szCs w:val="24"/>
                      <w:lang w:val="en-US" w:eastAsia="zh-CN"/>
                    </w:rPr>
                    <w:t>--</w:t>
                  </w:r>
                </w:p>
              </w:tc>
            </w:tr>
            <w:tr w14:paraId="04FDF5F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0" w:hRule="atLeast"/>
                <w:jc w:val="center"/>
              </w:trPr>
              <w:tc>
                <w:tcPr>
                  <w:tcW w:w="1649" w:type="dxa"/>
                  <w:vMerge w:val="continue"/>
                  <w:tcBorders>
                    <w:tl2br w:val="nil"/>
                    <w:tr2bl w:val="nil"/>
                  </w:tcBorders>
                  <w:noWrap w:val="0"/>
                  <w:vAlign w:val="center"/>
                </w:tcPr>
                <w:p w14:paraId="150363DE">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rPr>
                      <w:rFonts w:hint="eastAsia" w:ascii="Times New Roman" w:hAnsi="Times New Roman" w:eastAsia="宋体"/>
                      <w:bCs/>
                      <w:color w:val="auto"/>
                      <w:kern w:val="0"/>
                      <w:sz w:val="21"/>
                      <w:szCs w:val="24"/>
                      <w:lang w:val="en-US" w:eastAsia="zh-CN"/>
                    </w:rPr>
                  </w:pPr>
                </w:p>
              </w:tc>
              <w:tc>
                <w:tcPr>
                  <w:tcW w:w="1124" w:type="dxa"/>
                  <w:vMerge w:val="restart"/>
                  <w:tcBorders>
                    <w:tl2br w:val="nil"/>
                    <w:tr2bl w:val="nil"/>
                  </w:tcBorders>
                  <w:noWrap w:val="0"/>
                  <w:vAlign w:val="center"/>
                </w:tcPr>
                <w:p w14:paraId="7FBD5491">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rPr>
                      <w:rFonts w:hint="default" w:ascii="Times New Roman" w:hAnsi="Times New Roman" w:eastAsia="宋体"/>
                      <w:color w:val="auto"/>
                      <w:kern w:val="0"/>
                      <w:sz w:val="21"/>
                      <w:szCs w:val="24"/>
                      <w:lang w:val="en-US" w:eastAsia="zh-CN"/>
                    </w:rPr>
                  </w:pPr>
                  <w:r>
                    <w:rPr>
                      <w:rFonts w:hint="eastAsia"/>
                      <w:color w:val="auto"/>
                      <w:kern w:val="0"/>
                      <w:sz w:val="21"/>
                      <w:szCs w:val="24"/>
                      <w:lang w:val="en-US" w:eastAsia="zh-CN"/>
                    </w:rPr>
                    <w:t>喷漆</w:t>
                  </w:r>
                </w:p>
              </w:tc>
              <w:tc>
                <w:tcPr>
                  <w:tcW w:w="914" w:type="dxa"/>
                  <w:vMerge w:val="restart"/>
                  <w:tcBorders>
                    <w:tl2br w:val="nil"/>
                    <w:tr2bl w:val="nil"/>
                  </w:tcBorders>
                  <w:noWrap w:val="0"/>
                  <w:vAlign w:val="center"/>
                </w:tcPr>
                <w:p w14:paraId="79A2BFB2">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rPr>
                      <w:rFonts w:hint="default" w:ascii="Times New Roman" w:hAnsi="Times New Roman" w:eastAsia="宋体"/>
                      <w:color w:val="auto"/>
                      <w:kern w:val="0"/>
                      <w:sz w:val="21"/>
                      <w:szCs w:val="24"/>
                      <w:lang w:val="en-US" w:eastAsia="zh-CN"/>
                    </w:rPr>
                  </w:pPr>
                  <w:r>
                    <w:rPr>
                      <w:rFonts w:hint="eastAsia" w:ascii="Times New Roman" w:hAnsi="Times New Roman" w:eastAsia="宋体"/>
                      <w:color w:val="auto"/>
                      <w:kern w:val="0"/>
                      <w:sz w:val="21"/>
                      <w:szCs w:val="24"/>
                      <w:lang w:val="en-US" w:eastAsia="zh-CN"/>
                    </w:rPr>
                    <w:t>DA002</w:t>
                  </w:r>
                </w:p>
              </w:tc>
              <w:tc>
                <w:tcPr>
                  <w:tcW w:w="1289" w:type="dxa"/>
                  <w:tcBorders>
                    <w:tl2br w:val="nil"/>
                    <w:tr2bl w:val="nil"/>
                  </w:tcBorders>
                  <w:noWrap w:val="0"/>
                  <w:vAlign w:val="center"/>
                </w:tcPr>
                <w:p w14:paraId="44285216">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rPr>
                      <w:rFonts w:hint="eastAsia" w:ascii="Times New Roman" w:hAnsi="Times New Roman" w:eastAsia="宋体"/>
                      <w:color w:val="auto"/>
                      <w:kern w:val="0"/>
                      <w:sz w:val="21"/>
                      <w:szCs w:val="24"/>
                      <w:lang w:val="en-US" w:eastAsia="zh-CN"/>
                    </w:rPr>
                  </w:pPr>
                  <w:r>
                    <w:rPr>
                      <w:rFonts w:hint="eastAsia" w:ascii="Times New Roman" w:hAnsi="Times New Roman" w:eastAsia="宋体"/>
                      <w:color w:val="auto"/>
                      <w:kern w:val="0"/>
                      <w:sz w:val="21"/>
                      <w:szCs w:val="24"/>
                      <w:lang w:val="en-US" w:eastAsia="zh-CN"/>
                    </w:rPr>
                    <w:t>颗粒物</w:t>
                  </w:r>
                </w:p>
              </w:tc>
              <w:tc>
                <w:tcPr>
                  <w:tcW w:w="1786" w:type="dxa"/>
                  <w:tcBorders>
                    <w:tl2br w:val="nil"/>
                    <w:tr2bl w:val="nil"/>
                  </w:tcBorders>
                  <w:noWrap w:val="0"/>
                  <w:vAlign w:val="center"/>
                </w:tcPr>
                <w:p w14:paraId="0C04D8CB">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rPr>
                      <w:rFonts w:hint="default" w:ascii="Times New Roman" w:hAnsi="Times New Roman" w:eastAsia="宋体"/>
                      <w:color w:val="auto"/>
                      <w:kern w:val="0"/>
                      <w:sz w:val="21"/>
                      <w:szCs w:val="24"/>
                      <w:lang w:val="en-US" w:eastAsia="zh-CN"/>
                    </w:rPr>
                  </w:pPr>
                  <w:r>
                    <w:rPr>
                      <w:rFonts w:hint="eastAsia"/>
                      <w:color w:val="auto"/>
                      <w:kern w:val="0"/>
                      <w:sz w:val="21"/>
                      <w:szCs w:val="24"/>
                      <w:lang w:val="en-US" w:eastAsia="zh-CN"/>
                    </w:rPr>
                    <w:t>0.03</w:t>
                  </w:r>
                </w:p>
              </w:tc>
              <w:tc>
                <w:tcPr>
                  <w:tcW w:w="1787" w:type="dxa"/>
                  <w:tcBorders>
                    <w:tl2br w:val="nil"/>
                    <w:tr2bl w:val="nil"/>
                  </w:tcBorders>
                  <w:noWrap w:val="0"/>
                  <w:vAlign w:val="center"/>
                </w:tcPr>
                <w:p w14:paraId="6C4D1DE7">
                  <w:pPr>
                    <w:pStyle w:val="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olor w:val="auto"/>
                      <w:kern w:val="0"/>
                      <w:sz w:val="21"/>
                      <w:szCs w:val="24"/>
                      <w:lang w:val="en-US" w:eastAsia="zh-CN"/>
                    </w:rPr>
                  </w:pPr>
                  <w:r>
                    <w:rPr>
                      <w:rFonts w:hint="eastAsia"/>
                      <w:color w:val="auto"/>
                      <w:kern w:val="0"/>
                      <w:sz w:val="21"/>
                      <w:szCs w:val="24"/>
                      <w:lang w:val="en-US" w:eastAsia="zh-CN"/>
                    </w:rPr>
                    <w:t>--</w:t>
                  </w:r>
                </w:p>
              </w:tc>
            </w:tr>
            <w:tr w14:paraId="7C0EA08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12" w:hRule="atLeast"/>
                <w:jc w:val="center"/>
              </w:trPr>
              <w:tc>
                <w:tcPr>
                  <w:tcW w:w="1649" w:type="dxa"/>
                  <w:vMerge w:val="continue"/>
                  <w:tcBorders>
                    <w:tl2br w:val="nil"/>
                    <w:tr2bl w:val="nil"/>
                  </w:tcBorders>
                  <w:noWrap w:val="0"/>
                  <w:vAlign w:val="center"/>
                </w:tcPr>
                <w:p w14:paraId="54913254">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rPr>
                      <w:rFonts w:hint="eastAsia" w:ascii="Times New Roman" w:hAnsi="Times New Roman" w:eastAsia="宋体"/>
                      <w:bCs/>
                      <w:color w:val="auto"/>
                      <w:kern w:val="0"/>
                      <w:sz w:val="21"/>
                      <w:szCs w:val="24"/>
                      <w:lang w:val="en-US" w:eastAsia="zh-CN"/>
                    </w:rPr>
                  </w:pPr>
                </w:p>
              </w:tc>
              <w:tc>
                <w:tcPr>
                  <w:tcW w:w="1124" w:type="dxa"/>
                  <w:vMerge w:val="continue"/>
                  <w:tcBorders>
                    <w:tl2br w:val="nil"/>
                    <w:tr2bl w:val="nil"/>
                  </w:tcBorders>
                  <w:noWrap w:val="0"/>
                  <w:vAlign w:val="center"/>
                </w:tcPr>
                <w:p w14:paraId="5FFDF67F">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rPr>
                      <w:rFonts w:hint="eastAsia" w:ascii="Times New Roman" w:hAnsi="Times New Roman" w:eastAsia="宋体"/>
                      <w:color w:val="auto"/>
                      <w:kern w:val="0"/>
                      <w:sz w:val="21"/>
                      <w:szCs w:val="24"/>
                      <w:lang w:val="en-US" w:eastAsia="zh-CN"/>
                    </w:rPr>
                  </w:pPr>
                </w:p>
              </w:tc>
              <w:tc>
                <w:tcPr>
                  <w:tcW w:w="914" w:type="dxa"/>
                  <w:vMerge w:val="continue"/>
                  <w:tcBorders>
                    <w:tl2br w:val="nil"/>
                    <w:tr2bl w:val="nil"/>
                  </w:tcBorders>
                  <w:noWrap w:val="0"/>
                  <w:vAlign w:val="center"/>
                </w:tcPr>
                <w:p w14:paraId="49913E96">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rPr>
                      <w:rFonts w:hint="eastAsia" w:ascii="Times New Roman" w:hAnsi="Times New Roman" w:eastAsia="宋体"/>
                      <w:color w:val="auto"/>
                      <w:kern w:val="0"/>
                      <w:sz w:val="21"/>
                      <w:szCs w:val="24"/>
                      <w:lang w:val="en-US" w:eastAsia="zh-CN"/>
                    </w:rPr>
                  </w:pPr>
                </w:p>
              </w:tc>
              <w:tc>
                <w:tcPr>
                  <w:tcW w:w="1289" w:type="dxa"/>
                  <w:vMerge w:val="restart"/>
                  <w:tcBorders>
                    <w:tl2br w:val="nil"/>
                    <w:tr2bl w:val="nil"/>
                  </w:tcBorders>
                  <w:noWrap w:val="0"/>
                  <w:vAlign w:val="center"/>
                </w:tcPr>
                <w:p w14:paraId="79303407">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rPr>
                      <w:rFonts w:hint="default" w:ascii="Times New Roman" w:hAnsi="Times New Roman" w:eastAsia="宋体"/>
                      <w:color w:val="auto"/>
                      <w:kern w:val="0"/>
                      <w:sz w:val="21"/>
                      <w:szCs w:val="24"/>
                      <w:lang w:val="en-US" w:eastAsia="zh-CN"/>
                    </w:rPr>
                  </w:pPr>
                  <w:r>
                    <w:rPr>
                      <w:rFonts w:hint="eastAsia"/>
                      <w:color w:val="auto"/>
                      <w:kern w:val="0"/>
                      <w:sz w:val="21"/>
                      <w:szCs w:val="24"/>
                      <w:lang w:val="en-US" w:eastAsia="zh-CN"/>
                    </w:rPr>
                    <w:t>非甲烷总烃</w:t>
                  </w:r>
                </w:p>
              </w:tc>
              <w:tc>
                <w:tcPr>
                  <w:tcW w:w="1786" w:type="dxa"/>
                  <w:vMerge w:val="restart"/>
                  <w:tcBorders>
                    <w:tl2br w:val="nil"/>
                    <w:tr2bl w:val="nil"/>
                  </w:tcBorders>
                  <w:noWrap w:val="0"/>
                  <w:vAlign w:val="center"/>
                </w:tcPr>
                <w:p w14:paraId="41E292E7">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rPr>
                      <w:rFonts w:hint="default" w:ascii="Times New Roman" w:hAnsi="Times New Roman" w:eastAsia="宋体"/>
                      <w:color w:val="auto"/>
                      <w:kern w:val="0"/>
                      <w:sz w:val="21"/>
                      <w:szCs w:val="24"/>
                      <w:lang w:val="en-US" w:eastAsia="zh-CN"/>
                    </w:rPr>
                  </w:pPr>
                  <w:r>
                    <w:rPr>
                      <w:rFonts w:hint="eastAsia"/>
                      <w:color w:val="auto"/>
                      <w:kern w:val="0"/>
                      <w:sz w:val="21"/>
                      <w:szCs w:val="24"/>
                      <w:lang w:val="en-US" w:eastAsia="zh-CN"/>
                    </w:rPr>
                    <w:t>0.0408</w:t>
                  </w:r>
                </w:p>
              </w:tc>
              <w:tc>
                <w:tcPr>
                  <w:tcW w:w="1787" w:type="dxa"/>
                  <w:vMerge w:val="restart"/>
                  <w:tcBorders>
                    <w:tl2br w:val="nil"/>
                    <w:tr2bl w:val="nil"/>
                  </w:tcBorders>
                  <w:noWrap w:val="0"/>
                  <w:vAlign w:val="center"/>
                </w:tcPr>
                <w:p w14:paraId="00587A14">
                  <w:pPr>
                    <w:pStyle w:val="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olor w:val="auto"/>
                      <w:kern w:val="0"/>
                      <w:sz w:val="21"/>
                      <w:szCs w:val="24"/>
                      <w:lang w:val="en-US" w:eastAsia="zh-CN"/>
                    </w:rPr>
                  </w:pPr>
                  <w:r>
                    <w:rPr>
                      <w:rFonts w:hint="eastAsia"/>
                      <w:color w:val="auto"/>
                      <w:kern w:val="0"/>
                      <w:sz w:val="21"/>
                      <w:szCs w:val="24"/>
                      <w:lang w:val="en-US" w:eastAsia="zh-CN"/>
                    </w:rPr>
                    <w:t>--</w:t>
                  </w:r>
                </w:p>
              </w:tc>
            </w:tr>
            <w:tr w14:paraId="1D53F6C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0" w:hRule="atLeast"/>
                <w:jc w:val="center"/>
              </w:trPr>
              <w:tc>
                <w:tcPr>
                  <w:tcW w:w="1649" w:type="dxa"/>
                  <w:vMerge w:val="continue"/>
                  <w:tcBorders>
                    <w:tl2br w:val="nil"/>
                    <w:tr2bl w:val="nil"/>
                  </w:tcBorders>
                  <w:noWrap w:val="0"/>
                  <w:vAlign w:val="center"/>
                </w:tcPr>
                <w:p w14:paraId="266AA491">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rPr>
                      <w:rFonts w:hint="eastAsia" w:ascii="Times New Roman" w:hAnsi="Times New Roman" w:eastAsia="宋体"/>
                      <w:bCs/>
                      <w:color w:val="auto"/>
                      <w:kern w:val="0"/>
                      <w:sz w:val="21"/>
                      <w:szCs w:val="24"/>
                      <w:lang w:val="en-US" w:eastAsia="zh-CN"/>
                    </w:rPr>
                  </w:pPr>
                </w:p>
              </w:tc>
              <w:tc>
                <w:tcPr>
                  <w:tcW w:w="1124" w:type="dxa"/>
                  <w:tcBorders>
                    <w:tl2br w:val="nil"/>
                    <w:tr2bl w:val="nil"/>
                  </w:tcBorders>
                  <w:noWrap w:val="0"/>
                  <w:vAlign w:val="center"/>
                </w:tcPr>
                <w:p w14:paraId="37D77046">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rPr>
                      <w:rFonts w:hint="default" w:ascii="Times New Roman" w:hAnsi="Times New Roman" w:eastAsia="宋体"/>
                      <w:color w:val="auto"/>
                      <w:kern w:val="0"/>
                      <w:sz w:val="21"/>
                      <w:szCs w:val="24"/>
                      <w:lang w:val="en-US" w:eastAsia="zh-CN"/>
                    </w:rPr>
                  </w:pPr>
                  <w:r>
                    <w:rPr>
                      <w:rFonts w:hint="eastAsia"/>
                      <w:color w:val="auto"/>
                      <w:kern w:val="0"/>
                      <w:sz w:val="21"/>
                      <w:szCs w:val="24"/>
                      <w:lang w:val="en-US" w:eastAsia="zh-CN"/>
                    </w:rPr>
                    <w:t>调漆刷漆</w:t>
                  </w:r>
                </w:p>
              </w:tc>
              <w:tc>
                <w:tcPr>
                  <w:tcW w:w="914" w:type="dxa"/>
                  <w:vMerge w:val="continue"/>
                  <w:tcBorders>
                    <w:tl2br w:val="nil"/>
                    <w:tr2bl w:val="nil"/>
                  </w:tcBorders>
                  <w:noWrap w:val="0"/>
                  <w:vAlign w:val="center"/>
                </w:tcPr>
                <w:p w14:paraId="367D877A">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rPr>
                      <w:rFonts w:hint="eastAsia" w:ascii="Times New Roman" w:hAnsi="Times New Roman" w:eastAsia="宋体"/>
                      <w:color w:val="auto"/>
                      <w:kern w:val="0"/>
                      <w:sz w:val="21"/>
                      <w:szCs w:val="24"/>
                      <w:lang w:val="en-US" w:eastAsia="zh-CN"/>
                    </w:rPr>
                  </w:pPr>
                </w:p>
              </w:tc>
              <w:tc>
                <w:tcPr>
                  <w:tcW w:w="1289" w:type="dxa"/>
                  <w:vMerge w:val="continue"/>
                  <w:tcBorders>
                    <w:tl2br w:val="nil"/>
                    <w:tr2bl w:val="nil"/>
                  </w:tcBorders>
                  <w:noWrap w:val="0"/>
                  <w:vAlign w:val="center"/>
                </w:tcPr>
                <w:p w14:paraId="637894E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rPr>
                      <w:rFonts w:hint="eastAsia" w:ascii="Times New Roman" w:hAnsi="Times New Roman" w:eastAsia="宋体"/>
                      <w:color w:val="auto"/>
                      <w:kern w:val="0"/>
                      <w:sz w:val="21"/>
                      <w:szCs w:val="24"/>
                      <w:lang w:val="en-US" w:eastAsia="zh-CN"/>
                    </w:rPr>
                  </w:pPr>
                </w:p>
              </w:tc>
              <w:tc>
                <w:tcPr>
                  <w:tcW w:w="1786" w:type="dxa"/>
                  <w:vMerge w:val="continue"/>
                  <w:tcBorders>
                    <w:tl2br w:val="nil"/>
                    <w:tr2bl w:val="nil"/>
                  </w:tcBorders>
                  <w:noWrap w:val="0"/>
                  <w:vAlign w:val="center"/>
                </w:tcPr>
                <w:p w14:paraId="55787891">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rPr>
                      <w:rFonts w:hint="eastAsia" w:ascii="Times New Roman" w:hAnsi="Times New Roman" w:eastAsia="宋体"/>
                      <w:color w:val="auto"/>
                      <w:kern w:val="0"/>
                      <w:sz w:val="21"/>
                      <w:szCs w:val="24"/>
                      <w:lang w:val="en-US" w:eastAsia="zh-CN"/>
                    </w:rPr>
                  </w:pPr>
                </w:p>
              </w:tc>
              <w:tc>
                <w:tcPr>
                  <w:tcW w:w="1787" w:type="dxa"/>
                  <w:vMerge w:val="continue"/>
                  <w:tcBorders>
                    <w:tl2br w:val="nil"/>
                    <w:tr2bl w:val="nil"/>
                  </w:tcBorders>
                  <w:noWrap w:val="0"/>
                  <w:vAlign w:val="center"/>
                </w:tcPr>
                <w:p w14:paraId="7AC27C9E">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rPr>
                      <w:rFonts w:hint="eastAsia" w:ascii="Times New Roman" w:hAnsi="Times New Roman" w:eastAsia="宋体"/>
                      <w:color w:val="auto"/>
                      <w:kern w:val="0"/>
                      <w:sz w:val="21"/>
                      <w:szCs w:val="24"/>
                      <w:lang w:val="en-US" w:eastAsia="zh-CN"/>
                    </w:rPr>
                  </w:pPr>
                </w:p>
              </w:tc>
            </w:tr>
            <w:tr w14:paraId="42FE5B1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0" w:hRule="atLeast"/>
                <w:jc w:val="center"/>
              </w:trPr>
              <w:tc>
                <w:tcPr>
                  <w:tcW w:w="1649" w:type="dxa"/>
                  <w:vMerge w:val="continue"/>
                  <w:tcBorders>
                    <w:tl2br w:val="nil"/>
                    <w:tr2bl w:val="nil"/>
                  </w:tcBorders>
                  <w:noWrap w:val="0"/>
                  <w:vAlign w:val="center"/>
                </w:tcPr>
                <w:p w14:paraId="3C9BEB96">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rPr>
                      <w:rFonts w:hint="eastAsia" w:ascii="Times New Roman" w:hAnsi="Times New Roman" w:eastAsia="宋体"/>
                      <w:bCs/>
                      <w:color w:val="auto"/>
                      <w:kern w:val="0"/>
                      <w:sz w:val="21"/>
                      <w:szCs w:val="24"/>
                      <w:lang w:val="en-US" w:eastAsia="zh-CN"/>
                    </w:rPr>
                  </w:pPr>
                </w:p>
              </w:tc>
              <w:tc>
                <w:tcPr>
                  <w:tcW w:w="1124" w:type="dxa"/>
                  <w:tcBorders>
                    <w:tl2br w:val="nil"/>
                    <w:tr2bl w:val="nil"/>
                  </w:tcBorders>
                  <w:noWrap w:val="0"/>
                  <w:vAlign w:val="center"/>
                </w:tcPr>
                <w:p w14:paraId="2AFCD893">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rPr>
                      <w:rFonts w:hint="default" w:ascii="Times New Roman" w:hAnsi="Times New Roman" w:eastAsia="宋体"/>
                      <w:color w:val="auto"/>
                      <w:kern w:val="0"/>
                      <w:sz w:val="21"/>
                      <w:szCs w:val="24"/>
                      <w:lang w:val="en-US" w:eastAsia="zh-CN"/>
                    </w:rPr>
                  </w:pPr>
                  <w:r>
                    <w:rPr>
                      <w:rFonts w:hint="eastAsia"/>
                      <w:color w:val="auto"/>
                      <w:kern w:val="0"/>
                      <w:sz w:val="21"/>
                      <w:szCs w:val="24"/>
                      <w:lang w:val="en-US" w:eastAsia="zh-CN"/>
                    </w:rPr>
                    <w:t>晾干</w:t>
                  </w:r>
                </w:p>
              </w:tc>
              <w:tc>
                <w:tcPr>
                  <w:tcW w:w="914" w:type="dxa"/>
                  <w:vMerge w:val="continue"/>
                  <w:tcBorders>
                    <w:tl2br w:val="nil"/>
                    <w:tr2bl w:val="nil"/>
                  </w:tcBorders>
                  <w:noWrap w:val="0"/>
                  <w:vAlign w:val="center"/>
                </w:tcPr>
                <w:p w14:paraId="739821E0">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rPr>
                      <w:rFonts w:hint="eastAsia" w:ascii="Times New Roman" w:hAnsi="Times New Roman" w:eastAsia="宋体"/>
                      <w:color w:val="auto"/>
                      <w:kern w:val="0"/>
                      <w:sz w:val="21"/>
                      <w:szCs w:val="24"/>
                      <w:lang w:val="en-US" w:eastAsia="zh-CN"/>
                    </w:rPr>
                  </w:pPr>
                </w:p>
              </w:tc>
              <w:tc>
                <w:tcPr>
                  <w:tcW w:w="1289" w:type="dxa"/>
                  <w:vMerge w:val="continue"/>
                  <w:tcBorders>
                    <w:tl2br w:val="nil"/>
                    <w:tr2bl w:val="nil"/>
                  </w:tcBorders>
                  <w:noWrap w:val="0"/>
                  <w:vAlign w:val="center"/>
                </w:tcPr>
                <w:p w14:paraId="55F8331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rPr>
                      <w:rFonts w:hint="eastAsia" w:ascii="Times New Roman" w:hAnsi="Times New Roman" w:eastAsia="宋体"/>
                      <w:color w:val="auto"/>
                      <w:kern w:val="0"/>
                      <w:sz w:val="21"/>
                      <w:szCs w:val="24"/>
                      <w:lang w:val="en-US" w:eastAsia="zh-CN"/>
                    </w:rPr>
                  </w:pPr>
                </w:p>
              </w:tc>
              <w:tc>
                <w:tcPr>
                  <w:tcW w:w="1786" w:type="dxa"/>
                  <w:vMerge w:val="continue"/>
                  <w:tcBorders>
                    <w:tl2br w:val="nil"/>
                    <w:tr2bl w:val="nil"/>
                  </w:tcBorders>
                  <w:noWrap w:val="0"/>
                  <w:vAlign w:val="center"/>
                </w:tcPr>
                <w:p w14:paraId="066576BD">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rPr>
                      <w:rFonts w:hint="eastAsia" w:ascii="Times New Roman" w:hAnsi="Times New Roman" w:eastAsia="宋体"/>
                      <w:color w:val="auto"/>
                      <w:kern w:val="0"/>
                      <w:sz w:val="21"/>
                      <w:szCs w:val="24"/>
                      <w:lang w:val="en-US" w:eastAsia="zh-CN"/>
                    </w:rPr>
                  </w:pPr>
                </w:p>
              </w:tc>
              <w:tc>
                <w:tcPr>
                  <w:tcW w:w="1787" w:type="dxa"/>
                  <w:vMerge w:val="continue"/>
                  <w:tcBorders>
                    <w:tl2br w:val="nil"/>
                    <w:tr2bl w:val="nil"/>
                  </w:tcBorders>
                  <w:noWrap w:val="0"/>
                  <w:vAlign w:val="center"/>
                </w:tcPr>
                <w:p w14:paraId="0D103123">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rPr>
                      <w:rFonts w:hint="eastAsia" w:ascii="Times New Roman" w:hAnsi="Times New Roman" w:eastAsia="宋体"/>
                      <w:color w:val="auto"/>
                      <w:kern w:val="0"/>
                      <w:sz w:val="21"/>
                      <w:szCs w:val="24"/>
                      <w:lang w:val="en-US" w:eastAsia="zh-CN"/>
                    </w:rPr>
                  </w:pPr>
                </w:p>
              </w:tc>
            </w:tr>
            <w:tr w14:paraId="4E8F0A4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0" w:hRule="atLeast"/>
                <w:jc w:val="center"/>
              </w:trPr>
              <w:tc>
                <w:tcPr>
                  <w:tcW w:w="1649" w:type="dxa"/>
                  <w:vMerge w:val="continue"/>
                  <w:tcBorders>
                    <w:tl2br w:val="nil"/>
                    <w:tr2bl w:val="nil"/>
                  </w:tcBorders>
                  <w:noWrap w:val="0"/>
                  <w:vAlign w:val="center"/>
                </w:tcPr>
                <w:p w14:paraId="25CEB89D">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rPr>
                      <w:rFonts w:hint="eastAsia" w:ascii="Times New Roman" w:hAnsi="Times New Roman" w:eastAsia="宋体"/>
                      <w:bCs/>
                      <w:color w:val="auto"/>
                      <w:kern w:val="0"/>
                      <w:sz w:val="21"/>
                      <w:szCs w:val="24"/>
                      <w:lang w:val="en-US" w:eastAsia="zh-CN"/>
                    </w:rPr>
                  </w:pPr>
                </w:p>
              </w:tc>
              <w:tc>
                <w:tcPr>
                  <w:tcW w:w="1124" w:type="dxa"/>
                  <w:tcBorders>
                    <w:tl2br w:val="nil"/>
                    <w:tr2bl w:val="nil"/>
                  </w:tcBorders>
                  <w:noWrap w:val="0"/>
                  <w:vAlign w:val="center"/>
                </w:tcPr>
                <w:p w14:paraId="569A100E">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rPr>
                      <w:rFonts w:hint="default" w:ascii="Times New Roman" w:hAnsi="Times New Roman" w:eastAsia="宋体"/>
                      <w:color w:val="auto"/>
                      <w:kern w:val="0"/>
                      <w:sz w:val="21"/>
                      <w:szCs w:val="24"/>
                      <w:lang w:val="en-US" w:eastAsia="zh-CN"/>
                    </w:rPr>
                  </w:pPr>
                  <w:r>
                    <w:rPr>
                      <w:rFonts w:hint="eastAsia"/>
                      <w:color w:val="auto"/>
                      <w:kern w:val="0"/>
                      <w:sz w:val="21"/>
                      <w:szCs w:val="24"/>
                      <w:lang w:val="en-US" w:eastAsia="zh-CN"/>
                    </w:rPr>
                    <w:t>擦色修色</w:t>
                  </w:r>
                </w:p>
              </w:tc>
              <w:tc>
                <w:tcPr>
                  <w:tcW w:w="914" w:type="dxa"/>
                  <w:vMerge w:val="continue"/>
                  <w:tcBorders>
                    <w:tl2br w:val="nil"/>
                    <w:tr2bl w:val="nil"/>
                  </w:tcBorders>
                  <w:noWrap w:val="0"/>
                  <w:vAlign w:val="center"/>
                </w:tcPr>
                <w:p w14:paraId="17105AED">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rPr>
                      <w:rFonts w:hint="eastAsia" w:ascii="Times New Roman" w:hAnsi="Times New Roman" w:eastAsia="宋体"/>
                      <w:color w:val="auto"/>
                      <w:kern w:val="0"/>
                      <w:sz w:val="21"/>
                      <w:szCs w:val="24"/>
                      <w:lang w:val="en-US" w:eastAsia="zh-CN"/>
                    </w:rPr>
                  </w:pPr>
                </w:p>
              </w:tc>
              <w:tc>
                <w:tcPr>
                  <w:tcW w:w="1289" w:type="dxa"/>
                  <w:vMerge w:val="continue"/>
                  <w:tcBorders>
                    <w:tl2br w:val="nil"/>
                    <w:tr2bl w:val="nil"/>
                  </w:tcBorders>
                  <w:noWrap w:val="0"/>
                  <w:vAlign w:val="center"/>
                </w:tcPr>
                <w:p w14:paraId="4E440E1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rPr>
                      <w:rFonts w:hint="eastAsia" w:ascii="Times New Roman" w:hAnsi="Times New Roman" w:eastAsia="宋体"/>
                      <w:color w:val="auto"/>
                      <w:kern w:val="0"/>
                      <w:sz w:val="21"/>
                      <w:szCs w:val="24"/>
                      <w:lang w:val="en-US" w:eastAsia="zh-CN"/>
                    </w:rPr>
                  </w:pPr>
                </w:p>
              </w:tc>
              <w:tc>
                <w:tcPr>
                  <w:tcW w:w="1786" w:type="dxa"/>
                  <w:vMerge w:val="continue"/>
                  <w:tcBorders>
                    <w:tl2br w:val="nil"/>
                    <w:tr2bl w:val="nil"/>
                  </w:tcBorders>
                  <w:noWrap w:val="0"/>
                  <w:vAlign w:val="center"/>
                </w:tcPr>
                <w:p w14:paraId="79F0C114">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rPr>
                      <w:rFonts w:hint="eastAsia" w:ascii="Times New Roman" w:hAnsi="Times New Roman" w:eastAsia="宋体"/>
                      <w:color w:val="auto"/>
                      <w:kern w:val="0"/>
                      <w:sz w:val="21"/>
                      <w:szCs w:val="24"/>
                      <w:lang w:val="en-US" w:eastAsia="zh-CN"/>
                    </w:rPr>
                  </w:pPr>
                </w:p>
              </w:tc>
              <w:tc>
                <w:tcPr>
                  <w:tcW w:w="1787" w:type="dxa"/>
                  <w:vMerge w:val="continue"/>
                  <w:tcBorders>
                    <w:tl2br w:val="nil"/>
                    <w:tr2bl w:val="nil"/>
                  </w:tcBorders>
                  <w:noWrap w:val="0"/>
                  <w:vAlign w:val="center"/>
                </w:tcPr>
                <w:p w14:paraId="1C996F77">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rPr>
                      <w:rFonts w:hint="eastAsia" w:ascii="Times New Roman" w:hAnsi="Times New Roman" w:eastAsia="宋体"/>
                      <w:color w:val="auto"/>
                      <w:kern w:val="0"/>
                      <w:sz w:val="21"/>
                      <w:szCs w:val="24"/>
                      <w:lang w:val="en-US" w:eastAsia="zh-CN"/>
                    </w:rPr>
                  </w:pPr>
                </w:p>
              </w:tc>
            </w:tr>
            <w:tr w14:paraId="72DC05D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0" w:hRule="atLeast"/>
                <w:jc w:val="center"/>
              </w:trPr>
              <w:tc>
                <w:tcPr>
                  <w:tcW w:w="1649" w:type="dxa"/>
                  <w:vMerge w:val="continue"/>
                  <w:tcBorders>
                    <w:tl2br w:val="nil"/>
                    <w:tr2bl w:val="nil"/>
                  </w:tcBorders>
                  <w:noWrap w:val="0"/>
                  <w:vAlign w:val="center"/>
                </w:tcPr>
                <w:p w14:paraId="2F86261A">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rPr>
                      <w:rFonts w:hint="eastAsia" w:ascii="Times New Roman" w:hAnsi="Times New Roman" w:eastAsia="宋体"/>
                      <w:bCs/>
                      <w:color w:val="auto"/>
                      <w:kern w:val="0"/>
                      <w:sz w:val="21"/>
                      <w:szCs w:val="24"/>
                      <w:lang w:val="en-US" w:eastAsia="zh-CN"/>
                    </w:rPr>
                  </w:pPr>
                </w:p>
              </w:tc>
              <w:tc>
                <w:tcPr>
                  <w:tcW w:w="1124" w:type="dxa"/>
                  <w:tcBorders>
                    <w:tl2br w:val="nil"/>
                    <w:tr2bl w:val="nil"/>
                  </w:tcBorders>
                  <w:noWrap w:val="0"/>
                  <w:vAlign w:val="center"/>
                </w:tcPr>
                <w:p w14:paraId="682E4E6C">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rPr>
                      <w:rFonts w:hint="default" w:ascii="Times New Roman" w:hAnsi="Times New Roman" w:eastAsia="宋体"/>
                      <w:color w:val="auto"/>
                      <w:kern w:val="0"/>
                      <w:sz w:val="21"/>
                      <w:szCs w:val="24"/>
                      <w:lang w:val="en-US" w:eastAsia="zh-CN"/>
                    </w:rPr>
                  </w:pPr>
                  <w:r>
                    <w:rPr>
                      <w:rFonts w:hint="eastAsia"/>
                      <w:color w:val="auto"/>
                      <w:kern w:val="0"/>
                      <w:sz w:val="21"/>
                      <w:szCs w:val="24"/>
                      <w:lang w:val="en-US" w:eastAsia="zh-CN"/>
                    </w:rPr>
                    <w:t>胶水挥发</w:t>
                  </w:r>
                </w:p>
              </w:tc>
              <w:tc>
                <w:tcPr>
                  <w:tcW w:w="914" w:type="dxa"/>
                  <w:vMerge w:val="continue"/>
                  <w:tcBorders>
                    <w:tl2br w:val="nil"/>
                    <w:tr2bl w:val="nil"/>
                  </w:tcBorders>
                  <w:noWrap w:val="0"/>
                  <w:vAlign w:val="center"/>
                </w:tcPr>
                <w:p w14:paraId="394C5269">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rPr>
                      <w:rFonts w:hint="eastAsia" w:ascii="Times New Roman" w:hAnsi="Times New Roman" w:eastAsia="宋体"/>
                      <w:color w:val="auto"/>
                      <w:kern w:val="0"/>
                      <w:sz w:val="21"/>
                      <w:szCs w:val="24"/>
                      <w:lang w:val="en-US" w:eastAsia="zh-CN"/>
                    </w:rPr>
                  </w:pPr>
                </w:p>
              </w:tc>
              <w:tc>
                <w:tcPr>
                  <w:tcW w:w="1289" w:type="dxa"/>
                  <w:vMerge w:val="continue"/>
                  <w:tcBorders>
                    <w:tl2br w:val="nil"/>
                    <w:tr2bl w:val="nil"/>
                  </w:tcBorders>
                  <w:noWrap w:val="0"/>
                  <w:vAlign w:val="center"/>
                </w:tcPr>
                <w:p w14:paraId="765169A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rPr>
                      <w:rFonts w:hint="eastAsia" w:ascii="Times New Roman" w:hAnsi="Times New Roman" w:eastAsia="宋体"/>
                      <w:color w:val="auto"/>
                      <w:kern w:val="0"/>
                      <w:sz w:val="21"/>
                      <w:szCs w:val="24"/>
                      <w:lang w:val="en-US" w:eastAsia="zh-CN"/>
                    </w:rPr>
                  </w:pPr>
                </w:p>
              </w:tc>
              <w:tc>
                <w:tcPr>
                  <w:tcW w:w="1786" w:type="dxa"/>
                  <w:vMerge w:val="continue"/>
                  <w:tcBorders>
                    <w:tl2br w:val="nil"/>
                    <w:tr2bl w:val="nil"/>
                  </w:tcBorders>
                  <w:noWrap w:val="0"/>
                  <w:vAlign w:val="center"/>
                </w:tcPr>
                <w:p w14:paraId="78B900C0">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rPr>
                      <w:rFonts w:hint="eastAsia" w:ascii="Times New Roman" w:hAnsi="Times New Roman" w:eastAsia="宋体"/>
                      <w:color w:val="auto"/>
                      <w:kern w:val="0"/>
                      <w:sz w:val="21"/>
                      <w:szCs w:val="24"/>
                      <w:lang w:val="en-US" w:eastAsia="zh-CN"/>
                    </w:rPr>
                  </w:pPr>
                </w:p>
              </w:tc>
              <w:tc>
                <w:tcPr>
                  <w:tcW w:w="1787" w:type="dxa"/>
                  <w:vMerge w:val="continue"/>
                  <w:tcBorders>
                    <w:tl2br w:val="nil"/>
                    <w:tr2bl w:val="nil"/>
                  </w:tcBorders>
                  <w:noWrap w:val="0"/>
                  <w:vAlign w:val="center"/>
                </w:tcPr>
                <w:p w14:paraId="69033B85">
                  <w:pPr>
                    <w:pStyle w:val="5"/>
                    <w:keepNext w:val="0"/>
                    <w:keepLines w:val="0"/>
                    <w:pageBreakBefore w:val="0"/>
                    <w:widowControl w:val="0"/>
                    <w:kinsoku/>
                    <w:wordWrap/>
                    <w:overflowPunct/>
                    <w:topLinePunct w:val="0"/>
                    <w:autoSpaceDE/>
                    <w:autoSpaceDN/>
                    <w:bidi w:val="0"/>
                    <w:adjustRightInd w:val="0"/>
                    <w:snapToGrid w:val="0"/>
                    <w:spacing w:line="240" w:lineRule="auto"/>
                    <w:ind w:firstLine="0"/>
                    <w:jc w:val="center"/>
                    <w:rPr>
                      <w:rFonts w:hint="eastAsia" w:ascii="Times New Roman" w:hAnsi="Times New Roman" w:eastAsia="宋体"/>
                      <w:color w:val="auto"/>
                      <w:kern w:val="0"/>
                      <w:sz w:val="21"/>
                      <w:szCs w:val="24"/>
                      <w:lang w:val="en-US" w:eastAsia="zh-CN"/>
                    </w:rPr>
                  </w:pPr>
                </w:p>
              </w:tc>
            </w:tr>
          </w:tbl>
          <w:p w14:paraId="5570C0E2">
            <w:pPr>
              <w:adjustRightInd w:val="0"/>
              <w:snapToGrid w:val="0"/>
              <w:spacing w:line="360" w:lineRule="auto"/>
              <w:ind w:firstLine="422" w:firstLineChars="200"/>
              <w:rPr>
                <w:rFonts w:hint="default"/>
                <w:b/>
                <w:bCs/>
                <w:color w:val="auto"/>
                <w:kern w:val="0"/>
                <w:lang w:val="en-US" w:eastAsia="zh-CN"/>
              </w:rPr>
            </w:pPr>
            <w:r>
              <w:rPr>
                <w:rFonts w:hint="eastAsia"/>
                <w:b/>
                <w:bCs/>
                <w:color w:val="auto"/>
                <w:kern w:val="0"/>
                <w:lang w:val="en-US" w:eastAsia="zh-CN"/>
              </w:rPr>
              <w:t>（2）废水</w:t>
            </w:r>
          </w:p>
          <w:p w14:paraId="09F7C1F0">
            <w:pPr>
              <w:pStyle w:val="5"/>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b/>
                <w:bCs/>
                <w:color w:val="auto"/>
                <w:szCs w:val="21"/>
                <w:lang w:val="en-US" w:eastAsia="zh-CN"/>
              </w:rPr>
            </w:pPr>
            <w:r>
              <w:rPr>
                <w:rFonts w:hint="eastAsia"/>
                <w:b/>
                <w:bCs/>
                <w:color w:val="auto"/>
                <w:szCs w:val="21"/>
                <w:lang w:val="en-US" w:eastAsia="zh-CN"/>
              </w:rPr>
              <w:t>①废水产生类别及处置方式</w:t>
            </w:r>
          </w:p>
          <w:p w14:paraId="6868CEA3">
            <w:pPr>
              <w:adjustRightInd w:val="0"/>
              <w:snapToGrid w:val="0"/>
              <w:spacing w:line="360" w:lineRule="auto"/>
              <w:ind w:firstLine="420" w:firstLineChars="200"/>
              <w:rPr>
                <w:rFonts w:hint="default"/>
                <w:color w:val="auto"/>
                <w:kern w:val="0"/>
                <w:lang w:val="en-US" w:eastAsia="zh-CN"/>
              </w:rPr>
            </w:pPr>
            <w:r>
              <w:rPr>
                <w:rFonts w:hint="eastAsia"/>
                <w:color w:val="auto"/>
                <w:kern w:val="0"/>
                <w:lang w:val="en-US" w:eastAsia="zh-CN"/>
              </w:rPr>
              <w:t>现有项目用水为生活用水、水帘用水、喷枪清洗用水、车间地面清洁用水，废水为生活污水。</w:t>
            </w:r>
            <w:r>
              <w:rPr>
                <w:rFonts w:hint="eastAsia"/>
                <w:b w:val="0"/>
                <w:bCs w:val="0"/>
                <w:color w:val="auto"/>
                <w:szCs w:val="21"/>
                <w:lang w:val="en-US" w:eastAsia="zh-CN"/>
              </w:rPr>
              <w:t>项目所在厂区已实施雨污分流排水体制，雨水经雨水管网收集后接入市政雨水管网；水帘废液和喷枪清洗废液最终进入危废，委托有资质单位处置；车间地面清洁用水全部损耗；生活污水经厂区已建污水接管口接管常州金坛区第二污水处理有限公司集中处理，处理后尾水排入尧塘河。</w:t>
            </w:r>
          </w:p>
          <w:p w14:paraId="685DC028">
            <w:pPr>
              <w:pStyle w:val="5"/>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b/>
                <w:bCs/>
                <w:color w:val="auto"/>
                <w:szCs w:val="21"/>
                <w:lang w:val="en-US" w:eastAsia="zh-CN"/>
              </w:rPr>
            </w:pPr>
            <w:r>
              <w:rPr>
                <w:rFonts w:hint="eastAsia"/>
                <w:b/>
                <w:bCs/>
                <w:color w:val="auto"/>
                <w:szCs w:val="21"/>
                <w:lang w:val="en-US" w:eastAsia="zh-CN"/>
              </w:rPr>
              <w:t>②废水产生、排放情况</w:t>
            </w:r>
          </w:p>
          <w:p w14:paraId="1C85FE0E">
            <w:pPr>
              <w:adjustRightInd w:val="0"/>
              <w:snapToGrid w:val="0"/>
              <w:spacing w:line="360" w:lineRule="auto"/>
              <w:ind w:firstLine="420" w:firstLineChars="200"/>
              <w:rPr>
                <w:rFonts w:hint="default"/>
                <w:color w:val="auto"/>
                <w:kern w:val="0"/>
                <w:lang w:val="en-US" w:eastAsia="zh-CN"/>
              </w:rPr>
            </w:pPr>
            <w:r>
              <w:rPr>
                <w:rFonts w:hint="eastAsia"/>
                <w:color w:val="auto"/>
                <w:kern w:val="0"/>
                <w:lang w:val="en-US" w:eastAsia="zh-CN"/>
              </w:rPr>
              <w:t>1）现有项目劳动定员35人，用水量约525t/a，生活污水排放量为420t/a，各污染因子排放量为COD 0.1428t/a、SS 0.0672t/a、NH</w:t>
            </w:r>
            <w:r>
              <w:rPr>
                <w:rFonts w:hint="eastAsia"/>
                <w:color w:val="auto"/>
                <w:kern w:val="0"/>
                <w:vertAlign w:val="subscript"/>
                <w:lang w:val="en-US" w:eastAsia="zh-CN"/>
              </w:rPr>
              <w:t>3</w:t>
            </w:r>
            <w:r>
              <w:rPr>
                <w:rFonts w:hint="eastAsia"/>
                <w:color w:val="auto"/>
                <w:kern w:val="0"/>
                <w:lang w:val="en-US" w:eastAsia="zh-CN"/>
              </w:rPr>
              <w:t>-N 0.0105t/a、TP 0.0013t/a、TN 0.0147t/a。</w:t>
            </w:r>
          </w:p>
          <w:p w14:paraId="377E3F4B">
            <w:pPr>
              <w:pStyle w:val="27"/>
              <w:spacing w:line="360" w:lineRule="auto"/>
              <w:ind w:left="0" w:leftChars="0" w:right="0" w:rightChars="0" w:firstLine="482"/>
              <w:jc w:val="both"/>
              <w:rPr>
                <w:rFonts w:ascii="Times New Roman" w:hAnsi="Times New Roman"/>
                <w:bCs/>
                <w:color w:val="auto"/>
                <w:sz w:val="21"/>
                <w:szCs w:val="21"/>
              </w:rPr>
            </w:pPr>
            <w:r>
              <w:rPr>
                <w:rFonts w:hint="eastAsia" w:ascii="Times New Roman" w:hAnsi="Times New Roman"/>
                <w:b w:val="0"/>
                <w:bCs/>
                <w:color w:val="auto"/>
                <w:sz w:val="21"/>
                <w:szCs w:val="21"/>
                <w:lang w:val="en-US" w:eastAsia="zh-CN"/>
              </w:rPr>
              <w:t>2）现有</w:t>
            </w:r>
            <w:r>
              <w:rPr>
                <w:rFonts w:ascii="Times New Roman" w:hAnsi="Times New Roman"/>
                <w:bCs/>
                <w:color w:val="auto"/>
                <w:sz w:val="21"/>
                <w:szCs w:val="21"/>
              </w:rPr>
              <w:t>项目设置两个喷漆房，每个喷漆房内各设置一个水帘装置截留漆雾，水帘水循环使用定期补充，单个循环量为</w:t>
            </w:r>
            <w:r>
              <w:rPr>
                <w:rFonts w:hint="eastAsia" w:ascii="Times New Roman" w:hAnsi="Times New Roman"/>
                <w:bCs/>
                <w:color w:val="auto"/>
                <w:sz w:val="21"/>
                <w:szCs w:val="21"/>
                <w:lang w:val="en-US" w:eastAsia="zh-CN"/>
              </w:rPr>
              <w:t>2.5t</w:t>
            </w:r>
            <w:r>
              <w:rPr>
                <w:rFonts w:ascii="Times New Roman" w:hAnsi="Times New Roman"/>
                <w:bCs/>
                <w:color w:val="auto"/>
                <w:sz w:val="21"/>
                <w:szCs w:val="21"/>
              </w:rPr>
              <w:t>/h，</w:t>
            </w:r>
            <w:r>
              <w:rPr>
                <w:rFonts w:hint="eastAsia" w:ascii="Times New Roman" w:hAnsi="Times New Roman"/>
                <w:bCs/>
                <w:color w:val="auto"/>
                <w:sz w:val="21"/>
                <w:szCs w:val="21"/>
                <w:lang w:val="en-US" w:eastAsia="zh-CN"/>
              </w:rPr>
              <w:t>现有</w:t>
            </w:r>
            <w:r>
              <w:rPr>
                <w:rFonts w:ascii="Times New Roman" w:hAnsi="Times New Roman"/>
                <w:bCs/>
                <w:color w:val="auto"/>
                <w:sz w:val="21"/>
                <w:szCs w:val="21"/>
              </w:rPr>
              <w:t>项目</w:t>
            </w:r>
            <w:r>
              <w:rPr>
                <w:rFonts w:hint="eastAsia" w:ascii="Times New Roman" w:hAnsi="Times New Roman"/>
                <w:bCs/>
                <w:color w:val="auto"/>
                <w:sz w:val="21"/>
                <w:szCs w:val="21"/>
                <w:lang w:val="en-US" w:eastAsia="zh-CN"/>
              </w:rPr>
              <w:t>年工作时间2400h</w:t>
            </w:r>
            <w:r>
              <w:rPr>
                <w:rFonts w:ascii="Times New Roman" w:hAnsi="Times New Roman"/>
                <w:bCs/>
                <w:color w:val="auto"/>
                <w:sz w:val="21"/>
                <w:szCs w:val="21"/>
              </w:rPr>
              <w:t>，则</w:t>
            </w:r>
            <w:r>
              <w:rPr>
                <w:rFonts w:hint="eastAsia" w:ascii="Times New Roman" w:hAnsi="Times New Roman"/>
                <w:bCs/>
                <w:color w:val="auto"/>
                <w:sz w:val="21"/>
                <w:szCs w:val="21"/>
                <w:lang w:val="en-US" w:eastAsia="zh-CN"/>
              </w:rPr>
              <w:t>两</w:t>
            </w:r>
            <w:r>
              <w:rPr>
                <w:rFonts w:ascii="Times New Roman" w:hAnsi="Times New Roman"/>
                <w:bCs/>
                <w:color w:val="auto"/>
                <w:sz w:val="21"/>
                <w:szCs w:val="21"/>
              </w:rPr>
              <w:t>个水帘循环量为</w:t>
            </w:r>
            <w:r>
              <w:rPr>
                <w:rFonts w:hint="eastAsia" w:ascii="Times New Roman" w:hAnsi="Times New Roman"/>
                <w:bCs/>
                <w:color w:val="auto"/>
                <w:sz w:val="21"/>
                <w:szCs w:val="21"/>
                <w:lang w:val="en-US" w:eastAsia="zh-CN"/>
              </w:rPr>
              <w:t>12000t</w:t>
            </w:r>
            <w:r>
              <w:rPr>
                <w:rFonts w:ascii="Times New Roman" w:hAnsi="Times New Roman"/>
                <w:bCs/>
                <w:color w:val="auto"/>
                <w:sz w:val="21"/>
                <w:szCs w:val="21"/>
              </w:rPr>
              <w:t>/a，循环过程中损耗量以</w:t>
            </w:r>
            <w:r>
              <w:rPr>
                <w:rFonts w:hint="eastAsia" w:ascii="Times New Roman" w:hAnsi="Times New Roman"/>
                <w:bCs/>
                <w:color w:val="auto"/>
                <w:sz w:val="21"/>
                <w:szCs w:val="21"/>
                <w:lang w:val="en-US" w:eastAsia="zh-CN"/>
              </w:rPr>
              <w:t>3</w:t>
            </w:r>
            <w:r>
              <w:rPr>
                <w:rFonts w:ascii="Times New Roman" w:hAnsi="Times New Roman"/>
                <w:bCs/>
                <w:color w:val="auto"/>
                <w:sz w:val="21"/>
                <w:szCs w:val="21"/>
              </w:rPr>
              <w:t>%计，则两个水帘装置年损耗量为</w:t>
            </w:r>
            <w:r>
              <w:rPr>
                <w:rFonts w:hint="eastAsia" w:ascii="Times New Roman" w:hAnsi="Times New Roman"/>
                <w:bCs/>
                <w:color w:val="auto"/>
                <w:sz w:val="21"/>
                <w:szCs w:val="21"/>
                <w:lang w:val="en-US" w:eastAsia="zh-CN"/>
              </w:rPr>
              <w:t>360t</w:t>
            </w:r>
            <w:r>
              <w:rPr>
                <w:rFonts w:ascii="Times New Roman" w:hAnsi="Times New Roman"/>
                <w:bCs/>
                <w:color w:val="auto"/>
                <w:sz w:val="21"/>
                <w:szCs w:val="21"/>
              </w:rPr>
              <w:t>/a。</w:t>
            </w:r>
          </w:p>
          <w:p w14:paraId="608B13A3">
            <w:pPr>
              <w:pStyle w:val="27"/>
              <w:spacing w:line="360" w:lineRule="auto"/>
              <w:ind w:left="0" w:leftChars="0" w:right="0" w:rightChars="0" w:firstLine="480"/>
              <w:jc w:val="both"/>
              <w:rPr>
                <w:rFonts w:ascii="Times New Roman" w:hAnsi="Times New Roman"/>
                <w:color w:val="auto"/>
                <w:sz w:val="21"/>
                <w:szCs w:val="21"/>
              </w:rPr>
            </w:pPr>
            <w:r>
              <w:rPr>
                <w:rFonts w:ascii="Times New Roman" w:hAnsi="Times New Roman"/>
                <w:bCs/>
                <w:color w:val="auto"/>
                <w:sz w:val="21"/>
                <w:szCs w:val="21"/>
              </w:rPr>
              <w:t>项目水帘</w:t>
            </w:r>
            <w:r>
              <w:rPr>
                <w:rFonts w:ascii="Times New Roman" w:hAnsi="Times New Roman"/>
                <w:color w:val="auto"/>
                <w:spacing w:val="-2"/>
                <w:sz w:val="21"/>
                <w:szCs w:val="21"/>
              </w:rPr>
              <w:t>循环水池约每半年清理一次，两个循环水池规格均为：</w:t>
            </w:r>
            <w:r>
              <w:rPr>
                <w:rFonts w:hint="eastAsia" w:ascii="Times New Roman" w:hAnsi="Times New Roman"/>
                <w:color w:val="auto"/>
                <w:spacing w:val="-2"/>
                <w:sz w:val="21"/>
                <w:szCs w:val="21"/>
                <w:lang w:val="en-US" w:eastAsia="zh-CN"/>
              </w:rPr>
              <w:t>4</w:t>
            </w:r>
            <w:r>
              <w:rPr>
                <w:rFonts w:ascii="Times New Roman" w:hAnsi="Times New Roman"/>
                <w:color w:val="auto"/>
                <w:spacing w:val="-2"/>
                <w:sz w:val="21"/>
                <w:szCs w:val="21"/>
              </w:rPr>
              <w:t>m×1</w:t>
            </w:r>
            <w:r>
              <w:rPr>
                <w:rFonts w:hint="eastAsia" w:ascii="Times New Roman" w:hAnsi="Times New Roman"/>
                <w:color w:val="auto"/>
                <w:spacing w:val="-2"/>
                <w:sz w:val="21"/>
                <w:szCs w:val="21"/>
                <w:lang w:val="en-US" w:eastAsia="zh-CN"/>
              </w:rPr>
              <w:t>.2</w:t>
            </w:r>
            <w:r>
              <w:rPr>
                <w:rFonts w:ascii="Times New Roman" w:hAnsi="Times New Roman"/>
                <w:color w:val="auto"/>
                <w:spacing w:val="-2"/>
                <w:sz w:val="21"/>
                <w:szCs w:val="21"/>
              </w:rPr>
              <w:t>m×0.</w:t>
            </w:r>
            <w:r>
              <w:rPr>
                <w:rFonts w:hint="eastAsia" w:ascii="Times New Roman" w:hAnsi="Times New Roman"/>
                <w:color w:val="auto"/>
                <w:spacing w:val="-2"/>
                <w:sz w:val="21"/>
                <w:szCs w:val="21"/>
                <w:lang w:val="en-US" w:eastAsia="zh-CN"/>
              </w:rPr>
              <w:t>4</w:t>
            </w:r>
            <w:r>
              <w:rPr>
                <w:rFonts w:ascii="Times New Roman" w:hAnsi="Times New Roman"/>
                <w:color w:val="auto"/>
                <w:spacing w:val="-2"/>
                <w:sz w:val="21"/>
                <w:szCs w:val="21"/>
              </w:rPr>
              <w:t>m</w:t>
            </w:r>
            <w:r>
              <w:rPr>
                <w:rFonts w:ascii="Times New Roman" w:hAnsi="Times New Roman"/>
                <w:color w:val="auto"/>
                <w:sz w:val="21"/>
                <w:szCs w:val="21"/>
              </w:rPr>
              <w:t>，</w:t>
            </w:r>
            <w:r>
              <w:rPr>
                <w:rFonts w:hint="eastAsia" w:ascii="Times New Roman" w:hAnsi="Times New Roman"/>
                <w:color w:val="auto"/>
                <w:sz w:val="21"/>
                <w:szCs w:val="21"/>
                <w:lang w:val="en-US" w:eastAsia="zh-CN"/>
              </w:rPr>
              <w:t>运行容积合计</w:t>
            </w:r>
            <w:r>
              <w:rPr>
                <w:rFonts w:hint="eastAsia" w:ascii="Times New Roman" w:hAnsi="Times New Roman"/>
                <w:color w:val="auto"/>
                <w:sz w:val="21"/>
                <w:szCs w:val="21"/>
                <w:lang w:eastAsia="zh-CN"/>
              </w:rPr>
              <w:t>为</w:t>
            </w:r>
            <w:r>
              <w:rPr>
                <w:rFonts w:hint="eastAsia" w:ascii="Times New Roman" w:hAnsi="Times New Roman"/>
                <w:color w:val="auto"/>
                <w:sz w:val="21"/>
                <w:szCs w:val="21"/>
                <w:lang w:val="en-US" w:eastAsia="zh-CN"/>
              </w:rPr>
              <w:t>3t，循环水池</w:t>
            </w:r>
            <w:r>
              <w:rPr>
                <w:rFonts w:hint="eastAsia" w:ascii="Times New Roman" w:hAnsi="Times New Roman"/>
                <w:color w:val="auto"/>
                <w:sz w:val="21"/>
                <w:szCs w:val="21"/>
              </w:rPr>
              <w:t>废水每年彻底清理一次，更换的废水采用新鲜水补充，则</w:t>
            </w:r>
            <w:r>
              <w:rPr>
                <w:rFonts w:hint="eastAsia" w:ascii="Times New Roman" w:hAnsi="Times New Roman"/>
                <w:color w:val="auto"/>
                <w:sz w:val="21"/>
                <w:szCs w:val="21"/>
                <w:lang w:val="en-US" w:eastAsia="zh-CN"/>
              </w:rPr>
              <w:t>循环水池</w:t>
            </w:r>
            <w:r>
              <w:rPr>
                <w:rFonts w:hint="eastAsia" w:ascii="Times New Roman" w:hAnsi="Times New Roman"/>
                <w:color w:val="auto"/>
                <w:sz w:val="21"/>
                <w:szCs w:val="21"/>
              </w:rPr>
              <w:t>补充水量为</w:t>
            </w:r>
            <w:r>
              <w:rPr>
                <w:rFonts w:hint="eastAsia" w:ascii="Times New Roman" w:hAnsi="Times New Roman"/>
                <w:color w:val="auto"/>
                <w:sz w:val="21"/>
                <w:szCs w:val="21"/>
                <w:lang w:val="en-US" w:eastAsia="zh-CN"/>
              </w:rPr>
              <w:t>3</w:t>
            </w:r>
            <w:r>
              <w:rPr>
                <w:rFonts w:hint="eastAsia" w:ascii="Times New Roman" w:hAnsi="Times New Roman"/>
                <w:color w:val="auto"/>
                <w:sz w:val="21"/>
                <w:szCs w:val="21"/>
              </w:rPr>
              <w:t>t/a。</w:t>
            </w:r>
          </w:p>
          <w:p w14:paraId="3F05F22B">
            <w:pPr>
              <w:pStyle w:val="27"/>
              <w:spacing w:line="360" w:lineRule="auto"/>
              <w:ind w:left="0" w:leftChars="0" w:right="0" w:rightChars="0" w:firstLine="482"/>
              <w:jc w:val="left"/>
              <w:rPr>
                <w:rFonts w:ascii="Times New Roman" w:hAnsi="Times New Roman"/>
                <w:bCs/>
                <w:color w:val="auto"/>
                <w:sz w:val="21"/>
                <w:szCs w:val="21"/>
              </w:rPr>
            </w:pPr>
            <w:r>
              <w:rPr>
                <w:rFonts w:hint="eastAsia" w:ascii="Times New Roman" w:hAnsi="Times New Roman"/>
                <w:b w:val="0"/>
                <w:bCs/>
                <w:color w:val="auto"/>
                <w:sz w:val="21"/>
                <w:szCs w:val="21"/>
                <w:lang w:val="en-US" w:eastAsia="zh-CN"/>
              </w:rPr>
              <w:t>3）现有项目</w:t>
            </w:r>
            <w:r>
              <w:rPr>
                <w:rFonts w:ascii="Times New Roman" w:hAnsi="Times New Roman"/>
                <w:bCs/>
                <w:color w:val="auto"/>
                <w:sz w:val="21"/>
                <w:szCs w:val="21"/>
              </w:rPr>
              <w:t>喷枪每次使用后均需要清洗，采用水性漆，喷枪直接水洗即可。喷枪清洗用水量以1.5kg/次计，</w:t>
            </w:r>
            <w:r>
              <w:rPr>
                <w:rFonts w:hint="eastAsia"/>
                <w:bCs/>
                <w:color w:val="auto"/>
                <w:sz w:val="21"/>
                <w:szCs w:val="21"/>
                <w:lang w:val="en-US" w:eastAsia="zh-CN"/>
              </w:rPr>
              <w:t>年工作300d，</w:t>
            </w:r>
            <w:r>
              <w:rPr>
                <w:rFonts w:ascii="Times New Roman" w:hAnsi="Times New Roman"/>
                <w:bCs/>
                <w:color w:val="auto"/>
                <w:sz w:val="21"/>
                <w:szCs w:val="21"/>
              </w:rPr>
              <w:t>则喷枪清洗用水量约为0.45</w:t>
            </w:r>
            <w:r>
              <w:rPr>
                <w:rFonts w:hint="eastAsia"/>
                <w:bCs/>
                <w:color w:val="auto"/>
                <w:sz w:val="21"/>
                <w:szCs w:val="21"/>
                <w:lang w:val="en-US" w:eastAsia="zh-CN"/>
              </w:rPr>
              <w:t>t</w:t>
            </w:r>
            <w:r>
              <w:rPr>
                <w:rFonts w:ascii="Times New Roman" w:hAnsi="Times New Roman"/>
                <w:bCs/>
                <w:color w:val="auto"/>
                <w:sz w:val="21"/>
                <w:szCs w:val="21"/>
              </w:rPr>
              <w:t>/a，废液产生量约为80%，约0.36</w:t>
            </w:r>
            <w:r>
              <w:rPr>
                <w:rFonts w:hint="eastAsia"/>
                <w:bCs/>
                <w:color w:val="auto"/>
                <w:sz w:val="21"/>
                <w:szCs w:val="21"/>
                <w:lang w:val="en-US" w:eastAsia="zh-CN"/>
              </w:rPr>
              <w:t>t</w:t>
            </w:r>
            <w:r>
              <w:rPr>
                <w:rFonts w:ascii="Times New Roman" w:hAnsi="Times New Roman"/>
                <w:bCs/>
                <w:color w:val="auto"/>
                <w:sz w:val="21"/>
                <w:szCs w:val="21"/>
              </w:rPr>
              <w:t>/a。</w:t>
            </w:r>
          </w:p>
          <w:p w14:paraId="3EDC3D2A">
            <w:pPr>
              <w:adjustRightInd w:val="0"/>
              <w:snapToGrid w:val="0"/>
              <w:spacing w:line="360" w:lineRule="auto"/>
              <w:ind w:firstLine="422" w:firstLineChars="200"/>
              <w:rPr>
                <w:rFonts w:hint="default"/>
                <w:color w:val="auto"/>
                <w:kern w:val="0"/>
                <w:sz w:val="21"/>
                <w:szCs w:val="21"/>
                <w:lang w:val="en-US" w:eastAsia="zh-CN"/>
              </w:rPr>
            </w:pPr>
            <w:r>
              <w:rPr>
                <w:rFonts w:hint="eastAsia" w:ascii="Times New Roman" w:hAnsi="Times New Roman" w:cs="Times New Roman"/>
                <w:b/>
                <w:color w:val="auto"/>
                <w:sz w:val="21"/>
                <w:szCs w:val="21"/>
                <w:lang w:eastAsia="zh-CN"/>
              </w:rPr>
              <w:t>车间地面清洁用水：</w:t>
            </w:r>
            <w:r>
              <w:rPr>
                <w:rFonts w:hint="eastAsia" w:cs="Times New Roman"/>
                <w:b w:val="0"/>
                <w:bCs/>
                <w:color w:val="auto"/>
                <w:sz w:val="21"/>
                <w:szCs w:val="21"/>
                <w:lang w:val="en-US" w:eastAsia="zh-CN"/>
              </w:rPr>
              <w:t>现有</w:t>
            </w:r>
            <w:r>
              <w:rPr>
                <w:rFonts w:hint="eastAsia" w:ascii="Times New Roman" w:hAnsi="Times New Roman" w:cs="Times New Roman"/>
                <w:b w:val="0"/>
                <w:bCs/>
                <w:color w:val="auto"/>
                <w:sz w:val="21"/>
                <w:szCs w:val="21"/>
                <w:lang w:eastAsia="zh-CN"/>
              </w:rPr>
              <w:t>项目车间地面清洁方式为：地面洒水后清扫，每半个月清扫一次，参考《给水工程》（第四版）浇洒道路用水量，取1L/m</w:t>
            </w:r>
            <w:r>
              <w:rPr>
                <w:rFonts w:hint="eastAsia" w:ascii="Times New Roman" w:hAnsi="Times New Roman" w:cs="Times New Roman"/>
                <w:b w:val="0"/>
                <w:bCs/>
                <w:color w:val="auto"/>
                <w:sz w:val="21"/>
                <w:szCs w:val="21"/>
                <w:vertAlign w:val="superscript"/>
                <w:lang w:eastAsia="zh-CN"/>
              </w:rPr>
              <w:t>2</w:t>
            </w:r>
            <w:r>
              <w:rPr>
                <w:rFonts w:hint="eastAsia" w:ascii="Times New Roman" w:hAnsi="Times New Roman" w:cs="Times New Roman"/>
                <w:b w:val="0"/>
                <w:bCs/>
                <w:color w:val="auto"/>
                <w:sz w:val="21"/>
                <w:szCs w:val="21"/>
                <w:lang w:eastAsia="zh-CN"/>
              </w:rPr>
              <w:t>，</w:t>
            </w:r>
            <w:r>
              <w:rPr>
                <w:rFonts w:hint="eastAsia" w:cs="Times New Roman"/>
                <w:b w:val="0"/>
                <w:bCs/>
                <w:color w:val="auto"/>
                <w:sz w:val="21"/>
                <w:szCs w:val="21"/>
                <w:lang w:val="en-US" w:eastAsia="zh-CN"/>
              </w:rPr>
              <w:t>现有</w:t>
            </w:r>
            <w:r>
              <w:rPr>
                <w:rFonts w:hint="eastAsia" w:ascii="Times New Roman" w:hAnsi="Times New Roman" w:cs="Times New Roman"/>
                <w:b w:val="0"/>
                <w:bCs/>
                <w:color w:val="auto"/>
                <w:sz w:val="21"/>
                <w:szCs w:val="21"/>
                <w:lang w:eastAsia="zh-CN"/>
              </w:rPr>
              <w:t>项目生产车间约</w:t>
            </w:r>
            <w:r>
              <w:rPr>
                <w:rFonts w:hint="eastAsia" w:ascii="Times New Roman" w:hAnsi="Times New Roman" w:cs="Times New Roman"/>
                <w:b w:val="0"/>
                <w:bCs/>
                <w:color w:val="auto"/>
                <w:sz w:val="21"/>
                <w:szCs w:val="21"/>
                <w:lang w:val="en-US" w:eastAsia="zh-CN"/>
              </w:rPr>
              <w:t>3060</w:t>
            </w:r>
            <w:r>
              <w:rPr>
                <w:rFonts w:hint="eastAsia" w:ascii="Times New Roman" w:hAnsi="Times New Roman" w:cs="Times New Roman"/>
                <w:b w:val="0"/>
                <w:bCs/>
                <w:color w:val="auto"/>
                <w:sz w:val="21"/>
                <w:szCs w:val="21"/>
                <w:lang w:eastAsia="zh-CN"/>
              </w:rPr>
              <w:t>m</w:t>
            </w:r>
            <w:r>
              <w:rPr>
                <w:rFonts w:hint="eastAsia" w:ascii="Times New Roman" w:hAnsi="Times New Roman" w:cs="Times New Roman"/>
                <w:b w:val="0"/>
                <w:bCs/>
                <w:color w:val="auto"/>
                <w:sz w:val="21"/>
                <w:szCs w:val="21"/>
                <w:vertAlign w:val="superscript"/>
                <w:lang w:eastAsia="zh-CN"/>
              </w:rPr>
              <w:t>2</w:t>
            </w:r>
            <w:r>
              <w:rPr>
                <w:rFonts w:hint="eastAsia" w:ascii="Times New Roman" w:hAnsi="Times New Roman" w:cs="Times New Roman"/>
                <w:b w:val="0"/>
                <w:bCs/>
                <w:color w:val="auto"/>
                <w:sz w:val="21"/>
                <w:szCs w:val="21"/>
                <w:lang w:eastAsia="zh-CN"/>
              </w:rPr>
              <w:t>，车间地面清洁预计用水</w:t>
            </w:r>
            <w:r>
              <w:rPr>
                <w:rFonts w:hint="eastAsia" w:ascii="Times New Roman" w:hAnsi="Times New Roman" w:cs="Times New Roman"/>
                <w:b w:val="0"/>
                <w:bCs/>
                <w:color w:val="auto"/>
                <w:sz w:val="21"/>
                <w:szCs w:val="21"/>
                <w:lang w:val="en-US" w:eastAsia="zh-CN"/>
              </w:rPr>
              <w:t>3.06</w:t>
            </w:r>
            <w:r>
              <w:rPr>
                <w:rFonts w:hint="eastAsia" w:cs="Times New Roman"/>
                <w:b w:val="0"/>
                <w:bCs/>
                <w:color w:val="auto"/>
                <w:sz w:val="21"/>
                <w:szCs w:val="21"/>
                <w:lang w:val="en-US" w:eastAsia="zh-CN"/>
              </w:rPr>
              <w:t>t</w:t>
            </w:r>
            <w:r>
              <w:rPr>
                <w:rFonts w:hint="eastAsia" w:ascii="Times New Roman" w:hAnsi="Times New Roman" w:cs="Times New Roman"/>
                <w:b w:val="0"/>
                <w:bCs/>
                <w:color w:val="auto"/>
                <w:sz w:val="21"/>
                <w:szCs w:val="21"/>
                <w:lang w:eastAsia="zh-CN"/>
              </w:rPr>
              <w:t>/次，一年以</w:t>
            </w:r>
            <w:r>
              <w:rPr>
                <w:rFonts w:hint="eastAsia" w:ascii="Times New Roman" w:hAnsi="Times New Roman" w:cs="Times New Roman"/>
                <w:b w:val="0"/>
                <w:bCs/>
                <w:color w:val="auto"/>
                <w:sz w:val="21"/>
                <w:szCs w:val="21"/>
                <w:lang w:val="en-US" w:eastAsia="zh-CN"/>
              </w:rPr>
              <w:t>24</w:t>
            </w:r>
            <w:r>
              <w:rPr>
                <w:rFonts w:hint="eastAsia" w:ascii="Times New Roman" w:hAnsi="Times New Roman" w:cs="Times New Roman"/>
                <w:b w:val="0"/>
                <w:bCs/>
                <w:color w:val="auto"/>
                <w:sz w:val="21"/>
                <w:szCs w:val="21"/>
                <w:lang w:eastAsia="zh-CN"/>
              </w:rPr>
              <w:t>次计，预计用水量</w:t>
            </w:r>
            <w:r>
              <w:rPr>
                <w:rFonts w:hint="eastAsia" w:ascii="Times New Roman" w:hAnsi="Times New Roman" w:cs="Times New Roman"/>
                <w:b w:val="0"/>
                <w:bCs/>
                <w:color w:val="auto"/>
                <w:sz w:val="21"/>
                <w:szCs w:val="21"/>
                <w:lang w:val="en-US" w:eastAsia="zh-CN"/>
              </w:rPr>
              <w:t>73.44</w:t>
            </w:r>
            <w:r>
              <w:rPr>
                <w:rFonts w:hint="eastAsia" w:cs="Times New Roman"/>
                <w:b w:val="0"/>
                <w:bCs/>
                <w:color w:val="auto"/>
                <w:sz w:val="21"/>
                <w:szCs w:val="21"/>
                <w:lang w:val="en-US" w:eastAsia="zh-CN"/>
              </w:rPr>
              <w:t>t</w:t>
            </w:r>
            <w:r>
              <w:rPr>
                <w:rFonts w:hint="eastAsia" w:ascii="Times New Roman" w:hAnsi="Times New Roman" w:cs="Times New Roman"/>
                <w:b w:val="0"/>
                <w:bCs/>
                <w:color w:val="auto"/>
                <w:sz w:val="21"/>
                <w:szCs w:val="21"/>
                <w:lang w:eastAsia="zh-CN"/>
              </w:rPr>
              <w:t>/a。</w:t>
            </w:r>
          </w:p>
          <w:p w14:paraId="50B4B001">
            <w:pPr>
              <w:adjustRightInd w:val="0"/>
              <w:snapToGrid w:val="0"/>
              <w:spacing w:line="240" w:lineRule="auto"/>
              <w:jc w:val="center"/>
              <w:rPr>
                <w:rFonts w:hint="default"/>
                <w:color w:val="auto"/>
                <w:kern w:val="0"/>
                <w:lang w:val="en-US" w:eastAsia="zh-CN"/>
              </w:rPr>
            </w:pPr>
            <w:r>
              <w:rPr>
                <w:b/>
                <w:color w:val="auto"/>
              </w:rPr>
              <w:object>
                <v:shape id="_x0000_i1035" o:spt="75" type="#_x0000_t75" style="height:225.75pt;width:364.4pt;" o:ole="t" filled="f" o:preferrelative="t" stroked="f" coordsize="21600,21600">
                  <v:path/>
                  <v:fill on="f" focussize="0,0"/>
                  <v:stroke on="f"/>
                  <v:imagedata r:id="rId32" o:title=""/>
                  <o:lock v:ext="edit" aspectratio="f"/>
                  <w10:wrap type="none"/>
                  <w10:anchorlock/>
                </v:shape>
                <o:OLEObject Type="Embed" ProgID="Visio.Drawing.11" ShapeID="_x0000_i1035" DrawAspect="Content" ObjectID="_1468075735" r:id="rId31">
                  <o:LockedField>false</o:LockedField>
                </o:OLEObject>
              </w:object>
            </w:r>
          </w:p>
          <w:p w14:paraId="48BF0840">
            <w:pPr>
              <w:adjustRightInd w:val="0"/>
              <w:snapToGrid w:val="0"/>
              <w:spacing w:line="360" w:lineRule="auto"/>
              <w:jc w:val="center"/>
              <w:rPr>
                <w:rFonts w:hint="default"/>
                <w:b/>
                <w:bCs/>
                <w:color w:val="auto"/>
                <w:kern w:val="0"/>
                <w:lang w:val="en-US" w:eastAsia="zh-CN"/>
              </w:rPr>
            </w:pPr>
            <w:r>
              <w:rPr>
                <w:rFonts w:hint="eastAsia"/>
                <w:b/>
                <w:bCs/>
                <w:color w:val="auto"/>
                <w:kern w:val="0"/>
                <w:lang w:val="en-US" w:eastAsia="zh-CN"/>
              </w:rPr>
              <w:t>图2-12   现有项目水平衡图</w:t>
            </w:r>
          </w:p>
          <w:p w14:paraId="1D866E16">
            <w:pPr>
              <w:adjustRightInd w:val="0"/>
              <w:snapToGrid w:val="0"/>
              <w:spacing w:line="360" w:lineRule="auto"/>
              <w:ind w:firstLine="422" w:firstLineChars="200"/>
              <w:rPr>
                <w:rFonts w:hint="default"/>
                <w:b/>
                <w:bCs/>
                <w:color w:val="auto"/>
                <w:kern w:val="0"/>
                <w:lang w:val="en-US" w:eastAsia="zh-CN"/>
              </w:rPr>
            </w:pPr>
            <w:r>
              <w:rPr>
                <w:rFonts w:hint="eastAsia"/>
                <w:b/>
                <w:bCs/>
                <w:color w:val="auto"/>
                <w:kern w:val="0"/>
                <w:lang w:val="en-US" w:eastAsia="zh-CN"/>
              </w:rPr>
              <w:t>（3）固废</w:t>
            </w:r>
          </w:p>
          <w:p w14:paraId="3A44ECD3">
            <w:pPr>
              <w:adjustRightInd w:val="0"/>
              <w:snapToGrid w:val="0"/>
              <w:spacing w:line="360" w:lineRule="auto"/>
              <w:ind w:firstLine="420" w:firstLineChars="200"/>
              <w:rPr>
                <w:rFonts w:hint="default"/>
                <w:color w:val="auto"/>
                <w:kern w:val="0"/>
                <w:lang w:val="en-US" w:eastAsia="zh-CN"/>
              </w:rPr>
            </w:pPr>
            <w:r>
              <w:rPr>
                <w:rFonts w:hint="eastAsia"/>
                <w:color w:val="auto"/>
                <w:kern w:val="0"/>
                <w:lang w:val="en-US" w:eastAsia="zh-CN"/>
              </w:rPr>
              <w:t>现有项目一般固废种类为木屑、边角料、废抹布、废砂纸、中央除尘器收集尘，</w:t>
            </w:r>
            <w:r>
              <w:rPr>
                <w:rFonts w:hint="eastAsia"/>
                <w:b w:val="0"/>
                <w:bCs w:val="0"/>
                <w:color w:val="auto"/>
                <w:szCs w:val="21"/>
                <w:lang w:val="en-US" w:eastAsia="zh-CN"/>
              </w:rPr>
              <w:t>收集后委托固废处置单位处置；危险废物种类为擦色废物、含漆废物、漆渣、水帘废液、喷枪清洗废液、废包装桶、干式内循环打磨处理器收集尘、废活性炭，收集后委托有资质单位处置；生活垃圾委托环卫部门清运。现有项目已建设一座30m</w:t>
            </w:r>
            <w:r>
              <w:rPr>
                <w:rFonts w:hint="eastAsia"/>
                <w:b w:val="0"/>
                <w:bCs w:val="0"/>
                <w:color w:val="auto"/>
                <w:szCs w:val="21"/>
                <w:vertAlign w:val="superscript"/>
                <w:lang w:val="en-US" w:eastAsia="zh-CN"/>
              </w:rPr>
              <w:t>2</w:t>
            </w:r>
            <w:r>
              <w:rPr>
                <w:rFonts w:hint="eastAsia"/>
                <w:b w:val="0"/>
                <w:bCs w:val="0"/>
                <w:color w:val="auto"/>
                <w:szCs w:val="21"/>
                <w:lang w:val="en-US" w:eastAsia="zh-CN"/>
              </w:rPr>
              <w:t>固废仓库、一座20m</w:t>
            </w:r>
            <w:r>
              <w:rPr>
                <w:rFonts w:hint="eastAsia"/>
                <w:b w:val="0"/>
                <w:bCs w:val="0"/>
                <w:color w:val="auto"/>
                <w:szCs w:val="21"/>
                <w:vertAlign w:val="superscript"/>
                <w:lang w:val="en-US" w:eastAsia="zh-CN"/>
              </w:rPr>
              <w:t>2</w:t>
            </w:r>
            <w:r>
              <w:rPr>
                <w:rFonts w:hint="eastAsia"/>
                <w:b w:val="0"/>
                <w:bCs w:val="0"/>
                <w:color w:val="auto"/>
                <w:szCs w:val="21"/>
                <w:lang w:val="en-US" w:eastAsia="zh-CN"/>
              </w:rPr>
              <w:t>危废仓库，现有项目固体废物产生及处置情况如下：</w:t>
            </w:r>
          </w:p>
          <w:p w14:paraId="79A3DC16">
            <w:pPr>
              <w:jc w:val="center"/>
              <w:rPr>
                <w:b/>
                <w:color w:val="auto"/>
                <w:kern w:val="0"/>
              </w:rPr>
            </w:pPr>
            <w:r>
              <w:rPr>
                <w:b/>
                <w:color w:val="auto"/>
                <w:kern w:val="0"/>
              </w:rPr>
              <w:t>表</w:t>
            </w:r>
            <w:r>
              <w:rPr>
                <w:rFonts w:hint="eastAsia"/>
                <w:b/>
                <w:color w:val="auto"/>
                <w:kern w:val="0"/>
                <w:lang w:val="en-US" w:eastAsia="zh-CN"/>
              </w:rPr>
              <w:t>2-13</w:t>
            </w:r>
            <w:r>
              <w:rPr>
                <w:rFonts w:hint="eastAsia"/>
                <w:b/>
                <w:color w:val="auto"/>
                <w:kern w:val="0"/>
              </w:rPr>
              <w:t xml:space="preserve"> </w:t>
            </w:r>
            <w:r>
              <w:rPr>
                <w:b/>
                <w:color w:val="auto"/>
                <w:kern w:val="0"/>
              </w:rPr>
              <w:t xml:space="preserve">  固体废物分析结果汇总表</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1427"/>
              <w:gridCol w:w="1079"/>
              <w:gridCol w:w="713"/>
              <w:gridCol w:w="1276"/>
              <w:gridCol w:w="592"/>
              <w:gridCol w:w="1298"/>
              <w:gridCol w:w="959"/>
              <w:gridCol w:w="1200"/>
            </w:tblGrid>
            <w:tr w14:paraId="5448DB1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35" w:type="pct"/>
                  <w:tcBorders>
                    <w:tl2br w:val="nil"/>
                    <w:tr2bl w:val="nil"/>
                  </w:tcBorders>
                  <w:vAlign w:val="center"/>
                </w:tcPr>
                <w:p w14:paraId="25EA832F">
                  <w:pPr>
                    <w:pStyle w:val="693"/>
                    <w:rPr>
                      <w:rFonts w:eastAsia="宋体"/>
                      <w:color w:val="auto"/>
                      <w:kern w:val="0"/>
                    </w:rPr>
                  </w:pPr>
                  <w:r>
                    <w:rPr>
                      <w:rFonts w:eastAsia="宋体"/>
                      <w:color w:val="auto"/>
                      <w:kern w:val="0"/>
                    </w:rPr>
                    <w:t>固体废物名称</w:t>
                  </w:r>
                </w:p>
              </w:tc>
              <w:tc>
                <w:tcPr>
                  <w:tcW w:w="631" w:type="pct"/>
                  <w:tcBorders>
                    <w:tl2br w:val="nil"/>
                    <w:tr2bl w:val="nil"/>
                  </w:tcBorders>
                  <w:vAlign w:val="center"/>
                </w:tcPr>
                <w:p w14:paraId="06B8D5BF">
                  <w:pPr>
                    <w:pStyle w:val="693"/>
                    <w:rPr>
                      <w:rFonts w:eastAsia="宋体"/>
                      <w:color w:val="auto"/>
                      <w:kern w:val="0"/>
                    </w:rPr>
                  </w:pPr>
                  <w:r>
                    <w:rPr>
                      <w:rFonts w:hint="eastAsia" w:eastAsia="宋体"/>
                      <w:color w:val="auto"/>
                      <w:kern w:val="0"/>
                    </w:rPr>
                    <w:t>产生</w:t>
                  </w:r>
                  <w:r>
                    <w:rPr>
                      <w:rFonts w:eastAsia="宋体"/>
                      <w:color w:val="auto"/>
                      <w:kern w:val="0"/>
                    </w:rPr>
                    <w:t>工序</w:t>
                  </w:r>
                </w:p>
              </w:tc>
              <w:tc>
                <w:tcPr>
                  <w:tcW w:w="417" w:type="pct"/>
                  <w:tcBorders>
                    <w:tl2br w:val="nil"/>
                    <w:tr2bl w:val="nil"/>
                  </w:tcBorders>
                  <w:vAlign w:val="center"/>
                </w:tcPr>
                <w:p w14:paraId="35E21811">
                  <w:pPr>
                    <w:pStyle w:val="693"/>
                    <w:rPr>
                      <w:rFonts w:hint="eastAsia" w:eastAsia="宋体"/>
                      <w:color w:val="auto"/>
                      <w:kern w:val="0"/>
                      <w:lang w:val="en-US" w:eastAsia="zh-CN"/>
                    </w:rPr>
                  </w:pPr>
                  <w:r>
                    <w:rPr>
                      <w:rFonts w:hint="eastAsia" w:eastAsia="宋体"/>
                      <w:color w:val="auto"/>
                      <w:kern w:val="0"/>
                      <w:lang w:val="en-US" w:eastAsia="zh-CN"/>
                    </w:rPr>
                    <w:t>形态</w:t>
                  </w:r>
                </w:p>
              </w:tc>
              <w:tc>
                <w:tcPr>
                  <w:tcW w:w="746" w:type="pct"/>
                  <w:tcBorders>
                    <w:tl2br w:val="nil"/>
                    <w:tr2bl w:val="nil"/>
                  </w:tcBorders>
                  <w:vAlign w:val="center"/>
                </w:tcPr>
                <w:p w14:paraId="74FB5E1F">
                  <w:pPr>
                    <w:pStyle w:val="693"/>
                    <w:rPr>
                      <w:rFonts w:hint="default" w:eastAsia="宋体"/>
                      <w:color w:val="auto"/>
                      <w:kern w:val="0"/>
                      <w:lang w:val="en-US" w:eastAsia="zh-CN"/>
                    </w:rPr>
                  </w:pPr>
                  <w:r>
                    <w:rPr>
                      <w:rFonts w:hint="eastAsia" w:eastAsia="宋体"/>
                      <w:color w:val="auto"/>
                      <w:kern w:val="0"/>
                      <w:lang w:val="en-US" w:eastAsia="zh-CN"/>
                    </w:rPr>
                    <w:t>主要成分</w:t>
                  </w:r>
                </w:p>
              </w:tc>
              <w:tc>
                <w:tcPr>
                  <w:tcW w:w="346" w:type="pct"/>
                  <w:tcBorders>
                    <w:tl2br w:val="nil"/>
                    <w:tr2bl w:val="nil"/>
                  </w:tcBorders>
                  <w:vAlign w:val="center"/>
                </w:tcPr>
                <w:p w14:paraId="7F33C4EE">
                  <w:pPr>
                    <w:pStyle w:val="693"/>
                    <w:rPr>
                      <w:rFonts w:eastAsia="宋体"/>
                      <w:color w:val="auto"/>
                      <w:kern w:val="0"/>
                    </w:rPr>
                  </w:pPr>
                  <w:r>
                    <w:rPr>
                      <w:rFonts w:eastAsia="宋体"/>
                      <w:color w:val="auto"/>
                      <w:kern w:val="0"/>
                    </w:rPr>
                    <w:t>属性</w:t>
                  </w:r>
                </w:p>
              </w:tc>
              <w:tc>
                <w:tcPr>
                  <w:tcW w:w="759" w:type="pct"/>
                  <w:tcBorders>
                    <w:tl2br w:val="nil"/>
                    <w:tr2bl w:val="nil"/>
                  </w:tcBorders>
                  <w:vAlign w:val="center"/>
                </w:tcPr>
                <w:p w14:paraId="4D42BC68">
                  <w:pPr>
                    <w:pStyle w:val="693"/>
                    <w:rPr>
                      <w:rFonts w:eastAsia="宋体"/>
                      <w:color w:val="auto"/>
                      <w:kern w:val="0"/>
                    </w:rPr>
                  </w:pPr>
                  <w:r>
                    <w:rPr>
                      <w:rFonts w:hint="eastAsia" w:eastAsia="宋体"/>
                      <w:color w:val="auto"/>
                      <w:kern w:val="0"/>
                    </w:rPr>
                    <w:t>废物代码</w:t>
                  </w:r>
                </w:p>
              </w:tc>
              <w:tc>
                <w:tcPr>
                  <w:tcW w:w="561" w:type="pct"/>
                  <w:tcBorders>
                    <w:tl2br w:val="nil"/>
                    <w:tr2bl w:val="nil"/>
                  </w:tcBorders>
                  <w:vAlign w:val="center"/>
                </w:tcPr>
                <w:p w14:paraId="6B804274">
                  <w:pPr>
                    <w:pStyle w:val="693"/>
                    <w:rPr>
                      <w:rFonts w:eastAsia="宋体"/>
                      <w:color w:val="auto"/>
                      <w:kern w:val="0"/>
                    </w:rPr>
                  </w:pPr>
                  <w:r>
                    <w:rPr>
                      <w:rFonts w:hint="eastAsia" w:eastAsia="宋体"/>
                      <w:color w:val="auto"/>
                      <w:kern w:val="0"/>
                    </w:rPr>
                    <w:t>产生量t/a</w:t>
                  </w:r>
                </w:p>
              </w:tc>
              <w:tc>
                <w:tcPr>
                  <w:tcW w:w="702" w:type="pct"/>
                  <w:tcBorders>
                    <w:tl2br w:val="nil"/>
                    <w:tr2bl w:val="nil"/>
                  </w:tcBorders>
                  <w:vAlign w:val="center"/>
                </w:tcPr>
                <w:p w14:paraId="3C4C363E">
                  <w:pPr>
                    <w:pStyle w:val="696"/>
                    <w:rPr>
                      <w:color w:val="auto"/>
                      <w:kern w:val="0"/>
                    </w:rPr>
                  </w:pPr>
                  <w:r>
                    <w:rPr>
                      <w:b/>
                      <w:color w:val="auto"/>
                      <w:kern w:val="0"/>
                    </w:rPr>
                    <w:t>处置方式</w:t>
                  </w:r>
                </w:p>
              </w:tc>
            </w:tr>
            <w:tr w14:paraId="3913C16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35" w:type="pct"/>
                  <w:tcBorders>
                    <w:tl2br w:val="nil"/>
                    <w:tr2bl w:val="nil"/>
                  </w:tcBorders>
                  <w:vAlign w:val="center"/>
                </w:tcPr>
                <w:p w14:paraId="3CC97FEF">
                  <w:pPr>
                    <w:pStyle w:val="5"/>
                    <w:adjustRightInd w:val="0"/>
                    <w:snapToGrid w:val="0"/>
                    <w:ind w:firstLine="0" w:firstLineChars="0"/>
                    <w:jc w:val="center"/>
                    <w:rPr>
                      <w:rFonts w:hint="default"/>
                      <w:bCs/>
                      <w:color w:val="auto"/>
                      <w:kern w:val="0"/>
                      <w:szCs w:val="21"/>
                      <w:lang w:val="en-US" w:eastAsia="zh-CN"/>
                    </w:rPr>
                  </w:pPr>
                  <w:r>
                    <w:rPr>
                      <w:rFonts w:hint="eastAsia"/>
                      <w:bCs/>
                      <w:color w:val="auto"/>
                      <w:kern w:val="0"/>
                      <w:szCs w:val="21"/>
                      <w:lang w:val="en-US" w:eastAsia="zh-CN"/>
                    </w:rPr>
                    <w:t>木屑</w:t>
                  </w:r>
                </w:p>
              </w:tc>
              <w:tc>
                <w:tcPr>
                  <w:tcW w:w="631" w:type="pct"/>
                  <w:tcBorders>
                    <w:tl2br w:val="nil"/>
                    <w:tr2bl w:val="nil"/>
                  </w:tcBorders>
                  <w:vAlign w:val="center"/>
                </w:tcPr>
                <w:p w14:paraId="4D3C353E">
                  <w:pPr>
                    <w:widowControl/>
                    <w:adjustRightInd w:val="0"/>
                    <w:snapToGrid w:val="0"/>
                    <w:jc w:val="center"/>
                    <w:textAlignment w:val="center"/>
                    <w:rPr>
                      <w:rFonts w:hint="eastAsia" w:eastAsia="宋体"/>
                      <w:color w:val="auto"/>
                      <w:kern w:val="0"/>
                      <w:lang w:val="en-US" w:eastAsia="zh-CN"/>
                    </w:rPr>
                  </w:pPr>
                  <w:r>
                    <w:rPr>
                      <w:rFonts w:hint="eastAsia"/>
                      <w:color w:val="auto"/>
                      <w:kern w:val="0"/>
                      <w:lang w:val="en-US" w:eastAsia="zh-CN"/>
                    </w:rPr>
                    <w:t>木工</w:t>
                  </w:r>
                </w:p>
              </w:tc>
              <w:tc>
                <w:tcPr>
                  <w:tcW w:w="417" w:type="pct"/>
                  <w:tcBorders>
                    <w:tl2br w:val="nil"/>
                    <w:tr2bl w:val="nil"/>
                  </w:tcBorders>
                  <w:vAlign w:val="center"/>
                </w:tcPr>
                <w:p w14:paraId="31ACC0EE">
                  <w:pPr>
                    <w:pStyle w:val="5"/>
                    <w:adjustRightInd w:val="0"/>
                    <w:snapToGrid w:val="0"/>
                    <w:ind w:firstLine="0" w:firstLineChars="0"/>
                    <w:jc w:val="center"/>
                    <w:rPr>
                      <w:rFonts w:hint="eastAsia"/>
                      <w:color w:val="auto"/>
                      <w:kern w:val="0"/>
                      <w:lang w:val="en-US" w:eastAsia="zh-CN"/>
                    </w:rPr>
                  </w:pPr>
                  <w:r>
                    <w:rPr>
                      <w:rFonts w:hint="eastAsia"/>
                      <w:color w:val="auto"/>
                      <w:kern w:val="0"/>
                      <w:szCs w:val="21"/>
                      <w:lang w:val="en-US" w:eastAsia="zh-CN"/>
                    </w:rPr>
                    <w:t>固</w:t>
                  </w:r>
                </w:p>
              </w:tc>
              <w:tc>
                <w:tcPr>
                  <w:tcW w:w="746" w:type="pct"/>
                  <w:tcBorders>
                    <w:tl2br w:val="nil"/>
                    <w:tr2bl w:val="nil"/>
                  </w:tcBorders>
                  <w:vAlign w:val="center"/>
                </w:tcPr>
                <w:p w14:paraId="04C4F3EB">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bidi="ar"/>
                    </w:rPr>
                    <w:t>木材</w:t>
                  </w:r>
                </w:p>
              </w:tc>
              <w:tc>
                <w:tcPr>
                  <w:tcW w:w="346" w:type="pct"/>
                  <w:vMerge w:val="restart"/>
                  <w:tcBorders>
                    <w:tl2br w:val="nil"/>
                    <w:tr2bl w:val="nil"/>
                  </w:tcBorders>
                  <w:vAlign w:val="center"/>
                </w:tcPr>
                <w:p w14:paraId="6CCB861B">
                  <w:pPr>
                    <w:pStyle w:val="693"/>
                    <w:rPr>
                      <w:rFonts w:eastAsia="宋体"/>
                      <w:b w:val="0"/>
                      <w:bCs/>
                      <w:color w:val="auto"/>
                      <w:kern w:val="0"/>
                    </w:rPr>
                  </w:pPr>
                  <w:r>
                    <w:rPr>
                      <w:rFonts w:hint="eastAsia" w:eastAsia="宋体"/>
                      <w:b w:val="0"/>
                      <w:bCs/>
                      <w:color w:val="auto"/>
                      <w:kern w:val="0"/>
                    </w:rPr>
                    <w:t>一般固废</w:t>
                  </w:r>
                </w:p>
              </w:tc>
              <w:tc>
                <w:tcPr>
                  <w:tcW w:w="759" w:type="pct"/>
                  <w:tcBorders>
                    <w:tl2br w:val="nil"/>
                    <w:tr2bl w:val="nil"/>
                  </w:tcBorders>
                  <w:vAlign w:val="center"/>
                </w:tcPr>
                <w:p w14:paraId="7E7DE964">
                  <w:pPr>
                    <w:jc w:val="center"/>
                    <w:rPr>
                      <w:rFonts w:hint="eastAsia"/>
                      <w:color w:val="auto"/>
                      <w:kern w:val="0"/>
                    </w:rPr>
                  </w:pPr>
                  <w:r>
                    <w:rPr>
                      <w:rFonts w:hint="eastAsia"/>
                      <w:color w:val="auto"/>
                      <w:kern w:val="0"/>
                      <w:lang w:val="en-US" w:eastAsia="zh-CN"/>
                    </w:rPr>
                    <w:t>900-099-S59</w:t>
                  </w:r>
                </w:p>
              </w:tc>
              <w:tc>
                <w:tcPr>
                  <w:tcW w:w="561" w:type="pct"/>
                  <w:tcBorders>
                    <w:tl2br w:val="nil"/>
                    <w:tr2bl w:val="nil"/>
                  </w:tcBorders>
                  <w:vAlign w:val="center"/>
                </w:tcPr>
                <w:p w14:paraId="5C973158">
                  <w:pPr>
                    <w:pStyle w:val="5"/>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0.65</w:t>
                  </w:r>
                </w:p>
              </w:tc>
              <w:tc>
                <w:tcPr>
                  <w:tcW w:w="702" w:type="pct"/>
                  <w:vMerge w:val="restart"/>
                  <w:tcBorders>
                    <w:tl2br w:val="nil"/>
                    <w:tr2bl w:val="nil"/>
                  </w:tcBorders>
                  <w:vAlign w:val="center"/>
                </w:tcPr>
                <w:p w14:paraId="4EBA473E">
                  <w:pPr>
                    <w:keepNext w:val="0"/>
                    <w:keepLines w:val="0"/>
                    <w:pageBreakBefore w:val="0"/>
                    <w:kinsoku/>
                    <w:wordWrap/>
                    <w:overflowPunct/>
                    <w:topLinePunct w:val="0"/>
                    <w:autoSpaceDE/>
                    <w:autoSpaceDN/>
                    <w:bidi w:val="0"/>
                    <w:adjustRightInd w:val="0"/>
                    <w:snapToGrid w:val="0"/>
                    <w:jc w:val="center"/>
                    <w:textAlignment w:val="auto"/>
                    <w:rPr>
                      <w:rFonts w:hint="eastAsia"/>
                      <w:color w:val="auto"/>
                      <w:kern w:val="0"/>
                    </w:rPr>
                  </w:pPr>
                  <w:r>
                    <w:rPr>
                      <w:rFonts w:hint="eastAsia"/>
                      <w:color w:val="auto"/>
                      <w:kern w:val="0"/>
                    </w:rPr>
                    <w:t>外售处置</w:t>
                  </w:r>
                </w:p>
              </w:tc>
            </w:tr>
            <w:tr w14:paraId="0E0E328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35" w:type="pct"/>
                  <w:tcBorders>
                    <w:tl2br w:val="nil"/>
                    <w:tr2bl w:val="nil"/>
                  </w:tcBorders>
                  <w:vAlign w:val="center"/>
                </w:tcPr>
                <w:p w14:paraId="08094D01">
                  <w:pPr>
                    <w:pStyle w:val="5"/>
                    <w:adjustRightInd w:val="0"/>
                    <w:snapToGrid w:val="0"/>
                    <w:ind w:firstLine="0" w:firstLineChars="0"/>
                    <w:jc w:val="center"/>
                    <w:rPr>
                      <w:rFonts w:hint="eastAsia" w:eastAsia="宋体"/>
                      <w:bCs/>
                      <w:color w:val="auto"/>
                      <w:kern w:val="0"/>
                      <w:szCs w:val="21"/>
                      <w:lang w:eastAsia="zh-CN"/>
                    </w:rPr>
                  </w:pPr>
                  <w:r>
                    <w:rPr>
                      <w:rFonts w:hint="eastAsia"/>
                      <w:bCs/>
                      <w:color w:val="auto"/>
                      <w:kern w:val="0"/>
                      <w:szCs w:val="21"/>
                      <w:lang w:val="en-US" w:eastAsia="zh-CN"/>
                    </w:rPr>
                    <w:t>边角料</w:t>
                  </w:r>
                </w:p>
              </w:tc>
              <w:tc>
                <w:tcPr>
                  <w:tcW w:w="631" w:type="pct"/>
                  <w:tcBorders>
                    <w:tl2br w:val="nil"/>
                    <w:tr2bl w:val="nil"/>
                  </w:tcBorders>
                  <w:vAlign w:val="center"/>
                </w:tcPr>
                <w:p w14:paraId="3306D2CD">
                  <w:pPr>
                    <w:widowControl/>
                    <w:adjustRightInd w:val="0"/>
                    <w:snapToGrid w:val="0"/>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木工</w:t>
                  </w:r>
                </w:p>
              </w:tc>
              <w:tc>
                <w:tcPr>
                  <w:tcW w:w="417" w:type="pct"/>
                  <w:tcBorders>
                    <w:tl2br w:val="nil"/>
                    <w:tr2bl w:val="nil"/>
                  </w:tcBorders>
                  <w:vAlign w:val="center"/>
                </w:tcPr>
                <w:p w14:paraId="3E4F975C">
                  <w:pPr>
                    <w:adjustRightInd w:val="0"/>
                    <w:snapToGrid w:val="0"/>
                    <w:ind w:firstLine="0" w:firstLineChars="0"/>
                    <w:jc w:val="center"/>
                    <w:rPr>
                      <w:rFonts w:hint="eastAsia"/>
                      <w:color w:val="auto"/>
                      <w:kern w:val="0"/>
                      <w:lang w:val="en-US" w:eastAsia="zh-CN"/>
                    </w:rPr>
                  </w:pPr>
                  <w:r>
                    <w:rPr>
                      <w:rFonts w:hint="eastAsia"/>
                      <w:color w:val="auto"/>
                      <w:kern w:val="0"/>
                      <w:szCs w:val="21"/>
                      <w:lang w:val="en-US" w:eastAsia="zh-CN"/>
                    </w:rPr>
                    <w:t>固</w:t>
                  </w:r>
                </w:p>
              </w:tc>
              <w:tc>
                <w:tcPr>
                  <w:tcW w:w="746" w:type="pct"/>
                  <w:tcBorders>
                    <w:tl2br w:val="nil"/>
                    <w:tr2bl w:val="nil"/>
                  </w:tcBorders>
                  <w:vAlign w:val="center"/>
                </w:tcPr>
                <w:p w14:paraId="15B5C2FD">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bidi="ar"/>
                    </w:rPr>
                    <w:t>木材</w:t>
                  </w:r>
                </w:p>
              </w:tc>
              <w:tc>
                <w:tcPr>
                  <w:tcW w:w="346" w:type="pct"/>
                  <w:vMerge w:val="continue"/>
                  <w:tcBorders>
                    <w:tl2br w:val="nil"/>
                    <w:tr2bl w:val="nil"/>
                  </w:tcBorders>
                  <w:vAlign w:val="center"/>
                </w:tcPr>
                <w:p w14:paraId="2DD56062">
                  <w:pPr>
                    <w:pStyle w:val="693"/>
                    <w:rPr>
                      <w:rFonts w:eastAsia="宋体"/>
                      <w:b w:val="0"/>
                      <w:bCs/>
                      <w:color w:val="auto"/>
                      <w:kern w:val="0"/>
                    </w:rPr>
                  </w:pPr>
                </w:p>
              </w:tc>
              <w:tc>
                <w:tcPr>
                  <w:tcW w:w="759" w:type="pct"/>
                  <w:tcBorders>
                    <w:tl2br w:val="nil"/>
                    <w:tr2bl w:val="nil"/>
                  </w:tcBorders>
                  <w:vAlign w:val="center"/>
                </w:tcPr>
                <w:p w14:paraId="1C5C5F2A">
                  <w:pPr>
                    <w:jc w:val="center"/>
                    <w:rPr>
                      <w:color w:val="auto"/>
                      <w:kern w:val="0"/>
                    </w:rPr>
                  </w:pPr>
                  <w:r>
                    <w:rPr>
                      <w:rFonts w:hint="eastAsia"/>
                      <w:color w:val="auto"/>
                      <w:kern w:val="0"/>
                      <w:lang w:val="en-US" w:eastAsia="zh-CN"/>
                    </w:rPr>
                    <w:t>900-099-S59</w:t>
                  </w:r>
                </w:p>
              </w:tc>
              <w:tc>
                <w:tcPr>
                  <w:tcW w:w="561" w:type="pct"/>
                  <w:tcBorders>
                    <w:tl2br w:val="nil"/>
                    <w:tr2bl w:val="nil"/>
                  </w:tcBorders>
                  <w:vAlign w:val="center"/>
                </w:tcPr>
                <w:p w14:paraId="1D460575">
                  <w:pPr>
                    <w:pStyle w:val="5"/>
                    <w:adjustRightInd w:val="0"/>
                    <w:snapToGrid w:val="0"/>
                    <w:ind w:firstLine="0" w:firstLineChars="0"/>
                    <w:jc w:val="center"/>
                    <w:rPr>
                      <w:rFonts w:hint="default" w:eastAsia="宋体"/>
                      <w:color w:val="auto"/>
                      <w:kern w:val="0"/>
                      <w:szCs w:val="21"/>
                      <w:lang w:val="en-US" w:eastAsia="zh-CN"/>
                    </w:rPr>
                  </w:pPr>
                  <w:r>
                    <w:rPr>
                      <w:rFonts w:hint="eastAsia"/>
                      <w:color w:val="auto"/>
                      <w:kern w:val="0"/>
                      <w:szCs w:val="21"/>
                      <w:lang w:val="en-US" w:eastAsia="zh-CN"/>
                    </w:rPr>
                    <w:t>6.55</w:t>
                  </w:r>
                </w:p>
              </w:tc>
              <w:tc>
                <w:tcPr>
                  <w:tcW w:w="702" w:type="pct"/>
                  <w:vMerge w:val="continue"/>
                  <w:tcBorders>
                    <w:tl2br w:val="nil"/>
                    <w:tr2bl w:val="nil"/>
                  </w:tcBorders>
                  <w:vAlign w:val="center"/>
                </w:tcPr>
                <w:p w14:paraId="5DC402A9">
                  <w:pPr>
                    <w:keepNext w:val="0"/>
                    <w:keepLines w:val="0"/>
                    <w:pageBreakBefore w:val="0"/>
                    <w:kinsoku/>
                    <w:wordWrap/>
                    <w:overflowPunct/>
                    <w:topLinePunct w:val="0"/>
                    <w:autoSpaceDE/>
                    <w:autoSpaceDN/>
                    <w:bidi w:val="0"/>
                    <w:adjustRightInd w:val="0"/>
                    <w:snapToGrid w:val="0"/>
                    <w:jc w:val="center"/>
                    <w:textAlignment w:val="auto"/>
                    <w:rPr>
                      <w:color w:val="auto"/>
                      <w:kern w:val="0"/>
                    </w:rPr>
                  </w:pPr>
                </w:p>
              </w:tc>
            </w:tr>
            <w:tr w14:paraId="51515EB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35" w:type="pct"/>
                  <w:tcBorders>
                    <w:tl2br w:val="nil"/>
                    <w:tr2bl w:val="nil"/>
                  </w:tcBorders>
                  <w:shd w:val="clear" w:color="auto" w:fill="auto"/>
                  <w:vAlign w:val="center"/>
                </w:tcPr>
                <w:p w14:paraId="3C75B330">
                  <w:pPr>
                    <w:pStyle w:val="5"/>
                    <w:adjustRightInd w:val="0"/>
                    <w:snapToGrid w:val="0"/>
                    <w:ind w:firstLine="0" w:firstLineChars="0"/>
                    <w:jc w:val="center"/>
                    <w:rPr>
                      <w:rFonts w:hint="eastAsia" w:ascii="Times New Roman" w:hAnsi="Times New Roman" w:eastAsia="宋体" w:cs="Times New Roman"/>
                      <w:bCs/>
                      <w:snapToGrid w:val="0"/>
                      <w:color w:val="auto"/>
                      <w:kern w:val="0"/>
                      <w:sz w:val="21"/>
                      <w:szCs w:val="21"/>
                      <w:lang w:val="en-US" w:eastAsia="zh-CN" w:bidi="ar-SA"/>
                    </w:rPr>
                  </w:pPr>
                  <w:r>
                    <w:rPr>
                      <w:rFonts w:hint="eastAsia"/>
                      <w:bCs/>
                      <w:color w:val="auto"/>
                      <w:kern w:val="0"/>
                      <w:szCs w:val="21"/>
                      <w:lang w:val="en-US" w:eastAsia="zh-CN"/>
                    </w:rPr>
                    <w:t>废抹布</w:t>
                  </w:r>
                </w:p>
              </w:tc>
              <w:tc>
                <w:tcPr>
                  <w:tcW w:w="631" w:type="pct"/>
                  <w:tcBorders>
                    <w:tl2br w:val="nil"/>
                    <w:tr2bl w:val="nil"/>
                  </w:tcBorders>
                  <w:shd w:val="clear" w:color="auto" w:fill="auto"/>
                  <w:vAlign w:val="center"/>
                </w:tcPr>
                <w:p w14:paraId="3DF6A5AC">
                  <w:pPr>
                    <w:widowControl/>
                    <w:adjustRightInd w:val="0"/>
                    <w:snapToGrid w:val="0"/>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清理</w:t>
                  </w:r>
                </w:p>
              </w:tc>
              <w:tc>
                <w:tcPr>
                  <w:tcW w:w="417" w:type="pct"/>
                  <w:tcBorders>
                    <w:tl2br w:val="nil"/>
                    <w:tr2bl w:val="nil"/>
                  </w:tcBorders>
                  <w:shd w:val="clear" w:color="auto" w:fill="auto"/>
                  <w:vAlign w:val="center"/>
                </w:tcPr>
                <w:p w14:paraId="69D570A2">
                  <w:pPr>
                    <w:adjustRightInd w:val="0"/>
                    <w:snapToGrid w:val="0"/>
                    <w:ind w:firstLine="0" w:firstLineChars="0"/>
                    <w:jc w:val="center"/>
                    <w:rPr>
                      <w:rFonts w:hint="eastAsia"/>
                      <w:color w:val="auto"/>
                      <w:kern w:val="0"/>
                      <w:lang w:val="en-US" w:eastAsia="zh-CN"/>
                    </w:rPr>
                  </w:pPr>
                  <w:r>
                    <w:rPr>
                      <w:rFonts w:hint="eastAsia"/>
                      <w:color w:val="auto"/>
                      <w:kern w:val="0"/>
                      <w:szCs w:val="21"/>
                      <w:lang w:val="en-US" w:eastAsia="zh-CN"/>
                    </w:rPr>
                    <w:t>固</w:t>
                  </w:r>
                </w:p>
              </w:tc>
              <w:tc>
                <w:tcPr>
                  <w:tcW w:w="746" w:type="pct"/>
                  <w:tcBorders>
                    <w:tl2br w:val="nil"/>
                    <w:tr2bl w:val="nil"/>
                  </w:tcBorders>
                  <w:shd w:val="clear" w:color="auto" w:fill="auto"/>
                  <w:vAlign w:val="center"/>
                </w:tcPr>
                <w:p w14:paraId="2FB3E6A3">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bidi="ar"/>
                    </w:rPr>
                    <w:t>抹布</w:t>
                  </w:r>
                </w:p>
              </w:tc>
              <w:tc>
                <w:tcPr>
                  <w:tcW w:w="346" w:type="pct"/>
                  <w:vMerge w:val="continue"/>
                  <w:tcBorders>
                    <w:tl2br w:val="nil"/>
                    <w:tr2bl w:val="nil"/>
                  </w:tcBorders>
                  <w:shd w:val="clear" w:color="auto" w:fill="auto"/>
                  <w:vAlign w:val="center"/>
                </w:tcPr>
                <w:p w14:paraId="19705A03">
                  <w:pPr>
                    <w:widowControl/>
                    <w:adjustRightInd w:val="0"/>
                    <w:snapToGrid w:val="0"/>
                    <w:jc w:val="center"/>
                    <w:textAlignment w:val="center"/>
                    <w:rPr>
                      <w:rFonts w:hint="eastAsia" w:ascii="Times New Roman" w:hAnsi="Times New Roman" w:eastAsia="宋体" w:cs="Times New Roman"/>
                      <w:snapToGrid w:val="0"/>
                      <w:color w:val="auto"/>
                      <w:kern w:val="0"/>
                      <w:sz w:val="21"/>
                      <w:szCs w:val="21"/>
                      <w:lang w:val="en-US" w:eastAsia="zh-CN" w:bidi="ar-SA"/>
                    </w:rPr>
                  </w:pPr>
                </w:p>
              </w:tc>
              <w:tc>
                <w:tcPr>
                  <w:tcW w:w="759" w:type="pct"/>
                  <w:tcBorders>
                    <w:tl2br w:val="nil"/>
                    <w:tr2bl w:val="nil"/>
                  </w:tcBorders>
                  <w:shd w:val="clear" w:color="auto" w:fill="auto"/>
                  <w:vAlign w:val="center"/>
                </w:tcPr>
                <w:p w14:paraId="76C9DF80">
                  <w:pPr>
                    <w:jc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900-099-S59</w:t>
                  </w:r>
                </w:p>
              </w:tc>
              <w:tc>
                <w:tcPr>
                  <w:tcW w:w="561" w:type="pct"/>
                  <w:tcBorders>
                    <w:tl2br w:val="nil"/>
                    <w:tr2bl w:val="nil"/>
                  </w:tcBorders>
                  <w:shd w:val="clear" w:color="auto" w:fill="auto"/>
                  <w:vAlign w:val="center"/>
                </w:tcPr>
                <w:p w14:paraId="58132D6C">
                  <w:pPr>
                    <w:pStyle w:val="5"/>
                    <w:adjustRightInd w:val="0"/>
                    <w:snapToGrid w:val="0"/>
                    <w:ind w:firstLine="0" w:firstLineChars="0"/>
                    <w:jc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szCs w:val="21"/>
                      <w:lang w:val="en-US" w:eastAsia="zh-CN"/>
                    </w:rPr>
                    <w:t>0.6</w:t>
                  </w:r>
                </w:p>
              </w:tc>
              <w:tc>
                <w:tcPr>
                  <w:tcW w:w="702" w:type="pct"/>
                  <w:vMerge w:val="continue"/>
                  <w:tcBorders>
                    <w:tl2br w:val="nil"/>
                    <w:tr2bl w:val="nil"/>
                  </w:tcBorders>
                  <w:shd w:val="clear" w:color="auto" w:fill="auto"/>
                  <w:vAlign w:val="center"/>
                </w:tcPr>
                <w:p w14:paraId="6DB38250">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auto"/>
                      <w:kern w:val="0"/>
                      <w:sz w:val="21"/>
                      <w:szCs w:val="21"/>
                      <w:lang w:val="en-US" w:eastAsia="zh-CN" w:bidi="ar-SA"/>
                    </w:rPr>
                  </w:pPr>
                </w:p>
              </w:tc>
            </w:tr>
            <w:tr w14:paraId="7AF8DDD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35" w:type="pct"/>
                  <w:tcBorders>
                    <w:tl2br w:val="nil"/>
                    <w:tr2bl w:val="nil"/>
                  </w:tcBorders>
                  <w:shd w:val="clear" w:color="auto" w:fill="auto"/>
                  <w:vAlign w:val="center"/>
                </w:tcPr>
                <w:p w14:paraId="23E0B0D2">
                  <w:pPr>
                    <w:pStyle w:val="5"/>
                    <w:adjustRightInd w:val="0"/>
                    <w:snapToGrid w:val="0"/>
                    <w:ind w:firstLine="0" w:firstLineChars="0"/>
                    <w:jc w:val="center"/>
                    <w:rPr>
                      <w:rFonts w:hint="eastAsia"/>
                      <w:bCs/>
                      <w:color w:val="auto"/>
                      <w:kern w:val="0"/>
                      <w:szCs w:val="21"/>
                      <w:lang w:val="en-US" w:eastAsia="zh-CN"/>
                    </w:rPr>
                  </w:pPr>
                  <w:r>
                    <w:rPr>
                      <w:rFonts w:hint="eastAsia"/>
                      <w:bCs/>
                      <w:color w:val="auto"/>
                      <w:kern w:val="0"/>
                      <w:szCs w:val="21"/>
                      <w:lang w:val="en-US" w:eastAsia="zh-CN"/>
                    </w:rPr>
                    <w:t>废砂纸</w:t>
                  </w:r>
                </w:p>
              </w:tc>
              <w:tc>
                <w:tcPr>
                  <w:tcW w:w="631" w:type="pct"/>
                  <w:tcBorders>
                    <w:tl2br w:val="nil"/>
                    <w:tr2bl w:val="nil"/>
                  </w:tcBorders>
                  <w:shd w:val="clear" w:color="auto" w:fill="auto"/>
                  <w:vAlign w:val="center"/>
                </w:tcPr>
                <w:p w14:paraId="5EFE6B39">
                  <w:pPr>
                    <w:widowControl/>
                    <w:adjustRightInd w:val="0"/>
                    <w:snapToGrid w:val="0"/>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砂磨</w:t>
                  </w:r>
                </w:p>
              </w:tc>
              <w:tc>
                <w:tcPr>
                  <w:tcW w:w="417" w:type="pct"/>
                  <w:tcBorders>
                    <w:tl2br w:val="nil"/>
                    <w:tr2bl w:val="nil"/>
                  </w:tcBorders>
                  <w:shd w:val="clear" w:color="auto" w:fill="auto"/>
                  <w:vAlign w:val="center"/>
                </w:tcPr>
                <w:p w14:paraId="3A12B73A">
                  <w:pPr>
                    <w:adjustRightInd w:val="0"/>
                    <w:snapToGrid w:val="0"/>
                    <w:ind w:firstLine="0" w:firstLineChars="0"/>
                    <w:jc w:val="center"/>
                    <w:rPr>
                      <w:rFonts w:hint="eastAsia"/>
                      <w:color w:val="auto"/>
                      <w:kern w:val="0"/>
                      <w:lang w:val="en-US" w:eastAsia="zh-CN"/>
                    </w:rPr>
                  </w:pPr>
                  <w:r>
                    <w:rPr>
                      <w:rFonts w:hint="eastAsia"/>
                      <w:color w:val="auto"/>
                      <w:kern w:val="0"/>
                      <w:szCs w:val="21"/>
                      <w:lang w:val="en-US" w:eastAsia="zh-CN"/>
                    </w:rPr>
                    <w:t>固</w:t>
                  </w:r>
                </w:p>
              </w:tc>
              <w:tc>
                <w:tcPr>
                  <w:tcW w:w="746" w:type="pct"/>
                  <w:tcBorders>
                    <w:tl2br w:val="nil"/>
                    <w:tr2bl w:val="nil"/>
                  </w:tcBorders>
                  <w:shd w:val="clear" w:color="auto" w:fill="auto"/>
                  <w:vAlign w:val="center"/>
                </w:tcPr>
                <w:p w14:paraId="666C31AB">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bidi="ar"/>
                    </w:rPr>
                    <w:t>砂纸</w:t>
                  </w:r>
                </w:p>
              </w:tc>
              <w:tc>
                <w:tcPr>
                  <w:tcW w:w="346" w:type="pct"/>
                  <w:vMerge w:val="continue"/>
                  <w:tcBorders>
                    <w:tl2br w:val="nil"/>
                    <w:tr2bl w:val="nil"/>
                  </w:tcBorders>
                  <w:shd w:val="clear" w:color="auto" w:fill="auto"/>
                  <w:vAlign w:val="center"/>
                </w:tcPr>
                <w:p w14:paraId="42DFA2C4">
                  <w:pPr>
                    <w:widowControl/>
                    <w:adjustRightInd w:val="0"/>
                    <w:snapToGrid w:val="0"/>
                    <w:jc w:val="center"/>
                    <w:textAlignment w:val="center"/>
                    <w:rPr>
                      <w:rFonts w:hint="eastAsia" w:ascii="Times New Roman" w:hAnsi="Times New Roman" w:eastAsia="宋体" w:cs="Times New Roman"/>
                      <w:snapToGrid w:val="0"/>
                      <w:color w:val="auto"/>
                      <w:kern w:val="0"/>
                      <w:sz w:val="21"/>
                      <w:szCs w:val="21"/>
                      <w:lang w:val="en-US" w:eastAsia="zh-CN" w:bidi="ar-SA"/>
                    </w:rPr>
                  </w:pPr>
                </w:p>
              </w:tc>
              <w:tc>
                <w:tcPr>
                  <w:tcW w:w="759" w:type="pct"/>
                  <w:tcBorders>
                    <w:tl2br w:val="nil"/>
                    <w:tr2bl w:val="nil"/>
                  </w:tcBorders>
                  <w:shd w:val="clear" w:color="auto" w:fill="auto"/>
                  <w:vAlign w:val="center"/>
                </w:tcPr>
                <w:p w14:paraId="1513565F">
                  <w:pPr>
                    <w:jc w:val="center"/>
                    <w:rPr>
                      <w:rFonts w:hint="eastAsia"/>
                      <w:color w:val="auto"/>
                      <w:kern w:val="0"/>
                      <w:lang w:val="en-US" w:eastAsia="zh-CN"/>
                    </w:rPr>
                  </w:pPr>
                  <w:r>
                    <w:rPr>
                      <w:rFonts w:hint="eastAsia"/>
                      <w:color w:val="auto"/>
                      <w:kern w:val="0"/>
                      <w:lang w:val="en-US" w:eastAsia="zh-CN"/>
                    </w:rPr>
                    <w:t>900-099-S59</w:t>
                  </w:r>
                </w:p>
              </w:tc>
              <w:tc>
                <w:tcPr>
                  <w:tcW w:w="561" w:type="pct"/>
                  <w:tcBorders>
                    <w:tl2br w:val="nil"/>
                    <w:tr2bl w:val="nil"/>
                  </w:tcBorders>
                  <w:shd w:val="clear" w:color="auto" w:fill="auto"/>
                  <w:vAlign w:val="center"/>
                </w:tcPr>
                <w:p w14:paraId="594C85F1">
                  <w:pPr>
                    <w:pStyle w:val="5"/>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2</w:t>
                  </w:r>
                </w:p>
              </w:tc>
              <w:tc>
                <w:tcPr>
                  <w:tcW w:w="702" w:type="pct"/>
                  <w:vMerge w:val="continue"/>
                  <w:tcBorders>
                    <w:tl2br w:val="nil"/>
                    <w:tr2bl w:val="nil"/>
                  </w:tcBorders>
                  <w:shd w:val="clear" w:color="auto" w:fill="auto"/>
                  <w:vAlign w:val="center"/>
                </w:tcPr>
                <w:p w14:paraId="08A3751E">
                  <w:pPr>
                    <w:keepNext w:val="0"/>
                    <w:keepLines w:val="0"/>
                    <w:pageBreakBefore w:val="0"/>
                    <w:kinsoku/>
                    <w:wordWrap/>
                    <w:overflowPunct/>
                    <w:topLinePunct w:val="0"/>
                    <w:autoSpaceDE/>
                    <w:autoSpaceDN/>
                    <w:bidi w:val="0"/>
                    <w:adjustRightInd w:val="0"/>
                    <w:snapToGrid w:val="0"/>
                    <w:jc w:val="center"/>
                    <w:textAlignment w:val="auto"/>
                    <w:rPr>
                      <w:rFonts w:hint="eastAsia"/>
                      <w:color w:val="auto"/>
                      <w:kern w:val="0"/>
                    </w:rPr>
                  </w:pPr>
                </w:p>
              </w:tc>
            </w:tr>
            <w:tr w14:paraId="6D66911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35" w:type="pct"/>
                  <w:tcBorders>
                    <w:tl2br w:val="nil"/>
                    <w:tr2bl w:val="nil"/>
                  </w:tcBorders>
                  <w:shd w:val="clear" w:color="auto" w:fill="auto"/>
                  <w:vAlign w:val="center"/>
                </w:tcPr>
                <w:p w14:paraId="530C6BFB">
                  <w:pPr>
                    <w:pStyle w:val="5"/>
                    <w:adjustRightInd w:val="0"/>
                    <w:snapToGrid w:val="0"/>
                    <w:ind w:firstLine="0" w:firstLineChars="0"/>
                    <w:jc w:val="center"/>
                    <w:rPr>
                      <w:rFonts w:hint="eastAsia"/>
                      <w:bCs/>
                      <w:color w:val="auto"/>
                      <w:kern w:val="0"/>
                      <w:szCs w:val="21"/>
                      <w:lang w:val="en-US" w:eastAsia="zh-CN"/>
                    </w:rPr>
                  </w:pPr>
                  <w:r>
                    <w:rPr>
                      <w:rFonts w:hint="eastAsia"/>
                      <w:bCs/>
                      <w:color w:val="auto"/>
                      <w:kern w:val="0"/>
                      <w:szCs w:val="21"/>
                      <w:lang w:val="en-US" w:eastAsia="zh-CN"/>
                    </w:rPr>
                    <w:t>中央除尘器收集尘</w:t>
                  </w:r>
                </w:p>
              </w:tc>
              <w:tc>
                <w:tcPr>
                  <w:tcW w:w="631" w:type="pct"/>
                  <w:tcBorders>
                    <w:tl2br w:val="nil"/>
                    <w:tr2bl w:val="nil"/>
                  </w:tcBorders>
                  <w:shd w:val="clear" w:color="auto" w:fill="auto"/>
                  <w:vAlign w:val="center"/>
                </w:tcPr>
                <w:p w14:paraId="7E5DFF62">
                  <w:pPr>
                    <w:widowControl/>
                    <w:adjustRightInd w:val="0"/>
                    <w:snapToGrid w:val="0"/>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废气治理</w:t>
                  </w:r>
                </w:p>
              </w:tc>
              <w:tc>
                <w:tcPr>
                  <w:tcW w:w="417" w:type="pct"/>
                  <w:tcBorders>
                    <w:tl2br w:val="nil"/>
                    <w:tr2bl w:val="nil"/>
                  </w:tcBorders>
                  <w:shd w:val="clear" w:color="auto" w:fill="auto"/>
                  <w:vAlign w:val="center"/>
                </w:tcPr>
                <w:p w14:paraId="27E715DF">
                  <w:pPr>
                    <w:pStyle w:val="5"/>
                    <w:adjustRightInd w:val="0"/>
                    <w:snapToGrid w:val="0"/>
                    <w:ind w:firstLine="0" w:firstLineChars="0"/>
                    <w:jc w:val="center"/>
                    <w:rPr>
                      <w:rFonts w:hint="eastAsia"/>
                      <w:color w:val="auto"/>
                      <w:kern w:val="0"/>
                      <w:lang w:val="en-US" w:eastAsia="zh-CN"/>
                    </w:rPr>
                  </w:pPr>
                  <w:r>
                    <w:rPr>
                      <w:color w:val="auto"/>
                      <w:kern w:val="0"/>
                      <w:szCs w:val="21"/>
                    </w:rPr>
                    <w:t>固</w:t>
                  </w:r>
                </w:p>
              </w:tc>
              <w:tc>
                <w:tcPr>
                  <w:tcW w:w="746" w:type="pct"/>
                  <w:tcBorders>
                    <w:tl2br w:val="nil"/>
                    <w:tr2bl w:val="nil"/>
                  </w:tcBorders>
                  <w:shd w:val="clear" w:color="auto" w:fill="auto"/>
                  <w:vAlign w:val="center"/>
                </w:tcPr>
                <w:p w14:paraId="4FABC78B">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bidi="ar"/>
                    </w:rPr>
                    <w:t>颗粒物</w:t>
                  </w:r>
                </w:p>
              </w:tc>
              <w:tc>
                <w:tcPr>
                  <w:tcW w:w="346" w:type="pct"/>
                  <w:vMerge w:val="continue"/>
                  <w:tcBorders>
                    <w:tl2br w:val="nil"/>
                    <w:tr2bl w:val="nil"/>
                  </w:tcBorders>
                  <w:shd w:val="clear" w:color="auto" w:fill="auto"/>
                  <w:vAlign w:val="center"/>
                </w:tcPr>
                <w:p w14:paraId="4A0D19C0">
                  <w:pPr>
                    <w:widowControl/>
                    <w:adjustRightInd w:val="0"/>
                    <w:snapToGrid w:val="0"/>
                    <w:jc w:val="center"/>
                    <w:textAlignment w:val="center"/>
                    <w:rPr>
                      <w:rFonts w:hint="eastAsia" w:ascii="Times New Roman" w:hAnsi="Times New Roman" w:eastAsia="宋体" w:cs="Times New Roman"/>
                      <w:snapToGrid w:val="0"/>
                      <w:color w:val="auto"/>
                      <w:kern w:val="0"/>
                      <w:sz w:val="21"/>
                      <w:szCs w:val="21"/>
                      <w:lang w:val="en-US" w:eastAsia="zh-CN" w:bidi="ar-SA"/>
                    </w:rPr>
                  </w:pPr>
                </w:p>
              </w:tc>
              <w:tc>
                <w:tcPr>
                  <w:tcW w:w="759" w:type="pct"/>
                  <w:tcBorders>
                    <w:tl2br w:val="nil"/>
                    <w:tr2bl w:val="nil"/>
                  </w:tcBorders>
                  <w:shd w:val="clear" w:color="auto" w:fill="auto"/>
                  <w:vAlign w:val="center"/>
                </w:tcPr>
                <w:p w14:paraId="063D67F5">
                  <w:pPr>
                    <w:jc w:val="center"/>
                    <w:rPr>
                      <w:rFonts w:hint="eastAsia"/>
                      <w:color w:val="auto"/>
                      <w:kern w:val="0"/>
                      <w:lang w:val="en-US" w:eastAsia="zh-CN"/>
                    </w:rPr>
                  </w:pPr>
                  <w:r>
                    <w:rPr>
                      <w:rFonts w:hint="eastAsia"/>
                      <w:color w:val="auto"/>
                      <w:kern w:val="0"/>
                      <w:lang w:val="en-US" w:eastAsia="zh-CN"/>
                    </w:rPr>
                    <w:t>900-099-S59</w:t>
                  </w:r>
                </w:p>
              </w:tc>
              <w:tc>
                <w:tcPr>
                  <w:tcW w:w="561" w:type="pct"/>
                  <w:tcBorders>
                    <w:tl2br w:val="nil"/>
                    <w:tr2bl w:val="nil"/>
                  </w:tcBorders>
                  <w:shd w:val="clear" w:color="auto" w:fill="auto"/>
                  <w:vAlign w:val="center"/>
                </w:tcPr>
                <w:p w14:paraId="25F03A0D">
                  <w:pPr>
                    <w:pStyle w:val="5"/>
                    <w:adjustRightInd w:val="0"/>
                    <w:snapToGrid w:val="0"/>
                    <w:ind w:firstLine="0" w:firstLineChars="0"/>
                    <w:jc w:val="center"/>
                    <w:rPr>
                      <w:rFonts w:hint="default"/>
                      <w:color w:val="auto"/>
                      <w:kern w:val="0"/>
                      <w:szCs w:val="21"/>
                      <w:lang w:val="en-US" w:eastAsia="zh-CN"/>
                    </w:rPr>
                  </w:pPr>
                  <w:r>
                    <w:rPr>
                      <w:rFonts w:hint="eastAsia"/>
                      <w:color w:val="auto"/>
                      <w:kern w:val="0"/>
                      <w:szCs w:val="21"/>
                      <w:lang w:val="en-US" w:eastAsia="zh-CN"/>
                    </w:rPr>
                    <w:t>0.718</w:t>
                  </w:r>
                </w:p>
              </w:tc>
              <w:tc>
                <w:tcPr>
                  <w:tcW w:w="702" w:type="pct"/>
                  <w:vMerge w:val="continue"/>
                  <w:tcBorders>
                    <w:tl2br w:val="nil"/>
                    <w:tr2bl w:val="nil"/>
                  </w:tcBorders>
                  <w:shd w:val="clear" w:color="auto" w:fill="auto"/>
                  <w:vAlign w:val="center"/>
                </w:tcPr>
                <w:p w14:paraId="39B0A5A9">
                  <w:pPr>
                    <w:keepNext w:val="0"/>
                    <w:keepLines w:val="0"/>
                    <w:pageBreakBefore w:val="0"/>
                    <w:kinsoku/>
                    <w:wordWrap/>
                    <w:overflowPunct/>
                    <w:topLinePunct w:val="0"/>
                    <w:autoSpaceDE/>
                    <w:autoSpaceDN/>
                    <w:bidi w:val="0"/>
                    <w:adjustRightInd w:val="0"/>
                    <w:snapToGrid w:val="0"/>
                    <w:jc w:val="center"/>
                    <w:textAlignment w:val="auto"/>
                    <w:rPr>
                      <w:rFonts w:hint="eastAsia"/>
                      <w:color w:val="auto"/>
                      <w:kern w:val="0"/>
                    </w:rPr>
                  </w:pPr>
                </w:p>
              </w:tc>
            </w:tr>
            <w:tr w14:paraId="52BE219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35" w:type="pct"/>
                  <w:tcBorders>
                    <w:tl2br w:val="nil"/>
                    <w:tr2bl w:val="nil"/>
                  </w:tcBorders>
                  <w:shd w:val="clear" w:color="auto" w:fill="auto"/>
                  <w:vAlign w:val="center"/>
                </w:tcPr>
                <w:p w14:paraId="2E2F222F">
                  <w:pPr>
                    <w:pStyle w:val="5"/>
                    <w:adjustRightInd w:val="0"/>
                    <w:snapToGrid w:val="0"/>
                    <w:ind w:firstLine="0" w:firstLineChars="0"/>
                    <w:jc w:val="center"/>
                    <w:rPr>
                      <w:rFonts w:hint="eastAsia"/>
                      <w:bCs/>
                      <w:color w:val="auto"/>
                      <w:kern w:val="0"/>
                      <w:szCs w:val="21"/>
                      <w:lang w:val="en-US" w:eastAsia="zh-CN"/>
                    </w:rPr>
                  </w:pPr>
                  <w:r>
                    <w:rPr>
                      <w:rFonts w:hint="eastAsia"/>
                      <w:bCs/>
                      <w:color w:val="auto"/>
                      <w:kern w:val="0"/>
                      <w:szCs w:val="21"/>
                      <w:lang w:val="en-US" w:eastAsia="zh-CN"/>
                    </w:rPr>
                    <w:t>擦色废物</w:t>
                  </w:r>
                </w:p>
              </w:tc>
              <w:tc>
                <w:tcPr>
                  <w:tcW w:w="631" w:type="pct"/>
                  <w:tcBorders>
                    <w:tl2br w:val="nil"/>
                    <w:tr2bl w:val="nil"/>
                  </w:tcBorders>
                  <w:shd w:val="clear" w:color="auto" w:fill="auto"/>
                  <w:vAlign w:val="center"/>
                </w:tcPr>
                <w:p w14:paraId="6A8001BA">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rPr>
                    <w:t>擦色</w:t>
                  </w:r>
                </w:p>
              </w:tc>
              <w:tc>
                <w:tcPr>
                  <w:tcW w:w="417" w:type="pct"/>
                  <w:tcBorders>
                    <w:tl2br w:val="nil"/>
                    <w:tr2bl w:val="nil"/>
                  </w:tcBorders>
                  <w:shd w:val="clear" w:color="auto" w:fill="auto"/>
                  <w:vAlign w:val="center"/>
                </w:tcPr>
                <w:p w14:paraId="26A6D031">
                  <w:pPr>
                    <w:pStyle w:val="5"/>
                    <w:adjustRightInd w:val="0"/>
                    <w:snapToGrid w:val="0"/>
                    <w:ind w:firstLine="0" w:firstLineChars="0"/>
                    <w:jc w:val="center"/>
                    <w:rPr>
                      <w:rFonts w:hint="eastAsia"/>
                      <w:color w:val="auto"/>
                      <w:kern w:val="0"/>
                      <w:lang w:val="en-US" w:eastAsia="zh-CN"/>
                    </w:rPr>
                  </w:pPr>
                  <w:r>
                    <w:rPr>
                      <w:rFonts w:hint="eastAsia"/>
                      <w:color w:val="auto"/>
                      <w:kern w:val="0"/>
                      <w:szCs w:val="21"/>
                      <w:lang w:val="en-US" w:eastAsia="zh-CN"/>
                    </w:rPr>
                    <w:t>固</w:t>
                  </w:r>
                </w:p>
              </w:tc>
              <w:tc>
                <w:tcPr>
                  <w:tcW w:w="746" w:type="pct"/>
                  <w:tcBorders>
                    <w:tl2br w:val="nil"/>
                    <w:tr2bl w:val="nil"/>
                  </w:tcBorders>
                  <w:shd w:val="clear" w:color="auto" w:fill="auto"/>
                  <w:vAlign w:val="center"/>
                </w:tcPr>
                <w:p w14:paraId="1A10FD59">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bidi="ar"/>
                    </w:rPr>
                    <w:t>抹布、刷子</w:t>
                  </w:r>
                </w:p>
              </w:tc>
              <w:tc>
                <w:tcPr>
                  <w:tcW w:w="346" w:type="pct"/>
                  <w:vMerge w:val="restart"/>
                  <w:tcBorders>
                    <w:tl2br w:val="nil"/>
                    <w:tr2bl w:val="nil"/>
                  </w:tcBorders>
                  <w:shd w:val="clear" w:color="auto" w:fill="auto"/>
                  <w:vAlign w:val="center"/>
                </w:tcPr>
                <w:p w14:paraId="6B2B88C0">
                  <w:pPr>
                    <w:pStyle w:val="693"/>
                    <w:rPr>
                      <w:rFonts w:hint="eastAsia" w:eastAsia="宋体"/>
                      <w:b w:val="0"/>
                      <w:bCs/>
                      <w:color w:val="auto"/>
                      <w:kern w:val="0"/>
                      <w:lang w:val="en-US" w:eastAsia="zh-CN"/>
                    </w:rPr>
                  </w:pPr>
                  <w:r>
                    <w:rPr>
                      <w:rFonts w:hint="eastAsia" w:eastAsia="宋体"/>
                      <w:b w:val="0"/>
                      <w:bCs/>
                      <w:color w:val="auto"/>
                      <w:kern w:val="0"/>
                      <w:lang w:val="en-US" w:eastAsia="zh-CN"/>
                    </w:rPr>
                    <w:t>危险废物</w:t>
                  </w:r>
                </w:p>
              </w:tc>
              <w:tc>
                <w:tcPr>
                  <w:tcW w:w="759" w:type="pct"/>
                  <w:tcBorders>
                    <w:tl2br w:val="nil"/>
                    <w:tr2bl w:val="nil"/>
                  </w:tcBorders>
                  <w:shd w:val="clear" w:color="auto" w:fill="auto"/>
                  <w:vAlign w:val="center"/>
                </w:tcPr>
                <w:p w14:paraId="12192910">
                  <w:pPr>
                    <w:contextualSpacing/>
                    <w:jc w:val="center"/>
                    <w:rPr>
                      <w:rFonts w:hint="eastAsia"/>
                      <w:color w:val="auto"/>
                      <w:kern w:val="0"/>
                      <w:lang w:val="en-US" w:eastAsia="zh-CN"/>
                    </w:rPr>
                  </w:pPr>
                  <w:r>
                    <w:rPr>
                      <w:rFonts w:hint="eastAsia"/>
                      <w:color w:val="auto"/>
                      <w:kern w:val="0"/>
                      <w:lang w:val="en-US" w:eastAsia="zh-CN"/>
                    </w:rPr>
                    <w:t>900-252-12</w:t>
                  </w:r>
                </w:p>
              </w:tc>
              <w:tc>
                <w:tcPr>
                  <w:tcW w:w="561" w:type="pct"/>
                  <w:tcBorders>
                    <w:tl2br w:val="nil"/>
                    <w:tr2bl w:val="nil"/>
                  </w:tcBorders>
                  <w:shd w:val="clear" w:color="auto" w:fill="auto"/>
                  <w:vAlign w:val="center"/>
                </w:tcPr>
                <w:p w14:paraId="29DBF48E">
                  <w:pPr>
                    <w:pStyle w:val="5"/>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0.3</w:t>
                  </w:r>
                </w:p>
              </w:tc>
              <w:tc>
                <w:tcPr>
                  <w:tcW w:w="702" w:type="pct"/>
                  <w:vMerge w:val="restart"/>
                  <w:tcBorders>
                    <w:tl2br w:val="nil"/>
                    <w:tr2bl w:val="nil"/>
                  </w:tcBorders>
                  <w:shd w:val="clear" w:color="auto" w:fill="auto"/>
                  <w:vAlign w:val="center"/>
                </w:tcPr>
                <w:p w14:paraId="1F7C714C">
                  <w:pPr>
                    <w:keepNext w:val="0"/>
                    <w:keepLines w:val="0"/>
                    <w:pageBreakBefore w:val="0"/>
                    <w:kinsoku/>
                    <w:wordWrap/>
                    <w:overflowPunct/>
                    <w:topLinePunct w:val="0"/>
                    <w:autoSpaceDE/>
                    <w:autoSpaceDN/>
                    <w:bidi w:val="0"/>
                    <w:adjustRightInd w:val="0"/>
                    <w:snapToGrid w:val="0"/>
                    <w:jc w:val="center"/>
                    <w:textAlignment w:val="auto"/>
                    <w:rPr>
                      <w:rFonts w:hint="eastAsia"/>
                      <w:color w:val="auto"/>
                      <w:kern w:val="0"/>
                    </w:rPr>
                  </w:pPr>
                  <w:r>
                    <w:rPr>
                      <w:rFonts w:hint="eastAsia"/>
                      <w:color w:val="auto"/>
                      <w:kern w:val="0"/>
                      <w:lang w:val="en-US" w:eastAsia="zh-CN"/>
                    </w:rPr>
                    <w:t>有资质的危废处置单位</w:t>
                  </w:r>
                </w:p>
              </w:tc>
            </w:tr>
            <w:tr w14:paraId="763C76D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35" w:type="pct"/>
                  <w:tcBorders>
                    <w:tl2br w:val="nil"/>
                    <w:tr2bl w:val="nil"/>
                  </w:tcBorders>
                  <w:shd w:val="clear" w:color="auto" w:fill="auto"/>
                  <w:vAlign w:val="center"/>
                </w:tcPr>
                <w:p w14:paraId="33FBB130">
                  <w:pPr>
                    <w:pStyle w:val="5"/>
                    <w:adjustRightInd w:val="0"/>
                    <w:snapToGrid w:val="0"/>
                    <w:ind w:firstLine="0" w:firstLineChars="0"/>
                    <w:jc w:val="center"/>
                    <w:rPr>
                      <w:rFonts w:hint="eastAsia"/>
                      <w:bCs/>
                      <w:color w:val="auto"/>
                      <w:kern w:val="0"/>
                      <w:szCs w:val="21"/>
                      <w:lang w:val="en-US" w:eastAsia="zh-CN"/>
                    </w:rPr>
                  </w:pPr>
                  <w:r>
                    <w:rPr>
                      <w:rFonts w:hint="eastAsia"/>
                      <w:bCs/>
                      <w:color w:val="auto"/>
                      <w:kern w:val="0"/>
                      <w:szCs w:val="21"/>
                      <w:lang w:val="en-US" w:eastAsia="zh-CN"/>
                    </w:rPr>
                    <w:t>含漆废物</w:t>
                  </w:r>
                </w:p>
              </w:tc>
              <w:tc>
                <w:tcPr>
                  <w:tcW w:w="631" w:type="pct"/>
                  <w:tcBorders>
                    <w:tl2br w:val="nil"/>
                    <w:tr2bl w:val="nil"/>
                  </w:tcBorders>
                  <w:shd w:val="clear" w:color="auto" w:fill="auto"/>
                  <w:vAlign w:val="center"/>
                </w:tcPr>
                <w:p w14:paraId="0A2ABED5">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rPr>
                    <w:t>刷漆/喷漆</w:t>
                  </w:r>
                </w:p>
              </w:tc>
              <w:tc>
                <w:tcPr>
                  <w:tcW w:w="417" w:type="pct"/>
                  <w:tcBorders>
                    <w:tl2br w:val="nil"/>
                    <w:tr2bl w:val="nil"/>
                  </w:tcBorders>
                  <w:shd w:val="clear" w:color="auto" w:fill="auto"/>
                  <w:vAlign w:val="center"/>
                </w:tcPr>
                <w:p w14:paraId="7FBD1072">
                  <w:pPr>
                    <w:pStyle w:val="5"/>
                    <w:adjustRightInd w:val="0"/>
                    <w:snapToGrid w:val="0"/>
                    <w:ind w:firstLine="0" w:firstLineChars="0"/>
                    <w:jc w:val="center"/>
                    <w:rPr>
                      <w:rFonts w:hint="eastAsia"/>
                      <w:color w:val="auto"/>
                      <w:kern w:val="0"/>
                      <w:lang w:val="en-US" w:eastAsia="zh-CN"/>
                    </w:rPr>
                  </w:pPr>
                  <w:r>
                    <w:rPr>
                      <w:rFonts w:hint="eastAsia"/>
                      <w:color w:val="auto"/>
                      <w:kern w:val="0"/>
                      <w:szCs w:val="21"/>
                      <w:lang w:val="en-US" w:eastAsia="zh-CN"/>
                    </w:rPr>
                    <w:t>固</w:t>
                  </w:r>
                </w:p>
              </w:tc>
              <w:tc>
                <w:tcPr>
                  <w:tcW w:w="746" w:type="pct"/>
                  <w:tcBorders>
                    <w:tl2br w:val="nil"/>
                    <w:tr2bl w:val="nil"/>
                  </w:tcBorders>
                  <w:shd w:val="clear" w:color="auto" w:fill="auto"/>
                  <w:vAlign w:val="center"/>
                </w:tcPr>
                <w:p w14:paraId="4F4E867F">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bidi="ar"/>
                    </w:rPr>
                    <w:t>报纸、刷子</w:t>
                  </w:r>
                </w:p>
              </w:tc>
              <w:tc>
                <w:tcPr>
                  <w:tcW w:w="346" w:type="pct"/>
                  <w:vMerge w:val="continue"/>
                  <w:tcBorders>
                    <w:tl2br w:val="nil"/>
                    <w:tr2bl w:val="nil"/>
                  </w:tcBorders>
                  <w:shd w:val="clear" w:color="auto" w:fill="auto"/>
                  <w:vAlign w:val="center"/>
                </w:tcPr>
                <w:p w14:paraId="4CB24272">
                  <w:pPr>
                    <w:widowControl/>
                    <w:adjustRightInd w:val="0"/>
                    <w:snapToGrid w:val="0"/>
                    <w:jc w:val="center"/>
                    <w:textAlignment w:val="center"/>
                    <w:rPr>
                      <w:rFonts w:hint="eastAsia" w:ascii="Times New Roman" w:hAnsi="Times New Roman" w:eastAsia="宋体" w:cs="Times New Roman"/>
                      <w:snapToGrid w:val="0"/>
                      <w:color w:val="auto"/>
                      <w:kern w:val="0"/>
                      <w:sz w:val="21"/>
                      <w:szCs w:val="21"/>
                      <w:lang w:val="en-US" w:eastAsia="zh-CN" w:bidi="ar-SA"/>
                    </w:rPr>
                  </w:pPr>
                </w:p>
              </w:tc>
              <w:tc>
                <w:tcPr>
                  <w:tcW w:w="759" w:type="pct"/>
                  <w:tcBorders>
                    <w:tl2br w:val="nil"/>
                    <w:tr2bl w:val="nil"/>
                  </w:tcBorders>
                  <w:shd w:val="clear" w:color="auto" w:fill="auto"/>
                  <w:vAlign w:val="center"/>
                </w:tcPr>
                <w:p w14:paraId="41173F41">
                  <w:pPr>
                    <w:contextualSpacing/>
                    <w:jc w:val="center"/>
                    <w:rPr>
                      <w:rFonts w:hint="eastAsia"/>
                      <w:color w:val="auto"/>
                      <w:kern w:val="0"/>
                      <w:lang w:val="en-US" w:eastAsia="zh-CN"/>
                    </w:rPr>
                  </w:pPr>
                  <w:r>
                    <w:rPr>
                      <w:rFonts w:hint="eastAsia"/>
                      <w:color w:val="auto"/>
                      <w:kern w:val="0"/>
                      <w:lang w:val="en-US" w:eastAsia="zh-CN"/>
                    </w:rPr>
                    <w:t>900-252-12</w:t>
                  </w:r>
                </w:p>
              </w:tc>
              <w:tc>
                <w:tcPr>
                  <w:tcW w:w="561" w:type="pct"/>
                  <w:tcBorders>
                    <w:tl2br w:val="nil"/>
                    <w:tr2bl w:val="nil"/>
                  </w:tcBorders>
                  <w:shd w:val="clear" w:color="auto" w:fill="auto"/>
                  <w:vAlign w:val="center"/>
                </w:tcPr>
                <w:p w14:paraId="4F4A0BC7">
                  <w:pPr>
                    <w:pStyle w:val="5"/>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0.5</w:t>
                  </w:r>
                </w:p>
              </w:tc>
              <w:tc>
                <w:tcPr>
                  <w:tcW w:w="702" w:type="pct"/>
                  <w:vMerge w:val="continue"/>
                  <w:tcBorders>
                    <w:tl2br w:val="nil"/>
                    <w:tr2bl w:val="nil"/>
                  </w:tcBorders>
                  <w:shd w:val="clear" w:color="auto" w:fill="auto"/>
                  <w:vAlign w:val="center"/>
                </w:tcPr>
                <w:p w14:paraId="3E3BF790">
                  <w:pPr>
                    <w:keepNext w:val="0"/>
                    <w:keepLines w:val="0"/>
                    <w:pageBreakBefore w:val="0"/>
                    <w:kinsoku/>
                    <w:wordWrap/>
                    <w:overflowPunct/>
                    <w:topLinePunct w:val="0"/>
                    <w:autoSpaceDE/>
                    <w:autoSpaceDN/>
                    <w:bidi w:val="0"/>
                    <w:adjustRightInd w:val="0"/>
                    <w:snapToGrid w:val="0"/>
                    <w:jc w:val="center"/>
                    <w:textAlignment w:val="auto"/>
                    <w:rPr>
                      <w:rFonts w:hint="eastAsia"/>
                      <w:color w:val="auto"/>
                      <w:kern w:val="0"/>
                    </w:rPr>
                  </w:pPr>
                </w:p>
              </w:tc>
            </w:tr>
            <w:tr w14:paraId="39F02EA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35" w:type="pct"/>
                  <w:tcBorders>
                    <w:tl2br w:val="nil"/>
                    <w:tr2bl w:val="nil"/>
                  </w:tcBorders>
                  <w:vAlign w:val="center"/>
                </w:tcPr>
                <w:p w14:paraId="22F83D08">
                  <w:pPr>
                    <w:pStyle w:val="5"/>
                    <w:adjustRightInd w:val="0"/>
                    <w:snapToGrid w:val="0"/>
                    <w:ind w:firstLine="0" w:firstLineChars="0"/>
                    <w:jc w:val="center"/>
                    <w:rPr>
                      <w:bCs/>
                      <w:color w:val="auto"/>
                      <w:kern w:val="0"/>
                      <w:szCs w:val="21"/>
                    </w:rPr>
                  </w:pPr>
                  <w:r>
                    <w:rPr>
                      <w:rFonts w:hint="eastAsia"/>
                      <w:bCs/>
                      <w:color w:val="auto"/>
                      <w:kern w:val="0"/>
                      <w:szCs w:val="21"/>
                      <w:lang w:val="en-US" w:eastAsia="zh-CN"/>
                    </w:rPr>
                    <w:t>漆渣</w:t>
                  </w:r>
                </w:p>
              </w:tc>
              <w:tc>
                <w:tcPr>
                  <w:tcW w:w="631" w:type="pct"/>
                  <w:tcBorders>
                    <w:tl2br w:val="nil"/>
                    <w:tr2bl w:val="nil"/>
                  </w:tcBorders>
                  <w:vAlign w:val="center"/>
                </w:tcPr>
                <w:p w14:paraId="5A68101F">
                  <w:pPr>
                    <w:widowControl/>
                    <w:adjustRightInd w:val="0"/>
                    <w:snapToGrid w:val="0"/>
                    <w:jc w:val="center"/>
                    <w:textAlignment w:val="center"/>
                    <w:rPr>
                      <w:color w:val="auto"/>
                      <w:kern w:val="0"/>
                    </w:rPr>
                  </w:pPr>
                  <w:r>
                    <w:rPr>
                      <w:rFonts w:hint="eastAsia"/>
                      <w:color w:val="auto"/>
                      <w:kern w:val="0"/>
                      <w:lang w:val="en-US" w:eastAsia="zh-CN"/>
                    </w:rPr>
                    <w:t>喷漆</w:t>
                  </w:r>
                </w:p>
              </w:tc>
              <w:tc>
                <w:tcPr>
                  <w:tcW w:w="417" w:type="pct"/>
                  <w:tcBorders>
                    <w:tl2br w:val="nil"/>
                    <w:tr2bl w:val="nil"/>
                  </w:tcBorders>
                  <w:vAlign w:val="center"/>
                </w:tcPr>
                <w:p w14:paraId="2EF1C969">
                  <w:pPr>
                    <w:pStyle w:val="5"/>
                    <w:adjustRightInd w:val="0"/>
                    <w:snapToGrid w:val="0"/>
                    <w:ind w:firstLine="0" w:firstLineChars="0"/>
                    <w:jc w:val="center"/>
                    <w:rPr>
                      <w:rFonts w:hint="eastAsia"/>
                      <w:color w:val="auto"/>
                      <w:kern w:val="0"/>
                      <w:lang w:val="en-US" w:eastAsia="zh-CN"/>
                    </w:rPr>
                  </w:pPr>
                  <w:r>
                    <w:rPr>
                      <w:rFonts w:hint="eastAsia"/>
                      <w:color w:val="auto"/>
                      <w:kern w:val="0"/>
                      <w:szCs w:val="21"/>
                      <w:lang w:val="en-US" w:eastAsia="zh-CN"/>
                    </w:rPr>
                    <w:t>固</w:t>
                  </w:r>
                </w:p>
              </w:tc>
              <w:tc>
                <w:tcPr>
                  <w:tcW w:w="746" w:type="pct"/>
                  <w:tcBorders>
                    <w:tl2br w:val="nil"/>
                    <w:tr2bl w:val="nil"/>
                  </w:tcBorders>
                  <w:vAlign w:val="center"/>
                </w:tcPr>
                <w:p w14:paraId="5C88C652">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bidi="ar"/>
                    </w:rPr>
                    <w:t>油漆</w:t>
                  </w:r>
                </w:p>
              </w:tc>
              <w:tc>
                <w:tcPr>
                  <w:tcW w:w="346" w:type="pct"/>
                  <w:vMerge w:val="continue"/>
                  <w:tcBorders>
                    <w:tl2br w:val="nil"/>
                    <w:tr2bl w:val="nil"/>
                  </w:tcBorders>
                  <w:vAlign w:val="center"/>
                </w:tcPr>
                <w:p w14:paraId="3D6BA82C">
                  <w:pPr>
                    <w:pStyle w:val="693"/>
                    <w:rPr>
                      <w:rFonts w:hint="eastAsia" w:eastAsia="宋体"/>
                      <w:b w:val="0"/>
                      <w:bCs/>
                      <w:color w:val="auto"/>
                      <w:kern w:val="0"/>
                      <w:lang w:val="en-US" w:eastAsia="zh-CN"/>
                    </w:rPr>
                  </w:pPr>
                </w:p>
              </w:tc>
              <w:tc>
                <w:tcPr>
                  <w:tcW w:w="759" w:type="pct"/>
                  <w:tcBorders>
                    <w:tl2br w:val="nil"/>
                    <w:tr2bl w:val="nil"/>
                  </w:tcBorders>
                  <w:vAlign w:val="center"/>
                </w:tcPr>
                <w:p w14:paraId="612C2D84">
                  <w:pPr>
                    <w:contextualSpacing/>
                    <w:jc w:val="center"/>
                    <w:rPr>
                      <w:color w:val="auto"/>
                      <w:kern w:val="0"/>
                    </w:rPr>
                  </w:pPr>
                  <w:r>
                    <w:rPr>
                      <w:rFonts w:hint="eastAsia"/>
                      <w:color w:val="auto"/>
                      <w:kern w:val="0"/>
                      <w:lang w:val="en-US" w:eastAsia="zh-CN"/>
                    </w:rPr>
                    <w:t>900-299-12</w:t>
                  </w:r>
                </w:p>
              </w:tc>
              <w:tc>
                <w:tcPr>
                  <w:tcW w:w="561" w:type="pct"/>
                  <w:tcBorders>
                    <w:tl2br w:val="nil"/>
                    <w:tr2bl w:val="nil"/>
                  </w:tcBorders>
                  <w:vAlign w:val="center"/>
                </w:tcPr>
                <w:p w14:paraId="7C900823">
                  <w:pPr>
                    <w:pStyle w:val="5"/>
                    <w:adjustRightInd w:val="0"/>
                    <w:snapToGrid w:val="0"/>
                    <w:ind w:firstLine="0" w:firstLineChars="0"/>
                    <w:jc w:val="center"/>
                    <w:rPr>
                      <w:rFonts w:hint="default" w:eastAsia="宋体"/>
                      <w:color w:val="auto"/>
                      <w:kern w:val="0"/>
                      <w:szCs w:val="21"/>
                      <w:lang w:val="en-US" w:eastAsia="zh-CN"/>
                    </w:rPr>
                  </w:pPr>
                  <w:r>
                    <w:rPr>
                      <w:rFonts w:hint="eastAsia"/>
                      <w:color w:val="auto"/>
                      <w:kern w:val="0"/>
                      <w:szCs w:val="21"/>
                      <w:lang w:val="en-US" w:eastAsia="zh-CN"/>
                    </w:rPr>
                    <w:t>1.15</w:t>
                  </w:r>
                </w:p>
              </w:tc>
              <w:tc>
                <w:tcPr>
                  <w:tcW w:w="702" w:type="pct"/>
                  <w:vMerge w:val="continue"/>
                  <w:tcBorders>
                    <w:tl2br w:val="nil"/>
                    <w:tr2bl w:val="nil"/>
                  </w:tcBorders>
                  <w:vAlign w:val="center"/>
                </w:tcPr>
                <w:p w14:paraId="31555713">
                  <w:pPr>
                    <w:keepNext w:val="0"/>
                    <w:keepLines w:val="0"/>
                    <w:pageBreakBefore w:val="0"/>
                    <w:kinsoku/>
                    <w:wordWrap/>
                    <w:overflowPunct/>
                    <w:topLinePunct w:val="0"/>
                    <w:autoSpaceDE/>
                    <w:autoSpaceDN/>
                    <w:bidi w:val="0"/>
                    <w:adjustRightInd w:val="0"/>
                    <w:snapToGrid w:val="0"/>
                    <w:jc w:val="center"/>
                    <w:textAlignment w:val="auto"/>
                    <w:rPr>
                      <w:color w:val="auto"/>
                      <w:kern w:val="0"/>
                    </w:rPr>
                  </w:pPr>
                </w:p>
              </w:tc>
            </w:tr>
            <w:tr w14:paraId="6066645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35" w:type="pct"/>
                  <w:tcBorders>
                    <w:tl2br w:val="nil"/>
                    <w:tr2bl w:val="nil"/>
                  </w:tcBorders>
                  <w:vAlign w:val="center"/>
                </w:tcPr>
                <w:p w14:paraId="057BC9D0">
                  <w:pPr>
                    <w:pStyle w:val="5"/>
                    <w:adjustRightInd w:val="0"/>
                    <w:snapToGrid w:val="0"/>
                    <w:ind w:firstLine="0" w:firstLineChars="0"/>
                    <w:jc w:val="center"/>
                    <w:rPr>
                      <w:rFonts w:hint="eastAsia"/>
                      <w:bCs/>
                      <w:color w:val="auto"/>
                      <w:kern w:val="0"/>
                      <w:szCs w:val="21"/>
                    </w:rPr>
                  </w:pPr>
                  <w:r>
                    <w:rPr>
                      <w:rFonts w:hint="eastAsia"/>
                      <w:bCs/>
                      <w:color w:val="auto"/>
                      <w:kern w:val="0"/>
                      <w:szCs w:val="21"/>
                      <w:lang w:val="en-US" w:eastAsia="zh-CN"/>
                    </w:rPr>
                    <w:t>水帘废液</w:t>
                  </w:r>
                </w:p>
              </w:tc>
              <w:tc>
                <w:tcPr>
                  <w:tcW w:w="631" w:type="pct"/>
                  <w:tcBorders>
                    <w:tl2br w:val="nil"/>
                    <w:tr2bl w:val="nil"/>
                  </w:tcBorders>
                  <w:vAlign w:val="center"/>
                </w:tcPr>
                <w:p w14:paraId="11694ADF">
                  <w:pPr>
                    <w:widowControl/>
                    <w:adjustRightInd w:val="0"/>
                    <w:snapToGrid w:val="0"/>
                    <w:jc w:val="center"/>
                    <w:textAlignment w:val="center"/>
                    <w:rPr>
                      <w:rFonts w:hint="eastAsia"/>
                      <w:color w:val="auto"/>
                      <w:kern w:val="0"/>
                    </w:rPr>
                  </w:pPr>
                  <w:r>
                    <w:rPr>
                      <w:rFonts w:hint="eastAsia"/>
                      <w:color w:val="auto"/>
                      <w:kern w:val="0"/>
                      <w:lang w:val="en-US" w:eastAsia="zh-CN"/>
                    </w:rPr>
                    <w:t>废气治理</w:t>
                  </w:r>
                </w:p>
              </w:tc>
              <w:tc>
                <w:tcPr>
                  <w:tcW w:w="417" w:type="pct"/>
                  <w:tcBorders>
                    <w:tl2br w:val="nil"/>
                    <w:tr2bl w:val="nil"/>
                  </w:tcBorders>
                  <w:vAlign w:val="center"/>
                </w:tcPr>
                <w:p w14:paraId="2F69A392">
                  <w:pPr>
                    <w:pStyle w:val="5"/>
                    <w:adjustRightInd w:val="0"/>
                    <w:snapToGrid w:val="0"/>
                    <w:ind w:firstLine="0" w:firstLineChars="0"/>
                    <w:jc w:val="center"/>
                    <w:rPr>
                      <w:rFonts w:hint="eastAsia"/>
                      <w:color w:val="auto"/>
                      <w:kern w:val="0"/>
                      <w:lang w:val="en-US" w:eastAsia="zh-CN"/>
                    </w:rPr>
                  </w:pPr>
                  <w:r>
                    <w:rPr>
                      <w:rFonts w:hint="eastAsia"/>
                      <w:color w:val="auto"/>
                      <w:kern w:val="0"/>
                      <w:szCs w:val="21"/>
                      <w:lang w:val="en-US" w:eastAsia="zh-CN"/>
                    </w:rPr>
                    <w:t>液</w:t>
                  </w:r>
                </w:p>
              </w:tc>
              <w:tc>
                <w:tcPr>
                  <w:tcW w:w="746" w:type="pct"/>
                  <w:tcBorders>
                    <w:tl2br w:val="nil"/>
                    <w:tr2bl w:val="nil"/>
                  </w:tcBorders>
                  <w:vAlign w:val="center"/>
                </w:tcPr>
                <w:p w14:paraId="7DCA1D0F">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bidi="ar"/>
                    </w:rPr>
                    <w:t>水、颗粒物</w:t>
                  </w:r>
                </w:p>
              </w:tc>
              <w:tc>
                <w:tcPr>
                  <w:tcW w:w="346" w:type="pct"/>
                  <w:vMerge w:val="continue"/>
                  <w:tcBorders>
                    <w:tl2br w:val="nil"/>
                    <w:tr2bl w:val="nil"/>
                  </w:tcBorders>
                  <w:vAlign w:val="center"/>
                </w:tcPr>
                <w:p w14:paraId="2216D22E">
                  <w:pPr>
                    <w:pStyle w:val="693"/>
                    <w:rPr>
                      <w:rFonts w:hint="eastAsia" w:eastAsia="宋体"/>
                      <w:b w:val="0"/>
                      <w:bCs/>
                      <w:color w:val="auto"/>
                      <w:kern w:val="0"/>
                      <w:lang w:val="en-US" w:eastAsia="zh-CN"/>
                    </w:rPr>
                  </w:pPr>
                </w:p>
              </w:tc>
              <w:tc>
                <w:tcPr>
                  <w:tcW w:w="759" w:type="pct"/>
                  <w:tcBorders>
                    <w:tl2br w:val="nil"/>
                    <w:tr2bl w:val="nil"/>
                  </w:tcBorders>
                  <w:vAlign w:val="center"/>
                </w:tcPr>
                <w:p w14:paraId="0F12FDC4">
                  <w:pPr>
                    <w:contextualSpacing/>
                    <w:jc w:val="center"/>
                    <w:rPr>
                      <w:color w:val="auto"/>
                      <w:kern w:val="0"/>
                    </w:rPr>
                  </w:pPr>
                  <w:r>
                    <w:rPr>
                      <w:rFonts w:hint="eastAsia"/>
                      <w:color w:val="auto"/>
                      <w:kern w:val="0"/>
                      <w:lang w:val="en-US" w:eastAsia="zh-CN"/>
                    </w:rPr>
                    <w:t>900-041-49</w:t>
                  </w:r>
                </w:p>
              </w:tc>
              <w:tc>
                <w:tcPr>
                  <w:tcW w:w="561" w:type="pct"/>
                  <w:tcBorders>
                    <w:tl2br w:val="nil"/>
                    <w:tr2bl w:val="nil"/>
                  </w:tcBorders>
                  <w:vAlign w:val="center"/>
                </w:tcPr>
                <w:p w14:paraId="0C13F1FB">
                  <w:pPr>
                    <w:pStyle w:val="5"/>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3</w:t>
                  </w:r>
                </w:p>
              </w:tc>
              <w:tc>
                <w:tcPr>
                  <w:tcW w:w="702" w:type="pct"/>
                  <w:vMerge w:val="continue"/>
                  <w:tcBorders>
                    <w:tl2br w:val="nil"/>
                    <w:tr2bl w:val="nil"/>
                  </w:tcBorders>
                  <w:vAlign w:val="center"/>
                </w:tcPr>
                <w:p w14:paraId="533ADFDE">
                  <w:pPr>
                    <w:keepNext w:val="0"/>
                    <w:keepLines w:val="0"/>
                    <w:pageBreakBefore w:val="0"/>
                    <w:kinsoku/>
                    <w:wordWrap/>
                    <w:overflowPunct/>
                    <w:topLinePunct w:val="0"/>
                    <w:autoSpaceDE/>
                    <w:autoSpaceDN/>
                    <w:bidi w:val="0"/>
                    <w:adjustRightInd w:val="0"/>
                    <w:snapToGrid w:val="0"/>
                    <w:jc w:val="center"/>
                    <w:textAlignment w:val="auto"/>
                    <w:rPr>
                      <w:rFonts w:hint="eastAsia"/>
                      <w:color w:val="auto"/>
                      <w:kern w:val="0"/>
                    </w:rPr>
                  </w:pPr>
                </w:p>
              </w:tc>
            </w:tr>
            <w:tr w14:paraId="24E842F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35" w:type="pct"/>
                  <w:tcBorders>
                    <w:tl2br w:val="nil"/>
                    <w:tr2bl w:val="nil"/>
                  </w:tcBorders>
                  <w:vAlign w:val="center"/>
                </w:tcPr>
                <w:p w14:paraId="27350316">
                  <w:pPr>
                    <w:pStyle w:val="5"/>
                    <w:adjustRightInd w:val="0"/>
                    <w:snapToGrid w:val="0"/>
                    <w:ind w:firstLine="0" w:firstLineChars="0"/>
                    <w:jc w:val="center"/>
                    <w:rPr>
                      <w:rFonts w:hint="eastAsia"/>
                      <w:bCs/>
                      <w:color w:val="auto"/>
                      <w:kern w:val="0"/>
                      <w:szCs w:val="21"/>
                    </w:rPr>
                  </w:pPr>
                  <w:r>
                    <w:rPr>
                      <w:rFonts w:hint="eastAsia"/>
                      <w:bCs/>
                      <w:color w:val="auto"/>
                      <w:kern w:val="0"/>
                      <w:szCs w:val="21"/>
                      <w:lang w:val="en-US" w:eastAsia="zh-CN"/>
                    </w:rPr>
                    <w:t>喷枪清洗废液</w:t>
                  </w:r>
                </w:p>
              </w:tc>
              <w:tc>
                <w:tcPr>
                  <w:tcW w:w="631" w:type="pct"/>
                  <w:tcBorders>
                    <w:tl2br w:val="nil"/>
                    <w:tr2bl w:val="nil"/>
                  </w:tcBorders>
                  <w:vAlign w:val="center"/>
                </w:tcPr>
                <w:p w14:paraId="27192BD6">
                  <w:pPr>
                    <w:widowControl/>
                    <w:adjustRightInd w:val="0"/>
                    <w:snapToGrid w:val="0"/>
                    <w:jc w:val="center"/>
                    <w:textAlignment w:val="center"/>
                    <w:rPr>
                      <w:rFonts w:hint="eastAsia"/>
                      <w:color w:val="auto"/>
                      <w:kern w:val="0"/>
                    </w:rPr>
                  </w:pPr>
                  <w:r>
                    <w:rPr>
                      <w:rFonts w:hint="eastAsia"/>
                      <w:color w:val="auto"/>
                      <w:kern w:val="0"/>
                      <w:lang w:val="en-US" w:eastAsia="zh-CN"/>
                    </w:rPr>
                    <w:t>喷枪清洗</w:t>
                  </w:r>
                </w:p>
              </w:tc>
              <w:tc>
                <w:tcPr>
                  <w:tcW w:w="417" w:type="pct"/>
                  <w:tcBorders>
                    <w:tl2br w:val="nil"/>
                    <w:tr2bl w:val="nil"/>
                  </w:tcBorders>
                  <w:vAlign w:val="center"/>
                </w:tcPr>
                <w:p w14:paraId="1DF710A2">
                  <w:pPr>
                    <w:pStyle w:val="5"/>
                    <w:adjustRightInd w:val="0"/>
                    <w:snapToGrid w:val="0"/>
                    <w:ind w:firstLine="0" w:firstLineChars="0"/>
                    <w:jc w:val="center"/>
                    <w:rPr>
                      <w:rFonts w:hint="eastAsia"/>
                      <w:color w:val="auto"/>
                      <w:kern w:val="0"/>
                      <w:lang w:val="en-US" w:eastAsia="zh-CN"/>
                    </w:rPr>
                  </w:pPr>
                  <w:r>
                    <w:rPr>
                      <w:rFonts w:hint="eastAsia"/>
                      <w:color w:val="auto"/>
                      <w:kern w:val="0"/>
                      <w:szCs w:val="21"/>
                      <w:lang w:val="en-US" w:eastAsia="zh-CN"/>
                    </w:rPr>
                    <w:t>液</w:t>
                  </w:r>
                </w:p>
              </w:tc>
              <w:tc>
                <w:tcPr>
                  <w:tcW w:w="746" w:type="pct"/>
                  <w:tcBorders>
                    <w:tl2br w:val="nil"/>
                    <w:tr2bl w:val="nil"/>
                  </w:tcBorders>
                  <w:vAlign w:val="center"/>
                </w:tcPr>
                <w:p w14:paraId="1A04BE3F">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bidi="ar"/>
                    </w:rPr>
                    <w:t>油漆、稀释剂</w:t>
                  </w:r>
                </w:p>
              </w:tc>
              <w:tc>
                <w:tcPr>
                  <w:tcW w:w="346" w:type="pct"/>
                  <w:vMerge w:val="continue"/>
                  <w:tcBorders>
                    <w:tl2br w:val="nil"/>
                    <w:tr2bl w:val="nil"/>
                  </w:tcBorders>
                  <w:vAlign w:val="center"/>
                </w:tcPr>
                <w:p w14:paraId="65D98B13">
                  <w:pPr>
                    <w:pStyle w:val="693"/>
                    <w:rPr>
                      <w:rFonts w:hint="eastAsia" w:eastAsia="宋体"/>
                      <w:b w:val="0"/>
                      <w:bCs/>
                      <w:color w:val="auto"/>
                      <w:kern w:val="0"/>
                      <w:lang w:val="en-US" w:eastAsia="zh-CN"/>
                    </w:rPr>
                  </w:pPr>
                </w:p>
              </w:tc>
              <w:tc>
                <w:tcPr>
                  <w:tcW w:w="759" w:type="pct"/>
                  <w:tcBorders>
                    <w:tl2br w:val="nil"/>
                    <w:tr2bl w:val="nil"/>
                  </w:tcBorders>
                  <w:vAlign w:val="center"/>
                </w:tcPr>
                <w:p w14:paraId="2A3DC242">
                  <w:pPr>
                    <w:contextualSpacing/>
                    <w:jc w:val="center"/>
                    <w:rPr>
                      <w:color w:val="auto"/>
                      <w:kern w:val="0"/>
                    </w:rPr>
                  </w:pPr>
                  <w:r>
                    <w:rPr>
                      <w:rFonts w:hint="eastAsia"/>
                      <w:color w:val="auto"/>
                      <w:kern w:val="0"/>
                      <w:lang w:val="en-US" w:eastAsia="zh-CN"/>
                    </w:rPr>
                    <w:t>900-041-49</w:t>
                  </w:r>
                </w:p>
              </w:tc>
              <w:tc>
                <w:tcPr>
                  <w:tcW w:w="561" w:type="pct"/>
                  <w:tcBorders>
                    <w:tl2br w:val="nil"/>
                    <w:tr2bl w:val="nil"/>
                  </w:tcBorders>
                  <w:vAlign w:val="center"/>
                </w:tcPr>
                <w:p w14:paraId="729D74F9">
                  <w:pPr>
                    <w:pStyle w:val="5"/>
                    <w:adjustRightInd w:val="0"/>
                    <w:snapToGrid w:val="0"/>
                    <w:ind w:firstLine="0" w:firstLineChars="0"/>
                    <w:jc w:val="center"/>
                    <w:rPr>
                      <w:rFonts w:hint="default"/>
                      <w:color w:val="auto"/>
                      <w:kern w:val="0"/>
                      <w:szCs w:val="21"/>
                      <w:lang w:val="en-US" w:eastAsia="zh-CN"/>
                    </w:rPr>
                  </w:pPr>
                  <w:r>
                    <w:rPr>
                      <w:rFonts w:hint="eastAsia"/>
                      <w:color w:val="auto"/>
                      <w:kern w:val="0"/>
                      <w:szCs w:val="21"/>
                      <w:lang w:val="en-US" w:eastAsia="zh-CN"/>
                    </w:rPr>
                    <w:t>0.36</w:t>
                  </w:r>
                </w:p>
              </w:tc>
              <w:tc>
                <w:tcPr>
                  <w:tcW w:w="702" w:type="pct"/>
                  <w:vMerge w:val="continue"/>
                  <w:tcBorders>
                    <w:tl2br w:val="nil"/>
                    <w:tr2bl w:val="nil"/>
                  </w:tcBorders>
                  <w:vAlign w:val="center"/>
                </w:tcPr>
                <w:p w14:paraId="61D5BEDA">
                  <w:pPr>
                    <w:keepNext w:val="0"/>
                    <w:keepLines w:val="0"/>
                    <w:pageBreakBefore w:val="0"/>
                    <w:kinsoku/>
                    <w:wordWrap/>
                    <w:overflowPunct/>
                    <w:topLinePunct w:val="0"/>
                    <w:autoSpaceDE/>
                    <w:autoSpaceDN/>
                    <w:bidi w:val="0"/>
                    <w:adjustRightInd w:val="0"/>
                    <w:snapToGrid w:val="0"/>
                    <w:jc w:val="center"/>
                    <w:textAlignment w:val="auto"/>
                    <w:rPr>
                      <w:rFonts w:hint="eastAsia"/>
                      <w:color w:val="auto"/>
                      <w:kern w:val="0"/>
                    </w:rPr>
                  </w:pPr>
                </w:p>
              </w:tc>
            </w:tr>
            <w:tr w14:paraId="615F4A1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35" w:type="pct"/>
                  <w:tcBorders>
                    <w:tl2br w:val="nil"/>
                    <w:tr2bl w:val="nil"/>
                  </w:tcBorders>
                  <w:vAlign w:val="center"/>
                </w:tcPr>
                <w:p w14:paraId="058610FB">
                  <w:pPr>
                    <w:pStyle w:val="5"/>
                    <w:adjustRightInd w:val="0"/>
                    <w:snapToGrid w:val="0"/>
                    <w:ind w:firstLine="0" w:firstLineChars="0"/>
                    <w:jc w:val="center"/>
                    <w:rPr>
                      <w:rFonts w:hint="eastAsia"/>
                      <w:bCs/>
                      <w:color w:val="auto"/>
                      <w:kern w:val="0"/>
                      <w:szCs w:val="21"/>
                    </w:rPr>
                  </w:pPr>
                  <w:r>
                    <w:rPr>
                      <w:rFonts w:hint="eastAsia"/>
                      <w:bCs/>
                      <w:color w:val="auto"/>
                      <w:kern w:val="0"/>
                      <w:szCs w:val="21"/>
                      <w:lang w:val="en-US" w:eastAsia="zh-CN"/>
                    </w:rPr>
                    <w:t>废包装桶</w:t>
                  </w:r>
                </w:p>
              </w:tc>
              <w:tc>
                <w:tcPr>
                  <w:tcW w:w="631" w:type="pct"/>
                  <w:tcBorders>
                    <w:tl2br w:val="nil"/>
                    <w:tr2bl w:val="nil"/>
                  </w:tcBorders>
                  <w:vAlign w:val="center"/>
                </w:tcPr>
                <w:p w14:paraId="291D38DA">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rPr>
                    <w:t>原料</w:t>
                  </w:r>
                </w:p>
                <w:p w14:paraId="6EBC5F01">
                  <w:pPr>
                    <w:widowControl/>
                    <w:adjustRightInd w:val="0"/>
                    <w:snapToGrid w:val="0"/>
                    <w:jc w:val="center"/>
                    <w:textAlignment w:val="center"/>
                    <w:rPr>
                      <w:rFonts w:hint="eastAsia"/>
                      <w:color w:val="auto"/>
                      <w:kern w:val="0"/>
                    </w:rPr>
                  </w:pPr>
                  <w:r>
                    <w:rPr>
                      <w:rFonts w:hint="eastAsia"/>
                      <w:color w:val="auto"/>
                      <w:kern w:val="0"/>
                      <w:lang w:val="en-US" w:eastAsia="zh-CN"/>
                    </w:rPr>
                    <w:t>拆包</w:t>
                  </w:r>
                </w:p>
              </w:tc>
              <w:tc>
                <w:tcPr>
                  <w:tcW w:w="417" w:type="pct"/>
                  <w:tcBorders>
                    <w:tl2br w:val="nil"/>
                    <w:tr2bl w:val="nil"/>
                  </w:tcBorders>
                  <w:vAlign w:val="center"/>
                </w:tcPr>
                <w:p w14:paraId="56A6C664">
                  <w:pPr>
                    <w:pStyle w:val="5"/>
                    <w:adjustRightInd w:val="0"/>
                    <w:snapToGrid w:val="0"/>
                    <w:ind w:firstLine="0" w:firstLineChars="0"/>
                    <w:jc w:val="center"/>
                    <w:rPr>
                      <w:rFonts w:hint="eastAsia"/>
                      <w:color w:val="auto"/>
                      <w:kern w:val="0"/>
                      <w:lang w:val="en-US" w:eastAsia="zh-CN"/>
                    </w:rPr>
                  </w:pPr>
                  <w:r>
                    <w:rPr>
                      <w:rFonts w:hint="eastAsia"/>
                      <w:color w:val="auto"/>
                      <w:kern w:val="0"/>
                      <w:szCs w:val="21"/>
                      <w:lang w:val="en-US" w:eastAsia="zh-CN"/>
                    </w:rPr>
                    <w:t>固</w:t>
                  </w:r>
                </w:p>
              </w:tc>
              <w:tc>
                <w:tcPr>
                  <w:tcW w:w="746" w:type="pct"/>
                  <w:tcBorders>
                    <w:tl2br w:val="nil"/>
                    <w:tr2bl w:val="nil"/>
                  </w:tcBorders>
                  <w:vAlign w:val="center"/>
                </w:tcPr>
                <w:p w14:paraId="234E6F37">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bidi="ar"/>
                    </w:rPr>
                    <w:t>油漆、胶水、擦色剂、桶</w:t>
                  </w:r>
                </w:p>
              </w:tc>
              <w:tc>
                <w:tcPr>
                  <w:tcW w:w="346" w:type="pct"/>
                  <w:vMerge w:val="continue"/>
                  <w:tcBorders>
                    <w:tl2br w:val="nil"/>
                    <w:tr2bl w:val="nil"/>
                  </w:tcBorders>
                  <w:vAlign w:val="center"/>
                </w:tcPr>
                <w:p w14:paraId="00ABBDB8">
                  <w:pPr>
                    <w:pStyle w:val="693"/>
                    <w:rPr>
                      <w:rFonts w:hint="eastAsia" w:eastAsia="宋体"/>
                      <w:b w:val="0"/>
                      <w:bCs/>
                      <w:color w:val="auto"/>
                      <w:kern w:val="0"/>
                      <w:lang w:val="en-US" w:eastAsia="zh-CN"/>
                    </w:rPr>
                  </w:pPr>
                </w:p>
              </w:tc>
              <w:tc>
                <w:tcPr>
                  <w:tcW w:w="759" w:type="pct"/>
                  <w:tcBorders>
                    <w:tl2br w:val="nil"/>
                    <w:tr2bl w:val="nil"/>
                  </w:tcBorders>
                  <w:vAlign w:val="center"/>
                </w:tcPr>
                <w:p w14:paraId="050AA548">
                  <w:pPr>
                    <w:contextualSpacing/>
                    <w:jc w:val="center"/>
                    <w:rPr>
                      <w:color w:val="auto"/>
                      <w:kern w:val="0"/>
                    </w:rPr>
                  </w:pPr>
                  <w:r>
                    <w:rPr>
                      <w:rFonts w:hint="eastAsia"/>
                      <w:color w:val="auto"/>
                      <w:kern w:val="0"/>
                      <w:lang w:val="en-US" w:eastAsia="zh-CN"/>
                    </w:rPr>
                    <w:t>900-041-49</w:t>
                  </w:r>
                </w:p>
              </w:tc>
              <w:tc>
                <w:tcPr>
                  <w:tcW w:w="561" w:type="pct"/>
                  <w:tcBorders>
                    <w:tl2br w:val="nil"/>
                    <w:tr2bl w:val="nil"/>
                  </w:tcBorders>
                  <w:vAlign w:val="center"/>
                </w:tcPr>
                <w:p w14:paraId="32DD4283">
                  <w:pPr>
                    <w:pStyle w:val="5"/>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1</w:t>
                  </w:r>
                </w:p>
              </w:tc>
              <w:tc>
                <w:tcPr>
                  <w:tcW w:w="702" w:type="pct"/>
                  <w:vMerge w:val="continue"/>
                  <w:tcBorders>
                    <w:tl2br w:val="nil"/>
                    <w:tr2bl w:val="nil"/>
                  </w:tcBorders>
                  <w:vAlign w:val="center"/>
                </w:tcPr>
                <w:p w14:paraId="1A84E369">
                  <w:pPr>
                    <w:keepNext w:val="0"/>
                    <w:keepLines w:val="0"/>
                    <w:pageBreakBefore w:val="0"/>
                    <w:kinsoku/>
                    <w:wordWrap/>
                    <w:overflowPunct/>
                    <w:topLinePunct w:val="0"/>
                    <w:autoSpaceDE/>
                    <w:autoSpaceDN/>
                    <w:bidi w:val="0"/>
                    <w:adjustRightInd w:val="0"/>
                    <w:snapToGrid w:val="0"/>
                    <w:jc w:val="center"/>
                    <w:textAlignment w:val="auto"/>
                    <w:rPr>
                      <w:rFonts w:hint="eastAsia"/>
                      <w:color w:val="auto"/>
                      <w:kern w:val="0"/>
                    </w:rPr>
                  </w:pPr>
                </w:p>
              </w:tc>
            </w:tr>
            <w:tr w14:paraId="54E1162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35" w:type="pct"/>
                  <w:tcBorders>
                    <w:tl2br w:val="nil"/>
                    <w:tr2bl w:val="nil"/>
                  </w:tcBorders>
                  <w:vAlign w:val="center"/>
                </w:tcPr>
                <w:p w14:paraId="6627801F">
                  <w:pPr>
                    <w:pStyle w:val="5"/>
                    <w:adjustRightInd w:val="0"/>
                    <w:snapToGrid w:val="0"/>
                    <w:ind w:firstLine="0" w:firstLineChars="0"/>
                    <w:jc w:val="center"/>
                    <w:rPr>
                      <w:rFonts w:hint="eastAsia"/>
                      <w:bCs/>
                      <w:color w:val="auto"/>
                      <w:kern w:val="0"/>
                      <w:szCs w:val="21"/>
                    </w:rPr>
                  </w:pPr>
                  <w:r>
                    <w:rPr>
                      <w:rFonts w:hint="eastAsia"/>
                      <w:bCs/>
                      <w:color w:val="auto"/>
                      <w:kern w:val="0"/>
                      <w:szCs w:val="21"/>
                      <w:lang w:val="en-US" w:eastAsia="zh-CN"/>
                    </w:rPr>
                    <w:t>干式内循环打磨处理器收集尘</w:t>
                  </w:r>
                </w:p>
              </w:tc>
              <w:tc>
                <w:tcPr>
                  <w:tcW w:w="631" w:type="pct"/>
                  <w:tcBorders>
                    <w:tl2br w:val="nil"/>
                    <w:tr2bl w:val="nil"/>
                  </w:tcBorders>
                  <w:vAlign w:val="center"/>
                </w:tcPr>
                <w:p w14:paraId="1AA2AE52">
                  <w:pPr>
                    <w:widowControl/>
                    <w:adjustRightInd w:val="0"/>
                    <w:snapToGrid w:val="0"/>
                    <w:jc w:val="center"/>
                    <w:textAlignment w:val="center"/>
                    <w:rPr>
                      <w:rFonts w:hint="eastAsia"/>
                      <w:color w:val="auto"/>
                      <w:kern w:val="0"/>
                    </w:rPr>
                  </w:pPr>
                  <w:r>
                    <w:rPr>
                      <w:rFonts w:hint="eastAsia"/>
                      <w:color w:val="auto"/>
                      <w:kern w:val="0"/>
                      <w:lang w:val="en-US" w:eastAsia="zh-CN"/>
                    </w:rPr>
                    <w:t>废气治理</w:t>
                  </w:r>
                </w:p>
              </w:tc>
              <w:tc>
                <w:tcPr>
                  <w:tcW w:w="417" w:type="pct"/>
                  <w:tcBorders>
                    <w:tl2br w:val="nil"/>
                    <w:tr2bl w:val="nil"/>
                  </w:tcBorders>
                  <w:vAlign w:val="center"/>
                </w:tcPr>
                <w:p w14:paraId="261EBA6C">
                  <w:pPr>
                    <w:pStyle w:val="5"/>
                    <w:adjustRightInd w:val="0"/>
                    <w:snapToGrid w:val="0"/>
                    <w:ind w:firstLine="0" w:firstLineChars="0"/>
                    <w:jc w:val="center"/>
                    <w:rPr>
                      <w:rFonts w:hint="eastAsia"/>
                      <w:color w:val="auto"/>
                      <w:kern w:val="0"/>
                      <w:lang w:val="en-US" w:eastAsia="zh-CN"/>
                    </w:rPr>
                  </w:pPr>
                  <w:r>
                    <w:rPr>
                      <w:rFonts w:hint="eastAsia"/>
                      <w:color w:val="auto"/>
                      <w:kern w:val="0"/>
                      <w:szCs w:val="21"/>
                      <w:lang w:val="en-US" w:eastAsia="zh-CN"/>
                    </w:rPr>
                    <w:t>固</w:t>
                  </w:r>
                </w:p>
              </w:tc>
              <w:tc>
                <w:tcPr>
                  <w:tcW w:w="746" w:type="pct"/>
                  <w:tcBorders>
                    <w:tl2br w:val="nil"/>
                    <w:tr2bl w:val="nil"/>
                  </w:tcBorders>
                  <w:vAlign w:val="center"/>
                </w:tcPr>
                <w:p w14:paraId="1A6AA931">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bidi="ar"/>
                    </w:rPr>
                    <w:t>颗粒物</w:t>
                  </w:r>
                </w:p>
              </w:tc>
              <w:tc>
                <w:tcPr>
                  <w:tcW w:w="346" w:type="pct"/>
                  <w:vMerge w:val="continue"/>
                  <w:tcBorders>
                    <w:tl2br w:val="nil"/>
                    <w:tr2bl w:val="nil"/>
                  </w:tcBorders>
                  <w:vAlign w:val="center"/>
                </w:tcPr>
                <w:p w14:paraId="60B72880">
                  <w:pPr>
                    <w:pStyle w:val="693"/>
                    <w:rPr>
                      <w:rFonts w:hint="eastAsia" w:eastAsia="宋体"/>
                      <w:b w:val="0"/>
                      <w:bCs/>
                      <w:color w:val="auto"/>
                      <w:kern w:val="0"/>
                      <w:lang w:val="en-US" w:eastAsia="zh-CN"/>
                    </w:rPr>
                  </w:pPr>
                </w:p>
              </w:tc>
              <w:tc>
                <w:tcPr>
                  <w:tcW w:w="759" w:type="pct"/>
                  <w:tcBorders>
                    <w:tl2br w:val="nil"/>
                    <w:tr2bl w:val="nil"/>
                  </w:tcBorders>
                  <w:vAlign w:val="center"/>
                </w:tcPr>
                <w:p w14:paraId="4BA0CB56">
                  <w:pPr>
                    <w:contextualSpacing/>
                    <w:jc w:val="center"/>
                    <w:rPr>
                      <w:color w:val="auto"/>
                      <w:kern w:val="0"/>
                    </w:rPr>
                  </w:pPr>
                  <w:r>
                    <w:rPr>
                      <w:rFonts w:hint="eastAsia"/>
                      <w:color w:val="auto"/>
                      <w:kern w:val="0"/>
                      <w:lang w:val="en-US" w:eastAsia="zh-CN"/>
                    </w:rPr>
                    <w:t>900-299-12</w:t>
                  </w:r>
                </w:p>
              </w:tc>
              <w:tc>
                <w:tcPr>
                  <w:tcW w:w="561" w:type="pct"/>
                  <w:tcBorders>
                    <w:tl2br w:val="nil"/>
                    <w:tr2bl w:val="nil"/>
                  </w:tcBorders>
                  <w:vAlign w:val="center"/>
                </w:tcPr>
                <w:p w14:paraId="2F0E8C7C">
                  <w:pPr>
                    <w:pStyle w:val="5"/>
                    <w:adjustRightInd w:val="0"/>
                    <w:snapToGrid w:val="0"/>
                    <w:ind w:firstLine="0" w:firstLineChars="0"/>
                    <w:jc w:val="center"/>
                    <w:rPr>
                      <w:rFonts w:hint="default"/>
                      <w:color w:val="auto"/>
                      <w:kern w:val="0"/>
                      <w:szCs w:val="21"/>
                      <w:lang w:val="en-US" w:eastAsia="zh-CN"/>
                    </w:rPr>
                  </w:pPr>
                  <w:r>
                    <w:rPr>
                      <w:rFonts w:hint="eastAsia"/>
                      <w:color w:val="auto"/>
                      <w:kern w:val="0"/>
                      <w:szCs w:val="21"/>
                      <w:lang w:val="en-US" w:eastAsia="zh-CN"/>
                    </w:rPr>
                    <w:t>0.024</w:t>
                  </w:r>
                </w:p>
              </w:tc>
              <w:tc>
                <w:tcPr>
                  <w:tcW w:w="702" w:type="pct"/>
                  <w:vMerge w:val="continue"/>
                  <w:tcBorders>
                    <w:tl2br w:val="nil"/>
                    <w:tr2bl w:val="nil"/>
                  </w:tcBorders>
                  <w:vAlign w:val="center"/>
                </w:tcPr>
                <w:p w14:paraId="3F086152">
                  <w:pPr>
                    <w:keepNext w:val="0"/>
                    <w:keepLines w:val="0"/>
                    <w:pageBreakBefore w:val="0"/>
                    <w:kinsoku/>
                    <w:wordWrap/>
                    <w:overflowPunct/>
                    <w:topLinePunct w:val="0"/>
                    <w:autoSpaceDE/>
                    <w:autoSpaceDN/>
                    <w:bidi w:val="0"/>
                    <w:adjustRightInd w:val="0"/>
                    <w:snapToGrid w:val="0"/>
                    <w:jc w:val="center"/>
                    <w:textAlignment w:val="auto"/>
                    <w:rPr>
                      <w:rFonts w:hint="eastAsia"/>
                      <w:color w:val="auto"/>
                      <w:kern w:val="0"/>
                    </w:rPr>
                  </w:pPr>
                </w:p>
              </w:tc>
            </w:tr>
            <w:tr w14:paraId="3496715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35" w:type="pct"/>
                  <w:tcBorders>
                    <w:tl2br w:val="nil"/>
                    <w:tr2bl w:val="nil"/>
                  </w:tcBorders>
                  <w:vAlign w:val="center"/>
                </w:tcPr>
                <w:p w14:paraId="2BC25B46">
                  <w:pPr>
                    <w:pStyle w:val="5"/>
                    <w:adjustRightInd w:val="0"/>
                    <w:snapToGrid w:val="0"/>
                    <w:ind w:firstLine="0" w:firstLineChars="0"/>
                    <w:jc w:val="center"/>
                    <w:rPr>
                      <w:rFonts w:hint="eastAsia"/>
                      <w:bCs/>
                      <w:color w:val="auto"/>
                      <w:kern w:val="0"/>
                      <w:szCs w:val="21"/>
                    </w:rPr>
                  </w:pPr>
                  <w:r>
                    <w:rPr>
                      <w:rFonts w:hint="eastAsia"/>
                      <w:bCs/>
                      <w:color w:val="auto"/>
                      <w:kern w:val="0"/>
                      <w:szCs w:val="21"/>
                      <w:lang w:val="en-US" w:eastAsia="zh-CN"/>
                    </w:rPr>
                    <w:t>废活性炭</w:t>
                  </w:r>
                </w:p>
              </w:tc>
              <w:tc>
                <w:tcPr>
                  <w:tcW w:w="631" w:type="pct"/>
                  <w:tcBorders>
                    <w:tl2br w:val="nil"/>
                    <w:tr2bl w:val="nil"/>
                  </w:tcBorders>
                  <w:vAlign w:val="center"/>
                </w:tcPr>
                <w:p w14:paraId="170138B9">
                  <w:pPr>
                    <w:widowControl/>
                    <w:adjustRightInd w:val="0"/>
                    <w:snapToGrid w:val="0"/>
                    <w:jc w:val="center"/>
                    <w:textAlignment w:val="center"/>
                    <w:rPr>
                      <w:rFonts w:hint="eastAsia"/>
                      <w:color w:val="auto"/>
                      <w:kern w:val="0"/>
                    </w:rPr>
                  </w:pPr>
                  <w:r>
                    <w:rPr>
                      <w:rFonts w:hint="eastAsia"/>
                      <w:color w:val="auto"/>
                      <w:kern w:val="0"/>
                      <w:lang w:val="en-US" w:eastAsia="zh-CN"/>
                    </w:rPr>
                    <w:t>废气治理</w:t>
                  </w:r>
                </w:p>
              </w:tc>
              <w:tc>
                <w:tcPr>
                  <w:tcW w:w="417" w:type="pct"/>
                  <w:tcBorders>
                    <w:tl2br w:val="nil"/>
                    <w:tr2bl w:val="nil"/>
                  </w:tcBorders>
                  <w:vAlign w:val="center"/>
                </w:tcPr>
                <w:p w14:paraId="58C098BD">
                  <w:pPr>
                    <w:pStyle w:val="5"/>
                    <w:adjustRightInd w:val="0"/>
                    <w:snapToGrid w:val="0"/>
                    <w:ind w:firstLine="0" w:firstLineChars="0"/>
                    <w:jc w:val="center"/>
                    <w:rPr>
                      <w:rFonts w:hint="eastAsia"/>
                      <w:color w:val="auto"/>
                      <w:kern w:val="0"/>
                      <w:lang w:val="en-US" w:eastAsia="zh-CN"/>
                    </w:rPr>
                  </w:pPr>
                  <w:r>
                    <w:rPr>
                      <w:rFonts w:hint="eastAsia"/>
                      <w:color w:val="auto"/>
                      <w:kern w:val="0"/>
                      <w:szCs w:val="21"/>
                      <w:lang w:val="en-US" w:eastAsia="zh-CN"/>
                    </w:rPr>
                    <w:t>固</w:t>
                  </w:r>
                </w:p>
              </w:tc>
              <w:tc>
                <w:tcPr>
                  <w:tcW w:w="746" w:type="pct"/>
                  <w:tcBorders>
                    <w:tl2br w:val="nil"/>
                    <w:tr2bl w:val="nil"/>
                  </w:tcBorders>
                  <w:vAlign w:val="center"/>
                </w:tcPr>
                <w:p w14:paraId="3E27038C">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bidi="ar"/>
                    </w:rPr>
                    <w:t>活性炭、VOCs</w:t>
                  </w:r>
                </w:p>
              </w:tc>
              <w:tc>
                <w:tcPr>
                  <w:tcW w:w="346" w:type="pct"/>
                  <w:vMerge w:val="continue"/>
                  <w:tcBorders>
                    <w:tl2br w:val="nil"/>
                    <w:tr2bl w:val="nil"/>
                  </w:tcBorders>
                  <w:vAlign w:val="center"/>
                </w:tcPr>
                <w:p w14:paraId="4339D186">
                  <w:pPr>
                    <w:pStyle w:val="693"/>
                    <w:rPr>
                      <w:rFonts w:hint="eastAsia" w:eastAsia="宋体"/>
                      <w:b w:val="0"/>
                      <w:bCs/>
                      <w:color w:val="auto"/>
                      <w:kern w:val="0"/>
                      <w:lang w:val="en-US" w:eastAsia="zh-CN"/>
                    </w:rPr>
                  </w:pPr>
                </w:p>
              </w:tc>
              <w:tc>
                <w:tcPr>
                  <w:tcW w:w="759" w:type="pct"/>
                  <w:tcBorders>
                    <w:tl2br w:val="nil"/>
                    <w:tr2bl w:val="nil"/>
                  </w:tcBorders>
                  <w:vAlign w:val="center"/>
                </w:tcPr>
                <w:p w14:paraId="0FDAF255">
                  <w:pPr>
                    <w:contextualSpacing/>
                    <w:jc w:val="center"/>
                    <w:rPr>
                      <w:color w:val="auto"/>
                      <w:kern w:val="0"/>
                    </w:rPr>
                  </w:pPr>
                  <w:r>
                    <w:rPr>
                      <w:color w:val="auto"/>
                      <w:kern w:val="0"/>
                    </w:rPr>
                    <w:t>900-039-49</w:t>
                  </w:r>
                </w:p>
              </w:tc>
              <w:tc>
                <w:tcPr>
                  <w:tcW w:w="561" w:type="pct"/>
                  <w:tcBorders>
                    <w:tl2br w:val="nil"/>
                    <w:tr2bl w:val="nil"/>
                  </w:tcBorders>
                  <w:vAlign w:val="center"/>
                </w:tcPr>
                <w:p w14:paraId="34425B6E">
                  <w:pPr>
                    <w:pStyle w:val="5"/>
                    <w:adjustRightInd w:val="0"/>
                    <w:snapToGrid w:val="0"/>
                    <w:ind w:firstLine="0" w:firstLineChars="0"/>
                    <w:jc w:val="center"/>
                    <w:rPr>
                      <w:rFonts w:hint="default"/>
                      <w:color w:val="auto"/>
                      <w:kern w:val="0"/>
                      <w:szCs w:val="21"/>
                      <w:lang w:val="en-US" w:eastAsia="zh-CN"/>
                    </w:rPr>
                  </w:pPr>
                  <w:r>
                    <w:rPr>
                      <w:rFonts w:hint="eastAsia"/>
                      <w:color w:val="auto"/>
                      <w:kern w:val="0"/>
                      <w:szCs w:val="21"/>
                      <w:lang w:val="en-US" w:eastAsia="zh-CN"/>
                    </w:rPr>
                    <w:t>2.387</w:t>
                  </w:r>
                </w:p>
              </w:tc>
              <w:tc>
                <w:tcPr>
                  <w:tcW w:w="702" w:type="pct"/>
                  <w:vMerge w:val="continue"/>
                  <w:tcBorders>
                    <w:tl2br w:val="nil"/>
                    <w:tr2bl w:val="nil"/>
                  </w:tcBorders>
                  <w:vAlign w:val="center"/>
                </w:tcPr>
                <w:p w14:paraId="44239C07">
                  <w:pPr>
                    <w:keepNext w:val="0"/>
                    <w:keepLines w:val="0"/>
                    <w:pageBreakBefore w:val="0"/>
                    <w:kinsoku/>
                    <w:wordWrap/>
                    <w:overflowPunct/>
                    <w:topLinePunct w:val="0"/>
                    <w:autoSpaceDE/>
                    <w:autoSpaceDN/>
                    <w:bidi w:val="0"/>
                    <w:adjustRightInd w:val="0"/>
                    <w:snapToGrid w:val="0"/>
                    <w:jc w:val="center"/>
                    <w:textAlignment w:val="auto"/>
                    <w:rPr>
                      <w:rFonts w:hint="eastAsia"/>
                      <w:color w:val="auto"/>
                      <w:kern w:val="0"/>
                    </w:rPr>
                  </w:pPr>
                </w:p>
              </w:tc>
            </w:tr>
            <w:tr w14:paraId="5100F20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35" w:type="pct"/>
                  <w:tcBorders>
                    <w:tl2br w:val="nil"/>
                    <w:tr2bl w:val="nil"/>
                  </w:tcBorders>
                  <w:shd w:val="clear" w:color="auto" w:fill="auto"/>
                  <w:vAlign w:val="center"/>
                </w:tcPr>
                <w:p w14:paraId="75E2FE62">
                  <w:pPr>
                    <w:pStyle w:val="5"/>
                    <w:adjustRightInd w:val="0"/>
                    <w:snapToGrid w:val="0"/>
                    <w:ind w:firstLine="0" w:firstLineChars="0"/>
                    <w:jc w:val="center"/>
                    <w:rPr>
                      <w:rFonts w:hint="eastAsia" w:ascii="Times New Roman" w:hAnsi="Times New Roman" w:eastAsia="宋体" w:cs="Times New Roman"/>
                      <w:bCs/>
                      <w:snapToGrid w:val="0"/>
                      <w:color w:val="auto"/>
                      <w:kern w:val="0"/>
                      <w:sz w:val="21"/>
                      <w:szCs w:val="21"/>
                      <w:lang w:val="en-US" w:eastAsia="zh-CN" w:bidi="ar-SA"/>
                    </w:rPr>
                  </w:pPr>
                  <w:r>
                    <w:rPr>
                      <w:rFonts w:hint="eastAsia"/>
                      <w:bCs/>
                      <w:color w:val="auto"/>
                      <w:kern w:val="0"/>
                      <w:szCs w:val="21"/>
                      <w:lang w:val="en-US" w:eastAsia="zh-CN"/>
                    </w:rPr>
                    <w:t>生活垃圾</w:t>
                  </w:r>
                </w:p>
              </w:tc>
              <w:tc>
                <w:tcPr>
                  <w:tcW w:w="631" w:type="pct"/>
                  <w:tcBorders>
                    <w:tl2br w:val="nil"/>
                    <w:tr2bl w:val="nil"/>
                  </w:tcBorders>
                  <w:shd w:val="clear" w:color="auto" w:fill="auto"/>
                  <w:vAlign w:val="center"/>
                </w:tcPr>
                <w:p w14:paraId="6C70B5D3">
                  <w:pPr>
                    <w:widowControl/>
                    <w:adjustRightInd w:val="0"/>
                    <w:snapToGrid w:val="0"/>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员工生活</w:t>
                  </w:r>
                </w:p>
              </w:tc>
              <w:tc>
                <w:tcPr>
                  <w:tcW w:w="417" w:type="pct"/>
                  <w:tcBorders>
                    <w:tl2br w:val="nil"/>
                    <w:tr2bl w:val="nil"/>
                  </w:tcBorders>
                  <w:shd w:val="clear" w:color="auto" w:fill="auto"/>
                  <w:vAlign w:val="center"/>
                </w:tcPr>
                <w:p w14:paraId="16509A85">
                  <w:pPr>
                    <w:adjustRightInd w:val="0"/>
                    <w:snapToGrid w:val="0"/>
                    <w:jc w:val="center"/>
                    <w:rPr>
                      <w:rFonts w:hint="eastAsia"/>
                      <w:color w:val="auto"/>
                      <w:kern w:val="0"/>
                      <w:lang w:val="en-US" w:eastAsia="zh-CN"/>
                    </w:rPr>
                  </w:pPr>
                  <w:r>
                    <w:rPr>
                      <w:rFonts w:hint="eastAsia"/>
                      <w:color w:val="auto"/>
                      <w:kern w:val="0"/>
                      <w:lang w:val="en-US" w:eastAsia="zh-CN"/>
                    </w:rPr>
                    <w:t>固</w:t>
                  </w:r>
                </w:p>
              </w:tc>
              <w:tc>
                <w:tcPr>
                  <w:tcW w:w="746" w:type="pct"/>
                  <w:tcBorders>
                    <w:tl2br w:val="nil"/>
                    <w:tr2bl w:val="nil"/>
                  </w:tcBorders>
                  <w:shd w:val="clear" w:color="auto" w:fill="auto"/>
                  <w:vAlign w:val="center"/>
                </w:tcPr>
                <w:p w14:paraId="13ABEE32">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bidi="ar"/>
                    </w:rPr>
                    <w:t>纸皮、瓜果等</w:t>
                  </w:r>
                </w:p>
              </w:tc>
              <w:tc>
                <w:tcPr>
                  <w:tcW w:w="346" w:type="pct"/>
                  <w:tcBorders>
                    <w:tl2br w:val="nil"/>
                    <w:tr2bl w:val="nil"/>
                  </w:tcBorders>
                  <w:shd w:val="clear" w:color="auto" w:fill="auto"/>
                  <w:vAlign w:val="center"/>
                </w:tcPr>
                <w:p w14:paraId="10F80D0B">
                  <w:pPr>
                    <w:pStyle w:val="693"/>
                    <w:rPr>
                      <w:rFonts w:hint="eastAsia" w:ascii="Times New Roman" w:hAnsi="Times New Roman" w:eastAsia="宋体" w:cs="Times New Roman"/>
                      <w:b w:val="0"/>
                      <w:bCs/>
                      <w:snapToGrid w:val="0"/>
                      <w:color w:val="auto"/>
                      <w:kern w:val="0"/>
                      <w:sz w:val="21"/>
                      <w:szCs w:val="21"/>
                      <w:lang w:val="en-US" w:eastAsia="zh-CN" w:bidi="ar-SA"/>
                    </w:rPr>
                  </w:pPr>
                  <w:r>
                    <w:rPr>
                      <w:rFonts w:hint="eastAsia" w:eastAsia="宋体"/>
                      <w:b w:val="0"/>
                      <w:bCs/>
                      <w:color w:val="auto"/>
                      <w:kern w:val="0"/>
                      <w:lang w:val="en-US" w:eastAsia="zh-CN"/>
                    </w:rPr>
                    <w:t>生活垃圾</w:t>
                  </w:r>
                </w:p>
              </w:tc>
              <w:tc>
                <w:tcPr>
                  <w:tcW w:w="759" w:type="pct"/>
                  <w:tcBorders>
                    <w:tl2br w:val="nil"/>
                    <w:tr2bl w:val="nil"/>
                  </w:tcBorders>
                  <w:shd w:val="clear" w:color="auto" w:fill="auto"/>
                  <w:vAlign w:val="center"/>
                </w:tcPr>
                <w:p w14:paraId="73A0E078">
                  <w:pPr>
                    <w:pStyle w:val="55"/>
                    <w:widowControl w:val="0"/>
                    <w:ind w:left="-30" w:leftChars="0" w:right="-30" w:rightChars="0"/>
                    <w:rPr>
                      <w:rFonts w:ascii="Times New Roman" w:hAnsi="Times New Roman" w:eastAsia="宋体" w:cs="Times New Roman"/>
                      <w:b/>
                      <w:bCs/>
                      <w:snapToGrid w:val="0"/>
                      <w:color w:val="auto"/>
                      <w:kern w:val="0"/>
                      <w:sz w:val="24"/>
                      <w:szCs w:val="20"/>
                      <w:lang w:val="en-US" w:eastAsia="zh-CN" w:bidi="ar-SA"/>
                    </w:rPr>
                  </w:pPr>
                  <w:r>
                    <w:rPr>
                      <w:rFonts w:hint="eastAsia"/>
                      <w:b w:val="0"/>
                      <w:bCs w:val="0"/>
                      <w:color w:val="auto"/>
                      <w:sz w:val="21"/>
                      <w:szCs w:val="21"/>
                    </w:rPr>
                    <w:t>900-099-S64</w:t>
                  </w:r>
                </w:p>
              </w:tc>
              <w:tc>
                <w:tcPr>
                  <w:tcW w:w="561" w:type="pct"/>
                  <w:tcBorders>
                    <w:tl2br w:val="nil"/>
                    <w:tr2bl w:val="nil"/>
                  </w:tcBorders>
                  <w:shd w:val="clear" w:color="auto" w:fill="auto"/>
                  <w:vAlign w:val="center"/>
                </w:tcPr>
                <w:p w14:paraId="50B39F0A">
                  <w:pPr>
                    <w:pStyle w:val="5"/>
                    <w:adjustRightInd w:val="0"/>
                    <w:snapToGrid w:val="0"/>
                    <w:ind w:firstLine="0" w:firstLineChars="0"/>
                    <w:jc w:val="center"/>
                    <w:rPr>
                      <w:rFonts w:hint="default" w:ascii="Times New Roman" w:hAnsi="Times New Roman" w:eastAsia="宋体" w:cs="Times New Roman"/>
                      <w:snapToGrid w:val="0"/>
                      <w:color w:val="auto"/>
                      <w:kern w:val="0"/>
                      <w:sz w:val="21"/>
                      <w:szCs w:val="21"/>
                      <w:lang w:val="en-US" w:eastAsia="zh-CN" w:bidi="ar-SA"/>
                    </w:rPr>
                  </w:pPr>
                  <w:r>
                    <w:rPr>
                      <w:rFonts w:hint="eastAsia"/>
                      <w:color w:val="auto"/>
                      <w:kern w:val="0"/>
                      <w:szCs w:val="21"/>
                      <w:lang w:val="en-US" w:eastAsia="zh-CN"/>
                    </w:rPr>
                    <w:t>5.25</w:t>
                  </w:r>
                </w:p>
              </w:tc>
              <w:tc>
                <w:tcPr>
                  <w:tcW w:w="702" w:type="pct"/>
                  <w:tcBorders>
                    <w:tl2br w:val="nil"/>
                    <w:tr2bl w:val="nil"/>
                  </w:tcBorders>
                  <w:shd w:val="clear" w:color="auto" w:fill="auto"/>
                  <w:vAlign w:val="center"/>
                </w:tcPr>
                <w:p w14:paraId="2A1E91E3">
                  <w:pPr>
                    <w:adjustRightInd w:val="0"/>
                    <w:snapToGrid w:val="0"/>
                    <w:jc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环卫清运</w:t>
                  </w:r>
                </w:p>
              </w:tc>
            </w:tr>
          </w:tbl>
          <w:p w14:paraId="26C91F04">
            <w:pPr>
              <w:pStyle w:val="5"/>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b/>
                <w:bCs/>
                <w:color w:val="auto"/>
                <w:szCs w:val="21"/>
                <w:lang w:val="en-US" w:eastAsia="zh-CN"/>
              </w:rPr>
            </w:pPr>
            <w:r>
              <w:rPr>
                <w:rFonts w:hint="eastAsia"/>
                <w:b/>
                <w:bCs/>
                <w:color w:val="auto"/>
                <w:szCs w:val="21"/>
                <w:lang w:val="en-US" w:eastAsia="zh-CN"/>
              </w:rPr>
              <w:t>（4）污染物实际排放量</w:t>
            </w:r>
          </w:p>
          <w:p w14:paraId="59610CAF">
            <w:pPr>
              <w:pStyle w:val="5"/>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b w:val="0"/>
                <w:bCs w:val="0"/>
                <w:color w:val="auto"/>
                <w:szCs w:val="21"/>
                <w:lang w:val="en-US" w:eastAsia="zh-CN"/>
              </w:rPr>
            </w:pPr>
            <w:r>
              <w:rPr>
                <w:rFonts w:hint="eastAsia"/>
                <w:b w:val="0"/>
                <w:bCs w:val="0"/>
                <w:color w:val="auto"/>
                <w:szCs w:val="21"/>
                <w:lang w:val="en-US" w:eastAsia="zh-CN"/>
              </w:rPr>
              <w:t>综上，现有项目实际排放情况如下：</w:t>
            </w:r>
          </w:p>
          <w:p w14:paraId="5EF3FC2C">
            <w:pPr>
              <w:pStyle w:val="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b/>
                <w:bCs/>
                <w:color w:val="auto"/>
                <w:szCs w:val="21"/>
                <w:lang w:val="en-US" w:eastAsia="zh-CN"/>
              </w:rPr>
            </w:pPr>
            <w:r>
              <w:rPr>
                <w:rFonts w:hint="eastAsia"/>
                <w:b/>
                <w:bCs/>
                <w:color w:val="auto"/>
                <w:szCs w:val="21"/>
                <w:lang w:val="en-US" w:eastAsia="zh-CN"/>
              </w:rPr>
              <w:t>表2-14   现有项目污染物实际排放情况表</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28" w:type="dxa"/>
                <w:bottom w:w="0" w:type="dxa"/>
                <w:right w:w="28" w:type="dxa"/>
              </w:tblCellMar>
            </w:tblPr>
            <w:tblGrid>
              <w:gridCol w:w="974"/>
              <w:gridCol w:w="1148"/>
              <w:gridCol w:w="2230"/>
              <w:gridCol w:w="2202"/>
              <w:gridCol w:w="1992"/>
            </w:tblGrid>
            <w:tr w14:paraId="5E138D4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0" w:hRule="atLeast"/>
                <w:jc w:val="center"/>
              </w:trPr>
              <w:tc>
                <w:tcPr>
                  <w:tcW w:w="974" w:type="dxa"/>
                  <w:tcBorders>
                    <w:tl2br w:val="nil"/>
                    <w:tr2bl w:val="nil"/>
                  </w:tcBorders>
                  <w:noWrap w:val="0"/>
                  <w:vAlign w:val="center"/>
                </w:tcPr>
                <w:p w14:paraId="27DBE6B4">
                  <w:pPr>
                    <w:pStyle w:val="2"/>
                    <w:adjustRightInd w:val="0"/>
                    <w:spacing w:before="0" w:after="0" w:line="240" w:lineRule="auto"/>
                    <w:ind w:right="0"/>
                    <w:jc w:val="center"/>
                    <w:rPr>
                      <w:color w:val="auto"/>
                      <w:sz w:val="21"/>
                      <w:szCs w:val="24"/>
                      <w:lang w:val="en-US" w:eastAsia="zh-CN"/>
                    </w:rPr>
                  </w:pPr>
                  <w:r>
                    <w:rPr>
                      <w:rFonts w:hint="eastAsia"/>
                      <w:b/>
                      <w:color w:val="auto"/>
                      <w:sz w:val="21"/>
                      <w:szCs w:val="24"/>
                      <w:lang w:val="en-US" w:eastAsia="zh-CN"/>
                    </w:rPr>
                    <w:t>污染类型</w:t>
                  </w:r>
                </w:p>
              </w:tc>
              <w:tc>
                <w:tcPr>
                  <w:tcW w:w="3378" w:type="dxa"/>
                  <w:gridSpan w:val="2"/>
                  <w:tcBorders>
                    <w:tl2br w:val="nil"/>
                    <w:tr2bl w:val="nil"/>
                  </w:tcBorders>
                  <w:noWrap w:val="0"/>
                  <w:vAlign w:val="center"/>
                </w:tcPr>
                <w:p w14:paraId="1F79D1FC">
                  <w:pPr>
                    <w:pStyle w:val="2"/>
                    <w:adjustRightInd w:val="0"/>
                    <w:spacing w:before="0" w:after="0" w:line="240" w:lineRule="auto"/>
                    <w:ind w:right="0"/>
                    <w:jc w:val="center"/>
                    <w:rPr>
                      <w:rFonts w:hint="eastAsia"/>
                      <w:color w:val="auto"/>
                      <w:sz w:val="21"/>
                      <w:szCs w:val="24"/>
                      <w:lang w:val="en-US" w:eastAsia="zh-CN"/>
                    </w:rPr>
                  </w:pPr>
                  <w:r>
                    <w:rPr>
                      <w:rFonts w:hint="eastAsia"/>
                      <w:b/>
                      <w:color w:val="auto"/>
                      <w:sz w:val="21"/>
                      <w:szCs w:val="24"/>
                      <w:lang w:val="en-US" w:eastAsia="zh-CN"/>
                    </w:rPr>
                    <w:t>污染物名称</w:t>
                  </w:r>
                </w:p>
              </w:tc>
              <w:tc>
                <w:tcPr>
                  <w:tcW w:w="2202" w:type="dxa"/>
                  <w:tcBorders>
                    <w:tl2br w:val="nil"/>
                    <w:tr2bl w:val="nil"/>
                  </w:tcBorders>
                  <w:noWrap w:val="0"/>
                  <w:vAlign w:val="center"/>
                </w:tcPr>
                <w:p w14:paraId="58F9551B">
                  <w:pPr>
                    <w:pStyle w:val="2"/>
                    <w:adjustRightInd w:val="0"/>
                    <w:spacing w:before="0" w:after="0" w:line="240" w:lineRule="auto"/>
                    <w:ind w:right="0"/>
                    <w:jc w:val="center"/>
                    <w:rPr>
                      <w:rFonts w:hint="eastAsia"/>
                      <w:color w:val="auto"/>
                      <w:sz w:val="21"/>
                      <w:szCs w:val="24"/>
                      <w:lang w:val="en-US" w:eastAsia="zh-CN"/>
                    </w:rPr>
                  </w:pPr>
                  <w:r>
                    <w:rPr>
                      <w:rFonts w:hint="eastAsia"/>
                      <w:b/>
                      <w:color w:val="auto"/>
                      <w:sz w:val="21"/>
                      <w:szCs w:val="24"/>
                      <w:lang w:val="en-US" w:eastAsia="zh-CN"/>
                    </w:rPr>
                    <w:t>核算排放量（t/a）</w:t>
                  </w:r>
                </w:p>
              </w:tc>
              <w:tc>
                <w:tcPr>
                  <w:tcW w:w="1992" w:type="dxa"/>
                  <w:tcBorders>
                    <w:tl2br w:val="nil"/>
                    <w:tr2bl w:val="nil"/>
                  </w:tcBorders>
                  <w:noWrap w:val="0"/>
                  <w:vAlign w:val="center"/>
                </w:tcPr>
                <w:p w14:paraId="0A783B84">
                  <w:pPr>
                    <w:pStyle w:val="2"/>
                    <w:adjustRightInd w:val="0"/>
                    <w:spacing w:before="0" w:after="0" w:line="240" w:lineRule="auto"/>
                    <w:ind w:right="0"/>
                    <w:jc w:val="center"/>
                    <w:rPr>
                      <w:rFonts w:hint="eastAsia"/>
                      <w:b/>
                      <w:color w:val="auto"/>
                      <w:sz w:val="21"/>
                      <w:szCs w:val="24"/>
                      <w:lang w:val="en-US" w:eastAsia="zh-CN"/>
                    </w:rPr>
                  </w:pPr>
                  <w:r>
                    <w:rPr>
                      <w:rFonts w:hint="eastAsia"/>
                      <w:b/>
                      <w:color w:val="auto"/>
                      <w:sz w:val="21"/>
                      <w:szCs w:val="24"/>
                      <w:lang w:val="en-US" w:eastAsia="zh-CN"/>
                    </w:rPr>
                    <w:t>环评批复量（t/a）</w:t>
                  </w:r>
                </w:p>
              </w:tc>
            </w:tr>
            <w:tr w14:paraId="3DBF270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0" w:hRule="atLeast"/>
                <w:jc w:val="center"/>
              </w:trPr>
              <w:tc>
                <w:tcPr>
                  <w:tcW w:w="974" w:type="dxa"/>
                  <w:vMerge w:val="restart"/>
                  <w:tcBorders>
                    <w:tl2br w:val="nil"/>
                    <w:tr2bl w:val="nil"/>
                  </w:tcBorders>
                  <w:noWrap w:val="0"/>
                  <w:vAlign w:val="center"/>
                </w:tcPr>
                <w:p w14:paraId="7D2D98BC">
                  <w:pPr>
                    <w:pStyle w:val="2"/>
                    <w:adjustRightInd w:val="0"/>
                    <w:spacing w:before="0" w:after="0" w:line="240" w:lineRule="auto"/>
                    <w:ind w:right="0"/>
                    <w:jc w:val="center"/>
                    <w:rPr>
                      <w:rFonts w:hint="eastAsia"/>
                      <w:color w:val="auto"/>
                      <w:sz w:val="21"/>
                      <w:szCs w:val="24"/>
                      <w:lang w:val="en-US" w:eastAsia="zh-CN"/>
                    </w:rPr>
                  </w:pPr>
                  <w:r>
                    <w:rPr>
                      <w:rFonts w:hint="eastAsia"/>
                      <w:color w:val="auto"/>
                      <w:sz w:val="21"/>
                      <w:szCs w:val="24"/>
                      <w:lang w:val="en-US" w:eastAsia="zh-CN"/>
                    </w:rPr>
                    <w:t>废气</w:t>
                  </w:r>
                </w:p>
              </w:tc>
              <w:tc>
                <w:tcPr>
                  <w:tcW w:w="1148" w:type="dxa"/>
                  <w:vMerge w:val="restart"/>
                  <w:tcBorders>
                    <w:tl2br w:val="nil"/>
                    <w:tr2bl w:val="nil"/>
                  </w:tcBorders>
                  <w:noWrap w:val="0"/>
                  <w:vAlign w:val="center"/>
                </w:tcPr>
                <w:p w14:paraId="144EE3BC">
                  <w:pPr>
                    <w:pStyle w:val="2"/>
                    <w:adjustRightInd w:val="0"/>
                    <w:spacing w:before="0" w:after="0" w:line="240" w:lineRule="auto"/>
                    <w:ind w:right="0"/>
                    <w:jc w:val="center"/>
                    <w:rPr>
                      <w:rFonts w:hint="default"/>
                      <w:color w:val="auto"/>
                      <w:sz w:val="21"/>
                      <w:szCs w:val="24"/>
                      <w:lang w:val="en-US" w:eastAsia="zh-CN"/>
                    </w:rPr>
                  </w:pPr>
                  <w:r>
                    <w:rPr>
                      <w:rFonts w:hint="eastAsia"/>
                      <w:color w:val="auto"/>
                      <w:sz w:val="21"/>
                      <w:szCs w:val="24"/>
                      <w:lang w:val="en-US" w:eastAsia="zh-CN"/>
                    </w:rPr>
                    <w:t>有组织</w:t>
                  </w:r>
                </w:p>
              </w:tc>
              <w:tc>
                <w:tcPr>
                  <w:tcW w:w="2230" w:type="dxa"/>
                  <w:tcBorders>
                    <w:tl2br w:val="nil"/>
                    <w:tr2bl w:val="nil"/>
                  </w:tcBorders>
                  <w:noWrap w:val="0"/>
                  <w:vAlign w:val="center"/>
                </w:tcPr>
                <w:p w14:paraId="6DD0D684">
                  <w:pPr>
                    <w:pStyle w:val="2"/>
                    <w:adjustRightInd w:val="0"/>
                    <w:spacing w:before="0" w:after="0" w:line="240" w:lineRule="auto"/>
                    <w:ind w:right="0"/>
                    <w:jc w:val="center"/>
                    <w:rPr>
                      <w:color w:val="auto"/>
                      <w:sz w:val="21"/>
                      <w:szCs w:val="24"/>
                      <w:lang w:val="en-US" w:eastAsia="zh-CN"/>
                    </w:rPr>
                  </w:pPr>
                  <w:r>
                    <w:rPr>
                      <w:rFonts w:hint="eastAsia"/>
                      <w:color w:val="auto"/>
                      <w:sz w:val="21"/>
                      <w:szCs w:val="24"/>
                      <w:lang w:val="en-US" w:eastAsia="zh-CN"/>
                    </w:rPr>
                    <w:t>颗粒物</w:t>
                  </w:r>
                </w:p>
              </w:tc>
              <w:tc>
                <w:tcPr>
                  <w:tcW w:w="2202" w:type="dxa"/>
                  <w:tcBorders>
                    <w:tl2br w:val="nil"/>
                    <w:tr2bl w:val="nil"/>
                  </w:tcBorders>
                  <w:noWrap w:val="0"/>
                  <w:vAlign w:val="center"/>
                </w:tcPr>
                <w:p w14:paraId="198F057A">
                  <w:pPr>
                    <w:pStyle w:val="2"/>
                    <w:adjustRightInd w:val="0"/>
                    <w:spacing w:before="0" w:after="0" w:line="240" w:lineRule="auto"/>
                    <w:ind w:right="0"/>
                    <w:jc w:val="center"/>
                    <w:rPr>
                      <w:rFonts w:hint="default"/>
                      <w:color w:val="auto"/>
                      <w:sz w:val="21"/>
                      <w:szCs w:val="24"/>
                      <w:lang w:val="en-US" w:eastAsia="zh-CN"/>
                    </w:rPr>
                  </w:pPr>
                  <w:r>
                    <w:rPr>
                      <w:rFonts w:hint="eastAsia"/>
                      <w:color w:val="auto"/>
                      <w:sz w:val="21"/>
                      <w:szCs w:val="24"/>
                      <w:lang w:val="en-US" w:eastAsia="zh-CN"/>
                    </w:rPr>
                    <w:t>0.102</w:t>
                  </w:r>
                </w:p>
              </w:tc>
              <w:tc>
                <w:tcPr>
                  <w:tcW w:w="1992" w:type="dxa"/>
                  <w:tcBorders>
                    <w:tl2br w:val="nil"/>
                    <w:tr2bl w:val="nil"/>
                  </w:tcBorders>
                  <w:noWrap w:val="0"/>
                  <w:vAlign w:val="center"/>
                </w:tcPr>
                <w:p w14:paraId="7FE8997B">
                  <w:pPr>
                    <w:pStyle w:val="2"/>
                    <w:adjustRightInd w:val="0"/>
                    <w:spacing w:before="0" w:after="0" w:line="240" w:lineRule="auto"/>
                    <w:ind w:right="0"/>
                    <w:jc w:val="center"/>
                    <w:rPr>
                      <w:rFonts w:hint="default"/>
                      <w:color w:val="auto"/>
                      <w:sz w:val="21"/>
                      <w:szCs w:val="24"/>
                      <w:lang w:val="en-US" w:eastAsia="zh-CN"/>
                    </w:rPr>
                  </w:pPr>
                  <w:r>
                    <w:rPr>
                      <w:rFonts w:hint="eastAsia"/>
                      <w:color w:val="auto"/>
                      <w:sz w:val="21"/>
                      <w:szCs w:val="24"/>
                      <w:lang w:val="en-US" w:eastAsia="zh-CN"/>
                    </w:rPr>
                    <w:t>0.106</w:t>
                  </w:r>
                </w:p>
              </w:tc>
            </w:tr>
            <w:tr w14:paraId="60199B9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0" w:hRule="atLeast"/>
                <w:jc w:val="center"/>
              </w:trPr>
              <w:tc>
                <w:tcPr>
                  <w:tcW w:w="974" w:type="dxa"/>
                  <w:vMerge w:val="continue"/>
                  <w:tcBorders>
                    <w:tl2br w:val="nil"/>
                    <w:tr2bl w:val="nil"/>
                  </w:tcBorders>
                  <w:noWrap w:val="0"/>
                  <w:vAlign w:val="center"/>
                </w:tcPr>
                <w:p w14:paraId="74AD4523">
                  <w:pPr>
                    <w:pStyle w:val="2"/>
                    <w:adjustRightInd w:val="0"/>
                    <w:spacing w:before="0" w:after="0" w:line="240" w:lineRule="auto"/>
                    <w:ind w:right="0"/>
                    <w:jc w:val="center"/>
                    <w:rPr>
                      <w:rFonts w:hint="eastAsia"/>
                      <w:color w:val="auto"/>
                      <w:sz w:val="21"/>
                      <w:szCs w:val="24"/>
                      <w:lang w:val="en-US" w:eastAsia="zh-CN"/>
                    </w:rPr>
                  </w:pPr>
                </w:p>
              </w:tc>
              <w:tc>
                <w:tcPr>
                  <w:tcW w:w="1148" w:type="dxa"/>
                  <w:vMerge w:val="continue"/>
                  <w:tcBorders>
                    <w:tl2br w:val="nil"/>
                    <w:tr2bl w:val="nil"/>
                  </w:tcBorders>
                  <w:noWrap w:val="0"/>
                  <w:vAlign w:val="center"/>
                </w:tcPr>
                <w:p w14:paraId="4F0628FA">
                  <w:pPr>
                    <w:pStyle w:val="2"/>
                    <w:adjustRightInd w:val="0"/>
                    <w:spacing w:before="0" w:after="0" w:line="240" w:lineRule="auto"/>
                    <w:ind w:right="0"/>
                    <w:jc w:val="center"/>
                    <w:rPr>
                      <w:rFonts w:hint="default"/>
                      <w:color w:val="auto"/>
                      <w:sz w:val="21"/>
                      <w:szCs w:val="24"/>
                      <w:lang w:val="en-US" w:eastAsia="zh-CN"/>
                    </w:rPr>
                  </w:pPr>
                </w:p>
              </w:tc>
              <w:tc>
                <w:tcPr>
                  <w:tcW w:w="2230" w:type="dxa"/>
                  <w:tcBorders>
                    <w:tl2br w:val="nil"/>
                    <w:tr2bl w:val="nil"/>
                  </w:tcBorders>
                  <w:noWrap w:val="0"/>
                  <w:vAlign w:val="center"/>
                </w:tcPr>
                <w:p w14:paraId="650E2066">
                  <w:pPr>
                    <w:pStyle w:val="2"/>
                    <w:adjustRightInd w:val="0"/>
                    <w:spacing w:before="0" w:after="0" w:line="240" w:lineRule="auto"/>
                    <w:ind w:right="0"/>
                    <w:jc w:val="center"/>
                    <w:rPr>
                      <w:rFonts w:hint="eastAsia"/>
                      <w:color w:val="auto"/>
                      <w:sz w:val="21"/>
                      <w:szCs w:val="24"/>
                      <w:lang w:val="en-US" w:eastAsia="zh-CN"/>
                    </w:rPr>
                  </w:pPr>
                  <w:r>
                    <w:rPr>
                      <w:rFonts w:hint="eastAsia"/>
                      <w:color w:val="auto"/>
                      <w:sz w:val="21"/>
                      <w:szCs w:val="24"/>
                      <w:lang w:val="en-US" w:eastAsia="zh-CN"/>
                    </w:rPr>
                    <w:t>非甲烷总烃</w:t>
                  </w:r>
                </w:p>
              </w:tc>
              <w:tc>
                <w:tcPr>
                  <w:tcW w:w="2202" w:type="dxa"/>
                  <w:tcBorders>
                    <w:tl2br w:val="nil"/>
                    <w:tr2bl w:val="nil"/>
                  </w:tcBorders>
                  <w:noWrap w:val="0"/>
                  <w:vAlign w:val="center"/>
                </w:tcPr>
                <w:p w14:paraId="29F007C8">
                  <w:pPr>
                    <w:pStyle w:val="2"/>
                    <w:adjustRightInd w:val="0"/>
                    <w:spacing w:before="0" w:after="0" w:line="240" w:lineRule="auto"/>
                    <w:ind w:right="0"/>
                    <w:jc w:val="center"/>
                    <w:rPr>
                      <w:rFonts w:hint="default"/>
                      <w:color w:val="auto"/>
                      <w:sz w:val="21"/>
                      <w:szCs w:val="24"/>
                      <w:lang w:val="en-US" w:eastAsia="zh-CN"/>
                    </w:rPr>
                  </w:pPr>
                  <w:r>
                    <w:rPr>
                      <w:rFonts w:hint="eastAsia"/>
                      <w:color w:val="auto"/>
                      <w:sz w:val="21"/>
                      <w:szCs w:val="24"/>
                      <w:lang w:val="en-US" w:eastAsia="zh-CN"/>
                    </w:rPr>
                    <w:t>0.0408</w:t>
                  </w:r>
                </w:p>
              </w:tc>
              <w:tc>
                <w:tcPr>
                  <w:tcW w:w="1992" w:type="dxa"/>
                  <w:tcBorders>
                    <w:tl2br w:val="nil"/>
                    <w:tr2bl w:val="nil"/>
                  </w:tcBorders>
                  <w:noWrap w:val="0"/>
                  <w:vAlign w:val="center"/>
                </w:tcPr>
                <w:p w14:paraId="390113C1">
                  <w:pPr>
                    <w:pStyle w:val="2"/>
                    <w:adjustRightInd w:val="0"/>
                    <w:spacing w:before="0" w:after="0" w:line="240" w:lineRule="auto"/>
                    <w:ind w:right="0"/>
                    <w:jc w:val="center"/>
                    <w:rPr>
                      <w:rFonts w:hint="default"/>
                      <w:color w:val="auto"/>
                      <w:sz w:val="21"/>
                      <w:szCs w:val="24"/>
                      <w:lang w:val="en-US" w:eastAsia="zh-CN"/>
                    </w:rPr>
                  </w:pPr>
                  <w:r>
                    <w:rPr>
                      <w:rFonts w:hint="eastAsia"/>
                      <w:color w:val="auto"/>
                      <w:sz w:val="21"/>
                      <w:szCs w:val="24"/>
                      <w:lang w:val="en-US" w:eastAsia="zh-CN"/>
                    </w:rPr>
                    <w:t>0.147</w:t>
                  </w:r>
                </w:p>
              </w:tc>
            </w:tr>
            <w:tr w14:paraId="4ACB87C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0" w:hRule="atLeast"/>
                <w:jc w:val="center"/>
              </w:trPr>
              <w:tc>
                <w:tcPr>
                  <w:tcW w:w="974" w:type="dxa"/>
                  <w:vMerge w:val="continue"/>
                  <w:tcBorders>
                    <w:tl2br w:val="nil"/>
                    <w:tr2bl w:val="nil"/>
                  </w:tcBorders>
                  <w:noWrap w:val="0"/>
                  <w:vAlign w:val="center"/>
                </w:tcPr>
                <w:p w14:paraId="25029215">
                  <w:pPr>
                    <w:pStyle w:val="2"/>
                    <w:adjustRightInd w:val="0"/>
                    <w:spacing w:before="0" w:after="0" w:line="240" w:lineRule="auto"/>
                    <w:ind w:right="0"/>
                    <w:jc w:val="center"/>
                    <w:rPr>
                      <w:color w:val="auto"/>
                      <w:sz w:val="21"/>
                      <w:szCs w:val="24"/>
                      <w:lang w:val="en-US" w:eastAsia="zh-CN"/>
                    </w:rPr>
                  </w:pPr>
                </w:p>
              </w:tc>
              <w:tc>
                <w:tcPr>
                  <w:tcW w:w="1148" w:type="dxa"/>
                  <w:vMerge w:val="restart"/>
                  <w:tcBorders>
                    <w:tl2br w:val="nil"/>
                    <w:tr2bl w:val="nil"/>
                  </w:tcBorders>
                  <w:noWrap w:val="0"/>
                  <w:vAlign w:val="center"/>
                </w:tcPr>
                <w:p w14:paraId="4A1144B9">
                  <w:pPr>
                    <w:pStyle w:val="2"/>
                    <w:adjustRightInd w:val="0"/>
                    <w:spacing w:before="0" w:after="0" w:line="240" w:lineRule="auto"/>
                    <w:ind w:right="0"/>
                    <w:jc w:val="center"/>
                    <w:rPr>
                      <w:rFonts w:hint="eastAsia"/>
                      <w:color w:val="auto"/>
                      <w:sz w:val="21"/>
                      <w:szCs w:val="24"/>
                      <w:lang w:val="en-US" w:eastAsia="zh-CN"/>
                    </w:rPr>
                  </w:pPr>
                  <w:r>
                    <w:rPr>
                      <w:rFonts w:hint="eastAsia"/>
                      <w:color w:val="auto"/>
                      <w:sz w:val="21"/>
                      <w:szCs w:val="24"/>
                      <w:lang w:val="en-US" w:eastAsia="zh-CN"/>
                    </w:rPr>
                    <w:t>无组织</w:t>
                  </w:r>
                </w:p>
              </w:tc>
              <w:tc>
                <w:tcPr>
                  <w:tcW w:w="2230" w:type="dxa"/>
                  <w:tcBorders>
                    <w:tl2br w:val="nil"/>
                    <w:tr2bl w:val="nil"/>
                  </w:tcBorders>
                  <w:noWrap w:val="0"/>
                  <w:vAlign w:val="center"/>
                </w:tcPr>
                <w:p w14:paraId="4AAE63A9">
                  <w:pPr>
                    <w:pStyle w:val="2"/>
                    <w:adjustRightInd w:val="0"/>
                    <w:spacing w:before="0" w:after="0" w:line="240" w:lineRule="auto"/>
                    <w:ind w:right="0"/>
                    <w:jc w:val="center"/>
                    <w:rPr>
                      <w:color w:val="auto"/>
                      <w:sz w:val="21"/>
                      <w:szCs w:val="24"/>
                      <w:lang w:val="en-US" w:eastAsia="zh-CN"/>
                    </w:rPr>
                  </w:pPr>
                  <w:r>
                    <w:rPr>
                      <w:rFonts w:hint="eastAsia"/>
                      <w:color w:val="auto"/>
                      <w:sz w:val="21"/>
                      <w:szCs w:val="24"/>
                      <w:lang w:val="en-US" w:eastAsia="zh-CN"/>
                    </w:rPr>
                    <w:t>颗粒物</w:t>
                  </w:r>
                </w:p>
              </w:tc>
              <w:tc>
                <w:tcPr>
                  <w:tcW w:w="2202" w:type="dxa"/>
                  <w:tcBorders>
                    <w:tl2br w:val="nil"/>
                    <w:tr2bl w:val="nil"/>
                  </w:tcBorders>
                  <w:noWrap w:val="0"/>
                  <w:vAlign w:val="center"/>
                </w:tcPr>
                <w:p w14:paraId="1EF00DC8">
                  <w:pPr>
                    <w:pStyle w:val="2"/>
                    <w:adjustRightInd w:val="0"/>
                    <w:spacing w:before="0" w:after="0" w:line="240" w:lineRule="auto"/>
                    <w:ind w:right="0"/>
                    <w:jc w:val="center"/>
                    <w:rPr>
                      <w:rFonts w:hint="default"/>
                      <w:color w:val="auto"/>
                      <w:sz w:val="21"/>
                      <w:szCs w:val="24"/>
                      <w:lang w:val="en-US" w:eastAsia="zh-CN"/>
                    </w:rPr>
                  </w:pPr>
                  <w:r>
                    <w:rPr>
                      <w:rFonts w:hint="eastAsia"/>
                      <w:color w:val="auto"/>
                      <w:sz w:val="21"/>
                      <w:szCs w:val="24"/>
                      <w:lang w:val="en-US" w:eastAsia="zh-CN"/>
                    </w:rPr>
                    <w:t>--</w:t>
                  </w:r>
                </w:p>
              </w:tc>
              <w:tc>
                <w:tcPr>
                  <w:tcW w:w="1992" w:type="dxa"/>
                  <w:tcBorders>
                    <w:tl2br w:val="nil"/>
                    <w:tr2bl w:val="nil"/>
                  </w:tcBorders>
                  <w:noWrap w:val="0"/>
                  <w:vAlign w:val="center"/>
                </w:tcPr>
                <w:p w14:paraId="7B4B0338">
                  <w:pPr>
                    <w:pStyle w:val="2"/>
                    <w:adjustRightInd w:val="0"/>
                    <w:spacing w:before="0" w:after="0" w:line="240" w:lineRule="auto"/>
                    <w:ind w:right="0"/>
                    <w:jc w:val="center"/>
                    <w:rPr>
                      <w:rFonts w:hint="default"/>
                      <w:color w:val="auto"/>
                      <w:sz w:val="21"/>
                      <w:szCs w:val="24"/>
                      <w:lang w:val="en-US" w:eastAsia="zh-CN"/>
                    </w:rPr>
                  </w:pPr>
                  <w:r>
                    <w:rPr>
                      <w:rFonts w:hint="eastAsia"/>
                      <w:color w:val="auto"/>
                      <w:sz w:val="21"/>
                      <w:szCs w:val="24"/>
                      <w:lang w:val="en-US" w:eastAsia="zh-CN"/>
                    </w:rPr>
                    <w:t>0.099</w:t>
                  </w:r>
                </w:p>
              </w:tc>
            </w:tr>
            <w:tr w14:paraId="572ACBB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0" w:hRule="atLeast"/>
                <w:jc w:val="center"/>
              </w:trPr>
              <w:tc>
                <w:tcPr>
                  <w:tcW w:w="974" w:type="dxa"/>
                  <w:vMerge w:val="continue"/>
                  <w:tcBorders>
                    <w:tl2br w:val="nil"/>
                    <w:tr2bl w:val="nil"/>
                  </w:tcBorders>
                  <w:noWrap w:val="0"/>
                  <w:vAlign w:val="center"/>
                </w:tcPr>
                <w:p w14:paraId="02540888">
                  <w:pPr>
                    <w:pStyle w:val="2"/>
                    <w:adjustRightInd w:val="0"/>
                    <w:spacing w:before="0" w:after="0" w:line="240" w:lineRule="auto"/>
                    <w:ind w:right="0"/>
                    <w:jc w:val="center"/>
                    <w:rPr>
                      <w:color w:val="auto"/>
                      <w:sz w:val="21"/>
                      <w:szCs w:val="24"/>
                      <w:lang w:val="en-US" w:eastAsia="zh-CN"/>
                    </w:rPr>
                  </w:pPr>
                </w:p>
              </w:tc>
              <w:tc>
                <w:tcPr>
                  <w:tcW w:w="1148" w:type="dxa"/>
                  <w:vMerge w:val="continue"/>
                  <w:tcBorders>
                    <w:tl2br w:val="nil"/>
                    <w:tr2bl w:val="nil"/>
                  </w:tcBorders>
                  <w:noWrap w:val="0"/>
                  <w:vAlign w:val="center"/>
                </w:tcPr>
                <w:p w14:paraId="5548B719">
                  <w:pPr>
                    <w:pStyle w:val="2"/>
                    <w:adjustRightInd w:val="0"/>
                    <w:spacing w:before="0" w:after="0" w:line="240" w:lineRule="auto"/>
                    <w:ind w:right="0"/>
                    <w:jc w:val="center"/>
                    <w:rPr>
                      <w:rFonts w:hint="default"/>
                      <w:color w:val="auto"/>
                      <w:sz w:val="21"/>
                      <w:szCs w:val="24"/>
                      <w:lang w:val="en-US" w:eastAsia="zh-CN"/>
                    </w:rPr>
                  </w:pPr>
                </w:p>
              </w:tc>
              <w:tc>
                <w:tcPr>
                  <w:tcW w:w="2230" w:type="dxa"/>
                  <w:tcBorders>
                    <w:tl2br w:val="nil"/>
                    <w:tr2bl w:val="nil"/>
                  </w:tcBorders>
                  <w:noWrap w:val="0"/>
                  <w:vAlign w:val="center"/>
                </w:tcPr>
                <w:p w14:paraId="702BB135">
                  <w:pPr>
                    <w:pStyle w:val="2"/>
                    <w:adjustRightInd w:val="0"/>
                    <w:spacing w:before="0" w:after="0" w:line="240" w:lineRule="auto"/>
                    <w:ind w:right="0"/>
                    <w:jc w:val="center"/>
                    <w:rPr>
                      <w:rFonts w:hint="eastAsia"/>
                      <w:color w:val="auto"/>
                      <w:sz w:val="21"/>
                      <w:szCs w:val="24"/>
                      <w:lang w:val="en-US" w:eastAsia="zh-CN"/>
                    </w:rPr>
                  </w:pPr>
                  <w:r>
                    <w:rPr>
                      <w:rFonts w:hint="eastAsia"/>
                      <w:color w:val="auto"/>
                      <w:sz w:val="21"/>
                      <w:szCs w:val="24"/>
                      <w:lang w:val="en-US" w:eastAsia="zh-CN"/>
                    </w:rPr>
                    <w:t>非甲烷总烃</w:t>
                  </w:r>
                </w:p>
              </w:tc>
              <w:tc>
                <w:tcPr>
                  <w:tcW w:w="2202" w:type="dxa"/>
                  <w:tcBorders>
                    <w:tl2br w:val="nil"/>
                    <w:tr2bl w:val="nil"/>
                  </w:tcBorders>
                  <w:noWrap w:val="0"/>
                  <w:vAlign w:val="center"/>
                </w:tcPr>
                <w:p w14:paraId="30993512">
                  <w:pPr>
                    <w:pStyle w:val="2"/>
                    <w:adjustRightInd w:val="0"/>
                    <w:spacing w:before="0" w:after="0" w:line="240" w:lineRule="auto"/>
                    <w:ind w:right="0"/>
                    <w:jc w:val="center"/>
                    <w:rPr>
                      <w:rFonts w:hint="default"/>
                      <w:color w:val="auto"/>
                      <w:sz w:val="21"/>
                      <w:szCs w:val="24"/>
                      <w:lang w:val="en-US" w:eastAsia="zh-CN"/>
                    </w:rPr>
                  </w:pPr>
                  <w:r>
                    <w:rPr>
                      <w:rFonts w:hint="eastAsia"/>
                      <w:color w:val="auto"/>
                      <w:sz w:val="21"/>
                      <w:szCs w:val="24"/>
                      <w:lang w:val="en-US" w:eastAsia="zh-CN"/>
                    </w:rPr>
                    <w:t>--</w:t>
                  </w:r>
                </w:p>
              </w:tc>
              <w:tc>
                <w:tcPr>
                  <w:tcW w:w="1992" w:type="dxa"/>
                  <w:tcBorders>
                    <w:tl2br w:val="nil"/>
                    <w:tr2bl w:val="nil"/>
                  </w:tcBorders>
                  <w:noWrap w:val="0"/>
                  <w:vAlign w:val="center"/>
                </w:tcPr>
                <w:p w14:paraId="0A4FDFE9">
                  <w:pPr>
                    <w:pStyle w:val="2"/>
                    <w:adjustRightInd w:val="0"/>
                    <w:spacing w:before="0" w:after="0" w:line="240" w:lineRule="auto"/>
                    <w:ind w:right="0"/>
                    <w:jc w:val="center"/>
                    <w:rPr>
                      <w:rFonts w:hint="default"/>
                      <w:color w:val="auto"/>
                      <w:sz w:val="21"/>
                      <w:szCs w:val="24"/>
                      <w:lang w:val="en-US" w:eastAsia="zh-CN"/>
                    </w:rPr>
                  </w:pPr>
                  <w:r>
                    <w:rPr>
                      <w:rFonts w:hint="eastAsia"/>
                      <w:color w:val="auto"/>
                      <w:sz w:val="21"/>
                      <w:szCs w:val="24"/>
                      <w:lang w:val="en-US" w:eastAsia="zh-CN"/>
                    </w:rPr>
                    <w:t>0.044</w:t>
                  </w:r>
                </w:p>
              </w:tc>
            </w:tr>
            <w:tr w14:paraId="3F91068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0" w:hRule="atLeast"/>
                <w:jc w:val="center"/>
              </w:trPr>
              <w:tc>
                <w:tcPr>
                  <w:tcW w:w="974" w:type="dxa"/>
                  <w:vMerge w:val="restart"/>
                  <w:tcBorders>
                    <w:tl2br w:val="nil"/>
                    <w:tr2bl w:val="nil"/>
                  </w:tcBorders>
                  <w:noWrap w:val="0"/>
                  <w:vAlign w:val="center"/>
                </w:tcPr>
                <w:p w14:paraId="50776E19">
                  <w:pPr>
                    <w:pStyle w:val="2"/>
                    <w:adjustRightInd w:val="0"/>
                    <w:spacing w:before="0" w:after="0" w:line="240" w:lineRule="auto"/>
                    <w:ind w:right="0"/>
                    <w:jc w:val="center"/>
                    <w:rPr>
                      <w:rFonts w:hint="eastAsia"/>
                      <w:color w:val="auto"/>
                      <w:sz w:val="21"/>
                      <w:szCs w:val="24"/>
                      <w:lang w:val="en-US" w:eastAsia="zh-CN"/>
                    </w:rPr>
                  </w:pPr>
                  <w:r>
                    <w:rPr>
                      <w:rFonts w:hint="eastAsia"/>
                      <w:color w:val="auto"/>
                      <w:sz w:val="21"/>
                      <w:szCs w:val="24"/>
                      <w:lang w:val="en-US" w:eastAsia="zh-CN"/>
                    </w:rPr>
                    <w:t>废水</w:t>
                  </w:r>
                </w:p>
              </w:tc>
              <w:tc>
                <w:tcPr>
                  <w:tcW w:w="3378" w:type="dxa"/>
                  <w:gridSpan w:val="2"/>
                  <w:tcBorders>
                    <w:tl2br w:val="nil"/>
                    <w:tr2bl w:val="nil"/>
                  </w:tcBorders>
                  <w:noWrap w:val="0"/>
                  <w:vAlign w:val="center"/>
                </w:tcPr>
                <w:p w14:paraId="3ED37D7C">
                  <w:pPr>
                    <w:pStyle w:val="2"/>
                    <w:adjustRightInd w:val="0"/>
                    <w:spacing w:before="0" w:after="0" w:line="240" w:lineRule="auto"/>
                    <w:ind w:right="0"/>
                    <w:jc w:val="center"/>
                    <w:rPr>
                      <w:color w:val="auto"/>
                      <w:sz w:val="21"/>
                      <w:szCs w:val="24"/>
                      <w:lang w:val="en-US" w:eastAsia="zh-CN"/>
                    </w:rPr>
                  </w:pPr>
                  <w:r>
                    <w:rPr>
                      <w:rFonts w:hint="eastAsia"/>
                      <w:color w:val="auto"/>
                      <w:sz w:val="21"/>
                      <w:szCs w:val="24"/>
                      <w:lang w:val="en-US" w:eastAsia="zh-CN"/>
                    </w:rPr>
                    <w:t>废水量</w:t>
                  </w:r>
                </w:p>
              </w:tc>
              <w:tc>
                <w:tcPr>
                  <w:tcW w:w="2202" w:type="dxa"/>
                  <w:tcBorders>
                    <w:tl2br w:val="nil"/>
                    <w:tr2bl w:val="nil"/>
                  </w:tcBorders>
                  <w:noWrap w:val="0"/>
                  <w:vAlign w:val="center"/>
                </w:tcPr>
                <w:p w14:paraId="643F7479">
                  <w:pPr>
                    <w:widowControl/>
                    <w:adjustRightInd w:val="0"/>
                    <w:snapToGrid w:val="0"/>
                    <w:jc w:val="center"/>
                    <w:rPr>
                      <w:rFonts w:hint="default"/>
                      <w:color w:val="auto"/>
                      <w:sz w:val="21"/>
                      <w:szCs w:val="24"/>
                      <w:lang w:val="en-US" w:eastAsia="zh-CN"/>
                    </w:rPr>
                  </w:pPr>
                  <w:r>
                    <w:rPr>
                      <w:rFonts w:hint="eastAsia"/>
                      <w:color w:val="auto"/>
                      <w:sz w:val="21"/>
                      <w:szCs w:val="24"/>
                      <w:lang w:val="en-US" w:eastAsia="zh-CN"/>
                    </w:rPr>
                    <w:t>420</w:t>
                  </w:r>
                </w:p>
              </w:tc>
              <w:tc>
                <w:tcPr>
                  <w:tcW w:w="1992" w:type="dxa"/>
                  <w:tcBorders>
                    <w:tl2br w:val="nil"/>
                    <w:tr2bl w:val="nil"/>
                  </w:tcBorders>
                  <w:noWrap w:val="0"/>
                  <w:vAlign w:val="center"/>
                </w:tcPr>
                <w:p w14:paraId="130DBBE1">
                  <w:pPr>
                    <w:widowControl/>
                    <w:adjustRightInd w:val="0"/>
                    <w:snapToGrid w:val="0"/>
                    <w:jc w:val="center"/>
                    <w:rPr>
                      <w:rFonts w:hint="default"/>
                      <w:color w:val="auto"/>
                      <w:sz w:val="21"/>
                      <w:szCs w:val="24"/>
                      <w:lang w:val="en-US" w:eastAsia="zh-CN"/>
                    </w:rPr>
                  </w:pPr>
                  <w:r>
                    <w:rPr>
                      <w:rFonts w:hint="eastAsia"/>
                      <w:color w:val="auto"/>
                      <w:sz w:val="21"/>
                      <w:szCs w:val="24"/>
                      <w:lang w:val="en-US" w:eastAsia="zh-CN"/>
                    </w:rPr>
                    <w:t>420</w:t>
                  </w:r>
                </w:p>
              </w:tc>
            </w:tr>
            <w:tr w14:paraId="66269CC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0" w:hRule="atLeast"/>
                <w:jc w:val="center"/>
              </w:trPr>
              <w:tc>
                <w:tcPr>
                  <w:tcW w:w="974" w:type="dxa"/>
                  <w:vMerge w:val="continue"/>
                  <w:tcBorders>
                    <w:tl2br w:val="nil"/>
                    <w:tr2bl w:val="nil"/>
                  </w:tcBorders>
                  <w:noWrap w:val="0"/>
                  <w:vAlign w:val="center"/>
                </w:tcPr>
                <w:p w14:paraId="0A3F7F0A">
                  <w:pPr>
                    <w:pStyle w:val="2"/>
                    <w:adjustRightInd w:val="0"/>
                    <w:spacing w:before="0" w:after="0" w:line="240" w:lineRule="auto"/>
                    <w:ind w:right="0"/>
                    <w:jc w:val="center"/>
                    <w:rPr>
                      <w:rFonts w:hint="eastAsia"/>
                      <w:color w:val="auto"/>
                      <w:sz w:val="21"/>
                      <w:szCs w:val="24"/>
                      <w:lang w:val="en-US" w:eastAsia="zh-CN"/>
                    </w:rPr>
                  </w:pPr>
                </w:p>
              </w:tc>
              <w:tc>
                <w:tcPr>
                  <w:tcW w:w="3378" w:type="dxa"/>
                  <w:gridSpan w:val="2"/>
                  <w:tcBorders>
                    <w:tl2br w:val="nil"/>
                    <w:tr2bl w:val="nil"/>
                  </w:tcBorders>
                  <w:noWrap w:val="0"/>
                  <w:vAlign w:val="center"/>
                </w:tcPr>
                <w:p w14:paraId="0ECF7FAC">
                  <w:pPr>
                    <w:pStyle w:val="2"/>
                    <w:adjustRightInd w:val="0"/>
                    <w:spacing w:before="0" w:after="0" w:line="240" w:lineRule="auto"/>
                    <w:ind w:right="0"/>
                    <w:jc w:val="center"/>
                    <w:rPr>
                      <w:color w:val="auto"/>
                      <w:sz w:val="21"/>
                      <w:szCs w:val="24"/>
                      <w:lang w:val="en-US" w:eastAsia="zh-CN"/>
                    </w:rPr>
                  </w:pPr>
                  <w:r>
                    <w:rPr>
                      <w:color w:val="auto"/>
                      <w:sz w:val="21"/>
                      <w:szCs w:val="24"/>
                      <w:lang w:val="en-US" w:eastAsia="zh-CN"/>
                    </w:rPr>
                    <w:t>COD</w:t>
                  </w:r>
                </w:p>
              </w:tc>
              <w:tc>
                <w:tcPr>
                  <w:tcW w:w="2202" w:type="dxa"/>
                  <w:tcBorders>
                    <w:tl2br w:val="nil"/>
                    <w:tr2bl w:val="nil"/>
                  </w:tcBorders>
                  <w:noWrap w:val="0"/>
                  <w:vAlign w:val="center"/>
                </w:tcPr>
                <w:p w14:paraId="54B4951D">
                  <w:pPr>
                    <w:widowControl/>
                    <w:adjustRightInd w:val="0"/>
                    <w:snapToGrid w:val="0"/>
                    <w:jc w:val="center"/>
                    <w:rPr>
                      <w:rFonts w:hint="default"/>
                      <w:color w:val="auto"/>
                      <w:sz w:val="21"/>
                      <w:szCs w:val="24"/>
                      <w:lang w:val="en-US" w:eastAsia="zh-CN"/>
                    </w:rPr>
                  </w:pPr>
                  <w:r>
                    <w:rPr>
                      <w:rFonts w:hint="eastAsia"/>
                      <w:color w:val="auto"/>
                      <w:sz w:val="21"/>
                      <w:szCs w:val="24"/>
                      <w:lang w:val="en-US" w:eastAsia="zh-CN"/>
                    </w:rPr>
                    <w:t>0.0827</w:t>
                  </w:r>
                </w:p>
              </w:tc>
              <w:tc>
                <w:tcPr>
                  <w:tcW w:w="1992" w:type="dxa"/>
                  <w:tcBorders>
                    <w:tl2br w:val="nil"/>
                    <w:tr2bl w:val="nil"/>
                  </w:tcBorders>
                  <w:noWrap w:val="0"/>
                  <w:vAlign w:val="center"/>
                </w:tcPr>
                <w:p w14:paraId="111DB436">
                  <w:pPr>
                    <w:widowControl/>
                    <w:adjustRightInd w:val="0"/>
                    <w:snapToGrid w:val="0"/>
                    <w:jc w:val="center"/>
                    <w:rPr>
                      <w:rFonts w:hint="default"/>
                      <w:color w:val="auto"/>
                      <w:sz w:val="21"/>
                      <w:szCs w:val="24"/>
                      <w:lang w:val="en-US" w:eastAsia="zh-CN"/>
                    </w:rPr>
                  </w:pPr>
                  <w:r>
                    <w:rPr>
                      <w:rFonts w:hint="eastAsia"/>
                      <w:color w:val="auto"/>
                      <w:sz w:val="21"/>
                      <w:szCs w:val="24"/>
                      <w:lang w:val="en-US" w:eastAsia="zh-CN"/>
                    </w:rPr>
                    <w:t>0.1428</w:t>
                  </w:r>
                </w:p>
              </w:tc>
            </w:tr>
            <w:tr w14:paraId="597BA56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0" w:hRule="atLeast"/>
                <w:jc w:val="center"/>
              </w:trPr>
              <w:tc>
                <w:tcPr>
                  <w:tcW w:w="974" w:type="dxa"/>
                  <w:vMerge w:val="continue"/>
                  <w:tcBorders>
                    <w:tl2br w:val="nil"/>
                    <w:tr2bl w:val="nil"/>
                  </w:tcBorders>
                  <w:noWrap w:val="0"/>
                  <w:vAlign w:val="center"/>
                </w:tcPr>
                <w:p w14:paraId="3F4CEBA4">
                  <w:pPr>
                    <w:pStyle w:val="2"/>
                    <w:adjustRightInd w:val="0"/>
                    <w:spacing w:before="0" w:after="0" w:line="240" w:lineRule="auto"/>
                    <w:ind w:right="0"/>
                    <w:jc w:val="center"/>
                    <w:rPr>
                      <w:color w:val="auto"/>
                      <w:sz w:val="21"/>
                      <w:szCs w:val="24"/>
                      <w:lang w:val="en-US" w:eastAsia="zh-CN"/>
                    </w:rPr>
                  </w:pPr>
                </w:p>
              </w:tc>
              <w:tc>
                <w:tcPr>
                  <w:tcW w:w="3378" w:type="dxa"/>
                  <w:gridSpan w:val="2"/>
                  <w:tcBorders>
                    <w:tl2br w:val="nil"/>
                    <w:tr2bl w:val="nil"/>
                  </w:tcBorders>
                  <w:noWrap w:val="0"/>
                  <w:vAlign w:val="center"/>
                </w:tcPr>
                <w:p w14:paraId="227C0607">
                  <w:pPr>
                    <w:pStyle w:val="2"/>
                    <w:adjustRightInd w:val="0"/>
                    <w:spacing w:before="0" w:after="0" w:line="240" w:lineRule="auto"/>
                    <w:ind w:right="0"/>
                    <w:jc w:val="center"/>
                    <w:rPr>
                      <w:color w:val="auto"/>
                      <w:sz w:val="21"/>
                      <w:szCs w:val="24"/>
                      <w:lang w:val="en-US" w:eastAsia="zh-CN"/>
                    </w:rPr>
                  </w:pPr>
                  <w:r>
                    <w:rPr>
                      <w:color w:val="auto"/>
                      <w:sz w:val="21"/>
                      <w:szCs w:val="24"/>
                      <w:lang w:val="en-US" w:eastAsia="zh-CN"/>
                    </w:rPr>
                    <w:t>SS</w:t>
                  </w:r>
                </w:p>
              </w:tc>
              <w:tc>
                <w:tcPr>
                  <w:tcW w:w="2202" w:type="dxa"/>
                  <w:tcBorders>
                    <w:tl2br w:val="nil"/>
                    <w:tr2bl w:val="nil"/>
                  </w:tcBorders>
                  <w:noWrap w:val="0"/>
                  <w:vAlign w:val="center"/>
                </w:tcPr>
                <w:p w14:paraId="03569E64">
                  <w:pPr>
                    <w:widowControl/>
                    <w:adjustRightInd w:val="0"/>
                    <w:snapToGrid w:val="0"/>
                    <w:jc w:val="center"/>
                    <w:rPr>
                      <w:rFonts w:hint="default"/>
                      <w:color w:val="auto"/>
                      <w:sz w:val="21"/>
                      <w:szCs w:val="24"/>
                      <w:lang w:val="en-US" w:eastAsia="zh-CN"/>
                    </w:rPr>
                  </w:pPr>
                  <w:r>
                    <w:rPr>
                      <w:rFonts w:hint="eastAsia"/>
                      <w:color w:val="auto"/>
                      <w:sz w:val="21"/>
                      <w:szCs w:val="24"/>
                      <w:lang w:val="en-US" w:eastAsia="zh-CN"/>
                    </w:rPr>
                    <w:t>0.037</w:t>
                  </w:r>
                </w:p>
              </w:tc>
              <w:tc>
                <w:tcPr>
                  <w:tcW w:w="1992" w:type="dxa"/>
                  <w:tcBorders>
                    <w:tl2br w:val="nil"/>
                    <w:tr2bl w:val="nil"/>
                  </w:tcBorders>
                  <w:noWrap w:val="0"/>
                  <w:vAlign w:val="center"/>
                </w:tcPr>
                <w:p w14:paraId="6A9CE149">
                  <w:pPr>
                    <w:widowControl/>
                    <w:adjustRightInd w:val="0"/>
                    <w:snapToGrid w:val="0"/>
                    <w:jc w:val="center"/>
                    <w:rPr>
                      <w:rFonts w:hint="default"/>
                      <w:color w:val="auto"/>
                      <w:sz w:val="21"/>
                      <w:szCs w:val="24"/>
                      <w:lang w:val="en-US" w:eastAsia="zh-CN"/>
                    </w:rPr>
                  </w:pPr>
                  <w:r>
                    <w:rPr>
                      <w:rFonts w:hint="eastAsia"/>
                      <w:color w:val="auto"/>
                      <w:sz w:val="21"/>
                      <w:szCs w:val="24"/>
                      <w:lang w:val="en-US" w:eastAsia="zh-CN"/>
                    </w:rPr>
                    <w:t>0.0672</w:t>
                  </w:r>
                </w:p>
              </w:tc>
            </w:tr>
            <w:tr w14:paraId="765E19E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0" w:hRule="atLeast"/>
                <w:jc w:val="center"/>
              </w:trPr>
              <w:tc>
                <w:tcPr>
                  <w:tcW w:w="974" w:type="dxa"/>
                  <w:vMerge w:val="continue"/>
                  <w:tcBorders>
                    <w:tl2br w:val="nil"/>
                    <w:tr2bl w:val="nil"/>
                  </w:tcBorders>
                  <w:noWrap w:val="0"/>
                  <w:vAlign w:val="center"/>
                </w:tcPr>
                <w:p w14:paraId="1427544F">
                  <w:pPr>
                    <w:pStyle w:val="2"/>
                    <w:adjustRightInd w:val="0"/>
                    <w:spacing w:before="0" w:after="0" w:line="240" w:lineRule="auto"/>
                    <w:ind w:right="0"/>
                    <w:jc w:val="center"/>
                    <w:rPr>
                      <w:color w:val="auto"/>
                      <w:sz w:val="21"/>
                      <w:szCs w:val="24"/>
                      <w:lang w:val="en-US" w:eastAsia="zh-CN"/>
                    </w:rPr>
                  </w:pPr>
                </w:p>
              </w:tc>
              <w:tc>
                <w:tcPr>
                  <w:tcW w:w="3378" w:type="dxa"/>
                  <w:gridSpan w:val="2"/>
                  <w:tcBorders>
                    <w:tl2br w:val="nil"/>
                    <w:tr2bl w:val="nil"/>
                  </w:tcBorders>
                  <w:noWrap w:val="0"/>
                  <w:vAlign w:val="center"/>
                </w:tcPr>
                <w:p w14:paraId="05DFE6F3">
                  <w:pPr>
                    <w:pStyle w:val="2"/>
                    <w:adjustRightInd w:val="0"/>
                    <w:spacing w:before="0" w:after="0" w:line="240" w:lineRule="auto"/>
                    <w:ind w:right="0"/>
                    <w:jc w:val="center"/>
                    <w:rPr>
                      <w:rFonts w:hint="default"/>
                      <w:color w:val="auto"/>
                      <w:sz w:val="21"/>
                      <w:szCs w:val="24"/>
                      <w:lang w:val="en-US" w:eastAsia="zh-CN"/>
                    </w:rPr>
                  </w:pPr>
                  <w:r>
                    <w:rPr>
                      <w:rFonts w:hint="eastAsia"/>
                      <w:color w:val="auto"/>
                      <w:sz w:val="21"/>
                      <w:szCs w:val="24"/>
                      <w:lang w:val="en-US" w:eastAsia="zh-CN"/>
                    </w:rPr>
                    <w:t>NH</w:t>
                  </w:r>
                  <w:r>
                    <w:rPr>
                      <w:rFonts w:hint="eastAsia"/>
                      <w:color w:val="auto"/>
                      <w:sz w:val="21"/>
                      <w:szCs w:val="24"/>
                      <w:vertAlign w:val="subscript"/>
                      <w:lang w:val="en-US" w:eastAsia="zh-CN"/>
                    </w:rPr>
                    <w:t>3</w:t>
                  </w:r>
                  <w:r>
                    <w:rPr>
                      <w:rFonts w:hint="eastAsia"/>
                      <w:color w:val="auto"/>
                      <w:sz w:val="21"/>
                      <w:szCs w:val="24"/>
                      <w:lang w:val="en-US" w:eastAsia="zh-CN"/>
                    </w:rPr>
                    <w:t>-N</w:t>
                  </w:r>
                </w:p>
              </w:tc>
              <w:tc>
                <w:tcPr>
                  <w:tcW w:w="2202" w:type="dxa"/>
                  <w:tcBorders>
                    <w:tl2br w:val="nil"/>
                    <w:tr2bl w:val="nil"/>
                  </w:tcBorders>
                  <w:noWrap w:val="0"/>
                  <w:vAlign w:val="center"/>
                </w:tcPr>
                <w:p w14:paraId="57DE5FB8">
                  <w:pPr>
                    <w:widowControl/>
                    <w:adjustRightInd w:val="0"/>
                    <w:snapToGrid w:val="0"/>
                    <w:jc w:val="center"/>
                    <w:rPr>
                      <w:rFonts w:hint="default"/>
                      <w:color w:val="auto"/>
                      <w:sz w:val="21"/>
                      <w:szCs w:val="24"/>
                      <w:lang w:val="en-US" w:eastAsia="zh-CN"/>
                    </w:rPr>
                  </w:pPr>
                  <w:r>
                    <w:rPr>
                      <w:rFonts w:hint="eastAsia"/>
                      <w:color w:val="auto"/>
                      <w:sz w:val="21"/>
                      <w:szCs w:val="24"/>
                      <w:lang w:val="en-US" w:eastAsia="zh-CN"/>
                    </w:rPr>
                    <w:t>0.0102</w:t>
                  </w:r>
                </w:p>
              </w:tc>
              <w:tc>
                <w:tcPr>
                  <w:tcW w:w="1992" w:type="dxa"/>
                  <w:tcBorders>
                    <w:tl2br w:val="nil"/>
                    <w:tr2bl w:val="nil"/>
                  </w:tcBorders>
                  <w:noWrap w:val="0"/>
                  <w:vAlign w:val="center"/>
                </w:tcPr>
                <w:p w14:paraId="43C4EE76">
                  <w:pPr>
                    <w:widowControl/>
                    <w:adjustRightInd w:val="0"/>
                    <w:snapToGrid w:val="0"/>
                    <w:jc w:val="center"/>
                    <w:rPr>
                      <w:rFonts w:hint="default"/>
                      <w:color w:val="auto"/>
                      <w:sz w:val="21"/>
                      <w:szCs w:val="24"/>
                      <w:lang w:val="en-US" w:eastAsia="zh-CN"/>
                    </w:rPr>
                  </w:pPr>
                  <w:r>
                    <w:rPr>
                      <w:rFonts w:hint="eastAsia"/>
                      <w:color w:val="auto"/>
                      <w:sz w:val="21"/>
                      <w:szCs w:val="24"/>
                      <w:lang w:val="en-US" w:eastAsia="zh-CN"/>
                    </w:rPr>
                    <w:t>0.0105</w:t>
                  </w:r>
                </w:p>
              </w:tc>
            </w:tr>
            <w:tr w14:paraId="7CFAEFA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0" w:hRule="atLeast"/>
                <w:jc w:val="center"/>
              </w:trPr>
              <w:tc>
                <w:tcPr>
                  <w:tcW w:w="974" w:type="dxa"/>
                  <w:vMerge w:val="continue"/>
                  <w:tcBorders>
                    <w:tl2br w:val="nil"/>
                    <w:tr2bl w:val="nil"/>
                  </w:tcBorders>
                  <w:noWrap w:val="0"/>
                  <w:vAlign w:val="center"/>
                </w:tcPr>
                <w:p w14:paraId="59B7A923">
                  <w:pPr>
                    <w:pStyle w:val="2"/>
                    <w:adjustRightInd w:val="0"/>
                    <w:spacing w:before="0" w:after="0" w:line="240" w:lineRule="auto"/>
                    <w:ind w:right="0"/>
                    <w:jc w:val="center"/>
                    <w:rPr>
                      <w:color w:val="auto"/>
                      <w:sz w:val="21"/>
                      <w:szCs w:val="24"/>
                      <w:lang w:val="en-US" w:eastAsia="zh-CN"/>
                    </w:rPr>
                  </w:pPr>
                </w:p>
              </w:tc>
              <w:tc>
                <w:tcPr>
                  <w:tcW w:w="3378" w:type="dxa"/>
                  <w:gridSpan w:val="2"/>
                  <w:tcBorders>
                    <w:tl2br w:val="nil"/>
                    <w:tr2bl w:val="nil"/>
                  </w:tcBorders>
                  <w:noWrap w:val="0"/>
                  <w:vAlign w:val="center"/>
                </w:tcPr>
                <w:p w14:paraId="46A806FA">
                  <w:pPr>
                    <w:pStyle w:val="2"/>
                    <w:adjustRightInd w:val="0"/>
                    <w:spacing w:before="0" w:after="0" w:line="240" w:lineRule="auto"/>
                    <w:ind w:right="0"/>
                    <w:jc w:val="center"/>
                    <w:rPr>
                      <w:rFonts w:hint="eastAsia"/>
                      <w:color w:val="auto"/>
                      <w:sz w:val="21"/>
                      <w:szCs w:val="24"/>
                      <w:lang w:val="en-US" w:eastAsia="zh-CN"/>
                    </w:rPr>
                  </w:pPr>
                  <w:r>
                    <w:rPr>
                      <w:color w:val="auto"/>
                      <w:sz w:val="21"/>
                      <w:szCs w:val="24"/>
                      <w:lang w:val="en-US" w:eastAsia="zh-CN"/>
                    </w:rPr>
                    <w:t>T</w:t>
                  </w:r>
                  <w:r>
                    <w:rPr>
                      <w:rFonts w:hint="eastAsia"/>
                      <w:color w:val="auto"/>
                      <w:sz w:val="21"/>
                      <w:szCs w:val="24"/>
                      <w:lang w:val="en-US" w:eastAsia="zh-CN"/>
                    </w:rPr>
                    <w:t>P</w:t>
                  </w:r>
                </w:p>
              </w:tc>
              <w:tc>
                <w:tcPr>
                  <w:tcW w:w="2202" w:type="dxa"/>
                  <w:tcBorders>
                    <w:tl2br w:val="nil"/>
                    <w:tr2bl w:val="nil"/>
                  </w:tcBorders>
                  <w:noWrap w:val="0"/>
                  <w:vAlign w:val="center"/>
                </w:tcPr>
                <w:p w14:paraId="0E2D6183">
                  <w:pPr>
                    <w:widowControl/>
                    <w:adjustRightInd w:val="0"/>
                    <w:snapToGrid w:val="0"/>
                    <w:jc w:val="center"/>
                    <w:rPr>
                      <w:rFonts w:hint="default"/>
                      <w:color w:val="auto"/>
                      <w:sz w:val="21"/>
                      <w:szCs w:val="24"/>
                      <w:lang w:val="en-US" w:eastAsia="zh-CN"/>
                    </w:rPr>
                  </w:pPr>
                  <w:r>
                    <w:rPr>
                      <w:rFonts w:hint="eastAsia"/>
                      <w:color w:val="auto"/>
                      <w:sz w:val="21"/>
                      <w:szCs w:val="24"/>
                      <w:lang w:val="en-US" w:eastAsia="zh-CN"/>
                    </w:rPr>
                    <w:t>0.0012</w:t>
                  </w:r>
                </w:p>
              </w:tc>
              <w:tc>
                <w:tcPr>
                  <w:tcW w:w="1992" w:type="dxa"/>
                  <w:tcBorders>
                    <w:tl2br w:val="nil"/>
                    <w:tr2bl w:val="nil"/>
                  </w:tcBorders>
                  <w:noWrap w:val="0"/>
                  <w:vAlign w:val="center"/>
                </w:tcPr>
                <w:p w14:paraId="5F555940">
                  <w:pPr>
                    <w:widowControl/>
                    <w:adjustRightInd w:val="0"/>
                    <w:snapToGrid w:val="0"/>
                    <w:jc w:val="center"/>
                    <w:rPr>
                      <w:rFonts w:hint="default"/>
                      <w:color w:val="auto"/>
                      <w:sz w:val="21"/>
                      <w:szCs w:val="24"/>
                      <w:lang w:val="en-US" w:eastAsia="zh-CN"/>
                    </w:rPr>
                  </w:pPr>
                  <w:r>
                    <w:rPr>
                      <w:rFonts w:hint="eastAsia"/>
                      <w:color w:val="auto"/>
                      <w:sz w:val="21"/>
                      <w:szCs w:val="24"/>
                      <w:lang w:val="en-US" w:eastAsia="zh-CN"/>
                    </w:rPr>
                    <w:t>0.0013</w:t>
                  </w:r>
                </w:p>
              </w:tc>
            </w:tr>
            <w:tr w14:paraId="2E3274B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0" w:hRule="atLeast"/>
                <w:jc w:val="center"/>
              </w:trPr>
              <w:tc>
                <w:tcPr>
                  <w:tcW w:w="974" w:type="dxa"/>
                  <w:vMerge w:val="continue"/>
                  <w:tcBorders>
                    <w:tl2br w:val="nil"/>
                    <w:tr2bl w:val="nil"/>
                  </w:tcBorders>
                  <w:noWrap w:val="0"/>
                  <w:vAlign w:val="center"/>
                </w:tcPr>
                <w:p w14:paraId="1CF3EBD8">
                  <w:pPr>
                    <w:pStyle w:val="2"/>
                    <w:adjustRightInd w:val="0"/>
                    <w:spacing w:before="0" w:after="0" w:line="240" w:lineRule="auto"/>
                    <w:ind w:right="0"/>
                    <w:jc w:val="center"/>
                    <w:rPr>
                      <w:color w:val="auto"/>
                      <w:sz w:val="21"/>
                      <w:szCs w:val="24"/>
                      <w:lang w:val="en-US" w:eastAsia="zh-CN"/>
                    </w:rPr>
                  </w:pPr>
                </w:p>
              </w:tc>
              <w:tc>
                <w:tcPr>
                  <w:tcW w:w="3378" w:type="dxa"/>
                  <w:gridSpan w:val="2"/>
                  <w:tcBorders>
                    <w:tl2br w:val="nil"/>
                    <w:tr2bl w:val="nil"/>
                  </w:tcBorders>
                  <w:noWrap w:val="0"/>
                  <w:vAlign w:val="center"/>
                </w:tcPr>
                <w:p w14:paraId="5AF6CADB">
                  <w:pPr>
                    <w:pStyle w:val="2"/>
                    <w:adjustRightInd w:val="0"/>
                    <w:spacing w:before="0" w:after="0" w:line="240" w:lineRule="auto"/>
                    <w:ind w:right="0"/>
                    <w:jc w:val="center"/>
                    <w:rPr>
                      <w:rFonts w:hint="eastAsia"/>
                      <w:color w:val="auto"/>
                      <w:sz w:val="21"/>
                      <w:szCs w:val="24"/>
                      <w:lang w:val="en-US" w:eastAsia="zh-CN"/>
                    </w:rPr>
                  </w:pPr>
                  <w:r>
                    <w:rPr>
                      <w:rFonts w:hint="eastAsia"/>
                      <w:color w:val="auto"/>
                      <w:sz w:val="21"/>
                      <w:szCs w:val="24"/>
                      <w:lang w:val="en-US" w:eastAsia="zh-CN"/>
                    </w:rPr>
                    <w:t>TN</w:t>
                  </w:r>
                </w:p>
              </w:tc>
              <w:tc>
                <w:tcPr>
                  <w:tcW w:w="2202" w:type="dxa"/>
                  <w:tcBorders>
                    <w:tl2br w:val="nil"/>
                    <w:tr2bl w:val="nil"/>
                  </w:tcBorders>
                  <w:noWrap w:val="0"/>
                  <w:vAlign w:val="center"/>
                </w:tcPr>
                <w:p w14:paraId="2A15825C">
                  <w:pPr>
                    <w:widowControl/>
                    <w:adjustRightInd w:val="0"/>
                    <w:snapToGrid w:val="0"/>
                    <w:jc w:val="center"/>
                    <w:rPr>
                      <w:rFonts w:hint="default"/>
                      <w:color w:val="auto"/>
                      <w:sz w:val="21"/>
                      <w:szCs w:val="24"/>
                      <w:lang w:val="en-US" w:eastAsia="zh-CN"/>
                    </w:rPr>
                  </w:pPr>
                  <w:r>
                    <w:rPr>
                      <w:rFonts w:hint="eastAsia"/>
                      <w:color w:val="auto"/>
                      <w:sz w:val="21"/>
                      <w:szCs w:val="24"/>
                      <w:lang w:val="en-US" w:eastAsia="zh-CN"/>
                    </w:rPr>
                    <w:t>0.0142</w:t>
                  </w:r>
                </w:p>
              </w:tc>
              <w:tc>
                <w:tcPr>
                  <w:tcW w:w="1992" w:type="dxa"/>
                  <w:tcBorders>
                    <w:tl2br w:val="nil"/>
                    <w:tr2bl w:val="nil"/>
                  </w:tcBorders>
                  <w:noWrap w:val="0"/>
                  <w:vAlign w:val="center"/>
                </w:tcPr>
                <w:p w14:paraId="52389623">
                  <w:pPr>
                    <w:widowControl/>
                    <w:adjustRightInd w:val="0"/>
                    <w:snapToGrid w:val="0"/>
                    <w:jc w:val="center"/>
                    <w:rPr>
                      <w:rFonts w:hint="default"/>
                      <w:color w:val="auto"/>
                      <w:sz w:val="21"/>
                      <w:szCs w:val="24"/>
                      <w:lang w:val="en-US" w:eastAsia="zh-CN"/>
                    </w:rPr>
                  </w:pPr>
                  <w:r>
                    <w:rPr>
                      <w:rFonts w:hint="eastAsia"/>
                      <w:color w:val="auto"/>
                      <w:sz w:val="21"/>
                      <w:szCs w:val="24"/>
                      <w:lang w:val="en-US" w:eastAsia="zh-CN"/>
                    </w:rPr>
                    <w:t>0.0147</w:t>
                  </w:r>
                </w:p>
              </w:tc>
            </w:tr>
            <w:tr w14:paraId="1534F7C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0" w:hRule="atLeast"/>
                <w:jc w:val="center"/>
              </w:trPr>
              <w:tc>
                <w:tcPr>
                  <w:tcW w:w="974" w:type="dxa"/>
                  <w:vMerge w:val="restart"/>
                  <w:tcBorders>
                    <w:tl2br w:val="nil"/>
                    <w:tr2bl w:val="nil"/>
                  </w:tcBorders>
                  <w:noWrap w:val="0"/>
                  <w:vAlign w:val="center"/>
                </w:tcPr>
                <w:p w14:paraId="4EE67937">
                  <w:pPr>
                    <w:pStyle w:val="2"/>
                    <w:adjustRightInd w:val="0"/>
                    <w:spacing w:before="0" w:after="0" w:line="240" w:lineRule="auto"/>
                    <w:ind w:right="0"/>
                    <w:jc w:val="center"/>
                    <w:rPr>
                      <w:rFonts w:hint="eastAsia"/>
                      <w:color w:val="auto"/>
                      <w:sz w:val="21"/>
                      <w:szCs w:val="24"/>
                      <w:lang w:val="en-US" w:eastAsia="zh-CN"/>
                    </w:rPr>
                  </w:pPr>
                  <w:r>
                    <w:rPr>
                      <w:rFonts w:hint="eastAsia"/>
                      <w:color w:val="auto"/>
                      <w:sz w:val="21"/>
                      <w:szCs w:val="24"/>
                      <w:lang w:val="en-US" w:eastAsia="zh-CN"/>
                    </w:rPr>
                    <w:t>固废</w:t>
                  </w:r>
                </w:p>
              </w:tc>
              <w:tc>
                <w:tcPr>
                  <w:tcW w:w="3378" w:type="dxa"/>
                  <w:gridSpan w:val="2"/>
                  <w:tcBorders>
                    <w:tl2br w:val="nil"/>
                    <w:tr2bl w:val="nil"/>
                  </w:tcBorders>
                  <w:noWrap w:val="0"/>
                  <w:vAlign w:val="center"/>
                </w:tcPr>
                <w:p w14:paraId="3405F2AA">
                  <w:pPr>
                    <w:pStyle w:val="2"/>
                    <w:adjustRightInd w:val="0"/>
                    <w:spacing w:before="0" w:after="0" w:line="240" w:lineRule="auto"/>
                    <w:ind w:right="0"/>
                    <w:jc w:val="center"/>
                    <w:rPr>
                      <w:color w:val="auto"/>
                      <w:sz w:val="21"/>
                      <w:szCs w:val="24"/>
                      <w:lang w:val="en-US" w:eastAsia="zh-CN"/>
                    </w:rPr>
                  </w:pPr>
                  <w:r>
                    <w:rPr>
                      <w:rFonts w:hint="eastAsia"/>
                      <w:color w:val="auto"/>
                      <w:sz w:val="21"/>
                      <w:szCs w:val="24"/>
                      <w:lang w:val="en-US" w:eastAsia="zh-CN"/>
                    </w:rPr>
                    <w:t>生活垃圾</w:t>
                  </w:r>
                </w:p>
              </w:tc>
              <w:tc>
                <w:tcPr>
                  <w:tcW w:w="2202" w:type="dxa"/>
                  <w:tcBorders>
                    <w:tl2br w:val="nil"/>
                    <w:tr2bl w:val="nil"/>
                  </w:tcBorders>
                  <w:noWrap w:val="0"/>
                  <w:vAlign w:val="center"/>
                </w:tcPr>
                <w:p w14:paraId="715D746E">
                  <w:pPr>
                    <w:pStyle w:val="2"/>
                    <w:adjustRightInd w:val="0"/>
                    <w:spacing w:before="0" w:after="0" w:line="240" w:lineRule="auto"/>
                    <w:ind w:right="0"/>
                    <w:jc w:val="center"/>
                    <w:rPr>
                      <w:rFonts w:hint="eastAsia"/>
                      <w:color w:val="auto"/>
                      <w:sz w:val="21"/>
                      <w:szCs w:val="24"/>
                      <w:lang w:val="en-US" w:eastAsia="zh-CN"/>
                    </w:rPr>
                  </w:pPr>
                  <w:r>
                    <w:rPr>
                      <w:rFonts w:hint="eastAsia"/>
                      <w:color w:val="auto"/>
                      <w:sz w:val="21"/>
                      <w:szCs w:val="24"/>
                      <w:lang w:val="en-US" w:eastAsia="zh-CN"/>
                    </w:rPr>
                    <w:t>0</w:t>
                  </w:r>
                </w:p>
              </w:tc>
              <w:tc>
                <w:tcPr>
                  <w:tcW w:w="1992" w:type="dxa"/>
                  <w:tcBorders>
                    <w:tl2br w:val="nil"/>
                    <w:tr2bl w:val="nil"/>
                  </w:tcBorders>
                  <w:noWrap w:val="0"/>
                  <w:vAlign w:val="center"/>
                </w:tcPr>
                <w:p w14:paraId="77370450">
                  <w:pPr>
                    <w:pStyle w:val="2"/>
                    <w:adjustRightInd w:val="0"/>
                    <w:spacing w:before="0" w:after="0" w:line="240" w:lineRule="auto"/>
                    <w:ind w:right="0"/>
                    <w:jc w:val="center"/>
                    <w:rPr>
                      <w:rFonts w:hint="eastAsia"/>
                      <w:color w:val="auto"/>
                      <w:sz w:val="21"/>
                      <w:szCs w:val="24"/>
                      <w:lang w:val="en-US" w:eastAsia="zh-CN"/>
                    </w:rPr>
                  </w:pPr>
                  <w:r>
                    <w:rPr>
                      <w:rFonts w:hint="eastAsia"/>
                      <w:color w:val="auto"/>
                      <w:sz w:val="21"/>
                      <w:szCs w:val="24"/>
                      <w:lang w:val="en-US" w:eastAsia="zh-CN"/>
                    </w:rPr>
                    <w:t>0</w:t>
                  </w:r>
                </w:p>
              </w:tc>
            </w:tr>
            <w:tr w14:paraId="52DADD3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0" w:hRule="atLeast"/>
                <w:jc w:val="center"/>
              </w:trPr>
              <w:tc>
                <w:tcPr>
                  <w:tcW w:w="974" w:type="dxa"/>
                  <w:vMerge w:val="continue"/>
                  <w:tcBorders>
                    <w:tl2br w:val="nil"/>
                    <w:tr2bl w:val="nil"/>
                  </w:tcBorders>
                  <w:noWrap w:val="0"/>
                  <w:vAlign w:val="center"/>
                </w:tcPr>
                <w:p w14:paraId="4D05DDB9">
                  <w:pPr>
                    <w:pStyle w:val="2"/>
                    <w:adjustRightInd w:val="0"/>
                    <w:spacing w:before="0" w:after="0" w:line="240" w:lineRule="auto"/>
                    <w:ind w:right="0"/>
                    <w:jc w:val="center"/>
                    <w:rPr>
                      <w:color w:val="auto"/>
                      <w:sz w:val="21"/>
                      <w:szCs w:val="24"/>
                      <w:lang w:val="en-US" w:eastAsia="zh-CN"/>
                    </w:rPr>
                  </w:pPr>
                </w:p>
              </w:tc>
              <w:tc>
                <w:tcPr>
                  <w:tcW w:w="3378" w:type="dxa"/>
                  <w:gridSpan w:val="2"/>
                  <w:tcBorders>
                    <w:tl2br w:val="nil"/>
                    <w:tr2bl w:val="nil"/>
                  </w:tcBorders>
                  <w:noWrap w:val="0"/>
                  <w:vAlign w:val="center"/>
                </w:tcPr>
                <w:p w14:paraId="364D7D13">
                  <w:pPr>
                    <w:pStyle w:val="2"/>
                    <w:adjustRightInd w:val="0"/>
                    <w:spacing w:before="0" w:after="0" w:line="240" w:lineRule="auto"/>
                    <w:ind w:right="0"/>
                    <w:jc w:val="center"/>
                    <w:rPr>
                      <w:color w:val="auto"/>
                      <w:sz w:val="21"/>
                      <w:szCs w:val="24"/>
                      <w:lang w:val="en-US" w:eastAsia="zh-CN"/>
                    </w:rPr>
                  </w:pPr>
                  <w:r>
                    <w:rPr>
                      <w:rFonts w:hint="eastAsia"/>
                      <w:color w:val="auto"/>
                      <w:sz w:val="21"/>
                      <w:szCs w:val="24"/>
                      <w:lang w:val="en-US" w:eastAsia="zh-CN"/>
                    </w:rPr>
                    <w:t>一般固废</w:t>
                  </w:r>
                </w:p>
              </w:tc>
              <w:tc>
                <w:tcPr>
                  <w:tcW w:w="2202" w:type="dxa"/>
                  <w:tcBorders>
                    <w:tl2br w:val="nil"/>
                    <w:tr2bl w:val="nil"/>
                  </w:tcBorders>
                  <w:noWrap w:val="0"/>
                  <w:vAlign w:val="center"/>
                </w:tcPr>
                <w:p w14:paraId="50B23453">
                  <w:pPr>
                    <w:pStyle w:val="2"/>
                    <w:adjustRightInd w:val="0"/>
                    <w:spacing w:before="0" w:after="0" w:line="240" w:lineRule="auto"/>
                    <w:ind w:right="0"/>
                    <w:jc w:val="center"/>
                    <w:rPr>
                      <w:rFonts w:hint="eastAsia"/>
                      <w:color w:val="auto"/>
                      <w:sz w:val="21"/>
                      <w:szCs w:val="24"/>
                      <w:lang w:val="en-US" w:eastAsia="zh-CN"/>
                    </w:rPr>
                  </w:pPr>
                  <w:r>
                    <w:rPr>
                      <w:rFonts w:hint="eastAsia"/>
                      <w:color w:val="auto"/>
                      <w:sz w:val="21"/>
                      <w:szCs w:val="24"/>
                      <w:lang w:val="en-US" w:eastAsia="zh-CN"/>
                    </w:rPr>
                    <w:t>0</w:t>
                  </w:r>
                </w:p>
              </w:tc>
              <w:tc>
                <w:tcPr>
                  <w:tcW w:w="1992" w:type="dxa"/>
                  <w:tcBorders>
                    <w:tl2br w:val="nil"/>
                    <w:tr2bl w:val="nil"/>
                  </w:tcBorders>
                  <w:noWrap w:val="0"/>
                  <w:vAlign w:val="center"/>
                </w:tcPr>
                <w:p w14:paraId="18D4BD4F">
                  <w:pPr>
                    <w:pStyle w:val="2"/>
                    <w:adjustRightInd w:val="0"/>
                    <w:spacing w:before="0" w:after="0" w:line="240" w:lineRule="auto"/>
                    <w:ind w:right="0"/>
                    <w:jc w:val="center"/>
                    <w:rPr>
                      <w:rFonts w:hint="eastAsia"/>
                      <w:color w:val="auto"/>
                      <w:sz w:val="21"/>
                      <w:szCs w:val="24"/>
                      <w:lang w:val="en-US" w:eastAsia="zh-CN"/>
                    </w:rPr>
                  </w:pPr>
                  <w:r>
                    <w:rPr>
                      <w:rFonts w:hint="eastAsia"/>
                      <w:color w:val="auto"/>
                      <w:sz w:val="21"/>
                      <w:szCs w:val="24"/>
                      <w:lang w:val="en-US" w:eastAsia="zh-CN"/>
                    </w:rPr>
                    <w:t>0</w:t>
                  </w:r>
                </w:p>
              </w:tc>
            </w:tr>
            <w:tr w14:paraId="13B79FC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0" w:hRule="atLeast"/>
                <w:jc w:val="center"/>
              </w:trPr>
              <w:tc>
                <w:tcPr>
                  <w:tcW w:w="974" w:type="dxa"/>
                  <w:vMerge w:val="continue"/>
                  <w:tcBorders>
                    <w:tl2br w:val="nil"/>
                    <w:tr2bl w:val="nil"/>
                  </w:tcBorders>
                  <w:noWrap w:val="0"/>
                  <w:vAlign w:val="center"/>
                </w:tcPr>
                <w:p w14:paraId="38E41704">
                  <w:pPr>
                    <w:pStyle w:val="2"/>
                    <w:adjustRightInd w:val="0"/>
                    <w:spacing w:before="0" w:after="0" w:line="240" w:lineRule="auto"/>
                    <w:ind w:right="0"/>
                    <w:jc w:val="center"/>
                    <w:rPr>
                      <w:color w:val="auto"/>
                      <w:sz w:val="21"/>
                      <w:szCs w:val="24"/>
                      <w:lang w:val="en-US" w:eastAsia="zh-CN"/>
                    </w:rPr>
                  </w:pPr>
                </w:p>
              </w:tc>
              <w:tc>
                <w:tcPr>
                  <w:tcW w:w="3378" w:type="dxa"/>
                  <w:gridSpan w:val="2"/>
                  <w:tcBorders>
                    <w:tl2br w:val="nil"/>
                    <w:tr2bl w:val="nil"/>
                  </w:tcBorders>
                  <w:noWrap w:val="0"/>
                  <w:vAlign w:val="center"/>
                </w:tcPr>
                <w:p w14:paraId="63953AF2">
                  <w:pPr>
                    <w:pStyle w:val="2"/>
                    <w:adjustRightInd w:val="0"/>
                    <w:spacing w:before="0" w:after="0" w:line="240" w:lineRule="auto"/>
                    <w:ind w:right="0"/>
                    <w:jc w:val="center"/>
                    <w:rPr>
                      <w:color w:val="auto"/>
                      <w:sz w:val="21"/>
                      <w:szCs w:val="24"/>
                      <w:lang w:val="en-US" w:eastAsia="zh-CN"/>
                    </w:rPr>
                  </w:pPr>
                  <w:r>
                    <w:rPr>
                      <w:rFonts w:hint="eastAsia"/>
                      <w:color w:val="auto"/>
                      <w:sz w:val="21"/>
                      <w:szCs w:val="24"/>
                      <w:lang w:val="en-US" w:eastAsia="zh-CN"/>
                    </w:rPr>
                    <w:t>危险废物</w:t>
                  </w:r>
                </w:p>
              </w:tc>
              <w:tc>
                <w:tcPr>
                  <w:tcW w:w="2202" w:type="dxa"/>
                  <w:tcBorders>
                    <w:tl2br w:val="nil"/>
                    <w:tr2bl w:val="nil"/>
                  </w:tcBorders>
                  <w:noWrap w:val="0"/>
                  <w:vAlign w:val="center"/>
                </w:tcPr>
                <w:p w14:paraId="4C2E12EC">
                  <w:pPr>
                    <w:pStyle w:val="2"/>
                    <w:adjustRightInd w:val="0"/>
                    <w:spacing w:before="0" w:after="0" w:line="240" w:lineRule="auto"/>
                    <w:ind w:right="0"/>
                    <w:jc w:val="center"/>
                    <w:rPr>
                      <w:rFonts w:hint="eastAsia"/>
                      <w:color w:val="auto"/>
                      <w:sz w:val="21"/>
                      <w:szCs w:val="24"/>
                      <w:lang w:val="en-US" w:eastAsia="zh-CN"/>
                    </w:rPr>
                  </w:pPr>
                  <w:r>
                    <w:rPr>
                      <w:rFonts w:hint="eastAsia"/>
                      <w:color w:val="auto"/>
                      <w:sz w:val="21"/>
                      <w:szCs w:val="24"/>
                      <w:lang w:val="en-US" w:eastAsia="zh-CN"/>
                    </w:rPr>
                    <w:t>0</w:t>
                  </w:r>
                </w:p>
              </w:tc>
              <w:tc>
                <w:tcPr>
                  <w:tcW w:w="1992" w:type="dxa"/>
                  <w:tcBorders>
                    <w:tl2br w:val="nil"/>
                    <w:tr2bl w:val="nil"/>
                  </w:tcBorders>
                  <w:noWrap w:val="0"/>
                  <w:vAlign w:val="center"/>
                </w:tcPr>
                <w:p w14:paraId="3C7A0C8B">
                  <w:pPr>
                    <w:pStyle w:val="2"/>
                    <w:adjustRightInd w:val="0"/>
                    <w:spacing w:before="0" w:after="0" w:line="240" w:lineRule="auto"/>
                    <w:ind w:right="0"/>
                    <w:jc w:val="center"/>
                    <w:rPr>
                      <w:rFonts w:hint="eastAsia"/>
                      <w:color w:val="auto"/>
                      <w:sz w:val="21"/>
                      <w:szCs w:val="24"/>
                      <w:lang w:val="en-US" w:eastAsia="zh-CN"/>
                    </w:rPr>
                  </w:pPr>
                  <w:r>
                    <w:rPr>
                      <w:rFonts w:hint="eastAsia"/>
                      <w:color w:val="auto"/>
                      <w:sz w:val="21"/>
                      <w:szCs w:val="24"/>
                      <w:lang w:val="en-US" w:eastAsia="zh-CN"/>
                    </w:rPr>
                    <w:t>0</w:t>
                  </w:r>
                </w:p>
              </w:tc>
            </w:tr>
          </w:tbl>
          <w:p w14:paraId="7050B3D2">
            <w:pPr>
              <w:pStyle w:val="5"/>
              <w:adjustRightInd w:val="0"/>
              <w:snapToGrid w:val="0"/>
              <w:spacing w:line="360" w:lineRule="auto"/>
              <w:ind w:firstLine="0"/>
              <w:rPr>
                <w:b/>
                <w:bCs/>
                <w:color w:val="auto"/>
                <w:szCs w:val="21"/>
              </w:rPr>
            </w:pPr>
            <w:r>
              <w:rPr>
                <w:rFonts w:hint="eastAsia"/>
                <w:b/>
                <w:bCs/>
                <w:color w:val="auto"/>
                <w:szCs w:val="21"/>
                <w:lang w:val="en-US" w:eastAsia="zh-CN"/>
              </w:rPr>
              <w:t>5</w:t>
            </w:r>
            <w:r>
              <w:rPr>
                <w:rFonts w:hint="eastAsia"/>
                <w:b/>
                <w:bCs/>
                <w:color w:val="auto"/>
                <w:szCs w:val="21"/>
              </w:rPr>
              <w:t>、现有项目环境问题</w:t>
            </w:r>
          </w:p>
          <w:p w14:paraId="4CDF43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1、搬迁前原有项目存在的环保问题</w:t>
            </w:r>
          </w:p>
          <w:p w14:paraId="0344B1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（1）原有项目环境影响</w:t>
            </w:r>
          </w:p>
          <w:p w14:paraId="73BFCA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原有项目开料、刨平、铣型、齐边、钻孔、砂磨工序设置不同的集尘管道、风阀、支管，在风机的吸引下进入同一主风管采用中央除尘系统进行处理，处理后经15m排气筒（DA001）排放。</w:t>
            </w:r>
          </w:p>
          <w:p w14:paraId="39E67A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调漆、喷漆、刷漆、晾干、擦色、修色工序产生的有机废气、颗粒物经底漆房、面漆房、晾干房密闭收集后经“水帘+吸雾毡+二级活性炭”处理后经15m排气筒（DA002）排放。</w:t>
            </w:r>
          </w:p>
          <w:p w14:paraId="634C42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冷压、封边工序产生的有机废气由设备上方集气罩手机后经“水帘+吸雾毡+二级活性炭”处理后经15m排气筒（DA002）排放。</w:t>
            </w:r>
          </w:p>
          <w:p w14:paraId="43D02B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经验收检测数据可知，企业产生的有组织废气及无组织废气均能满足相应排放标准限值要求，另外企业通过加强车间通风等措施降低无组织废气浓度。</w:t>
            </w:r>
          </w:p>
          <w:p w14:paraId="26439F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原有项目排放的废水仅为生活污水。生活污水接入市政污水管网进入常州金坛区第二污水处理有限公司集中处理。</w:t>
            </w:r>
          </w:p>
          <w:p w14:paraId="45A03A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原有危废暂存于危废仓库，一般固废暂存于一般固废仓库，各类固废均经妥善处置不外排。</w:t>
            </w:r>
          </w:p>
          <w:p w14:paraId="570BA1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原有项目已按照要求进行分区防渗，对危废仓库进行重点防渗，项目危废暂存量较小，且无液态危险废物，对土壤和地下水影响较小。原有项目所在厂区已设置40立方米事故应急储罐，并配备应急切换阀门，能有效收集事故废水，防止扩散进入地表水。</w:t>
            </w:r>
          </w:p>
          <w:p w14:paraId="37B71D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综上，引用原有环评结论，原有项目各项污染防治措施可行，对周边大气、地表水、地下水和土壤环境影响不大。</w:t>
            </w:r>
          </w:p>
          <w:p w14:paraId="49DE4E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（2）原有项目遗留问题</w:t>
            </w:r>
          </w:p>
          <w:p w14:paraId="46C6FA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原有项目搬迁后，原有设备搬迁至本次项目厂内继续使用。原有项目厂址所在场地将全部停产拆除，设备拆除过程中将存在一定的环境风险，对企业提出如下要求：</w:t>
            </w:r>
          </w:p>
          <w:p w14:paraId="12DBCA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①拆除要求</w:t>
            </w:r>
          </w:p>
          <w:p w14:paraId="17DF8F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原有项目在拆除前需保证厂内所有设备均处于断电停产状态，各类设备电气、仪表、阀门、工艺管道等进行第一步拆除，环保设备和消防设备最后一步拆除，拆除前需要保证厂内剩余的各类固废均有效转移和处置，目前原有项目危废仓库内部危废已全部转移完毕，环保设备等装置中剩余危险废物要求企业在搬迁之前全部妥善转移完毕，不在厂内遗留或自行转移到新厂区。</w:t>
            </w:r>
          </w:p>
          <w:p w14:paraId="57EFD6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②建（构）筑物无害化处理要求</w:t>
            </w:r>
          </w:p>
          <w:p w14:paraId="2F1708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公司拟拆除的危废仓库等有可能被有机原料污染，因此在拆除前需要将被污染的墙面、地面等先拆除，拆除的垃圾作为净化清理废料，委托有资质的单位处理。</w:t>
            </w:r>
          </w:p>
          <w:p w14:paraId="4F5150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办公楼、维修间、变配电房、门卫、消防泵房、控制室等属于一般性环境风险，不需要进行无害化清理。</w:t>
            </w:r>
          </w:p>
          <w:p w14:paraId="7C3656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③土壤环境管理要求</w:t>
            </w:r>
          </w:p>
          <w:p w14:paraId="52EB41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a、建设单位拆除涉及有毒有害物质的生产设施设备、构筑物和污染治理设施的，应当按照有关规定，事先制定企业拆除活动污染防治方案。建设单位拆除活动污染防治方案应当包括被拆除生产设施设备、构筑物和污染治理设施的基本情况、拆除活动全过程土壤污染防治的技术要求、针对周边环境的污染防治要求等内容。</w:t>
            </w:r>
          </w:p>
          <w:p w14:paraId="79B4DE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b、建设单位拆除活动应当严格按照有关规定实施残留物料和污染物、污染设备和设施的安全处理处置，并做好拆除活动相关记录，防范拆除活动污染土壤和地下水。拆除活动相关记录应当长期保存。</w:t>
            </w:r>
          </w:p>
          <w:p w14:paraId="5F1C47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c、建设单位搬迁项目用地应当符合国家或者地方有关建设用地土壤污染风险管控标准。土地使用权人或者污染责任人应当参照土壤环境管理有关规定开展隐患排查等活动必要时自行或者委托第三方定期开展土壤和地下水监测。</w:t>
            </w:r>
          </w:p>
          <w:p w14:paraId="3B4257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通过以上要求和措施，原有项目厂址拆除后对周边环境影响较小。</w:t>
            </w:r>
          </w:p>
          <w:p w14:paraId="015873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textAlignment w:val="auto"/>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2、搬迁后所在厂址原有环境问题</w:t>
            </w:r>
          </w:p>
          <w:p w14:paraId="19DA8F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建设单位租赁晨风（江苏）服装有限公司现有空置厂房进行生产，该厂房此前仅作为晨风（江苏）服装有限公司样品展示使用，未进驻过其他项目，因此，项目用地不存在原有污染源和遗留环境问题。</w:t>
            </w:r>
          </w:p>
          <w:p w14:paraId="0317CD82">
            <w:pPr>
              <w:pStyle w:val="7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6、以新带老措施</w:t>
            </w:r>
          </w:p>
          <w:p w14:paraId="07775A73">
            <w:pPr>
              <w:pStyle w:val="7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default"/>
                <w:color w:val="auto"/>
                <w:kern w:val="0"/>
                <w:lang w:val="en-US" w:eastAsia="zh-CN"/>
              </w:rPr>
            </w:pPr>
            <w:r>
              <w:rPr>
                <w:rFonts w:hint="eastAsia" w:cs="Times New Roman"/>
                <w:color w:val="auto"/>
                <w:sz w:val="21"/>
                <w:szCs w:val="21"/>
                <w:highlight w:val="none"/>
                <w:lang w:val="en-US" w:eastAsia="zh-CN"/>
              </w:rPr>
              <w:t>无。</w:t>
            </w:r>
          </w:p>
        </w:tc>
      </w:tr>
    </w:tbl>
    <w:p w14:paraId="1C90DA80">
      <w:pPr>
        <w:pStyle w:val="55"/>
        <w:rPr>
          <w:color w:val="auto"/>
        </w:rPr>
      </w:pPr>
      <w:bookmarkStart w:id="12" w:name="_Toc9917"/>
      <w:bookmarkStart w:id="13" w:name="_Toc21144"/>
      <w:bookmarkStart w:id="14" w:name="_Toc137559021"/>
      <w:r>
        <w:rPr>
          <w:color w:val="auto"/>
        </w:rPr>
        <w:t>三、区域环境质量现状、环境保护目标及评价标准</w:t>
      </w:r>
      <w:bookmarkEnd w:id="12"/>
      <w:bookmarkEnd w:id="13"/>
      <w:bookmarkEnd w:id="14"/>
    </w:p>
    <w:tbl>
      <w:tblPr>
        <w:tblStyle w:val="5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945"/>
      </w:tblGrid>
      <w:tr w14:paraId="17A362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13" w:hRule="atLeast"/>
          <w:jc w:val="center"/>
        </w:trPr>
        <w:tc>
          <w:tcPr>
            <w:tcW w:w="456" w:type="dxa"/>
            <w:vAlign w:val="center"/>
          </w:tcPr>
          <w:p w14:paraId="5D361EE0">
            <w:pPr>
              <w:adjustRightInd w:val="0"/>
              <w:snapToGrid w:val="0"/>
              <w:jc w:val="center"/>
              <w:rPr>
                <w:b/>
                <w:color w:val="auto"/>
                <w:kern w:val="0"/>
              </w:rPr>
            </w:pPr>
            <w:r>
              <w:rPr>
                <w:b/>
                <w:color w:val="auto"/>
                <w:kern w:val="0"/>
              </w:rPr>
              <w:t>区域环境质量现状</w:t>
            </w:r>
          </w:p>
        </w:tc>
        <w:tc>
          <w:tcPr>
            <w:tcW w:w="8945" w:type="dxa"/>
            <w:vAlign w:val="center"/>
          </w:tcPr>
          <w:p w14:paraId="4E512656">
            <w:pPr>
              <w:widowControl/>
              <w:adjustRightInd w:val="0"/>
              <w:snapToGrid w:val="0"/>
              <w:spacing w:line="360" w:lineRule="auto"/>
              <w:ind w:firstLine="422" w:firstLineChars="200"/>
              <w:jc w:val="left"/>
              <w:rPr>
                <w:b/>
                <w:bCs/>
                <w:color w:val="auto"/>
              </w:rPr>
            </w:pPr>
            <w:r>
              <w:rPr>
                <w:rFonts w:hint="eastAsia"/>
                <w:b/>
                <w:bCs/>
                <w:color w:val="auto"/>
              </w:rPr>
              <w:t>1.大气环境质量现状</w:t>
            </w:r>
          </w:p>
          <w:p w14:paraId="046CACC8">
            <w:pPr>
              <w:adjustRightInd w:val="0"/>
              <w:snapToGrid w:val="0"/>
              <w:spacing w:line="360" w:lineRule="auto"/>
              <w:ind w:firstLine="422" w:firstLineChars="200"/>
              <w:rPr>
                <w:b/>
                <w:color w:val="auto"/>
              </w:rPr>
            </w:pPr>
            <w:r>
              <w:rPr>
                <w:rFonts w:hint="eastAsia"/>
                <w:b/>
                <w:color w:val="auto"/>
              </w:rPr>
              <w:t>（1）常规污染物环境质量现状</w:t>
            </w:r>
          </w:p>
          <w:p w14:paraId="756D42B3">
            <w:pPr>
              <w:adjustRightInd w:val="0"/>
              <w:snapToGrid w:val="0"/>
              <w:spacing w:line="360" w:lineRule="auto"/>
              <w:ind w:firstLine="420" w:firstLineChars="200"/>
              <w:rPr>
                <w:bCs/>
                <w:color w:val="auto"/>
              </w:rPr>
            </w:pPr>
            <w:r>
              <w:rPr>
                <w:rFonts w:hint="eastAsia"/>
                <w:bCs/>
                <w:color w:val="auto"/>
              </w:rPr>
              <w:t>根据《环境影响评价技术导则 大气环境》（HJ2.2-2018），项目所在区域达标情况判定优先采用国家或地方生态环境主管部门公开发布的环境质量公告或环境质量报告中的数据和结论。</w:t>
            </w:r>
          </w:p>
          <w:p w14:paraId="0769350C">
            <w:pPr>
              <w:adjustRightInd w:val="0"/>
              <w:snapToGrid w:val="0"/>
              <w:spacing w:line="360" w:lineRule="auto"/>
              <w:ind w:firstLine="420" w:firstLineChars="200"/>
              <w:rPr>
                <w:bCs/>
                <w:color w:val="auto"/>
              </w:rPr>
            </w:pPr>
            <w:r>
              <w:rPr>
                <w:rFonts w:hint="eastAsia"/>
                <w:bCs/>
                <w:color w:val="auto"/>
              </w:rPr>
              <w:t>根据《202</w:t>
            </w:r>
            <w:r>
              <w:rPr>
                <w:rFonts w:hint="eastAsia"/>
                <w:bCs/>
                <w:color w:val="auto"/>
                <w:lang w:val="en-US" w:eastAsia="zh-CN"/>
              </w:rPr>
              <w:t>4</w:t>
            </w:r>
            <w:r>
              <w:rPr>
                <w:rFonts w:hint="eastAsia"/>
                <w:bCs/>
                <w:color w:val="auto"/>
              </w:rPr>
              <w:t>年常州市生态环境状况公报》，判定项目所在区域环境空气质量的达标情况，具体见下表。</w:t>
            </w:r>
          </w:p>
          <w:p w14:paraId="53D46CFD">
            <w:pPr>
              <w:adjustRightInd w:val="0"/>
              <w:snapToGrid w:val="0"/>
              <w:jc w:val="center"/>
              <w:rPr>
                <w:b/>
                <w:color w:val="auto"/>
              </w:rPr>
            </w:pPr>
            <w:r>
              <w:rPr>
                <w:b/>
                <w:color w:val="auto"/>
              </w:rPr>
              <w:t>表3-1   大气环境质量现状</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996"/>
              <w:gridCol w:w="2884"/>
              <w:gridCol w:w="1297"/>
              <w:gridCol w:w="1235"/>
              <w:gridCol w:w="1070"/>
              <w:gridCol w:w="1247"/>
            </w:tblGrid>
            <w:tr w14:paraId="005ABBA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72" w:type="dxa"/>
                  <w:tcBorders>
                    <w:tl2br w:val="nil"/>
                    <w:tr2bl w:val="nil"/>
                  </w:tcBorders>
                  <w:noWrap w:val="0"/>
                  <w:vAlign w:val="center"/>
                </w:tcPr>
                <w:p w14:paraId="76F948F7">
                  <w:pPr>
                    <w:keepNext w:val="0"/>
                    <w:keepLines w:val="0"/>
                    <w:pageBreakBefore w:val="0"/>
                    <w:kinsoku/>
                    <w:wordWrap/>
                    <w:overflowPunct/>
                    <w:topLinePunct w:val="0"/>
                    <w:autoSpaceDE/>
                    <w:autoSpaceDN/>
                    <w:bidi w:val="0"/>
                    <w:adjustRightInd w:val="0"/>
                    <w:snapToGrid w:val="0"/>
                    <w:jc w:val="center"/>
                    <w:rPr>
                      <w:rFonts w:ascii="Times New Roman" w:hAnsi="Times New Roman"/>
                      <w:b/>
                      <w:color w:val="auto"/>
                      <w:kern w:val="0"/>
                      <w:szCs w:val="21"/>
                    </w:rPr>
                  </w:pPr>
                  <w:r>
                    <w:rPr>
                      <w:rFonts w:ascii="Times New Roman" w:hAnsi="Times New Roman"/>
                      <w:b/>
                      <w:color w:val="auto"/>
                      <w:kern w:val="0"/>
                      <w:szCs w:val="21"/>
                    </w:rPr>
                    <w:t>污染物</w:t>
                  </w:r>
                </w:p>
              </w:tc>
              <w:tc>
                <w:tcPr>
                  <w:tcW w:w="2816" w:type="dxa"/>
                  <w:tcBorders>
                    <w:tl2br w:val="nil"/>
                    <w:tr2bl w:val="nil"/>
                  </w:tcBorders>
                  <w:noWrap w:val="0"/>
                  <w:vAlign w:val="center"/>
                </w:tcPr>
                <w:p w14:paraId="775732D8">
                  <w:pPr>
                    <w:keepNext w:val="0"/>
                    <w:keepLines w:val="0"/>
                    <w:pageBreakBefore w:val="0"/>
                    <w:kinsoku/>
                    <w:wordWrap/>
                    <w:overflowPunct/>
                    <w:topLinePunct w:val="0"/>
                    <w:autoSpaceDE/>
                    <w:autoSpaceDN/>
                    <w:bidi w:val="0"/>
                    <w:adjustRightInd w:val="0"/>
                    <w:snapToGrid w:val="0"/>
                    <w:jc w:val="center"/>
                    <w:rPr>
                      <w:rFonts w:ascii="Times New Roman" w:hAnsi="Times New Roman"/>
                      <w:b/>
                      <w:color w:val="auto"/>
                      <w:kern w:val="0"/>
                      <w:szCs w:val="21"/>
                    </w:rPr>
                  </w:pPr>
                  <w:r>
                    <w:rPr>
                      <w:rFonts w:ascii="Times New Roman" w:hAnsi="Times New Roman"/>
                      <w:b/>
                      <w:color w:val="auto"/>
                      <w:kern w:val="0"/>
                      <w:szCs w:val="21"/>
                    </w:rPr>
                    <w:t>年平均指标</w:t>
                  </w:r>
                </w:p>
              </w:tc>
              <w:tc>
                <w:tcPr>
                  <w:tcW w:w="1266" w:type="dxa"/>
                  <w:tcBorders>
                    <w:tl2br w:val="nil"/>
                    <w:tr2bl w:val="nil"/>
                  </w:tcBorders>
                  <w:noWrap w:val="0"/>
                  <w:vAlign w:val="center"/>
                </w:tcPr>
                <w:p w14:paraId="498D0FD0">
                  <w:pPr>
                    <w:keepNext w:val="0"/>
                    <w:keepLines w:val="0"/>
                    <w:pageBreakBefore w:val="0"/>
                    <w:kinsoku/>
                    <w:wordWrap/>
                    <w:overflowPunct/>
                    <w:topLinePunct w:val="0"/>
                    <w:autoSpaceDE/>
                    <w:autoSpaceDN/>
                    <w:bidi w:val="0"/>
                    <w:adjustRightInd w:val="0"/>
                    <w:snapToGrid w:val="0"/>
                    <w:jc w:val="center"/>
                    <w:rPr>
                      <w:rFonts w:ascii="Times New Roman" w:hAnsi="Times New Roman"/>
                      <w:b/>
                      <w:color w:val="auto"/>
                      <w:kern w:val="0"/>
                      <w:szCs w:val="21"/>
                    </w:rPr>
                  </w:pPr>
                  <w:r>
                    <w:rPr>
                      <w:rFonts w:ascii="Times New Roman" w:hAnsi="Times New Roman"/>
                      <w:b/>
                      <w:color w:val="auto"/>
                      <w:kern w:val="0"/>
                      <w:szCs w:val="21"/>
                    </w:rPr>
                    <w:t>现状浓度</w:t>
                  </w:r>
                </w:p>
                <w:p w14:paraId="25657CC3">
                  <w:pPr>
                    <w:keepNext w:val="0"/>
                    <w:keepLines w:val="0"/>
                    <w:pageBreakBefore w:val="0"/>
                    <w:kinsoku/>
                    <w:wordWrap/>
                    <w:overflowPunct/>
                    <w:topLinePunct w:val="0"/>
                    <w:autoSpaceDE/>
                    <w:autoSpaceDN/>
                    <w:bidi w:val="0"/>
                    <w:adjustRightInd w:val="0"/>
                    <w:snapToGrid w:val="0"/>
                    <w:jc w:val="center"/>
                    <w:rPr>
                      <w:rFonts w:ascii="Times New Roman" w:hAnsi="Times New Roman"/>
                      <w:b/>
                      <w:color w:val="auto"/>
                      <w:szCs w:val="21"/>
                    </w:rPr>
                  </w:pPr>
                  <w:r>
                    <w:rPr>
                      <w:rFonts w:ascii="Times New Roman" w:hAnsi="Times New Roman"/>
                      <w:b/>
                      <w:color w:val="auto"/>
                      <w:kern w:val="0"/>
                      <w:szCs w:val="21"/>
                    </w:rPr>
                    <w:t>μg/m</w:t>
                  </w:r>
                  <w:r>
                    <w:rPr>
                      <w:rFonts w:ascii="Times New Roman" w:hAnsi="Times New Roman"/>
                      <w:b/>
                      <w:color w:val="auto"/>
                      <w:kern w:val="0"/>
                      <w:szCs w:val="21"/>
                      <w:vertAlign w:val="superscript"/>
                    </w:rPr>
                    <w:t>3</w:t>
                  </w:r>
                </w:p>
              </w:tc>
              <w:tc>
                <w:tcPr>
                  <w:tcW w:w="1206" w:type="dxa"/>
                  <w:tcBorders>
                    <w:tl2br w:val="nil"/>
                    <w:tr2bl w:val="nil"/>
                  </w:tcBorders>
                  <w:noWrap w:val="0"/>
                  <w:vAlign w:val="center"/>
                </w:tcPr>
                <w:p w14:paraId="21653A0C">
                  <w:pPr>
                    <w:keepNext w:val="0"/>
                    <w:keepLines w:val="0"/>
                    <w:pageBreakBefore w:val="0"/>
                    <w:kinsoku/>
                    <w:wordWrap/>
                    <w:overflowPunct/>
                    <w:topLinePunct w:val="0"/>
                    <w:autoSpaceDE/>
                    <w:autoSpaceDN/>
                    <w:bidi w:val="0"/>
                    <w:adjustRightInd w:val="0"/>
                    <w:snapToGrid w:val="0"/>
                    <w:jc w:val="center"/>
                    <w:rPr>
                      <w:rFonts w:ascii="Times New Roman" w:hAnsi="Times New Roman"/>
                      <w:b/>
                      <w:color w:val="auto"/>
                      <w:kern w:val="0"/>
                      <w:szCs w:val="21"/>
                    </w:rPr>
                  </w:pPr>
                  <w:r>
                    <w:rPr>
                      <w:rFonts w:ascii="Times New Roman" w:hAnsi="Times New Roman"/>
                      <w:b/>
                      <w:color w:val="auto"/>
                      <w:kern w:val="0"/>
                      <w:szCs w:val="21"/>
                    </w:rPr>
                    <w:t>标准限值</w:t>
                  </w:r>
                </w:p>
                <w:p w14:paraId="48FBEDED">
                  <w:pPr>
                    <w:keepNext w:val="0"/>
                    <w:keepLines w:val="0"/>
                    <w:pageBreakBefore w:val="0"/>
                    <w:kinsoku/>
                    <w:wordWrap/>
                    <w:overflowPunct/>
                    <w:topLinePunct w:val="0"/>
                    <w:autoSpaceDE/>
                    <w:autoSpaceDN/>
                    <w:bidi w:val="0"/>
                    <w:adjustRightInd w:val="0"/>
                    <w:snapToGrid w:val="0"/>
                    <w:jc w:val="center"/>
                    <w:rPr>
                      <w:rFonts w:ascii="Times New Roman" w:hAnsi="Times New Roman"/>
                      <w:b/>
                      <w:color w:val="auto"/>
                      <w:szCs w:val="21"/>
                    </w:rPr>
                  </w:pPr>
                  <w:r>
                    <w:rPr>
                      <w:rFonts w:ascii="Times New Roman" w:hAnsi="Times New Roman"/>
                      <w:b/>
                      <w:color w:val="auto"/>
                      <w:kern w:val="0"/>
                      <w:szCs w:val="21"/>
                    </w:rPr>
                    <w:t>μg/m</w:t>
                  </w:r>
                  <w:r>
                    <w:rPr>
                      <w:rFonts w:ascii="Times New Roman" w:hAnsi="Times New Roman"/>
                      <w:b/>
                      <w:color w:val="auto"/>
                      <w:kern w:val="0"/>
                      <w:szCs w:val="21"/>
                      <w:vertAlign w:val="superscript"/>
                    </w:rPr>
                    <w:t>3</w:t>
                  </w:r>
                </w:p>
              </w:tc>
              <w:tc>
                <w:tcPr>
                  <w:tcW w:w="1045" w:type="dxa"/>
                  <w:tcBorders>
                    <w:tl2br w:val="nil"/>
                    <w:tr2bl w:val="nil"/>
                  </w:tcBorders>
                  <w:noWrap w:val="0"/>
                  <w:vAlign w:val="center"/>
                </w:tcPr>
                <w:p w14:paraId="75FC3144">
                  <w:pPr>
                    <w:keepNext w:val="0"/>
                    <w:keepLines w:val="0"/>
                    <w:pageBreakBefore w:val="0"/>
                    <w:kinsoku/>
                    <w:wordWrap/>
                    <w:overflowPunct/>
                    <w:topLinePunct w:val="0"/>
                    <w:autoSpaceDE/>
                    <w:autoSpaceDN/>
                    <w:bidi w:val="0"/>
                    <w:adjustRightInd w:val="0"/>
                    <w:snapToGrid w:val="0"/>
                    <w:jc w:val="center"/>
                    <w:rPr>
                      <w:rFonts w:ascii="Times New Roman" w:hAnsi="Times New Roman"/>
                      <w:b/>
                      <w:color w:val="auto"/>
                      <w:kern w:val="0"/>
                      <w:szCs w:val="21"/>
                    </w:rPr>
                  </w:pPr>
                  <w:r>
                    <w:rPr>
                      <w:rFonts w:ascii="Times New Roman" w:hAnsi="Times New Roman"/>
                      <w:b/>
                      <w:color w:val="auto"/>
                      <w:kern w:val="0"/>
                      <w:szCs w:val="21"/>
                    </w:rPr>
                    <w:t>达标率</w:t>
                  </w:r>
                </w:p>
                <w:p w14:paraId="56B88CE1">
                  <w:pPr>
                    <w:keepNext w:val="0"/>
                    <w:keepLines w:val="0"/>
                    <w:pageBreakBefore w:val="0"/>
                    <w:kinsoku/>
                    <w:wordWrap/>
                    <w:overflowPunct/>
                    <w:topLinePunct w:val="0"/>
                    <w:autoSpaceDE/>
                    <w:autoSpaceDN/>
                    <w:bidi w:val="0"/>
                    <w:adjustRightInd w:val="0"/>
                    <w:snapToGrid w:val="0"/>
                    <w:jc w:val="center"/>
                    <w:rPr>
                      <w:rFonts w:ascii="Times New Roman" w:hAnsi="Times New Roman"/>
                      <w:b/>
                      <w:color w:val="auto"/>
                      <w:kern w:val="0"/>
                      <w:szCs w:val="21"/>
                    </w:rPr>
                  </w:pPr>
                  <w:r>
                    <w:rPr>
                      <w:rFonts w:ascii="Times New Roman" w:hAnsi="Times New Roman"/>
                      <w:b/>
                      <w:color w:val="auto"/>
                      <w:kern w:val="0"/>
                      <w:szCs w:val="21"/>
                    </w:rPr>
                    <w:t>%</w:t>
                  </w:r>
                </w:p>
              </w:tc>
              <w:tc>
                <w:tcPr>
                  <w:tcW w:w="1217" w:type="dxa"/>
                  <w:tcBorders>
                    <w:tl2br w:val="nil"/>
                    <w:tr2bl w:val="nil"/>
                  </w:tcBorders>
                  <w:noWrap w:val="0"/>
                  <w:vAlign w:val="center"/>
                </w:tcPr>
                <w:p w14:paraId="7A59CBB2">
                  <w:pPr>
                    <w:keepNext w:val="0"/>
                    <w:keepLines w:val="0"/>
                    <w:pageBreakBefore w:val="0"/>
                    <w:kinsoku/>
                    <w:wordWrap/>
                    <w:overflowPunct/>
                    <w:topLinePunct w:val="0"/>
                    <w:autoSpaceDE/>
                    <w:autoSpaceDN/>
                    <w:bidi w:val="0"/>
                    <w:adjustRightInd w:val="0"/>
                    <w:snapToGrid w:val="0"/>
                    <w:jc w:val="center"/>
                    <w:rPr>
                      <w:rFonts w:ascii="Times New Roman" w:hAnsi="Times New Roman"/>
                      <w:b/>
                      <w:color w:val="auto"/>
                      <w:kern w:val="0"/>
                      <w:szCs w:val="21"/>
                    </w:rPr>
                  </w:pPr>
                  <w:r>
                    <w:rPr>
                      <w:rFonts w:ascii="Times New Roman" w:hAnsi="Times New Roman"/>
                      <w:b/>
                      <w:color w:val="auto"/>
                      <w:kern w:val="0"/>
                      <w:szCs w:val="21"/>
                    </w:rPr>
                    <w:t>达标情况</w:t>
                  </w:r>
                </w:p>
              </w:tc>
            </w:tr>
            <w:tr w14:paraId="08AD3F4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72" w:type="dxa"/>
                  <w:vMerge w:val="restart"/>
                  <w:tcBorders>
                    <w:tl2br w:val="nil"/>
                    <w:tr2bl w:val="nil"/>
                  </w:tcBorders>
                  <w:noWrap w:val="0"/>
                  <w:vAlign w:val="center"/>
                </w:tcPr>
                <w:p w14:paraId="26AD3785">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PM</w:t>
                  </w:r>
                  <w:r>
                    <w:rPr>
                      <w:rFonts w:ascii="Times New Roman" w:hAnsi="Times New Roman"/>
                      <w:color w:val="auto"/>
                      <w:kern w:val="0"/>
                      <w:szCs w:val="21"/>
                      <w:vertAlign w:val="subscript"/>
                    </w:rPr>
                    <w:t>2.5</w:t>
                  </w:r>
                </w:p>
              </w:tc>
              <w:tc>
                <w:tcPr>
                  <w:tcW w:w="2816" w:type="dxa"/>
                  <w:tcBorders>
                    <w:tl2br w:val="nil"/>
                    <w:tr2bl w:val="nil"/>
                  </w:tcBorders>
                  <w:noWrap w:val="0"/>
                  <w:vAlign w:val="center"/>
                </w:tcPr>
                <w:p w14:paraId="29AFECCF">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年平均质量浓度</w:t>
                  </w:r>
                </w:p>
              </w:tc>
              <w:tc>
                <w:tcPr>
                  <w:tcW w:w="1266" w:type="dxa"/>
                  <w:tcBorders>
                    <w:tl2br w:val="nil"/>
                    <w:tr2bl w:val="nil"/>
                  </w:tcBorders>
                  <w:noWrap w:val="0"/>
                  <w:vAlign w:val="center"/>
                </w:tcPr>
                <w:p w14:paraId="1C661C0C">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olor w:val="auto"/>
                      <w:kern w:val="0"/>
                      <w:szCs w:val="21"/>
                      <w:lang w:val="en-US" w:eastAsia="zh-CN"/>
                    </w:rPr>
                  </w:pPr>
                  <w:r>
                    <w:rPr>
                      <w:rFonts w:ascii="Times New Roman" w:hAnsi="Times New Roman"/>
                      <w:color w:val="auto"/>
                      <w:kern w:val="0"/>
                      <w:szCs w:val="21"/>
                    </w:rPr>
                    <w:t>3</w:t>
                  </w:r>
                  <w:r>
                    <w:rPr>
                      <w:rFonts w:hint="eastAsia" w:ascii="Times New Roman" w:hAnsi="Times New Roman"/>
                      <w:color w:val="auto"/>
                      <w:kern w:val="0"/>
                      <w:szCs w:val="21"/>
                      <w:lang w:val="en-US" w:eastAsia="zh-CN"/>
                    </w:rPr>
                    <w:t>2</w:t>
                  </w:r>
                </w:p>
              </w:tc>
              <w:tc>
                <w:tcPr>
                  <w:tcW w:w="1206" w:type="dxa"/>
                  <w:tcBorders>
                    <w:tl2br w:val="nil"/>
                    <w:tr2bl w:val="nil"/>
                  </w:tcBorders>
                  <w:noWrap w:val="0"/>
                  <w:vAlign w:val="center"/>
                </w:tcPr>
                <w:p w14:paraId="318A3141">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35</w:t>
                  </w:r>
                </w:p>
              </w:tc>
              <w:tc>
                <w:tcPr>
                  <w:tcW w:w="1045" w:type="dxa"/>
                  <w:tcBorders>
                    <w:tl2br w:val="nil"/>
                    <w:tr2bl w:val="nil"/>
                  </w:tcBorders>
                  <w:noWrap w:val="0"/>
                  <w:vAlign w:val="center"/>
                </w:tcPr>
                <w:p w14:paraId="01022A2A">
                  <w:pPr>
                    <w:keepNext w:val="0"/>
                    <w:keepLines w:val="0"/>
                    <w:pageBreakBefore w:val="0"/>
                    <w:widowControl/>
                    <w:kinsoku/>
                    <w:wordWrap/>
                    <w:overflowPunct/>
                    <w:topLinePunct w:val="0"/>
                    <w:autoSpaceDE/>
                    <w:autoSpaceDN/>
                    <w:bidi w:val="0"/>
                    <w:adjustRightInd w:val="0"/>
                    <w:snapToGrid w:val="0"/>
                    <w:jc w:val="center"/>
                    <w:textAlignment w:val="center"/>
                    <w:rPr>
                      <w:rFonts w:ascii="Times New Roman" w:hAnsi="Times New Roman"/>
                      <w:color w:val="auto"/>
                      <w:szCs w:val="21"/>
                    </w:rPr>
                  </w:pPr>
                  <w:r>
                    <w:rPr>
                      <w:rFonts w:ascii="Times New Roman" w:hAnsi="Times New Roman"/>
                      <w:color w:val="auto"/>
                      <w:kern w:val="0"/>
                      <w:szCs w:val="21"/>
                    </w:rPr>
                    <w:t>100</w:t>
                  </w:r>
                </w:p>
              </w:tc>
              <w:tc>
                <w:tcPr>
                  <w:tcW w:w="1217" w:type="dxa"/>
                  <w:vMerge w:val="restart"/>
                  <w:tcBorders>
                    <w:tl2br w:val="nil"/>
                    <w:tr2bl w:val="nil"/>
                  </w:tcBorders>
                  <w:noWrap w:val="0"/>
                  <w:vAlign w:val="center"/>
                </w:tcPr>
                <w:p w14:paraId="5446D8B2">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不达标</w:t>
                  </w:r>
                </w:p>
              </w:tc>
            </w:tr>
            <w:tr w14:paraId="5D68C60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72" w:type="dxa"/>
                  <w:vMerge w:val="continue"/>
                  <w:tcBorders>
                    <w:tl2br w:val="nil"/>
                    <w:tr2bl w:val="nil"/>
                  </w:tcBorders>
                  <w:noWrap w:val="0"/>
                  <w:vAlign w:val="center"/>
                </w:tcPr>
                <w:p w14:paraId="23983A16">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p>
              </w:tc>
              <w:tc>
                <w:tcPr>
                  <w:tcW w:w="2816" w:type="dxa"/>
                  <w:tcBorders>
                    <w:tl2br w:val="nil"/>
                    <w:tr2bl w:val="nil"/>
                  </w:tcBorders>
                  <w:noWrap w:val="0"/>
                  <w:vAlign w:val="center"/>
                </w:tcPr>
                <w:p w14:paraId="1DCEF08F">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日平均质量浓度范围</w:t>
                  </w:r>
                </w:p>
              </w:tc>
              <w:tc>
                <w:tcPr>
                  <w:tcW w:w="1266" w:type="dxa"/>
                  <w:tcBorders>
                    <w:tl2br w:val="nil"/>
                    <w:tr2bl w:val="nil"/>
                  </w:tcBorders>
                  <w:noWrap w:val="0"/>
                  <w:vAlign w:val="center"/>
                </w:tcPr>
                <w:p w14:paraId="0AA067FD">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5~158</w:t>
                  </w:r>
                </w:p>
              </w:tc>
              <w:tc>
                <w:tcPr>
                  <w:tcW w:w="1206" w:type="dxa"/>
                  <w:tcBorders>
                    <w:tl2br w:val="nil"/>
                    <w:tr2bl w:val="nil"/>
                  </w:tcBorders>
                  <w:noWrap w:val="0"/>
                  <w:vAlign w:val="center"/>
                </w:tcPr>
                <w:p w14:paraId="48733FCD">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75</w:t>
                  </w:r>
                </w:p>
              </w:tc>
              <w:tc>
                <w:tcPr>
                  <w:tcW w:w="1045" w:type="dxa"/>
                  <w:tcBorders>
                    <w:tl2br w:val="nil"/>
                    <w:tr2bl w:val="nil"/>
                  </w:tcBorders>
                  <w:noWrap w:val="0"/>
                  <w:vAlign w:val="center"/>
                </w:tcPr>
                <w:p w14:paraId="2FC21C6E">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olor w:val="auto"/>
                      <w:szCs w:val="21"/>
                      <w:lang w:val="en-US" w:eastAsia="zh-CN"/>
                    </w:rPr>
                  </w:pPr>
                  <w:r>
                    <w:rPr>
                      <w:rFonts w:ascii="Times New Roman" w:hAnsi="Times New Roman"/>
                      <w:color w:val="auto"/>
                      <w:kern w:val="0"/>
                      <w:szCs w:val="21"/>
                    </w:rPr>
                    <w:t>93.</w:t>
                  </w:r>
                  <w:r>
                    <w:rPr>
                      <w:rFonts w:hint="eastAsia" w:ascii="Times New Roman" w:hAnsi="Times New Roman"/>
                      <w:color w:val="auto"/>
                      <w:kern w:val="0"/>
                      <w:szCs w:val="21"/>
                      <w:lang w:val="en-US" w:eastAsia="zh-CN"/>
                    </w:rPr>
                    <w:t>2</w:t>
                  </w:r>
                </w:p>
              </w:tc>
              <w:tc>
                <w:tcPr>
                  <w:tcW w:w="1217" w:type="dxa"/>
                  <w:vMerge w:val="continue"/>
                  <w:tcBorders>
                    <w:tl2br w:val="nil"/>
                    <w:tr2bl w:val="nil"/>
                  </w:tcBorders>
                  <w:noWrap w:val="0"/>
                  <w:vAlign w:val="center"/>
                </w:tcPr>
                <w:p w14:paraId="6837119E">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p>
              </w:tc>
            </w:tr>
            <w:tr w14:paraId="522FDD4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72" w:type="dxa"/>
                  <w:vMerge w:val="restart"/>
                  <w:tcBorders>
                    <w:tl2br w:val="nil"/>
                    <w:tr2bl w:val="nil"/>
                  </w:tcBorders>
                  <w:noWrap w:val="0"/>
                  <w:vAlign w:val="center"/>
                </w:tcPr>
                <w:p w14:paraId="620E7B67">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PM</w:t>
                  </w:r>
                  <w:r>
                    <w:rPr>
                      <w:rFonts w:ascii="Times New Roman" w:hAnsi="Times New Roman"/>
                      <w:color w:val="auto"/>
                      <w:kern w:val="0"/>
                      <w:szCs w:val="21"/>
                      <w:vertAlign w:val="subscript"/>
                    </w:rPr>
                    <w:t>10</w:t>
                  </w:r>
                </w:p>
              </w:tc>
              <w:tc>
                <w:tcPr>
                  <w:tcW w:w="2816" w:type="dxa"/>
                  <w:tcBorders>
                    <w:tl2br w:val="nil"/>
                    <w:tr2bl w:val="nil"/>
                  </w:tcBorders>
                  <w:noWrap w:val="0"/>
                  <w:vAlign w:val="center"/>
                </w:tcPr>
                <w:p w14:paraId="2A5BD637">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年平均质量浓度</w:t>
                  </w:r>
                </w:p>
              </w:tc>
              <w:tc>
                <w:tcPr>
                  <w:tcW w:w="1266" w:type="dxa"/>
                  <w:tcBorders>
                    <w:tl2br w:val="nil"/>
                    <w:tr2bl w:val="nil"/>
                  </w:tcBorders>
                  <w:noWrap w:val="0"/>
                  <w:vAlign w:val="center"/>
                </w:tcPr>
                <w:p w14:paraId="2057B78B">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olor w:val="auto"/>
                      <w:kern w:val="0"/>
                      <w:szCs w:val="21"/>
                      <w:lang w:val="en-US" w:eastAsia="zh-CN"/>
                    </w:rPr>
                  </w:pPr>
                  <w:r>
                    <w:rPr>
                      <w:rFonts w:ascii="Times New Roman" w:hAnsi="Times New Roman"/>
                      <w:color w:val="auto"/>
                      <w:kern w:val="0"/>
                      <w:szCs w:val="21"/>
                    </w:rPr>
                    <w:t>5</w:t>
                  </w:r>
                  <w:r>
                    <w:rPr>
                      <w:rFonts w:hint="eastAsia" w:ascii="Times New Roman" w:hAnsi="Times New Roman"/>
                      <w:color w:val="auto"/>
                      <w:kern w:val="0"/>
                      <w:szCs w:val="21"/>
                      <w:lang w:val="en-US" w:eastAsia="zh-CN"/>
                    </w:rPr>
                    <w:t>2</w:t>
                  </w:r>
                </w:p>
              </w:tc>
              <w:tc>
                <w:tcPr>
                  <w:tcW w:w="1206" w:type="dxa"/>
                  <w:tcBorders>
                    <w:tl2br w:val="nil"/>
                    <w:tr2bl w:val="nil"/>
                  </w:tcBorders>
                  <w:noWrap w:val="0"/>
                  <w:vAlign w:val="center"/>
                </w:tcPr>
                <w:p w14:paraId="7146019F">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70</w:t>
                  </w:r>
                </w:p>
              </w:tc>
              <w:tc>
                <w:tcPr>
                  <w:tcW w:w="1045" w:type="dxa"/>
                  <w:tcBorders>
                    <w:tl2br w:val="nil"/>
                    <w:tr2bl w:val="nil"/>
                  </w:tcBorders>
                  <w:noWrap w:val="0"/>
                  <w:vAlign w:val="center"/>
                </w:tcPr>
                <w:p w14:paraId="633477AE">
                  <w:pPr>
                    <w:keepNext w:val="0"/>
                    <w:keepLines w:val="0"/>
                    <w:pageBreakBefore w:val="0"/>
                    <w:widowControl/>
                    <w:kinsoku/>
                    <w:wordWrap/>
                    <w:overflowPunct/>
                    <w:topLinePunct w:val="0"/>
                    <w:autoSpaceDE/>
                    <w:autoSpaceDN/>
                    <w:bidi w:val="0"/>
                    <w:adjustRightInd w:val="0"/>
                    <w:snapToGrid w:val="0"/>
                    <w:jc w:val="center"/>
                    <w:textAlignment w:val="center"/>
                    <w:rPr>
                      <w:rFonts w:ascii="Times New Roman" w:hAnsi="Times New Roman"/>
                      <w:color w:val="auto"/>
                      <w:szCs w:val="21"/>
                    </w:rPr>
                  </w:pPr>
                  <w:r>
                    <w:rPr>
                      <w:rFonts w:ascii="Times New Roman" w:hAnsi="Times New Roman"/>
                      <w:color w:val="auto"/>
                      <w:kern w:val="0"/>
                      <w:szCs w:val="21"/>
                    </w:rPr>
                    <w:t>100</w:t>
                  </w:r>
                </w:p>
              </w:tc>
              <w:tc>
                <w:tcPr>
                  <w:tcW w:w="1217" w:type="dxa"/>
                  <w:vMerge w:val="restart"/>
                  <w:tcBorders>
                    <w:tl2br w:val="nil"/>
                    <w:tr2bl w:val="nil"/>
                  </w:tcBorders>
                  <w:noWrap w:val="0"/>
                  <w:vAlign w:val="center"/>
                </w:tcPr>
                <w:p w14:paraId="7F86BEA8">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达标</w:t>
                  </w:r>
                </w:p>
              </w:tc>
            </w:tr>
            <w:tr w14:paraId="38D79F5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72" w:type="dxa"/>
                  <w:vMerge w:val="continue"/>
                  <w:tcBorders>
                    <w:tl2br w:val="nil"/>
                    <w:tr2bl w:val="nil"/>
                  </w:tcBorders>
                  <w:noWrap w:val="0"/>
                  <w:vAlign w:val="center"/>
                </w:tcPr>
                <w:p w14:paraId="0300C728">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p>
              </w:tc>
              <w:tc>
                <w:tcPr>
                  <w:tcW w:w="2816" w:type="dxa"/>
                  <w:tcBorders>
                    <w:tl2br w:val="nil"/>
                    <w:tr2bl w:val="nil"/>
                  </w:tcBorders>
                  <w:noWrap w:val="0"/>
                  <w:vAlign w:val="center"/>
                </w:tcPr>
                <w:p w14:paraId="13D4B7CE">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日平均质量浓度范围</w:t>
                  </w:r>
                </w:p>
              </w:tc>
              <w:tc>
                <w:tcPr>
                  <w:tcW w:w="1266" w:type="dxa"/>
                  <w:tcBorders>
                    <w:tl2br w:val="nil"/>
                    <w:tr2bl w:val="nil"/>
                  </w:tcBorders>
                  <w:noWrap w:val="0"/>
                  <w:vAlign w:val="center"/>
                </w:tcPr>
                <w:p w14:paraId="6E5C3743">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9</w:t>
                  </w:r>
                  <w:r>
                    <w:rPr>
                      <w:rFonts w:ascii="Times New Roman" w:hAnsi="Times New Roman"/>
                      <w:color w:val="auto"/>
                      <w:kern w:val="0"/>
                      <w:szCs w:val="21"/>
                    </w:rPr>
                    <w:t>~</w:t>
                  </w:r>
                  <w:r>
                    <w:rPr>
                      <w:rFonts w:hint="eastAsia" w:ascii="Times New Roman" w:hAnsi="Times New Roman"/>
                      <w:color w:val="auto"/>
                      <w:kern w:val="0"/>
                      <w:szCs w:val="21"/>
                      <w:lang w:val="en-US" w:eastAsia="zh-CN"/>
                    </w:rPr>
                    <w:t>206</w:t>
                  </w:r>
                </w:p>
              </w:tc>
              <w:tc>
                <w:tcPr>
                  <w:tcW w:w="1206" w:type="dxa"/>
                  <w:tcBorders>
                    <w:tl2br w:val="nil"/>
                    <w:tr2bl w:val="nil"/>
                  </w:tcBorders>
                  <w:noWrap w:val="0"/>
                  <w:vAlign w:val="center"/>
                </w:tcPr>
                <w:p w14:paraId="4D72BC35">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150</w:t>
                  </w:r>
                </w:p>
              </w:tc>
              <w:tc>
                <w:tcPr>
                  <w:tcW w:w="1045" w:type="dxa"/>
                  <w:tcBorders>
                    <w:tl2br w:val="nil"/>
                    <w:tr2bl w:val="nil"/>
                  </w:tcBorders>
                  <w:noWrap w:val="0"/>
                  <w:vAlign w:val="center"/>
                </w:tcPr>
                <w:p w14:paraId="43D3BD79">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olor w:val="auto"/>
                      <w:szCs w:val="21"/>
                      <w:lang w:val="en-US" w:eastAsia="zh-CN"/>
                    </w:rPr>
                  </w:pPr>
                  <w:r>
                    <w:rPr>
                      <w:rFonts w:ascii="Times New Roman" w:hAnsi="Times New Roman"/>
                      <w:color w:val="auto"/>
                      <w:kern w:val="0"/>
                      <w:szCs w:val="21"/>
                    </w:rPr>
                    <w:t>98.</w:t>
                  </w:r>
                  <w:r>
                    <w:rPr>
                      <w:rFonts w:hint="eastAsia" w:ascii="Times New Roman" w:hAnsi="Times New Roman"/>
                      <w:color w:val="auto"/>
                      <w:kern w:val="0"/>
                      <w:szCs w:val="21"/>
                      <w:lang w:val="en-US" w:eastAsia="zh-CN"/>
                    </w:rPr>
                    <w:t>3</w:t>
                  </w:r>
                </w:p>
              </w:tc>
              <w:tc>
                <w:tcPr>
                  <w:tcW w:w="1217" w:type="dxa"/>
                  <w:vMerge w:val="continue"/>
                  <w:tcBorders>
                    <w:tl2br w:val="nil"/>
                    <w:tr2bl w:val="nil"/>
                  </w:tcBorders>
                  <w:noWrap w:val="0"/>
                  <w:vAlign w:val="center"/>
                </w:tcPr>
                <w:p w14:paraId="25BB5096">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p>
              </w:tc>
            </w:tr>
            <w:tr w14:paraId="564FBF2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72" w:type="dxa"/>
                  <w:vMerge w:val="restart"/>
                  <w:tcBorders>
                    <w:tl2br w:val="nil"/>
                    <w:tr2bl w:val="nil"/>
                  </w:tcBorders>
                  <w:noWrap w:val="0"/>
                  <w:vAlign w:val="center"/>
                </w:tcPr>
                <w:p w14:paraId="0EE7CDB8">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SO</w:t>
                  </w:r>
                  <w:r>
                    <w:rPr>
                      <w:rFonts w:ascii="Times New Roman" w:hAnsi="Times New Roman"/>
                      <w:color w:val="auto"/>
                      <w:kern w:val="0"/>
                      <w:szCs w:val="21"/>
                      <w:vertAlign w:val="subscript"/>
                    </w:rPr>
                    <w:t>2</w:t>
                  </w:r>
                </w:p>
              </w:tc>
              <w:tc>
                <w:tcPr>
                  <w:tcW w:w="2816" w:type="dxa"/>
                  <w:tcBorders>
                    <w:tl2br w:val="nil"/>
                    <w:tr2bl w:val="nil"/>
                  </w:tcBorders>
                  <w:noWrap w:val="0"/>
                  <w:vAlign w:val="center"/>
                </w:tcPr>
                <w:p w14:paraId="17A278A8">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年平均质量浓度</w:t>
                  </w:r>
                </w:p>
              </w:tc>
              <w:tc>
                <w:tcPr>
                  <w:tcW w:w="1266" w:type="dxa"/>
                  <w:tcBorders>
                    <w:tl2br w:val="nil"/>
                    <w:tr2bl w:val="nil"/>
                  </w:tcBorders>
                  <w:noWrap w:val="0"/>
                  <w:vAlign w:val="center"/>
                </w:tcPr>
                <w:p w14:paraId="2940DCC2">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8</w:t>
                  </w:r>
                </w:p>
              </w:tc>
              <w:tc>
                <w:tcPr>
                  <w:tcW w:w="1206" w:type="dxa"/>
                  <w:tcBorders>
                    <w:tl2br w:val="nil"/>
                    <w:tr2bl w:val="nil"/>
                  </w:tcBorders>
                  <w:noWrap w:val="0"/>
                  <w:vAlign w:val="center"/>
                </w:tcPr>
                <w:p w14:paraId="03D7FA34">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60</w:t>
                  </w:r>
                </w:p>
              </w:tc>
              <w:tc>
                <w:tcPr>
                  <w:tcW w:w="1045" w:type="dxa"/>
                  <w:tcBorders>
                    <w:tl2br w:val="nil"/>
                    <w:tr2bl w:val="nil"/>
                  </w:tcBorders>
                  <w:noWrap w:val="0"/>
                  <w:vAlign w:val="center"/>
                </w:tcPr>
                <w:p w14:paraId="2D0B644F">
                  <w:pPr>
                    <w:keepNext w:val="0"/>
                    <w:keepLines w:val="0"/>
                    <w:pageBreakBefore w:val="0"/>
                    <w:widowControl/>
                    <w:kinsoku/>
                    <w:wordWrap/>
                    <w:overflowPunct/>
                    <w:topLinePunct w:val="0"/>
                    <w:autoSpaceDE/>
                    <w:autoSpaceDN/>
                    <w:bidi w:val="0"/>
                    <w:adjustRightInd w:val="0"/>
                    <w:snapToGrid w:val="0"/>
                    <w:jc w:val="center"/>
                    <w:textAlignment w:val="center"/>
                    <w:rPr>
                      <w:rFonts w:ascii="Times New Roman" w:hAnsi="Times New Roman"/>
                      <w:color w:val="auto"/>
                      <w:szCs w:val="21"/>
                    </w:rPr>
                  </w:pPr>
                  <w:r>
                    <w:rPr>
                      <w:rFonts w:ascii="Times New Roman" w:hAnsi="Times New Roman"/>
                      <w:color w:val="auto"/>
                      <w:kern w:val="0"/>
                      <w:szCs w:val="21"/>
                    </w:rPr>
                    <w:t>100</w:t>
                  </w:r>
                </w:p>
              </w:tc>
              <w:tc>
                <w:tcPr>
                  <w:tcW w:w="1217" w:type="dxa"/>
                  <w:vMerge w:val="restart"/>
                  <w:tcBorders>
                    <w:tl2br w:val="nil"/>
                    <w:tr2bl w:val="nil"/>
                  </w:tcBorders>
                  <w:noWrap w:val="0"/>
                  <w:vAlign w:val="center"/>
                </w:tcPr>
                <w:p w14:paraId="2A6426AB">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达标</w:t>
                  </w:r>
                </w:p>
              </w:tc>
            </w:tr>
            <w:tr w14:paraId="2434BC8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72" w:type="dxa"/>
                  <w:vMerge w:val="continue"/>
                  <w:tcBorders>
                    <w:tl2br w:val="nil"/>
                    <w:tr2bl w:val="nil"/>
                  </w:tcBorders>
                  <w:noWrap w:val="0"/>
                  <w:vAlign w:val="center"/>
                </w:tcPr>
                <w:p w14:paraId="5AF08193">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p>
              </w:tc>
              <w:tc>
                <w:tcPr>
                  <w:tcW w:w="2816" w:type="dxa"/>
                  <w:tcBorders>
                    <w:tl2br w:val="nil"/>
                    <w:tr2bl w:val="nil"/>
                  </w:tcBorders>
                  <w:noWrap w:val="0"/>
                  <w:vAlign w:val="center"/>
                </w:tcPr>
                <w:p w14:paraId="40D3C875">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日平均质量浓度范围</w:t>
                  </w:r>
                </w:p>
              </w:tc>
              <w:tc>
                <w:tcPr>
                  <w:tcW w:w="1266" w:type="dxa"/>
                  <w:tcBorders>
                    <w:tl2br w:val="nil"/>
                    <w:tr2bl w:val="nil"/>
                  </w:tcBorders>
                  <w:noWrap w:val="0"/>
                  <w:vAlign w:val="center"/>
                </w:tcPr>
                <w:p w14:paraId="53067F2F">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olor w:val="auto"/>
                      <w:kern w:val="0"/>
                      <w:szCs w:val="21"/>
                      <w:lang w:eastAsia="zh-CN"/>
                    </w:rPr>
                  </w:pPr>
                  <w:r>
                    <w:rPr>
                      <w:rFonts w:hint="eastAsia" w:ascii="Times New Roman" w:hAnsi="Times New Roman"/>
                      <w:color w:val="auto"/>
                      <w:kern w:val="0"/>
                      <w:szCs w:val="21"/>
                      <w:lang w:val="en-US" w:eastAsia="zh-CN"/>
                    </w:rPr>
                    <w:t>5</w:t>
                  </w:r>
                  <w:r>
                    <w:rPr>
                      <w:rFonts w:ascii="Times New Roman" w:hAnsi="Times New Roman"/>
                      <w:color w:val="auto"/>
                      <w:kern w:val="0"/>
                      <w:szCs w:val="21"/>
                    </w:rPr>
                    <w:t>~1</w:t>
                  </w:r>
                  <w:r>
                    <w:rPr>
                      <w:rFonts w:hint="eastAsia" w:ascii="Times New Roman" w:hAnsi="Times New Roman"/>
                      <w:color w:val="auto"/>
                      <w:kern w:val="0"/>
                      <w:szCs w:val="21"/>
                      <w:lang w:val="en-US" w:eastAsia="zh-CN"/>
                    </w:rPr>
                    <w:t>5</w:t>
                  </w:r>
                </w:p>
              </w:tc>
              <w:tc>
                <w:tcPr>
                  <w:tcW w:w="1206" w:type="dxa"/>
                  <w:tcBorders>
                    <w:tl2br w:val="nil"/>
                    <w:tr2bl w:val="nil"/>
                  </w:tcBorders>
                  <w:noWrap w:val="0"/>
                  <w:vAlign w:val="center"/>
                </w:tcPr>
                <w:p w14:paraId="20C8B016">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150</w:t>
                  </w:r>
                </w:p>
              </w:tc>
              <w:tc>
                <w:tcPr>
                  <w:tcW w:w="1045" w:type="dxa"/>
                  <w:tcBorders>
                    <w:tl2br w:val="nil"/>
                    <w:tr2bl w:val="nil"/>
                  </w:tcBorders>
                  <w:noWrap w:val="0"/>
                  <w:vAlign w:val="center"/>
                </w:tcPr>
                <w:p w14:paraId="289C33DA">
                  <w:pPr>
                    <w:keepNext w:val="0"/>
                    <w:keepLines w:val="0"/>
                    <w:pageBreakBefore w:val="0"/>
                    <w:widowControl/>
                    <w:kinsoku/>
                    <w:wordWrap/>
                    <w:overflowPunct/>
                    <w:topLinePunct w:val="0"/>
                    <w:autoSpaceDE/>
                    <w:autoSpaceDN/>
                    <w:bidi w:val="0"/>
                    <w:adjustRightInd w:val="0"/>
                    <w:snapToGrid w:val="0"/>
                    <w:jc w:val="center"/>
                    <w:textAlignment w:val="center"/>
                    <w:rPr>
                      <w:rFonts w:ascii="Times New Roman" w:hAnsi="Times New Roman"/>
                      <w:color w:val="auto"/>
                      <w:kern w:val="0"/>
                      <w:szCs w:val="21"/>
                      <w:lang w:bidi="ar"/>
                    </w:rPr>
                  </w:pPr>
                  <w:r>
                    <w:rPr>
                      <w:rFonts w:ascii="Times New Roman" w:hAnsi="Times New Roman"/>
                      <w:color w:val="auto"/>
                      <w:kern w:val="0"/>
                      <w:szCs w:val="21"/>
                    </w:rPr>
                    <w:t>100</w:t>
                  </w:r>
                </w:p>
              </w:tc>
              <w:tc>
                <w:tcPr>
                  <w:tcW w:w="1217" w:type="dxa"/>
                  <w:vMerge w:val="continue"/>
                  <w:tcBorders>
                    <w:tl2br w:val="nil"/>
                    <w:tr2bl w:val="nil"/>
                  </w:tcBorders>
                  <w:noWrap w:val="0"/>
                  <w:vAlign w:val="center"/>
                </w:tcPr>
                <w:p w14:paraId="205B6016">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p>
              </w:tc>
            </w:tr>
            <w:tr w14:paraId="24E118F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72" w:type="dxa"/>
                  <w:vMerge w:val="restart"/>
                  <w:tcBorders>
                    <w:tl2br w:val="nil"/>
                    <w:tr2bl w:val="nil"/>
                  </w:tcBorders>
                  <w:noWrap w:val="0"/>
                  <w:vAlign w:val="center"/>
                </w:tcPr>
                <w:p w14:paraId="61243232">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NO</w:t>
                  </w:r>
                  <w:r>
                    <w:rPr>
                      <w:rFonts w:ascii="Times New Roman" w:hAnsi="Times New Roman"/>
                      <w:color w:val="auto"/>
                      <w:kern w:val="0"/>
                      <w:szCs w:val="21"/>
                      <w:vertAlign w:val="subscript"/>
                    </w:rPr>
                    <w:t>2</w:t>
                  </w:r>
                </w:p>
              </w:tc>
              <w:tc>
                <w:tcPr>
                  <w:tcW w:w="2816" w:type="dxa"/>
                  <w:tcBorders>
                    <w:tl2br w:val="nil"/>
                    <w:tr2bl w:val="nil"/>
                  </w:tcBorders>
                  <w:noWrap w:val="0"/>
                  <w:vAlign w:val="center"/>
                </w:tcPr>
                <w:p w14:paraId="1332183D">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年平均质量浓度</w:t>
                  </w:r>
                </w:p>
              </w:tc>
              <w:tc>
                <w:tcPr>
                  <w:tcW w:w="1266" w:type="dxa"/>
                  <w:tcBorders>
                    <w:tl2br w:val="nil"/>
                    <w:tr2bl w:val="nil"/>
                  </w:tcBorders>
                  <w:noWrap w:val="0"/>
                  <w:vAlign w:val="center"/>
                </w:tcPr>
                <w:p w14:paraId="09BE47A1">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26</w:t>
                  </w:r>
                </w:p>
              </w:tc>
              <w:tc>
                <w:tcPr>
                  <w:tcW w:w="1206" w:type="dxa"/>
                  <w:tcBorders>
                    <w:tl2br w:val="nil"/>
                    <w:tr2bl w:val="nil"/>
                  </w:tcBorders>
                  <w:noWrap w:val="0"/>
                  <w:vAlign w:val="center"/>
                </w:tcPr>
                <w:p w14:paraId="0E2C4F90">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40</w:t>
                  </w:r>
                </w:p>
              </w:tc>
              <w:tc>
                <w:tcPr>
                  <w:tcW w:w="1045" w:type="dxa"/>
                  <w:tcBorders>
                    <w:tl2br w:val="nil"/>
                    <w:tr2bl w:val="nil"/>
                  </w:tcBorders>
                  <w:noWrap w:val="0"/>
                  <w:vAlign w:val="center"/>
                </w:tcPr>
                <w:p w14:paraId="1EF50271">
                  <w:pPr>
                    <w:keepNext w:val="0"/>
                    <w:keepLines w:val="0"/>
                    <w:pageBreakBefore w:val="0"/>
                    <w:widowControl/>
                    <w:kinsoku/>
                    <w:wordWrap/>
                    <w:overflowPunct/>
                    <w:topLinePunct w:val="0"/>
                    <w:autoSpaceDE/>
                    <w:autoSpaceDN/>
                    <w:bidi w:val="0"/>
                    <w:adjustRightInd w:val="0"/>
                    <w:snapToGrid w:val="0"/>
                    <w:jc w:val="center"/>
                    <w:textAlignment w:val="center"/>
                    <w:rPr>
                      <w:rFonts w:ascii="Times New Roman" w:hAnsi="Times New Roman"/>
                      <w:color w:val="auto"/>
                      <w:szCs w:val="21"/>
                    </w:rPr>
                  </w:pPr>
                  <w:r>
                    <w:rPr>
                      <w:rFonts w:ascii="Times New Roman" w:hAnsi="Times New Roman"/>
                      <w:color w:val="auto"/>
                      <w:kern w:val="0"/>
                      <w:szCs w:val="21"/>
                    </w:rPr>
                    <w:t>100</w:t>
                  </w:r>
                </w:p>
              </w:tc>
              <w:tc>
                <w:tcPr>
                  <w:tcW w:w="1217" w:type="dxa"/>
                  <w:vMerge w:val="restart"/>
                  <w:tcBorders>
                    <w:tl2br w:val="nil"/>
                    <w:tr2bl w:val="nil"/>
                  </w:tcBorders>
                  <w:noWrap w:val="0"/>
                  <w:vAlign w:val="center"/>
                </w:tcPr>
                <w:p w14:paraId="25451063">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达标</w:t>
                  </w:r>
                </w:p>
              </w:tc>
            </w:tr>
            <w:tr w14:paraId="22E6827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72" w:type="dxa"/>
                  <w:vMerge w:val="continue"/>
                  <w:tcBorders>
                    <w:tl2br w:val="nil"/>
                    <w:tr2bl w:val="nil"/>
                  </w:tcBorders>
                  <w:noWrap w:val="0"/>
                  <w:vAlign w:val="center"/>
                </w:tcPr>
                <w:p w14:paraId="0F4E5DE6">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p>
              </w:tc>
              <w:tc>
                <w:tcPr>
                  <w:tcW w:w="2816" w:type="dxa"/>
                  <w:tcBorders>
                    <w:tl2br w:val="nil"/>
                    <w:tr2bl w:val="nil"/>
                  </w:tcBorders>
                  <w:noWrap w:val="0"/>
                  <w:vAlign w:val="center"/>
                </w:tcPr>
                <w:p w14:paraId="31EAC17B">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lang w:bidi="zh-CN"/>
                    </w:rPr>
                  </w:pPr>
                  <w:r>
                    <w:rPr>
                      <w:rFonts w:ascii="Times New Roman" w:hAnsi="Times New Roman"/>
                      <w:color w:val="auto"/>
                      <w:kern w:val="0"/>
                      <w:szCs w:val="21"/>
                    </w:rPr>
                    <w:t>日平均质量浓度范围</w:t>
                  </w:r>
                </w:p>
              </w:tc>
              <w:tc>
                <w:tcPr>
                  <w:tcW w:w="1266" w:type="dxa"/>
                  <w:tcBorders>
                    <w:tl2br w:val="nil"/>
                    <w:tr2bl w:val="nil"/>
                  </w:tcBorders>
                  <w:noWrap w:val="0"/>
                  <w:vAlign w:val="center"/>
                </w:tcPr>
                <w:p w14:paraId="76FE8929">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olor w:val="auto"/>
                      <w:kern w:val="0"/>
                      <w:szCs w:val="21"/>
                      <w:lang w:val="en-US" w:eastAsia="zh-CN" w:bidi="zh-CN"/>
                    </w:rPr>
                  </w:pPr>
                  <w:r>
                    <w:rPr>
                      <w:rFonts w:hint="eastAsia" w:ascii="Times New Roman" w:hAnsi="Times New Roman"/>
                      <w:color w:val="auto"/>
                      <w:kern w:val="0"/>
                      <w:szCs w:val="21"/>
                      <w:lang w:val="en-US" w:eastAsia="zh-CN"/>
                    </w:rPr>
                    <w:t>5</w:t>
                  </w:r>
                  <w:r>
                    <w:rPr>
                      <w:rFonts w:ascii="Times New Roman" w:hAnsi="Times New Roman"/>
                      <w:color w:val="auto"/>
                      <w:kern w:val="0"/>
                      <w:szCs w:val="21"/>
                    </w:rPr>
                    <w:t>~</w:t>
                  </w:r>
                  <w:r>
                    <w:rPr>
                      <w:rFonts w:hint="eastAsia" w:ascii="Times New Roman" w:hAnsi="Times New Roman"/>
                      <w:color w:val="auto"/>
                      <w:kern w:val="0"/>
                      <w:szCs w:val="21"/>
                      <w:lang w:val="en-US" w:eastAsia="zh-CN"/>
                    </w:rPr>
                    <w:t>92</w:t>
                  </w:r>
                </w:p>
              </w:tc>
              <w:tc>
                <w:tcPr>
                  <w:tcW w:w="1206" w:type="dxa"/>
                  <w:tcBorders>
                    <w:tl2br w:val="nil"/>
                    <w:tr2bl w:val="nil"/>
                  </w:tcBorders>
                  <w:noWrap w:val="0"/>
                  <w:vAlign w:val="center"/>
                </w:tcPr>
                <w:p w14:paraId="16D79668">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80</w:t>
                  </w:r>
                </w:p>
              </w:tc>
              <w:tc>
                <w:tcPr>
                  <w:tcW w:w="1045" w:type="dxa"/>
                  <w:tcBorders>
                    <w:tl2br w:val="nil"/>
                    <w:tr2bl w:val="nil"/>
                  </w:tcBorders>
                  <w:noWrap w:val="0"/>
                  <w:vAlign w:val="center"/>
                </w:tcPr>
                <w:p w14:paraId="0AC3715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olor w:val="auto"/>
                      <w:szCs w:val="21"/>
                      <w:lang w:val="en-US" w:eastAsia="zh-CN"/>
                    </w:rPr>
                  </w:pPr>
                  <w:r>
                    <w:rPr>
                      <w:rFonts w:hint="eastAsia" w:ascii="Times New Roman" w:hAnsi="Times New Roman"/>
                      <w:color w:val="auto"/>
                      <w:kern w:val="0"/>
                      <w:szCs w:val="21"/>
                      <w:lang w:val="en-US" w:eastAsia="zh-CN"/>
                    </w:rPr>
                    <w:t>99.2</w:t>
                  </w:r>
                </w:p>
              </w:tc>
              <w:tc>
                <w:tcPr>
                  <w:tcW w:w="1217" w:type="dxa"/>
                  <w:vMerge w:val="continue"/>
                  <w:tcBorders>
                    <w:tl2br w:val="nil"/>
                    <w:tr2bl w:val="nil"/>
                  </w:tcBorders>
                  <w:noWrap w:val="0"/>
                  <w:vAlign w:val="center"/>
                </w:tcPr>
                <w:p w14:paraId="3A3C2E85">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p>
              </w:tc>
            </w:tr>
            <w:tr w14:paraId="1F1AF9C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72" w:type="dxa"/>
                  <w:tcBorders>
                    <w:tl2br w:val="nil"/>
                    <w:tr2bl w:val="nil"/>
                  </w:tcBorders>
                  <w:noWrap w:val="0"/>
                  <w:vAlign w:val="center"/>
                </w:tcPr>
                <w:p w14:paraId="1D6AB480">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CO</w:t>
                  </w:r>
                </w:p>
              </w:tc>
              <w:tc>
                <w:tcPr>
                  <w:tcW w:w="2816" w:type="dxa"/>
                  <w:tcBorders>
                    <w:tl2br w:val="nil"/>
                    <w:tr2bl w:val="nil"/>
                  </w:tcBorders>
                  <w:noWrap w:val="0"/>
                  <w:vAlign w:val="center"/>
                </w:tcPr>
                <w:p w14:paraId="4CBFACEC">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日均值的第95百分位数</w:t>
                  </w:r>
                </w:p>
              </w:tc>
              <w:tc>
                <w:tcPr>
                  <w:tcW w:w="1266" w:type="dxa"/>
                  <w:tcBorders>
                    <w:tl2br w:val="nil"/>
                    <w:tr2bl w:val="nil"/>
                  </w:tcBorders>
                  <w:noWrap w:val="0"/>
                  <w:vAlign w:val="center"/>
                </w:tcPr>
                <w:p w14:paraId="3F29E51B">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1100</w:t>
                  </w:r>
                </w:p>
              </w:tc>
              <w:tc>
                <w:tcPr>
                  <w:tcW w:w="1206" w:type="dxa"/>
                  <w:tcBorders>
                    <w:tl2br w:val="nil"/>
                    <w:tr2bl w:val="nil"/>
                  </w:tcBorders>
                  <w:noWrap w:val="0"/>
                  <w:vAlign w:val="center"/>
                </w:tcPr>
                <w:p w14:paraId="05BD6C12">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4000</w:t>
                  </w:r>
                </w:p>
              </w:tc>
              <w:tc>
                <w:tcPr>
                  <w:tcW w:w="1045" w:type="dxa"/>
                  <w:tcBorders>
                    <w:tl2br w:val="nil"/>
                    <w:tr2bl w:val="nil"/>
                  </w:tcBorders>
                  <w:noWrap w:val="0"/>
                  <w:vAlign w:val="center"/>
                </w:tcPr>
                <w:p w14:paraId="0CF242E6">
                  <w:pPr>
                    <w:keepNext w:val="0"/>
                    <w:keepLines w:val="0"/>
                    <w:pageBreakBefore w:val="0"/>
                    <w:widowControl/>
                    <w:kinsoku/>
                    <w:wordWrap/>
                    <w:overflowPunct/>
                    <w:topLinePunct w:val="0"/>
                    <w:autoSpaceDE/>
                    <w:autoSpaceDN/>
                    <w:bidi w:val="0"/>
                    <w:adjustRightInd w:val="0"/>
                    <w:snapToGrid w:val="0"/>
                    <w:jc w:val="center"/>
                    <w:textAlignment w:val="center"/>
                    <w:rPr>
                      <w:rFonts w:ascii="Times New Roman" w:hAnsi="Times New Roman"/>
                      <w:color w:val="auto"/>
                      <w:szCs w:val="21"/>
                    </w:rPr>
                  </w:pPr>
                  <w:r>
                    <w:rPr>
                      <w:rFonts w:ascii="Times New Roman" w:hAnsi="Times New Roman"/>
                      <w:color w:val="auto"/>
                      <w:kern w:val="0"/>
                      <w:szCs w:val="21"/>
                    </w:rPr>
                    <w:t>100</w:t>
                  </w:r>
                </w:p>
              </w:tc>
              <w:tc>
                <w:tcPr>
                  <w:tcW w:w="1217" w:type="dxa"/>
                  <w:tcBorders>
                    <w:tl2br w:val="nil"/>
                    <w:tr2bl w:val="nil"/>
                  </w:tcBorders>
                  <w:noWrap w:val="0"/>
                  <w:vAlign w:val="center"/>
                </w:tcPr>
                <w:p w14:paraId="0A9DFC89">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达标</w:t>
                  </w:r>
                </w:p>
              </w:tc>
            </w:tr>
            <w:tr w14:paraId="1B9DDE5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72" w:type="dxa"/>
                  <w:tcBorders>
                    <w:tl2br w:val="nil"/>
                    <w:tr2bl w:val="nil"/>
                  </w:tcBorders>
                  <w:noWrap w:val="0"/>
                  <w:vAlign w:val="center"/>
                </w:tcPr>
                <w:p w14:paraId="4C48AD03">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O</w:t>
                  </w:r>
                  <w:r>
                    <w:rPr>
                      <w:rFonts w:ascii="Times New Roman" w:hAnsi="Times New Roman"/>
                      <w:color w:val="auto"/>
                      <w:kern w:val="0"/>
                      <w:szCs w:val="21"/>
                      <w:vertAlign w:val="subscript"/>
                    </w:rPr>
                    <w:t>3</w:t>
                  </w:r>
                </w:p>
              </w:tc>
              <w:tc>
                <w:tcPr>
                  <w:tcW w:w="2816" w:type="dxa"/>
                  <w:tcBorders>
                    <w:tl2br w:val="nil"/>
                    <w:tr2bl w:val="nil"/>
                  </w:tcBorders>
                  <w:noWrap w:val="0"/>
                  <w:vAlign w:val="center"/>
                </w:tcPr>
                <w:p w14:paraId="3CB2B70B">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日最大8小时滑动平均值的第90百分位数</w:t>
                  </w:r>
                </w:p>
              </w:tc>
              <w:tc>
                <w:tcPr>
                  <w:tcW w:w="1266" w:type="dxa"/>
                  <w:tcBorders>
                    <w:tl2br w:val="nil"/>
                    <w:tr2bl w:val="nil"/>
                  </w:tcBorders>
                  <w:noWrap w:val="0"/>
                  <w:vAlign w:val="center"/>
                </w:tcPr>
                <w:p w14:paraId="0628C309">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olor w:val="auto"/>
                      <w:kern w:val="0"/>
                      <w:szCs w:val="21"/>
                      <w:lang w:val="en-US" w:eastAsia="zh-CN"/>
                    </w:rPr>
                  </w:pPr>
                  <w:r>
                    <w:rPr>
                      <w:rFonts w:ascii="Times New Roman" w:hAnsi="Times New Roman"/>
                      <w:color w:val="auto"/>
                      <w:kern w:val="0"/>
                      <w:szCs w:val="21"/>
                    </w:rPr>
                    <w:t>1</w:t>
                  </w:r>
                  <w:r>
                    <w:rPr>
                      <w:rFonts w:hint="eastAsia" w:ascii="Times New Roman" w:hAnsi="Times New Roman"/>
                      <w:color w:val="auto"/>
                      <w:kern w:val="0"/>
                      <w:szCs w:val="21"/>
                      <w:lang w:val="en-US" w:eastAsia="zh-CN"/>
                    </w:rPr>
                    <w:t>68</w:t>
                  </w:r>
                </w:p>
              </w:tc>
              <w:tc>
                <w:tcPr>
                  <w:tcW w:w="1206" w:type="dxa"/>
                  <w:tcBorders>
                    <w:tl2br w:val="nil"/>
                    <w:tr2bl w:val="nil"/>
                  </w:tcBorders>
                  <w:noWrap w:val="0"/>
                  <w:vAlign w:val="center"/>
                </w:tcPr>
                <w:p w14:paraId="229A5971">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160</w:t>
                  </w:r>
                </w:p>
              </w:tc>
              <w:tc>
                <w:tcPr>
                  <w:tcW w:w="1045" w:type="dxa"/>
                  <w:tcBorders>
                    <w:tl2br w:val="nil"/>
                    <w:tr2bl w:val="nil"/>
                  </w:tcBorders>
                  <w:noWrap w:val="0"/>
                  <w:vAlign w:val="center"/>
                </w:tcPr>
                <w:p w14:paraId="34BA292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olor w:val="auto"/>
                      <w:szCs w:val="21"/>
                      <w:lang w:val="en-US" w:eastAsia="zh-CN"/>
                    </w:rPr>
                  </w:pPr>
                  <w:r>
                    <w:rPr>
                      <w:rFonts w:ascii="Times New Roman" w:hAnsi="Times New Roman"/>
                      <w:color w:val="auto"/>
                      <w:kern w:val="0"/>
                      <w:szCs w:val="21"/>
                    </w:rPr>
                    <w:t>8</w:t>
                  </w:r>
                  <w:r>
                    <w:rPr>
                      <w:rFonts w:hint="eastAsia" w:ascii="Times New Roman" w:hAnsi="Times New Roman"/>
                      <w:color w:val="auto"/>
                      <w:kern w:val="0"/>
                      <w:szCs w:val="21"/>
                      <w:lang w:val="en-US" w:eastAsia="zh-CN"/>
                    </w:rPr>
                    <w:t>6.3</w:t>
                  </w:r>
                </w:p>
              </w:tc>
              <w:tc>
                <w:tcPr>
                  <w:tcW w:w="1217" w:type="dxa"/>
                  <w:tcBorders>
                    <w:tl2br w:val="nil"/>
                    <w:tr2bl w:val="nil"/>
                  </w:tcBorders>
                  <w:noWrap w:val="0"/>
                  <w:vAlign w:val="center"/>
                </w:tcPr>
                <w:p w14:paraId="732A6F1A">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不达标</w:t>
                  </w:r>
                </w:p>
              </w:tc>
            </w:tr>
          </w:tbl>
          <w:p w14:paraId="092DC787">
            <w:pPr>
              <w:widowControl/>
              <w:adjustRightInd w:val="0"/>
              <w:snapToGrid w:val="0"/>
              <w:spacing w:line="360" w:lineRule="auto"/>
              <w:ind w:firstLine="420" w:firstLineChars="200"/>
              <w:rPr>
                <w:color w:val="auto"/>
                <w:kern w:val="0"/>
              </w:rPr>
            </w:pPr>
            <w:r>
              <w:rPr>
                <w:bCs/>
                <w:color w:val="auto"/>
                <w:kern w:val="0"/>
              </w:rPr>
              <w:t>由上表可知，202</w:t>
            </w:r>
            <w:r>
              <w:rPr>
                <w:rFonts w:hint="eastAsia"/>
                <w:bCs/>
                <w:color w:val="auto"/>
                <w:kern w:val="0"/>
                <w:lang w:val="en-US" w:eastAsia="zh-CN"/>
              </w:rPr>
              <w:t>4</w:t>
            </w:r>
            <w:r>
              <w:rPr>
                <w:bCs/>
                <w:color w:val="auto"/>
                <w:kern w:val="0"/>
              </w:rPr>
              <w:t>年常州市环境空气中SO</w:t>
            </w:r>
            <w:r>
              <w:rPr>
                <w:bCs/>
                <w:color w:val="auto"/>
                <w:kern w:val="0"/>
                <w:vertAlign w:val="subscript"/>
              </w:rPr>
              <w:t>2</w:t>
            </w:r>
            <w:r>
              <w:rPr>
                <w:bCs/>
                <w:color w:val="auto"/>
                <w:kern w:val="0"/>
              </w:rPr>
              <w:t>、NO</w:t>
            </w:r>
            <w:r>
              <w:rPr>
                <w:bCs/>
                <w:color w:val="auto"/>
                <w:kern w:val="0"/>
                <w:vertAlign w:val="subscript"/>
              </w:rPr>
              <w:t>2</w:t>
            </w:r>
            <w:r>
              <w:rPr>
                <w:bCs/>
                <w:color w:val="auto"/>
                <w:kern w:val="0"/>
              </w:rPr>
              <w:t>、PM</w:t>
            </w:r>
            <w:r>
              <w:rPr>
                <w:bCs/>
                <w:color w:val="auto"/>
                <w:kern w:val="0"/>
                <w:vertAlign w:val="subscript"/>
              </w:rPr>
              <w:t>10</w:t>
            </w:r>
            <w:r>
              <w:rPr>
                <w:bCs/>
                <w:color w:val="auto"/>
                <w:kern w:val="0"/>
              </w:rPr>
              <w:t>和PM</w:t>
            </w:r>
            <w:r>
              <w:rPr>
                <w:rFonts w:hint="eastAsia"/>
                <w:bCs/>
                <w:color w:val="auto"/>
                <w:kern w:val="0"/>
                <w:vertAlign w:val="subscript"/>
              </w:rPr>
              <w:t>2.5</w:t>
            </w:r>
            <w:r>
              <w:rPr>
                <w:rFonts w:hint="eastAsia"/>
                <w:bCs/>
                <w:color w:val="auto"/>
                <w:kern w:val="0"/>
              </w:rPr>
              <w:t>年</w:t>
            </w:r>
            <w:r>
              <w:rPr>
                <w:bCs/>
                <w:color w:val="auto"/>
                <w:kern w:val="0"/>
              </w:rPr>
              <w:t>均值均达到《环境空气质量标准》</w:t>
            </w:r>
            <w:r>
              <w:rPr>
                <w:rFonts w:hint="eastAsia"/>
                <w:bCs/>
                <w:color w:val="auto"/>
                <w:kern w:val="0"/>
              </w:rPr>
              <w:t>（</w:t>
            </w:r>
            <w:r>
              <w:rPr>
                <w:bCs/>
                <w:color w:val="auto"/>
                <w:kern w:val="0"/>
              </w:rPr>
              <w:t>GB3095-2012</w:t>
            </w:r>
            <w:r>
              <w:rPr>
                <w:rFonts w:hint="eastAsia"/>
                <w:bCs/>
                <w:color w:val="auto"/>
                <w:kern w:val="0"/>
              </w:rPr>
              <w:t>）</w:t>
            </w:r>
            <w:r>
              <w:rPr>
                <w:bCs/>
                <w:color w:val="auto"/>
                <w:kern w:val="0"/>
              </w:rPr>
              <w:t>二级标准；SO</w:t>
            </w:r>
            <w:r>
              <w:rPr>
                <w:bCs/>
                <w:color w:val="auto"/>
                <w:kern w:val="0"/>
                <w:vertAlign w:val="subscript"/>
              </w:rPr>
              <w:t>2</w:t>
            </w:r>
            <w:r>
              <w:rPr>
                <w:rFonts w:hint="eastAsia"/>
                <w:bCs/>
                <w:color w:val="auto"/>
                <w:kern w:val="0"/>
              </w:rPr>
              <w:t>日均值以及</w:t>
            </w:r>
            <w:r>
              <w:rPr>
                <w:bCs/>
                <w:color w:val="auto"/>
                <w:kern w:val="0"/>
              </w:rPr>
              <w:t>一氧化碳</w:t>
            </w:r>
            <w:r>
              <w:rPr>
                <w:rFonts w:hint="eastAsia"/>
                <w:color w:val="auto"/>
                <w:kern w:val="0"/>
              </w:rPr>
              <w:t>日均值的第95百分位数</w:t>
            </w:r>
            <w:r>
              <w:rPr>
                <w:bCs/>
                <w:color w:val="auto"/>
                <w:kern w:val="0"/>
              </w:rPr>
              <w:t>均达到《环境空气质量标准》</w:t>
            </w:r>
            <w:r>
              <w:rPr>
                <w:rFonts w:hint="eastAsia"/>
                <w:bCs/>
                <w:color w:val="auto"/>
                <w:kern w:val="0"/>
              </w:rPr>
              <w:t>（</w:t>
            </w:r>
            <w:r>
              <w:rPr>
                <w:bCs/>
                <w:color w:val="auto"/>
                <w:kern w:val="0"/>
              </w:rPr>
              <w:t>GB3095-2012</w:t>
            </w:r>
            <w:r>
              <w:rPr>
                <w:rFonts w:hint="eastAsia"/>
                <w:bCs/>
                <w:color w:val="auto"/>
                <w:kern w:val="0"/>
              </w:rPr>
              <w:t>）</w:t>
            </w:r>
            <w:r>
              <w:rPr>
                <w:bCs/>
                <w:color w:val="auto"/>
                <w:kern w:val="0"/>
              </w:rPr>
              <w:t>二级标准；PM</w:t>
            </w:r>
            <w:r>
              <w:rPr>
                <w:bCs/>
                <w:color w:val="auto"/>
                <w:kern w:val="0"/>
                <w:vertAlign w:val="subscript"/>
              </w:rPr>
              <w:t>2.5</w:t>
            </w:r>
            <w:r>
              <w:rPr>
                <w:rFonts w:hint="eastAsia"/>
                <w:bCs/>
                <w:color w:val="auto"/>
                <w:kern w:val="0"/>
              </w:rPr>
              <w:t>日均浓度值、</w:t>
            </w:r>
            <w:r>
              <w:rPr>
                <w:bCs/>
                <w:color w:val="auto"/>
                <w:kern w:val="0"/>
              </w:rPr>
              <w:t>PM</w:t>
            </w:r>
            <w:r>
              <w:rPr>
                <w:rFonts w:hint="eastAsia"/>
                <w:bCs/>
                <w:color w:val="auto"/>
                <w:kern w:val="0"/>
                <w:vertAlign w:val="subscript"/>
              </w:rPr>
              <w:t>10</w:t>
            </w:r>
            <w:r>
              <w:rPr>
                <w:rFonts w:hint="eastAsia"/>
                <w:bCs/>
                <w:color w:val="auto"/>
                <w:kern w:val="0"/>
              </w:rPr>
              <w:t>日均浓度值、NO</w:t>
            </w:r>
            <w:r>
              <w:rPr>
                <w:rFonts w:hint="eastAsia"/>
                <w:bCs/>
                <w:color w:val="auto"/>
                <w:kern w:val="0"/>
                <w:vertAlign w:val="subscript"/>
              </w:rPr>
              <w:t>2</w:t>
            </w:r>
            <w:r>
              <w:rPr>
                <w:rFonts w:hint="eastAsia"/>
                <w:bCs/>
                <w:color w:val="auto"/>
                <w:kern w:val="0"/>
              </w:rPr>
              <w:t>日均浓度值</w:t>
            </w:r>
            <w:r>
              <w:rPr>
                <w:bCs/>
                <w:color w:val="auto"/>
                <w:kern w:val="0"/>
              </w:rPr>
              <w:t>和臭氧日最大8小时滑动均值均超过《环境空气质量标准》</w:t>
            </w:r>
            <w:r>
              <w:rPr>
                <w:rFonts w:hint="eastAsia"/>
                <w:bCs/>
                <w:color w:val="auto"/>
                <w:kern w:val="0"/>
              </w:rPr>
              <w:t>（</w:t>
            </w:r>
            <w:r>
              <w:rPr>
                <w:bCs/>
                <w:color w:val="auto"/>
                <w:kern w:val="0"/>
              </w:rPr>
              <w:t>GB3095-2012</w:t>
            </w:r>
            <w:r>
              <w:rPr>
                <w:rFonts w:hint="eastAsia"/>
                <w:bCs/>
                <w:color w:val="auto"/>
                <w:kern w:val="0"/>
              </w:rPr>
              <w:t>）</w:t>
            </w:r>
            <w:r>
              <w:rPr>
                <w:bCs/>
                <w:color w:val="auto"/>
                <w:kern w:val="0"/>
              </w:rPr>
              <w:t>二级标准，因此判定为非达标区</w:t>
            </w:r>
            <w:r>
              <w:rPr>
                <w:color w:val="auto"/>
                <w:kern w:val="0"/>
              </w:rPr>
              <w:t>。</w:t>
            </w:r>
          </w:p>
          <w:p w14:paraId="05AC2C33">
            <w:pPr>
              <w:spacing w:line="360" w:lineRule="auto"/>
              <w:ind w:firstLine="413" w:firstLineChars="196"/>
              <w:rPr>
                <w:b/>
                <w:bCs/>
                <w:color w:val="auto"/>
                <w:kern w:val="0"/>
              </w:rPr>
            </w:pPr>
            <w:r>
              <w:rPr>
                <w:rFonts w:hint="eastAsia"/>
                <w:b/>
                <w:bCs/>
                <w:color w:val="auto"/>
                <w:kern w:val="0"/>
              </w:rPr>
              <w:t>（2）特征污染物环境质量现状</w:t>
            </w:r>
          </w:p>
          <w:p w14:paraId="007C7DEC">
            <w:pPr>
              <w:spacing w:line="360" w:lineRule="auto"/>
              <w:ind w:firstLine="420" w:firstLineChars="200"/>
              <w:rPr>
                <w:color w:val="auto"/>
              </w:rPr>
            </w:pPr>
            <w:r>
              <w:rPr>
                <w:color w:val="auto"/>
              </w:rPr>
              <w:t>项目</w:t>
            </w:r>
            <w:r>
              <w:rPr>
                <w:rFonts w:hint="eastAsia"/>
                <w:color w:val="auto"/>
              </w:rPr>
              <w:t>大气</w:t>
            </w:r>
            <w:r>
              <w:rPr>
                <w:color w:val="auto"/>
              </w:rPr>
              <w:t>污染因子</w:t>
            </w:r>
            <w:r>
              <w:rPr>
                <w:rFonts w:hint="eastAsia"/>
                <w:color w:val="auto"/>
              </w:rPr>
              <w:t>主要为</w:t>
            </w:r>
            <w:r>
              <w:rPr>
                <w:color w:val="auto"/>
              </w:rPr>
              <w:t>非甲烷总烃</w:t>
            </w:r>
            <w:r>
              <w:rPr>
                <w:rFonts w:hint="eastAsia"/>
                <w:color w:val="auto"/>
                <w:lang w:eastAsia="zh-CN"/>
              </w:rPr>
              <w:t>、</w:t>
            </w:r>
            <w:r>
              <w:rPr>
                <w:rFonts w:hint="eastAsia"/>
                <w:color w:val="auto"/>
                <w:lang w:val="en-US" w:eastAsia="zh-CN"/>
              </w:rPr>
              <w:t>苯系物、二甲苯、三甲苯、颗粒物</w:t>
            </w:r>
            <w:r>
              <w:rPr>
                <w:rFonts w:hint="eastAsia"/>
                <w:color w:val="auto"/>
              </w:rPr>
              <w:t>。根据《环境影响评价技术导则 大气环境》（HJ2.2-2018）环境空气质量现状调查与评价要求，本次调查评价范围内非甲烷总烃的环境质量现状。</w:t>
            </w:r>
          </w:p>
          <w:p w14:paraId="60D96BEA">
            <w:pPr>
              <w:widowControl/>
              <w:adjustRightInd w:val="0"/>
              <w:snapToGrid w:val="0"/>
              <w:spacing w:line="360" w:lineRule="auto"/>
              <w:ind w:firstLine="420" w:firstLineChars="200"/>
              <w:jc w:val="left"/>
              <w:rPr>
                <w:rStyle w:val="71"/>
                <w:color w:val="auto"/>
                <w:kern w:val="0"/>
              </w:rPr>
            </w:pPr>
            <w:r>
              <w:rPr>
                <w:rFonts w:hint="eastAsia"/>
                <w:color w:val="auto"/>
                <w:kern w:val="0"/>
              </w:rPr>
              <w:t>针对本期项目排放的特征因子非甲烷总烃</w:t>
            </w:r>
            <w:r>
              <w:rPr>
                <w:rFonts w:hint="eastAsia"/>
                <w:color w:val="auto"/>
                <w:kern w:val="0"/>
                <w:lang w:eastAsia="zh-CN"/>
              </w:rPr>
              <w:t>（</w:t>
            </w:r>
            <w:r>
              <w:rPr>
                <w:rFonts w:hint="eastAsia"/>
                <w:color w:val="auto"/>
                <w:kern w:val="0"/>
                <w:lang w:val="en-US" w:eastAsia="zh-CN"/>
              </w:rPr>
              <w:t>本项目有机废气均以非甲烷总烃计</w:t>
            </w:r>
            <w:r>
              <w:rPr>
                <w:rFonts w:hint="eastAsia"/>
                <w:color w:val="auto"/>
                <w:kern w:val="0"/>
                <w:lang w:eastAsia="zh-CN"/>
              </w:rPr>
              <w:t>）</w:t>
            </w:r>
            <w:r>
              <w:rPr>
                <w:rFonts w:hint="eastAsia"/>
                <w:color w:val="auto"/>
                <w:kern w:val="0"/>
              </w:rPr>
              <w:t>，</w:t>
            </w:r>
            <w:r>
              <w:rPr>
                <w:rFonts w:hint="eastAsia"/>
                <w:color w:val="auto"/>
                <w:kern w:val="0"/>
                <w:lang w:val="en-US" w:eastAsia="zh-CN"/>
              </w:rPr>
              <w:t>建设单位委托</w:t>
            </w:r>
            <w:r>
              <w:rPr>
                <w:rFonts w:hint="eastAsia"/>
                <w:color w:val="auto"/>
                <w:kern w:val="0"/>
              </w:rPr>
              <w:t>江苏</w:t>
            </w:r>
            <w:r>
              <w:rPr>
                <w:rFonts w:hint="eastAsia"/>
                <w:color w:val="auto"/>
                <w:kern w:val="0"/>
                <w:lang w:val="en-US" w:eastAsia="zh-CN"/>
              </w:rPr>
              <w:t>云居</w:t>
            </w:r>
            <w:r>
              <w:rPr>
                <w:rFonts w:hint="eastAsia"/>
                <w:color w:val="auto"/>
                <w:kern w:val="0"/>
              </w:rPr>
              <w:t>检测</w:t>
            </w:r>
            <w:r>
              <w:rPr>
                <w:rFonts w:hint="eastAsia"/>
                <w:color w:val="auto"/>
                <w:kern w:val="0"/>
                <w:lang w:val="en-US" w:eastAsia="zh-CN"/>
              </w:rPr>
              <w:t>技术</w:t>
            </w:r>
            <w:r>
              <w:rPr>
                <w:rFonts w:hint="eastAsia"/>
                <w:color w:val="auto"/>
                <w:kern w:val="0"/>
              </w:rPr>
              <w:t>有限公司于202</w:t>
            </w:r>
            <w:r>
              <w:rPr>
                <w:rFonts w:hint="eastAsia"/>
                <w:color w:val="auto"/>
                <w:kern w:val="0"/>
                <w:lang w:val="en-US" w:eastAsia="zh-CN"/>
              </w:rPr>
              <w:t>5</w:t>
            </w:r>
            <w:r>
              <w:rPr>
                <w:rFonts w:hint="eastAsia"/>
                <w:color w:val="auto"/>
                <w:kern w:val="0"/>
              </w:rPr>
              <w:t>年</w:t>
            </w:r>
            <w:r>
              <w:rPr>
                <w:rFonts w:hint="eastAsia"/>
                <w:color w:val="auto"/>
                <w:kern w:val="0"/>
                <w:lang w:val="en-US" w:eastAsia="zh-CN"/>
              </w:rPr>
              <w:t>1</w:t>
            </w:r>
            <w:r>
              <w:rPr>
                <w:rFonts w:hint="eastAsia"/>
                <w:color w:val="auto"/>
                <w:kern w:val="0"/>
              </w:rPr>
              <w:t>月7日~9日对本项目</w:t>
            </w:r>
            <w:r>
              <w:rPr>
                <w:rFonts w:hint="eastAsia"/>
                <w:color w:val="auto"/>
                <w:kern w:val="0"/>
                <w:lang w:val="en-US" w:eastAsia="zh-CN"/>
              </w:rPr>
              <w:t>东北</w:t>
            </w:r>
            <w:r>
              <w:rPr>
                <w:rFonts w:hint="eastAsia"/>
                <w:color w:val="auto"/>
                <w:kern w:val="0"/>
              </w:rPr>
              <w:t>侧</w:t>
            </w:r>
            <w:r>
              <w:rPr>
                <w:rFonts w:hint="eastAsia"/>
                <w:color w:val="auto"/>
                <w:kern w:val="0"/>
                <w:lang w:val="en-US" w:eastAsia="zh-CN"/>
              </w:rPr>
              <w:t>4500</w:t>
            </w:r>
            <w:r>
              <w:rPr>
                <w:rFonts w:hint="eastAsia"/>
                <w:color w:val="auto"/>
                <w:kern w:val="0"/>
              </w:rPr>
              <w:t>m处G1珑庭花园监测点进行大气环境现状监测，监测报告编号：</w:t>
            </w:r>
            <w:r>
              <w:rPr>
                <w:rFonts w:hint="eastAsia"/>
                <w:color w:val="auto"/>
                <w:kern w:val="0"/>
                <w:lang w:val="en-US" w:eastAsia="zh-CN"/>
              </w:rPr>
              <w:t>YJH</w:t>
            </w:r>
            <w:r>
              <w:rPr>
                <w:rFonts w:hint="eastAsia"/>
                <w:color w:val="auto"/>
                <w:kern w:val="0"/>
                <w:lang w:eastAsia="zh-CN"/>
              </w:rPr>
              <w:t>2</w:t>
            </w:r>
            <w:r>
              <w:rPr>
                <w:rFonts w:hint="eastAsia"/>
                <w:color w:val="auto"/>
                <w:kern w:val="0"/>
                <w:lang w:val="en-US" w:eastAsia="zh-CN"/>
              </w:rPr>
              <w:t>5091005</w:t>
            </w:r>
            <w:r>
              <w:rPr>
                <w:rFonts w:hint="eastAsia"/>
                <w:color w:val="auto"/>
                <w:kern w:val="0"/>
              </w:rPr>
              <w:t>。</w:t>
            </w:r>
          </w:p>
          <w:p w14:paraId="277140E9">
            <w:pPr>
              <w:spacing w:line="360" w:lineRule="auto"/>
              <w:ind w:firstLine="441" w:firstLineChars="209"/>
              <w:rPr>
                <w:color w:val="auto"/>
              </w:rPr>
            </w:pPr>
            <w:r>
              <w:rPr>
                <w:b/>
                <w:color w:val="auto"/>
              </w:rPr>
              <w:t>监测数据引用的有效性分析：</w:t>
            </w:r>
          </w:p>
          <w:p w14:paraId="021A850D">
            <w:pPr>
              <w:pStyle w:val="17"/>
              <w:keepNext/>
              <w:spacing w:line="360" w:lineRule="auto"/>
              <w:ind w:firstLine="420" w:firstLineChars="200"/>
              <w:rPr>
                <w:rFonts w:ascii="Times New Roman" w:hAnsi="Times New Roman" w:eastAsia="宋体"/>
                <w:color w:val="auto"/>
                <w:kern w:val="0"/>
                <w:sz w:val="21"/>
                <w:szCs w:val="21"/>
              </w:rPr>
            </w:pPr>
            <w:r>
              <w:rPr>
                <w:rFonts w:hint="eastAsia" w:ascii="Times New Roman" w:hAnsi="Times New Roman" w:eastAsia="宋体"/>
                <w:color w:val="auto"/>
                <w:kern w:val="0"/>
                <w:sz w:val="21"/>
                <w:szCs w:val="21"/>
              </w:rPr>
              <w:t>本项目引用因子为非甲烷总烃，监测时间为202</w:t>
            </w:r>
            <w:r>
              <w:rPr>
                <w:rFonts w:hint="eastAsia" w:ascii="Times New Roman" w:hAnsi="Times New Roman" w:eastAsia="宋体"/>
                <w:color w:val="auto"/>
                <w:kern w:val="0"/>
                <w:sz w:val="21"/>
                <w:szCs w:val="21"/>
                <w:lang w:val="en-US" w:eastAsia="zh-CN"/>
              </w:rPr>
              <w:t>5</w:t>
            </w:r>
            <w:r>
              <w:rPr>
                <w:rFonts w:hint="eastAsia" w:ascii="Times New Roman" w:hAnsi="Times New Roman" w:eastAsia="宋体"/>
                <w:color w:val="auto"/>
                <w:kern w:val="0"/>
                <w:sz w:val="21"/>
                <w:szCs w:val="21"/>
              </w:rPr>
              <w:t>年</w:t>
            </w:r>
            <w:r>
              <w:rPr>
                <w:rFonts w:hint="eastAsia" w:ascii="Times New Roman" w:hAnsi="Times New Roman" w:eastAsia="宋体"/>
                <w:color w:val="auto"/>
                <w:kern w:val="0"/>
                <w:sz w:val="21"/>
                <w:szCs w:val="21"/>
                <w:lang w:val="en-US" w:eastAsia="zh-CN"/>
              </w:rPr>
              <w:t>1</w:t>
            </w:r>
            <w:r>
              <w:rPr>
                <w:rFonts w:hint="eastAsia" w:ascii="Times New Roman" w:hAnsi="Times New Roman" w:eastAsia="宋体"/>
                <w:color w:val="auto"/>
                <w:kern w:val="0"/>
                <w:sz w:val="21"/>
                <w:szCs w:val="21"/>
              </w:rPr>
              <w:t>月，监测数据距今尚在3年有效期内，引用点位位于本项目</w:t>
            </w:r>
            <w:r>
              <w:rPr>
                <w:rFonts w:hint="eastAsia" w:ascii="Times New Roman" w:hAnsi="Times New Roman" w:eastAsia="宋体"/>
                <w:color w:val="auto"/>
                <w:kern w:val="0"/>
                <w:sz w:val="21"/>
                <w:szCs w:val="21"/>
                <w:lang w:val="en-US" w:eastAsia="zh-CN"/>
              </w:rPr>
              <w:t>东北</w:t>
            </w:r>
            <w:r>
              <w:rPr>
                <w:rFonts w:hint="eastAsia" w:ascii="Times New Roman" w:hAnsi="Times New Roman" w:eastAsia="宋体"/>
                <w:color w:val="auto"/>
                <w:kern w:val="0"/>
                <w:sz w:val="21"/>
                <w:szCs w:val="21"/>
              </w:rPr>
              <w:t>侧</w:t>
            </w:r>
            <w:r>
              <w:rPr>
                <w:rFonts w:hint="eastAsia" w:ascii="Times New Roman" w:hAnsi="Times New Roman" w:eastAsia="宋体"/>
                <w:color w:val="auto"/>
                <w:kern w:val="0"/>
                <w:sz w:val="21"/>
                <w:szCs w:val="21"/>
                <w:lang w:val="en-US" w:eastAsia="zh-CN"/>
              </w:rPr>
              <w:t>45</w:t>
            </w:r>
            <w:r>
              <w:rPr>
                <w:rFonts w:hint="eastAsia" w:ascii="Times New Roman" w:hAnsi="Times New Roman" w:eastAsia="宋体"/>
                <w:color w:val="auto"/>
                <w:kern w:val="0"/>
                <w:sz w:val="21"/>
                <w:szCs w:val="21"/>
              </w:rPr>
              <w:t>00m，在评价范围内的侧风向，监测期间至今，区域内未新增明显的大气污染源，因此本次引用的大气环境质量数据符合引用原则。</w:t>
            </w:r>
          </w:p>
          <w:p w14:paraId="2C2D3F55">
            <w:pPr>
              <w:adjustRightInd w:val="0"/>
              <w:snapToGrid w:val="0"/>
              <w:jc w:val="center"/>
              <w:rPr>
                <w:b/>
                <w:color w:val="auto"/>
                <w:kern w:val="0"/>
              </w:rPr>
            </w:pPr>
            <w:r>
              <w:rPr>
                <w:color w:val="auto"/>
              </w:rPr>
              <w:drawing>
                <wp:inline distT="0" distB="0" distL="114300" distR="114300">
                  <wp:extent cx="5219700" cy="4638675"/>
                  <wp:effectExtent l="0" t="0" r="0" b="9525"/>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pic:cNvPicPr>
                            <a:picLocks noChangeAspect="1"/>
                          </pic:cNvPicPr>
                        </pic:nvPicPr>
                        <pic:blipFill>
                          <a:blip r:embed="rId33"/>
                          <a:stretch>
                            <a:fillRect/>
                          </a:stretch>
                        </pic:blipFill>
                        <pic:spPr>
                          <a:xfrm>
                            <a:off x="0" y="0"/>
                            <a:ext cx="5219700" cy="4638675"/>
                          </a:xfrm>
                          <a:prstGeom prst="rect">
                            <a:avLst/>
                          </a:prstGeom>
                          <a:noFill/>
                          <a:ln>
                            <a:noFill/>
                          </a:ln>
                        </pic:spPr>
                      </pic:pic>
                    </a:graphicData>
                  </a:graphic>
                </wp:inline>
              </w:drawing>
            </w:r>
          </w:p>
          <w:p w14:paraId="51B4E170">
            <w:pPr>
              <w:pStyle w:val="663"/>
              <w:spacing w:line="360" w:lineRule="auto"/>
              <w:rPr>
                <w:color w:val="auto"/>
              </w:rPr>
            </w:pPr>
            <w:r>
              <w:rPr>
                <w:color w:val="auto"/>
              </w:rPr>
              <w:t xml:space="preserve">图3-1  </w:t>
            </w:r>
            <w:r>
              <w:rPr>
                <w:rFonts w:hint="eastAsia"/>
                <w:color w:val="auto"/>
              </w:rPr>
              <w:t xml:space="preserve"> </w:t>
            </w:r>
            <w:r>
              <w:rPr>
                <w:color w:val="auto"/>
              </w:rPr>
              <w:t>环境</w:t>
            </w:r>
            <w:r>
              <w:rPr>
                <w:rFonts w:hint="eastAsia"/>
                <w:color w:val="auto"/>
              </w:rPr>
              <w:t>空气</w:t>
            </w:r>
            <w:r>
              <w:rPr>
                <w:color w:val="auto"/>
              </w:rPr>
              <w:t>质量现状监测</w:t>
            </w:r>
            <w:r>
              <w:rPr>
                <w:rFonts w:hint="eastAsia"/>
                <w:color w:val="auto"/>
              </w:rPr>
              <w:t>引用</w:t>
            </w:r>
            <w:r>
              <w:rPr>
                <w:color w:val="auto"/>
              </w:rPr>
              <w:t>点位图</w:t>
            </w:r>
          </w:p>
          <w:p w14:paraId="7AD4587F">
            <w:pPr>
              <w:widowControl/>
              <w:adjustRightInd w:val="0"/>
              <w:snapToGrid w:val="0"/>
              <w:spacing w:line="360" w:lineRule="auto"/>
              <w:ind w:firstLine="420" w:firstLineChars="200"/>
              <w:jc w:val="left"/>
              <w:rPr>
                <w:rFonts w:cs="宋体"/>
                <w:color w:val="auto"/>
                <w:kern w:val="0"/>
                <w:lang w:bidi="ar"/>
              </w:rPr>
            </w:pPr>
            <w:r>
              <w:rPr>
                <w:rFonts w:hint="eastAsia" w:cs="宋体"/>
                <w:color w:val="auto"/>
                <w:kern w:val="0"/>
                <w:lang w:bidi="ar"/>
              </w:rPr>
              <w:t>本项目现状监测结果见表</w:t>
            </w:r>
            <w:r>
              <w:rPr>
                <w:color w:val="auto"/>
                <w:kern w:val="0"/>
                <w:lang w:bidi="ar"/>
              </w:rPr>
              <w:t>3-</w:t>
            </w:r>
            <w:r>
              <w:rPr>
                <w:rFonts w:hint="eastAsia"/>
                <w:color w:val="auto"/>
                <w:kern w:val="0"/>
                <w:lang w:bidi="ar"/>
              </w:rPr>
              <w:t>2</w:t>
            </w:r>
            <w:r>
              <w:rPr>
                <w:rFonts w:hint="eastAsia" w:cs="宋体"/>
                <w:color w:val="auto"/>
                <w:kern w:val="0"/>
                <w:lang w:bidi="ar"/>
              </w:rPr>
              <w:t>。</w:t>
            </w:r>
          </w:p>
          <w:p w14:paraId="08D108A6">
            <w:pPr>
              <w:pStyle w:val="2"/>
              <w:spacing w:line="240" w:lineRule="auto"/>
              <w:jc w:val="center"/>
              <w:rPr>
                <w:b/>
                <w:bCs/>
                <w:color w:val="auto"/>
                <w:sz w:val="21"/>
                <w:szCs w:val="21"/>
              </w:rPr>
            </w:pPr>
            <w:r>
              <w:rPr>
                <w:rFonts w:hint="eastAsia"/>
                <w:b/>
                <w:bCs/>
                <w:color w:val="auto"/>
                <w:sz w:val="21"/>
                <w:szCs w:val="21"/>
              </w:rPr>
              <w:t>表3-2   大气监测结果分析表</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8"/>
              <w:gridCol w:w="1018"/>
              <w:gridCol w:w="897"/>
              <w:gridCol w:w="1302"/>
              <w:gridCol w:w="1115"/>
              <w:gridCol w:w="939"/>
              <w:gridCol w:w="1122"/>
              <w:gridCol w:w="803"/>
            </w:tblGrid>
            <w:tr w14:paraId="3FBC2A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875" w:type="pct"/>
                  <w:vAlign w:val="center"/>
                </w:tcPr>
                <w:p w14:paraId="552ED4E6">
                  <w:pPr>
                    <w:adjustRightInd w:val="0"/>
                    <w:snapToGrid w:val="0"/>
                    <w:jc w:val="center"/>
                    <w:rPr>
                      <w:b/>
                      <w:iCs/>
                      <w:color w:val="auto"/>
                    </w:rPr>
                  </w:pPr>
                  <w:r>
                    <w:rPr>
                      <w:b/>
                      <w:iCs/>
                      <w:color w:val="auto"/>
                    </w:rPr>
                    <w:t>监测点位</w:t>
                  </w:r>
                </w:p>
              </w:tc>
              <w:tc>
                <w:tcPr>
                  <w:tcW w:w="583" w:type="pct"/>
                  <w:vAlign w:val="center"/>
                </w:tcPr>
                <w:p w14:paraId="4E8B3AE9">
                  <w:pPr>
                    <w:adjustRightInd w:val="0"/>
                    <w:snapToGrid w:val="0"/>
                    <w:jc w:val="center"/>
                    <w:rPr>
                      <w:b/>
                      <w:iCs/>
                      <w:color w:val="auto"/>
                    </w:rPr>
                  </w:pPr>
                  <w:r>
                    <w:rPr>
                      <w:rFonts w:hint="eastAsia"/>
                      <w:b/>
                      <w:iCs/>
                      <w:color w:val="auto"/>
                    </w:rPr>
                    <w:t>方位及距离</w:t>
                  </w:r>
                </w:p>
              </w:tc>
              <w:tc>
                <w:tcPr>
                  <w:tcW w:w="514" w:type="pct"/>
                  <w:vAlign w:val="center"/>
                </w:tcPr>
                <w:p w14:paraId="12C4CB79">
                  <w:pPr>
                    <w:adjustRightInd w:val="0"/>
                    <w:snapToGrid w:val="0"/>
                    <w:jc w:val="center"/>
                    <w:rPr>
                      <w:b/>
                      <w:iCs/>
                      <w:color w:val="auto"/>
                    </w:rPr>
                  </w:pPr>
                  <w:r>
                    <w:rPr>
                      <w:rFonts w:hint="eastAsia"/>
                      <w:b/>
                      <w:iCs/>
                      <w:color w:val="auto"/>
                    </w:rPr>
                    <w:t>监测因子</w:t>
                  </w:r>
                </w:p>
              </w:tc>
              <w:tc>
                <w:tcPr>
                  <w:tcW w:w="746" w:type="pct"/>
                  <w:vAlign w:val="center"/>
                </w:tcPr>
                <w:p w14:paraId="49748B09">
                  <w:pPr>
                    <w:adjustRightInd w:val="0"/>
                    <w:snapToGrid w:val="0"/>
                    <w:jc w:val="center"/>
                    <w:rPr>
                      <w:b/>
                      <w:iCs/>
                      <w:color w:val="auto"/>
                    </w:rPr>
                  </w:pPr>
                  <w:r>
                    <w:rPr>
                      <w:b/>
                      <w:iCs/>
                      <w:color w:val="auto"/>
                    </w:rPr>
                    <w:t>监测浓度范围</w:t>
                  </w:r>
                  <w:r>
                    <w:rPr>
                      <w:b/>
                      <w:color w:val="auto"/>
                    </w:rPr>
                    <w:t>mg/m</w:t>
                  </w:r>
                  <w:r>
                    <w:rPr>
                      <w:b/>
                      <w:color w:val="auto"/>
                      <w:vertAlign w:val="superscript"/>
                    </w:rPr>
                    <w:t>3</w:t>
                  </w:r>
                </w:p>
              </w:tc>
              <w:tc>
                <w:tcPr>
                  <w:tcW w:w="639" w:type="pct"/>
                  <w:vAlign w:val="center"/>
                </w:tcPr>
                <w:p w14:paraId="6024B509">
                  <w:pPr>
                    <w:adjustRightInd w:val="0"/>
                    <w:snapToGrid w:val="0"/>
                    <w:jc w:val="center"/>
                    <w:rPr>
                      <w:b/>
                      <w:iCs/>
                      <w:color w:val="auto"/>
                    </w:rPr>
                  </w:pPr>
                  <w:r>
                    <w:rPr>
                      <w:rFonts w:hint="eastAsia"/>
                      <w:b/>
                      <w:iCs/>
                      <w:color w:val="auto"/>
                    </w:rPr>
                    <w:t>最大浓度</w:t>
                  </w:r>
                  <w:r>
                    <w:rPr>
                      <w:b/>
                      <w:iCs/>
                      <w:color w:val="auto"/>
                    </w:rPr>
                    <w:t>占标率%</w:t>
                  </w:r>
                </w:p>
              </w:tc>
              <w:tc>
                <w:tcPr>
                  <w:tcW w:w="538" w:type="pct"/>
                  <w:vAlign w:val="center"/>
                </w:tcPr>
                <w:p w14:paraId="510AF237">
                  <w:pPr>
                    <w:adjustRightInd w:val="0"/>
                    <w:snapToGrid w:val="0"/>
                    <w:jc w:val="center"/>
                    <w:rPr>
                      <w:b/>
                      <w:iCs/>
                      <w:color w:val="auto"/>
                    </w:rPr>
                  </w:pPr>
                  <w:r>
                    <w:rPr>
                      <w:b/>
                      <w:iCs/>
                      <w:color w:val="auto"/>
                    </w:rPr>
                    <w:t>超标率%</w:t>
                  </w:r>
                </w:p>
              </w:tc>
              <w:tc>
                <w:tcPr>
                  <w:tcW w:w="643" w:type="pct"/>
                  <w:vAlign w:val="center"/>
                </w:tcPr>
                <w:p w14:paraId="35192B9F">
                  <w:pPr>
                    <w:adjustRightInd w:val="0"/>
                    <w:snapToGrid w:val="0"/>
                    <w:jc w:val="center"/>
                    <w:rPr>
                      <w:b/>
                      <w:iCs/>
                      <w:color w:val="auto"/>
                    </w:rPr>
                  </w:pPr>
                  <w:r>
                    <w:rPr>
                      <w:b/>
                      <w:iCs/>
                      <w:color w:val="auto"/>
                    </w:rPr>
                    <w:t>评价标准</w:t>
                  </w:r>
                  <w:r>
                    <w:rPr>
                      <w:b/>
                      <w:color w:val="auto"/>
                    </w:rPr>
                    <w:t>mg/m</w:t>
                  </w:r>
                  <w:r>
                    <w:rPr>
                      <w:b/>
                      <w:color w:val="auto"/>
                      <w:vertAlign w:val="superscript"/>
                    </w:rPr>
                    <w:t>3</w:t>
                  </w:r>
                </w:p>
              </w:tc>
              <w:tc>
                <w:tcPr>
                  <w:tcW w:w="460" w:type="pct"/>
                  <w:vAlign w:val="center"/>
                </w:tcPr>
                <w:p w14:paraId="2AED67AC">
                  <w:pPr>
                    <w:adjustRightInd w:val="0"/>
                    <w:snapToGrid w:val="0"/>
                    <w:jc w:val="center"/>
                    <w:rPr>
                      <w:b/>
                      <w:iCs/>
                      <w:color w:val="auto"/>
                    </w:rPr>
                  </w:pPr>
                  <w:r>
                    <w:rPr>
                      <w:b/>
                      <w:iCs/>
                      <w:color w:val="auto"/>
                    </w:rPr>
                    <w:t>达标情况</w:t>
                  </w:r>
                </w:p>
              </w:tc>
            </w:tr>
            <w:tr w14:paraId="5800F2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5" w:type="pct"/>
                  <w:vAlign w:val="center"/>
                </w:tcPr>
                <w:p w14:paraId="289F8AAF">
                  <w:pPr>
                    <w:adjustRightInd w:val="0"/>
                    <w:snapToGrid w:val="0"/>
                    <w:jc w:val="center"/>
                    <w:rPr>
                      <w:iCs/>
                      <w:color w:val="auto"/>
                    </w:rPr>
                  </w:pPr>
                  <w:r>
                    <w:rPr>
                      <w:rFonts w:hint="eastAsia"/>
                      <w:iCs/>
                      <w:color w:val="auto"/>
                    </w:rPr>
                    <w:t>G1珑庭花园</w:t>
                  </w:r>
                </w:p>
              </w:tc>
              <w:tc>
                <w:tcPr>
                  <w:tcW w:w="583" w:type="pct"/>
                  <w:vAlign w:val="center"/>
                </w:tcPr>
                <w:p w14:paraId="57686273">
                  <w:pPr>
                    <w:adjustRightInd w:val="0"/>
                    <w:snapToGrid w:val="0"/>
                    <w:jc w:val="center"/>
                    <w:rPr>
                      <w:color w:val="auto"/>
                    </w:rPr>
                  </w:pPr>
                  <w:r>
                    <w:rPr>
                      <w:rFonts w:hint="eastAsia"/>
                      <w:color w:val="auto"/>
                      <w:lang w:val="en-US" w:eastAsia="zh-CN"/>
                    </w:rPr>
                    <w:t>东北</w:t>
                  </w:r>
                  <w:r>
                    <w:rPr>
                      <w:rFonts w:hint="eastAsia"/>
                      <w:color w:val="auto"/>
                    </w:rPr>
                    <w:t>侧</w:t>
                  </w:r>
                  <w:r>
                    <w:rPr>
                      <w:rFonts w:hint="eastAsia"/>
                      <w:color w:val="auto"/>
                      <w:lang w:val="en-US" w:eastAsia="zh-CN"/>
                    </w:rPr>
                    <w:t>450</w:t>
                  </w:r>
                  <w:r>
                    <w:rPr>
                      <w:rFonts w:hint="eastAsia"/>
                      <w:color w:val="auto"/>
                    </w:rPr>
                    <w:t>0</w:t>
                  </w:r>
                  <w:r>
                    <w:rPr>
                      <w:color w:val="auto"/>
                    </w:rPr>
                    <w:t>m</w:t>
                  </w:r>
                </w:p>
              </w:tc>
              <w:tc>
                <w:tcPr>
                  <w:tcW w:w="514" w:type="pct"/>
                  <w:vAlign w:val="center"/>
                </w:tcPr>
                <w:p w14:paraId="4D1F8A98">
                  <w:pPr>
                    <w:adjustRightInd w:val="0"/>
                    <w:snapToGrid w:val="0"/>
                    <w:jc w:val="center"/>
                    <w:rPr>
                      <w:color w:val="auto"/>
                    </w:rPr>
                  </w:pPr>
                  <w:r>
                    <w:rPr>
                      <w:rFonts w:hint="eastAsia"/>
                      <w:color w:val="auto"/>
                    </w:rPr>
                    <w:t>非甲烷总烃</w:t>
                  </w:r>
                </w:p>
              </w:tc>
              <w:tc>
                <w:tcPr>
                  <w:tcW w:w="746" w:type="pct"/>
                  <w:vAlign w:val="center"/>
                </w:tcPr>
                <w:p w14:paraId="112B7324">
                  <w:pPr>
                    <w:adjustRightInd w:val="0"/>
                    <w:snapToGrid w:val="0"/>
                    <w:jc w:val="center"/>
                    <w:rPr>
                      <w:rFonts w:hint="default" w:eastAsia="宋体"/>
                      <w:color w:val="auto"/>
                      <w:lang w:val="en-US" w:eastAsia="zh-CN"/>
                    </w:rPr>
                  </w:pPr>
                  <w:r>
                    <w:rPr>
                      <w:rFonts w:hint="eastAsia"/>
                      <w:color w:val="auto"/>
                    </w:rPr>
                    <w:t>0.</w:t>
                  </w:r>
                  <w:r>
                    <w:rPr>
                      <w:rFonts w:hint="eastAsia"/>
                      <w:color w:val="auto"/>
                      <w:lang w:val="en-US" w:eastAsia="zh-CN"/>
                    </w:rPr>
                    <w:t>73</w:t>
                  </w:r>
                  <w:r>
                    <w:rPr>
                      <w:color w:val="auto"/>
                    </w:rPr>
                    <w:t>-</w:t>
                  </w:r>
                  <w:r>
                    <w:rPr>
                      <w:rFonts w:hint="eastAsia"/>
                      <w:color w:val="auto"/>
                    </w:rPr>
                    <w:t>0.</w:t>
                  </w:r>
                  <w:r>
                    <w:rPr>
                      <w:rFonts w:hint="eastAsia"/>
                      <w:color w:val="auto"/>
                      <w:lang w:val="en-US" w:eastAsia="zh-CN"/>
                    </w:rPr>
                    <w:t>90</w:t>
                  </w:r>
                </w:p>
              </w:tc>
              <w:tc>
                <w:tcPr>
                  <w:tcW w:w="639" w:type="pct"/>
                  <w:vAlign w:val="center"/>
                </w:tcPr>
                <w:p w14:paraId="1D74A4EB">
                  <w:pPr>
                    <w:adjustRightInd w:val="0"/>
                    <w:snapToGrid w:val="0"/>
                    <w:jc w:val="center"/>
                    <w:rPr>
                      <w:rFonts w:hint="default" w:eastAsia="宋体"/>
                      <w:color w:val="auto"/>
                      <w:lang w:val="en-US" w:eastAsia="zh-CN"/>
                    </w:rPr>
                  </w:pPr>
                  <w:r>
                    <w:rPr>
                      <w:rFonts w:hint="eastAsia"/>
                      <w:color w:val="auto"/>
                      <w:lang w:val="en-US" w:eastAsia="zh-CN"/>
                    </w:rPr>
                    <w:t>45</w:t>
                  </w:r>
                </w:p>
              </w:tc>
              <w:tc>
                <w:tcPr>
                  <w:tcW w:w="538" w:type="pct"/>
                  <w:vAlign w:val="center"/>
                </w:tcPr>
                <w:p w14:paraId="27C6348A">
                  <w:pPr>
                    <w:adjustRightInd w:val="0"/>
                    <w:snapToGrid w:val="0"/>
                    <w:jc w:val="center"/>
                    <w:rPr>
                      <w:color w:val="auto"/>
                    </w:rPr>
                  </w:pPr>
                  <w:r>
                    <w:rPr>
                      <w:color w:val="auto"/>
                    </w:rPr>
                    <w:t>0</w:t>
                  </w:r>
                </w:p>
              </w:tc>
              <w:tc>
                <w:tcPr>
                  <w:tcW w:w="643" w:type="pct"/>
                  <w:vAlign w:val="center"/>
                </w:tcPr>
                <w:p w14:paraId="7C827A96">
                  <w:pPr>
                    <w:adjustRightInd w:val="0"/>
                    <w:snapToGrid w:val="0"/>
                    <w:jc w:val="center"/>
                    <w:rPr>
                      <w:color w:val="auto"/>
                    </w:rPr>
                  </w:pPr>
                  <w:r>
                    <w:rPr>
                      <w:color w:val="auto"/>
                    </w:rPr>
                    <w:t>2.0</w:t>
                  </w:r>
                </w:p>
              </w:tc>
              <w:tc>
                <w:tcPr>
                  <w:tcW w:w="460" w:type="pct"/>
                  <w:vAlign w:val="center"/>
                </w:tcPr>
                <w:p w14:paraId="77127C12">
                  <w:pPr>
                    <w:adjustRightInd w:val="0"/>
                    <w:snapToGrid w:val="0"/>
                    <w:jc w:val="center"/>
                    <w:rPr>
                      <w:color w:val="auto"/>
                    </w:rPr>
                  </w:pPr>
                  <w:r>
                    <w:rPr>
                      <w:color w:val="auto"/>
                    </w:rPr>
                    <w:t>达标</w:t>
                  </w:r>
                </w:p>
              </w:tc>
            </w:tr>
          </w:tbl>
          <w:p w14:paraId="025CF214">
            <w:pPr>
              <w:adjustRightInd w:val="0"/>
              <w:snapToGrid w:val="0"/>
              <w:spacing w:line="360" w:lineRule="auto"/>
              <w:ind w:firstLine="420" w:firstLineChars="200"/>
              <w:rPr>
                <w:b/>
                <w:color w:val="auto"/>
                <w:kern w:val="0"/>
              </w:rPr>
            </w:pPr>
            <w:r>
              <w:rPr>
                <w:rFonts w:hint="eastAsia" w:cs="宋体"/>
                <w:color w:val="auto"/>
                <w:kern w:val="0"/>
                <w:lang w:bidi="ar"/>
              </w:rPr>
              <w:t>从上表可知，评价区内监测点位非甲烷总烃的小时浓度值能达到《大气污染物综合排放标准详解》（中国环境科学出版社</w:t>
            </w:r>
            <w:r>
              <w:rPr>
                <w:color w:val="auto"/>
                <w:kern w:val="0"/>
                <w:lang w:bidi="ar"/>
              </w:rPr>
              <w:t>1996</w:t>
            </w:r>
            <w:r>
              <w:rPr>
                <w:rFonts w:hint="eastAsia" w:cs="宋体"/>
                <w:color w:val="auto"/>
                <w:kern w:val="0"/>
                <w:lang w:bidi="ar"/>
              </w:rPr>
              <w:t>年）中</w:t>
            </w:r>
            <w:r>
              <w:rPr>
                <w:color w:val="auto"/>
                <w:kern w:val="0"/>
                <w:lang w:bidi="ar"/>
              </w:rPr>
              <w:t>2.0</w:t>
            </w:r>
            <w:r>
              <w:rPr>
                <w:rFonts w:hint="eastAsia"/>
                <w:color w:val="auto"/>
                <w:kern w:val="0"/>
                <w:lang w:bidi="ar"/>
              </w:rPr>
              <w:t>mg/m</w:t>
            </w:r>
            <w:r>
              <w:rPr>
                <w:rFonts w:hint="eastAsia"/>
                <w:color w:val="auto"/>
                <w:kern w:val="0"/>
                <w:vertAlign w:val="superscript"/>
                <w:lang w:val="en-US" w:eastAsia="zh-CN" w:bidi="ar"/>
              </w:rPr>
              <w:t>3</w:t>
            </w:r>
            <w:r>
              <w:rPr>
                <w:rFonts w:hint="eastAsia" w:cs="宋体"/>
                <w:color w:val="auto"/>
                <w:kern w:val="0"/>
                <w:lang w:bidi="ar"/>
              </w:rPr>
              <w:t>标准限值。</w:t>
            </w:r>
          </w:p>
          <w:p w14:paraId="22CAA89E">
            <w:pPr>
              <w:spacing w:line="360" w:lineRule="auto"/>
              <w:ind w:firstLine="413" w:firstLineChars="196"/>
              <w:rPr>
                <w:b/>
                <w:bCs/>
                <w:color w:val="auto"/>
                <w:kern w:val="0"/>
              </w:rPr>
            </w:pPr>
            <w:r>
              <w:rPr>
                <w:rFonts w:hint="eastAsia"/>
                <w:b/>
                <w:bCs/>
                <w:color w:val="auto"/>
                <w:kern w:val="0"/>
              </w:rPr>
              <w:t>（3）大气污染防治行动方案</w:t>
            </w:r>
          </w:p>
          <w:p w14:paraId="19AAE743">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为贯彻落实《国务院关于印发&lt;空气质量持续改善行动计划&gt;的通知》（国发〔2023〕24号）和《省政府关于印发江苏省空气质量持续改善行动计划实施方案的通知》（苏政发〔2024〕53号）要求，持续深入打好蓝天保卫战，切实保障人民群众身体健康，以高水平保护支撑高质量发展，常州市人民政府制定《常州市空气质量持续改善行动计划实施方案》（常政发〔2024〕51号），方案重点任务如下：</w:t>
            </w:r>
          </w:p>
          <w:p w14:paraId="1A56C75E">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①调整优化产业结构，推进产业绿色低碳发展：坚决遏制“两高”项目盲目发展；加快退出重点行业落后产能；中小型传统制造企业集中的辖市（区）均要制定涉气产业集群发展规划，严格项目审批，严防污染下乡；严格控制生产和使用高VOCs含量涂料、油墨、胶粘剂、清洗剂等建设项目。</w:t>
            </w:r>
          </w:p>
          <w:p w14:paraId="4DF467F9">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②推进能源高效利用，加快能源清洁低碳转型：大力发展新能源和清洁能源；严格合理控制煤炭消费总量；推进燃煤锅炉关停整合和工业炉窑清洁能源替代；推进近零碳园区和近零碳工厂试点建设。</w:t>
            </w:r>
          </w:p>
          <w:p w14:paraId="1A0E07B9">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③加强面源污染治理，提高精细化管理水平：实施扬尘精细化治理，积极实施“清洁城市行动”；推进矿山生态环境综合整治；加强秸秆禁烧和综合利用，禁止露天焚烧秸秆，综合运用卫星遥感、高清视频监控、无人机等手段，提高秸秆焚烧火点监测及巡查精准度。</w:t>
            </w:r>
          </w:p>
          <w:p w14:paraId="67860FD0">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④强化协同减排，切实降低污染物排放强度：强化VOCs全流程、全环节综合治理，鼓励储罐使用低泄漏的呼吸阀、紧急泄压阀，定期开展密封性检测。重点工业园区建立分环节、分物种管控清单，实施高排放关键活性物种“指纹化”监测监控和靶向治理。</w:t>
            </w:r>
          </w:p>
          <w:p w14:paraId="0CB602B3">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实施重点行业超低排放与深度治理，有序推进铸造、垃圾焚烧发电、玻璃、有色、石灰、矿棉等行业深度治理。持续推进煤电机组深度脱硝改造，实施重点行业绩效等级提升行动。</w:t>
            </w:r>
          </w:p>
          <w:p w14:paraId="1360DFD9">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推进餐饮油烟、恶臭异味专项整治。加强部门联动，因地制宜解决人民群众反映集中的油烟和恶臭扰民问题。严格居民楼附近餐饮服务单位布局管理。拟开设餐饮服务单位的建筑应设计建设专用烟道。建立重点园区“嗅辨+监测”异味溯源机制。</w:t>
            </w:r>
          </w:p>
          <w:p w14:paraId="6E05E272">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推动大气氨污染防控，加强氮肥、纯碱等行业大气氨排放治理，强化工业源烟气脱硫脱硝氨逃逸防控。</w:t>
            </w:r>
          </w:p>
          <w:p w14:paraId="41B47E52">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⑤完善工作机制，健全大气环境管理体系：开展区域联防联控和城市空气质量达标管理，积极推进大气污染联防联控机制建设，空气质量未达标的地区编制实施大气环境质量限期达标规划，明确达标路线图及重点任务，并向社会公开。</w:t>
            </w:r>
          </w:p>
          <w:p w14:paraId="10CE801D">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提升重污染天气应对能力，结合排污许可制度，确保应急减排清单覆盖所有涉气企业。按照区域预警提示信息，依法依规与同一区域内的城市同步采取应急响应措施。</w:t>
            </w:r>
          </w:p>
          <w:p w14:paraId="07F9E396">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⑥加强能力建设，提升生态环境治理体系和治理能力现代化水平：强化大气监测和执法监管，加强机场、港口、铁路货场、物流园区、工业园区、产业集群、公路等大气环境监测；加强决策科技支撑，持续开展PM</w:t>
            </w:r>
            <w:r>
              <w:rPr>
                <w:rFonts w:hint="eastAsia"/>
                <w:color w:val="auto"/>
                <w:kern w:val="0"/>
                <w:sz w:val="21"/>
                <w:vertAlign w:val="subscript"/>
              </w:rPr>
              <w:t>2.5</w:t>
            </w:r>
            <w:r>
              <w:rPr>
                <w:rFonts w:hint="eastAsia"/>
                <w:color w:val="auto"/>
                <w:kern w:val="0"/>
                <w:sz w:val="21"/>
              </w:rPr>
              <w:t>和臭氧协同控制科技攻关，推进致臭物质识别、恶臭污染评估和溯源技术方法研究。</w:t>
            </w:r>
          </w:p>
          <w:p w14:paraId="3BE3287D">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⑦健全标准规范体系，完善生态环境经济政策：强化标准引领，推动落实大气污染物排放最新标准，重点行业逐步配套技术指南和工程技术规范，研究制定精细化治理方案；完善生态环境资金投入机制，综合运用经济、技术等手段推动老旧车辆退出。</w:t>
            </w:r>
          </w:p>
          <w:p w14:paraId="36A38479">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⑧落实各方责任，构建全民行动格局：加强组织领导，各级政府对本行政区域内空气质量负总责，组织制定本地实施方案；严格监督考核，将空气质量改善目标完成情况作为深入打好污染防治攻坚战成效考核的重要内容；推进全民行动，落实《江苏省生态文明教育促进办法》，加强舆论引导和监督，普及大气环境与健康知识，政府带头开展绿色采购，推进使用新能源车辆，全面使用低（无）VOCs含量产品，强化公民环境意识，推动形成简约适度、绿色低碳、文明健康的生活方式，共同改善空气质量。</w:t>
            </w:r>
          </w:p>
          <w:p w14:paraId="07AB65D2">
            <w:pPr>
              <w:adjustRightInd w:val="0"/>
              <w:snapToGrid w:val="0"/>
              <w:spacing w:line="360" w:lineRule="auto"/>
              <w:ind w:firstLine="420" w:firstLineChars="200"/>
              <w:jc w:val="left"/>
              <w:rPr>
                <w:rFonts w:hint="eastAsia"/>
                <w:color w:val="auto"/>
                <w:kern w:val="0"/>
                <w:sz w:val="21"/>
              </w:rPr>
            </w:pPr>
            <w:r>
              <w:rPr>
                <w:rFonts w:hint="eastAsia"/>
                <w:color w:val="auto"/>
                <w:kern w:val="0"/>
                <w:sz w:val="21"/>
              </w:rPr>
              <w:t>通过上述工作的不断推进实施，常州市与金坛区环境空气质量将得到持续改善。</w:t>
            </w:r>
          </w:p>
          <w:p w14:paraId="7C0C82AF">
            <w:pPr>
              <w:adjustRightInd w:val="0"/>
              <w:snapToGrid w:val="0"/>
              <w:spacing w:line="360" w:lineRule="auto"/>
              <w:ind w:firstLine="422" w:firstLineChars="200"/>
              <w:jc w:val="left"/>
              <w:rPr>
                <w:b/>
                <w:color w:val="auto"/>
                <w:kern w:val="0"/>
                <w:sz w:val="21"/>
              </w:rPr>
            </w:pPr>
            <w:r>
              <w:rPr>
                <w:rFonts w:hint="eastAsia"/>
                <w:b/>
                <w:color w:val="auto"/>
                <w:kern w:val="0"/>
                <w:sz w:val="21"/>
              </w:rPr>
              <w:t>2.地表水</w:t>
            </w:r>
          </w:p>
          <w:p w14:paraId="115E2A24">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color w:val="auto"/>
                <w:kern w:val="0"/>
                <w:sz w:val="21"/>
              </w:rPr>
            </w:pPr>
            <w:r>
              <w:rPr>
                <w:color w:val="auto"/>
                <w:kern w:val="0"/>
                <w:sz w:val="21"/>
              </w:rPr>
              <w:t>根据《</w:t>
            </w:r>
            <w:r>
              <w:rPr>
                <w:bCs/>
                <w:color w:val="auto"/>
                <w:kern w:val="0"/>
                <w:sz w:val="21"/>
              </w:rPr>
              <w:t>202</w:t>
            </w:r>
            <w:r>
              <w:rPr>
                <w:rFonts w:hint="eastAsia"/>
                <w:bCs/>
                <w:color w:val="auto"/>
                <w:kern w:val="0"/>
                <w:sz w:val="21"/>
                <w:lang w:val="en-US" w:eastAsia="zh-CN"/>
              </w:rPr>
              <w:t>4</w:t>
            </w:r>
            <w:r>
              <w:rPr>
                <w:bCs/>
                <w:color w:val="auto"/>
                <w:kern w:val="0"/>
                <w:sz w:val="21"/>
              </w:rPr>
              <w:t>年常州市生态环境状况公报</w:t>
            </w:r>
            <w:r>
              <w:rPr>
                <w:color w:val="auto"/>
                <w:kern w:val="0"/>
                <w:sz w:val="21"/>
              </w:rPr>
              <w:t>》，</w:t>
            </w:r>
            <w:r>
              <w:rPr>
                <w:rFonts w:hint="eastAsia"/>
                <w:color w:val="auto"/>
                <w:kern w:val="0"/>
                <w:sz w:val="21"/>
              </w:rPr>
              <w:t>2024年，常州市纳入“十四五”国家地表水环境质量考核的20个断面，年均水质达到或好于《地表水环境质量标准》</w:t>
            </w:r>
            <w:r>
              <w:rPr>
                <w:rFonts w:hint="eastAsia"/>
                <w:color w:val="auto"/>
                <w:kern w:val="0"/>
                <w:sz w:val="21"/>
                <w:lang w:eastAsia="zh-CN"/>
              </w:rPr>
              <w:t>（</w:t>
            </w:r>
            <w:r>
              <w:rPr>
                <w:rFonts w:hint="eastAsia"/>
                <w:color w:val="auto"/>
                <w:kern w:val="0"/>
                <w:sz w:val="21"/>
              </w:rPr>
              <w:t>GB3838-2002</w:t>
            </w:r>
            <w:r>
              <w:rPr>
                <w:rFonts w:hint="eastAsia"/>
                <w:color w:val="auto"/>
                <w:kern w:val="0"/>
                <w:sz w:val="21"/>
                <w:lang w:eastAsia="zh-CN"/>
              </w:rPr>
              <w:t>）</w:t>
            </w:r>
            <w:r>
              <w:rPr>
                <w:rFonts w:hint="eastAsia"/>
                <w:color w:val="auto"/>
                <w:kern w:val="0"/>
                <w:sz w:val="21"/>
                <w:lang w:val="en-US" w:eastAsia="zh-CN"/>
              </w:rPr>
              <w:t>III</w:t>
            </w:r>
            <w:r>
              <w:rPr>
                <w:rFonts w:hint="eastAsia"/>
                <w:color w:val="auto"/>
                <w:kern w:val="0"/>
                <w:sz w:val="21"/>
              </w:rPr>
              <w:t>类标准的断面比例为85%，无劣V类断面。纳入江苏省“十四五”水环境质量目标考核的51个断面，年均水质达到或好于</w:t>
            </w:r>
            <w:r>
              <w:rPr>
                <w:rFonts w:hint="eastAsia"/>
                <w:color w:val="auto"/>
                <w:kern w:val="0"/>
                <w:sz w:val="21"/>
                <w:lang w:val="en-US" w:eastAsia="zh-CN"/>
              </w:rPr>
              <w:t>III</w:t>
            </w:r>
            <w:r>
              <w:rPr>
                <w:rFonts w:hint="eastAsia"/>
                <w:color w:val="auto"/>
                <w:kern w:val="0"/>
                <w:sz w:val="21"/>
              </w:rPr>
              <w:t>类的比例为94.1%，无劣V类断面。</w:t>
            </w:r>
          </w:p>
          <w:p w14:paraId="3E1D15FD">
            <w:pPr>
              <w:adjustRightInd w:val="0"/>
              <w:snapToGrid w:val="0"/>
              <w:spacing w:line="360" w:lineRule="auto"/>
              <w:ind w:firstLine="411" w:firstLineChars="196"/>
              <w:rPr>
                <w:color w:val="auto"/>
              </w:rPr>
            </w:pPr>
            <w:r>
              <w:rPr>
                <w:rFonts w:hint="eastAsia"/>
                <w:color w:val="auto"/>
              </w:rPr>
              <w:t>国考、省考断面水质达到或好于</w:t>
            </w:r>
            <w:r>
              <w:rPr>
                <w:rFonts w:hint="eastAsia"/>
                <w:color w:val="auto"/>
                <w:lang w:val="en-US" w:eastAsia="zh-CN"/>
              </w:rPr>
              <w:t>III</w:t>
            </w:r>
            <w:r>
              <w:rPr>
                <w:rFonts w:hint="eastAsia"/>
                <w:color w:val="auto"/>
              </w:rPr>
              <w:t>类比例完成省定考核要求，太湖水质自2007年蓝藻事件以来首次达</w:t>
            </w:r>
            <w:r>
              <w:rPr>
                <w:rFonts w:hint="eastAsia"/>
                <w:color w:val="auto"/>
                <w:lang w:val="en-US" w:eastAsia="zh-CN"/>
              </w:rPr>
              <w:t>III</w:t>
            </w:r>
            <w:r>
              <w:rPr>
                <w:rFonts w:hint="eastAsia"/>
                <w:color w:val="auto"/>
              </w:rPr>
              <w:t>、重回“良好”湖泊，连续17年实现安全度夏。长江干流</w:t>
            </w:r>
            <w:r>
              <w:rPr>
                <w:rFonts w:hint="eastAsia"/>
                <w:color w:val="auto"/>
                <w:lang w:eastAsia="zh-CN"/>
              </w:rPr>
              <w:t>（</w:t>
            </w:r>
            <w:r>
              <w:rPr>
                <w:rFonts w:hint="eastAsia"/>
                <w:color w:val="auto"/>
              </w:rPr>
              <w:t>常州段</w:t>
            </w:r>
            <w:r>
              <w:rPr>
                <w:rFonts w:hint="eastAsia"/>
                <w:color w:val="auto"/>
                <w:lang w:eastAsia="zh-CN"/>
              </w:rPr>
              <w:t>）</w:t>
            </w:r>
            <w:r>
              <w:rPr>
                <w:rFonts w:hint="eastAsia"/>
                <w:color w:val="auto"/>
              </w:rPr>
              <w:t>水质连续8年稳</w:t>
            </w:r>
            <w:r>
              <w:rPr>
                <w:rFonts w:hint="eastAsia"/>
                <w:color w:val="auto"/>
                <w:lang w:val="en-US" w:eastAsia="zh-CN"/>
              </w:rPr>
              <w:t>II</w:t>
            </w:r>
            <w:r>
              <w:rPr>
                <w:rFonts w:hint="eastAsia"/>
                <w:color w:val="auto"/>
              </w:rPr>
              <w:t>类水平，主要入湖河道、集中式饮用水源地水质稳定达到省定考核目标。</w:t>
            </w:r>
          </w:p>
          <w:p w14:paraId="1B322B56">
            <w:pPr>
              <w:adjustRightInd w:val="0"/>
              <w:snapToGrid w:val="0"/>
              <w:spacing w:line="360" w:lineRule="auto"/>
              <w:ind w:firstLine="411" w:firstLineChars="196"/>
              <w:rPr>
                <w:b/>
                <w:bCs/>
                <w:color w:val="auto"/>
              </w:rPr>
            </w:pPr>
            <w:r>
              <w:rPr>
                <w:rFonts w:hint="eastAsia"/>
                <w:color w:val="auto"/>
              </w:rPr>
              <w:t>本项目</w:t>
            </w:r>
            <w:r>
              <w:rPr>
                <w:color w:val="auto"/>
              </w:rPr>
              <w:t>纳污水体为尧塘河，引用《</w:t>
            </w:r>
            <w:r>
              <w:rPr>
                <w:rFonts w:hint="eastAsia"/>
                <w:color w:val="auto"/>
              </w:rPr>
              <w:t>江苏</w:t>
            </w:r>
            <w:r>
              <w:rPr>
                <w:rFonts w:hint="eastAsia"/>
                <w:color w:val="auto"/>
                <w:lang w:val="en-US" w:eastAsia="zh-CN"/>
              </w:rPr>
              <w:t>万泉金属制品有限公司</w:t>
            </w:r>
            <w:r>
              <w:rPr>
                <w:color w:val="auto"/>
              </w:rPr>
              <w:t>》在尧塘河二污厂排污口上游500米处</w:t>
            </w:r>
            <w:r>
              <w:rPr>
                <w:rFonts w:hint="eastAsia"/>
                <w:color w:val="auto"/>
              </w:rPr>
              <w:t>（W1）</w:t>
            </w:r>
            <w:r>
              <w:rPr>
                <w:color w:val="auto"/>
              </w:rPr>
              <w:t>和下游2000米处</w:t>
            </w:r>
            <w:r>
              <w:rPr>
                <w:rFonts w:hint="eastAsia"/>
                <w:color w:val="auto"/>
              </w:rPr>
              <w:t>（W2）p</w:t>
            </w:r>
            <w:r>
              <w:rPr>
                <w:color w:val="auto"/>
              </w:rPr>
              <w:t>H值、化学需氧量、氨氮、总磷的历史数据，采样时间为202</w:t>
            </w:r>
            <w:r>
              <w:rPr>
                <w:rFonts w:hint="eastAsia"/>
                <w:color w:val="auto"/>
                <w:lang w:val="en-US" w:eastAsia="zh-CN"/>
              </w:rPr>
              <w:t>5</w:t>
            </w:r>
            <w:r>
              <w:rPr>
                <w:color w:val="auto"/>
              </w:rPr>
              <w:t>年</w:t>
            </w:r>
            <w:r>
              <w:rPr>
                <w:rFonts w:hint="eastAsia"/>
                <w:color w:val="auto"/>
                <w:lang w:val="en-US" w:eastAsia="zh-CN"/>
              </w:rPr>
              <w:t>1</w:t>
            </w:r>
            <w:r>
              <w:rPr>
                <w:color w:val="auto"/>
              </w:rPr>
              <w:t>月</w:t>
            </w:r>
            <w:r>
              <w:rPr>
                <w:rFonts w:hint="eastAsia"/>
                <w:color w:val="auto"/>
                <w:lang w:val="en-US" w:eastAsia="zh-CN"/>
              </w:rPr>
              <w:t>7</w:t>
            </w:r>
            <w:r>
              <w:rPr>
                <w:color w:val="auto"/>
              </w:rPr>
              <w:t>日</w:t>
            </w:r>
            <w:r>
              <w:rPr>
                <w:rFonts w:hint="eastAsia"/>
                <w:color w:val="auto"/>
              </w:rPr>
              <w:t>-</w:t>
            </w:r>
            <w:r>
              <w:rPr>
                <w:rFonts w:hint="eastAsia"/>
                <w:color w:val="auto"/>
                <w:lang w:val="en-US" w:eastAsia="zh-CN"/>
              </w:rPr>
              <w:t>1</w:t>
            </w:r>
            <w:r>
              <w:rPr>
                <w:color w:val="auto"/>
              </w:rPr>
              <w:t>月</w:t>
            </w:r>
            <w:r>
              <w:rPr>
                <w:rFonts w:hint="eastAsia"/>
                <w:color w:val="auto"/>
                <w:lang w:val="en-US" w:eastAsia="zh-CN"/>
              </w:rPr>
              <w:t>9</w:t>
            </w:r>
            <w:r>
              <w:rPr>
                <w:color w:val="auto"/>
              </w:rPr>
              <w:t>日，检测报告编号</w:t>
            </w:r>
            <w:r>
              <w:rPr>
                <w:rFonts w:hint="eastAsia"/>
                <w:color w:val="auto"/>
              </w:rPr>
              <w:t>“</w:t>
            </w:r>
            <w:r>
              <w:rPr>
                <w:rFonts w:hint="eastAsia"/>
                <w:color w:val="auto"/>
                <w:kern w:val="0"/>
                <w:lang w:val="en-US" w:eastAsia="zh-CN"/>
              </w:rPr>
              <w:t>YJH</w:t>
            </w:r>
            <w:r>
              <w:rPr>
                <w:rFonts w:hint="eastAsia"/>
                <w:color w:val="auto"/>
                <w:kern w:val="0"/>
                <w:lang w:eastAsia="zh-CN"/>
              </w:rPr>
              <w:t>2</w:t>
            </w:r>
            <w:r>
              <w:rPr>
                <w:rFonts w:hint="eastAsia"/>
                <w:color w:val="auto"/>
                <w:kern w:val="0"/>
                <w:lang w:val="en-US" w:eastAsia="zh-CN"/>
              </w:rPr>
              <w:t>5091005</w:t>
            </w:r>
            <w:r>
              <w:rPr>
                <w:rFonts w:hint="eastAsia"/>
                <w:color w:val="auto"/>
              </w:rPr>
              <w:t>”</w:t>
            </w:r>
            <w:r>
              <w:rPr>
                <w:color w:val="auto"/>
              </w:rPr>
              <w:t>，监测数据详见表3-</w:t>
            </w:r>
            <w:r>
              <w:rPr>
                <w:rFonts w:hint="eastAsia"/>
                <w:color w:val="auto"/>
              </w:rPr>
              <w:t>3</w:t>
            </w:r>
            <w:r>
              <w:rPr>
                <w:color w:val="auto"/>
              </w:rPr>
              <w:t>：</w:t>
            </w:r>
          </w:p>
          <w:p w14:paraId="41752DFF">
            <w:pPr>
              <w:adjustRightInd w:val="0"/>
              <w:snapToGrid w:val="0"/>
              <w:jc w:val="center"/>
              <w:rPr>
                <w:b/>
                <w:color w:val="auto"/>
              </w:rPr>
            </w:pPr>
            <w:r>
              <w:rPr>
                <w:b/>
                <w:color w:val="auto"/>
              </w:rPr>
              <w:t>表3-3   水质监测结果 单位：mg/L，pH无量纲</w:t>
            </w:r>
          </w:p>
          <w:tbl>
            <w:tblPr>
              <w:tblStyle w:val="60"/>
              <w:tblW w:w="8734"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5"/>
              <w:gridCol w:w="1740"/>
              <w:gridCol w:w="5"/>
              <w:gridCol w:w="1741"/>
              <w:gridCol w:w="5"/>
              <w:gridCol w:w="1741"/>
              <w:gridCol w:w="5"/>
              <w:gridCol w:w="1741"/>
              <w:gridCol w:w="5"/>
              <w:gridCol w:w="1741"/>
              <w:gridCol w:w="5"/>
            </w:tblGrid>
            <w:tr w14:paraId="3D0E970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3CE8B9F7">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采样日期</w:t>
                  </w:r>
                </w:p>
              </w:tc>
              <w:tc>
                <w:tcPr>
                  <w:tcW w:w="6984" w:type="dxa"/>
                  <w:gridSpan w:val="8"/>
                  <w:tcBorders>
                    <w:tl2br w:val="nil"/>
                    <w:tr2bl w:val="nil"/>
                  </w:tcBorders>
                  <w:vAlign w:val="center"/>
                </w:tcPr>
                <w:p w14:paraId="227A8622">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2025年01月07日</w:t>
                  </w:r>
                </w:p>
              </w:tc>
            </w:tr>
            <w:tr w14:paraId="669088B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27C5E30D">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采样点位</w:t>
                  </w:r>
                </w:p>
              </w:tc>
              <w:tc>
                <w:tcPr>
                  <w:tcW w:w="3492" w:type="dxa"/>
                  <w:gridSpan w:val="4"/>
                  <w:tcBorders>
                    <w:tl2br w:val="nil"/>
                    <w:tr2bl w:val="nil"/>
                  </w:tcBorders>
                  <w:vAlign w:val="center"/>
                </w:tcPr>
                <w:p w14:paraId="0F199F32">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W1点（金坛第二污水处理厂排污口 排污口上游500m）</w:t>
                  </w:r>
                </w:p>
              </w:tc>
              <w:tc>
                <w:tcPr>
                  <w:tcW w:w="3492" w:type="dxa"/>
                  <w:gridSpan w:val="4"/>
                  <w:tcBorders>
                    <w:tl2br w:val="nil"/>
                    <w:tr2bl w:val="nil"/>
                  </w:tcBorders>
                  <w:vAlign w:val="center"/>
                </w:tcPr>
                <w:p w14:paraId="19E74E8D">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W2点（金坛第二污水处理厂排污口 排污口下游2000m）</w:t>
                  </w:r>
                </w:p>
              </w:tc>
            </w:tr>
            <w:tr w14:paraId="16A656D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019AF45D">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pH值（无量纲）</w:t>
                  </w:r>
                </w:p>
              </w:tc>
              <w:tc>
                <w:tcPr>
                  <w:tcW w:w="1746" w:type="dxa"/>
                  <w:gridSpan w:val="2"/>
                  <w:tcBorders>
                    <w:tl2br w:val="nil"/>
                    <w:tr2bl w:val="nil"/>
                  </w:tcBorders>
                  <w:vAlign w:val="center"/>
                </w:tcPr>
                <w:p w14:paraId="0A26B48D">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8.0</w:t>
                  </w:r>
                </w:p>
              </w:tc>
              <w:tc>
                <w:tcPr>
                  <w:tcW w:w="1746" w:type="dxa"/>
                  <w:gridSpan w:val="2"/>
                  <w:tcBorders>
                    <w:tl2br w:val="nil"/>
                    <w:tr2bl w:val="nil"/>
                  </w:tcBorders>
                  <w:vAlign w:val="center"/>
                </w:tcPr>
                <w:p w14:paraId="7089D7D5">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8.2</w:t>
                  </w:r>
                </w:p>
              </w:tc>
              <w:tc>
                <w:tcPr>
                  <w:tcW w:w="1746" w:type="dxa"/>
                  <w:gridSpan w:val="2"/>
                  <w:tcBorders>
                    <w:tl2br w:val="nil"/>
                    <w:tr2bl w:val="nil"/>
                  </w:tcBorders>
                  <w:vAlign w:val="center"/>
                </w:tcPr>
                <w:p w14:paraId="67BEAC69">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7.9</w:t>
                  </w:r>
                </w:p>
              </w:tc>
              <w:tc>
                <w:tcPr>
                  <w:tcW w:w="1746" w:type="dxa"/>
                  <w:gridSpan w:val="2"/>
                  <w:tcBorders>
                    <w:tl2br w:val="nil"/>
                    <w:tr2bl w:val="nil"/>
                  </w:tcBorders>
                  <w:vAlign w:val="center"/>
                </w:tcPr>
                <w:p w14:paraId="3D16F14E">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7.7</w:t>
                  </w:r>
                </w:p>
              </w:tc>
            </w:tr>
            <w:tr w14:paraId="2EDCB09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0529C604">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水温（℃）</w:t>
                  </w:r>
                </w:p>
              </w:tc>
              <w:tc>
                <w:tcPr>
                  <w:tcW w:w="1746" w:type="dxa"/>
                  <w:gridSpan w:val="2"/>
                  <w:tcBorders>
                    <w:tl2br w:val="nil"/>
                    <w:tr2bl w:val="nil"/>
                  </w:tcBorders>
                  <w:vAlign w:val="center"/>
                </w:tcPr>
                <w:p w14:paraId="68FBAB17">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10.8</w:t>
                  </w:r>
                </w:p>
              </w:tc>
              <w:tc>
                <w:tcPr>
                  <w:tcW w:w="1746" w:type="dxa"/>
                  <w:gridSpan w:val="2"/>
                  <w:tcBorders>
                    <w:tl2br w:val="nil"/>
                    <w:tr2bl w:val="nil"/>
                  </w:tcBorders>
                  <w:vAlign w:val="center"/>
                </w:tcPr>
                <w:p w14:paraId="2702D813">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10.6</w:t>
                  </w:r>
                </w:p>
              </w:tc>
              <w:tc>
                <w:tcPr>
                  <w:tcW w:w="1746" w:type="dxa"/>
                  <w:gridSpan w:val="2"/>
                  <w:tcBorders>
                    <w:tl2br w:val="nil"/>
                    <w:tr2bl w:val="nil"/>
                  </w:tcBorders>
                  <w:vAlign w:val="center"/>
                </w:tcPr>
                <w:p w14:paraId="1EAD836A">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10.7</w:t>
                  </w:r>
                </w:p>
              </w:tc>
              <w:tc>
                <w:tcPr>
                  <w:tcW w:w="1746" w:type="dxa"/>
                  <w:gridSpan w:val="2"/>
                  <w:tcBorders>
                    <w:tl2br w:val="nil"/>
                    <w:tr2bl w:val="nil"/>
                  </w:tcBorders>
                  <w:vAlign w:val="center"/>
                </w:tcPr>
                <w:p w14:paraId="122B4129">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11.2</w:t>
                  </w:r>
                </w:p>
              </w:tc>
            </w:tr>
            <w:tr w14:paraId="2F00B77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2277D7EC">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悬浮物（mg/L）</w:t>
                  </w:r>
                </w:p>
              </w:tc>
              <w:tc>
                <w:tcPr>
                  <w:tcW w:w="1746" w:type="dxa"/>
                  <w:gridSpan w:val="2"/>
                  <w:tcBorders>
                    <w:tl2br w:val="nil"/>
                    <w:tr2bl w:val="nil"/>
                  </w:tcBorders>
                  <w:vAlign w:val="center"/>
                </w:tcPr>
                <w:p w14:paraId="59293C3C">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37</w:t>
                  </w:r>
                </w:p>
              </w:tc>
              <w:tc>
                <w:tcPr>
                  <w:tcW w:w="1746" w:type="dxa"/>
                  <w:gridSpan w:val="2"/>
                  <w:tcBorders>
                    <w:tl2br w:val="nil"/>
                    <w:tr2bl w:val="nil"/>
                  </w:tcBorders>
                  <w:vAlign w:val="center"/>
                </w:tcPr>
                <w:p w14:paraId="651A0C7B">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35</w:t>
                  </w:r>
                </w:p>
              </w:tc>
              <w:tc>
                <w:tcPr>
                  <w:tcW w:w="1746" w:type="dxa"/>
                  <w:gridSpan w:val="2"/>
                  <w:tcBorders>
                    <w:tl2br w:val="nil"/>
                    <w:tr2bl w:val="nil"/>
                  </w:tcBorders>
                  <w:vAlign w:val="center"/>
                </w:tcPr>
                <w:p w14:paraId="6650F459">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33</w:t>
                  </w:r>
                </w:p>
              </w:tc>
              <w:tc>
                <w:tcPr>
                  <w:tcW w:w="1746" w:type="dxa"/>
                  <w:gridSpan w:val="2"/>
                  <w:tcBorders>
                    <w:tl2br w:val="nil"/>
                    <w:tr2bl w:val="nil"/>
                  </w:tcBorders>
                  <w:vAlign w:val="center"/>
                </w:tcPr>
                <w:p w14:paraId="41E39D74">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38</w:t>
                  </w:r>
                </w:p>
              </w:tc>
            </w:tr>
            <w:tr w14:paraId="2797E4A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41F64C5B">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化学需氧量（mg/L）</w:t>
                  </w:r>
                </w:p>
              </w:tc>
              <w:tc>
                <w:tcPr>
                  <w:tcW w:w="1746" w:type="dxa"/>
                  <w:gridSpan w:val="2"/>
                  <w:tcBorders>
                    <w:tl2br w:val="nil"/>
                    <w:tr2bl w:val="nil"/>
                  </w:tcBorders>
                  <w:vAlign w:val="center"/>
                </w:tcPr>
                <w:p w14:paraId="4BB6D688">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18</w:t>
                  </w:r>
                </w:p>
              </w:tc>
              <w:tc>
                <w:tcPr>
                  <w:tcW w:w="1746" w:type="dxa"/>
                  <w:gridSpan w:val="2"/>
                  <w:tcBorders>
                    <w:tl2br w:val="nil"/>
                    <w:tr2bl w:val="nil"/>
                  </w:tcBorders>
                  <w:vAlign w:val="center"/>
                </w:tcPr>
                <w:p w14:paraId="4661A554">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17</w:t>
                  </w:r>
                </w:p>
              </w:tc>
              <w:tc>
                <w:tcPr>
                  <w:tcW w:w="1746" w:type="dxa"/>
                  <w:gridSpan w:val="2"/>
                  <w:tcBorders>
                    <w:tl2br w:val="nil"/>
                    <w:tr2bl w:val="nil"/>
                  </w:tcBorders>
                  <w:vAlign w:val="center"/>
                </w:tcPr>
                <w:p w14:paraId="4EC06F7D">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18</w:t>
                  </w:r>
                </w:p>
              </w:tc>
              <w:tc>
                <w:tcPr>
                  <w:tcW w:w="1746" w:type="dxa"/>
                  <w:gridSpan w:val="2"/>
                  <w:tcBorders>
                    <w:tl2br w:val="nil"/>
                    <w:tr2bl w:val="nil"/>
                  </w:tcBorders>
                  <w:vAlign w:val="center"/>
                </w:tcPr>
                <w:p w14:paraId="674278C8">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18</w:t>
                  </w:r>
                </w:p>
              </w:tc>
            </w:tr>
            <w:tr w14:paraId="10CE937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6772AC52">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总磷（mg/L）</w:t>
                  </w:r>
                </w:p>
              </w:tc>
              <w:tc>
                <w:tcPr>
                  <w:tcW w:w="1746" w:type="dxa"/>
                  <w:gridSpan w:val="2"/>
                  <w:tcBorders>
                    <w:tl2br w:val="nil"/>
                    <w:tr2bl w:val="nil"/>
                  </w:tcBorders>
                  <w:vAlign w:val="center"/>
                </w:tcPr>
                <w:p w14:paraId="2B2C836C">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0.11</w:t>
                  </w:r>
                </w:p>
              </w:tc>
              <w:tc>
                <w:tcPr>
                  <w:tcW w:w="1746" w:type="dxa"/>
                  <w:gridSpan w:val="2"/>
                  <w:tcBorders>
                    <w:tl2br w:val="nil"/>
                    <w:tr2bl w:val="nil"/>
                  </w:tcBorders>
                  <w:vAlign w:val="center"/>
                </w:tcPr>
                <w:p w14:paraId="0B49E41D">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0.13</w:t>
                  </w:r>
                </w:p>
              </w:tc>
              <w:tc>
                <w:tcPr>
                  <w:tcW w:w="1746" w:type="dxa"/>
                  <w:gridSpan w:val="2"/>
                  <w:tcBorders>
                    <w:tl2br w:val="nil"/>
                    <w:tr2bl w:val="nil"/>
                  </w:tcBorders>
                  <w:vAlign w:val="center"/>
                </w:tcPr>
                <w:p w14:paraId="3D6A20A8">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0.09</w:t>
                  </w:r>
                </w:p>
              </w:tc>
              <w:tc>
                <w:tcPr>
                  <w:tcW w:w="1746" w:type="dxa"/>
                  <w:gridSpan w:val="2"/>
                  <w:tcBorders>
                    <w:tl2br w:val="nil"/>
                    <w:tr2bl w:val="nil"/>
                  </w:tcBorders>
                  <w:vAlign w:val="center"/>
                </w:tcPr>
                <w:p w14:paraId="7AC8CF41">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0.09</w:t>
                  </w:r>
                </w:p>
              </w:tc>
            </w:tr>
            <w:tr w14:paraId="3F89473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1402CD8D">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氨氮（mg/L）</w:t>
                  </w:r>
                </w:p>
              </w:tc>
              <w:tc>
                <w:tcPr>
                  <w:tcW w:w="1746" w:type="dxa"/>
                  <w:gridSpan w:val="2"/>
                  <w:tcBorders>
                    <w:tl2br w:val="nil"/>
                    <w:tr2bl w:val="nil"/>
                  </w:tcBorders>
                  <w:vAlign w:val="center"/>
                </w:tcPr>
                <w:p w14:paraId="35DF875B">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0.378</w:t>
                  </w:r>
                </w:p>
              </w:tc>
              <w:tc>
                <w:tcPr>
                  <w:tcW w:w="1746" w:type="dxa"/>
                  <w:gridSpan w:val="2"/>
                  <w:tcBorders>
                    <w:tl2br w:val="nil"/>
                    <w:tr2bl w:val="nil"/>
                  </w:tcBorders>
                  <w:vAlign w:val="center"/>
                </w:tcPr>
                <w:p w14:paraId="2961912B">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0.355</w:t>
                  </w:r>
                </w:p>
              </w:tc>
              <w:tc>
                <w:tcPr>
                  <w:tcW w:w="1746" w:type="dxa"/>
                  <w:gridSpan w:val="2"/>
                  <w:tcBorders>
                    <w:tl2br w:val="nil"/>
                    <w:tr2bl w:val="nil"/>
                  </w:tcBorders>
                  <w:vAlign w:val="center"/>
                </w:tcPr>
                <w:p w14:paraId="0454DAC9">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0.395</w:t>
                  </w:r>
                </w:p>
              </w:tc>
              <w:tc>
                <w:tcPr>
                  <w:tcW w:w="1746" w:type="dxa"/>
                  <w:gridSpan w:val="2"/>
                  <w:tcBorders>
                    <w:tl2br w:val="nil"/>
                    <w:tr2bl w:val="nil"/>
                  </w:tcBorders>
                  <w:vAlign w:val="center"/>
                </w:tcPr>
                <w:p w14:paraId="18ED08C1">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0.356</w:t>
                  </w:r>
                </w:p>
              </w:tc>
            </w:tr>
            <w:tr w14:paraId="47BDBF8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2A47BB76">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总氮（mg/L）</w:t>
                  </w:r>
                </w:p>
              </w:tc>
              <w:tc>
                <w:tcPr>
                  <w:tcW w:w="1746" w:type="dxa"/>
                  <w:gridSpan w:val="2"/>
                  <w:tcBorders>
                    <w:tl2br w:val="nil"/>
                    <w:tr2bl w:val="nil"/>
                  </w:tcBorders>
                  <w:vAlign w:val="center"/>
                </w:tcPr>
                <w:p w14:paraId="65809D1F">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0.723</w:t>
                  </w:r>
                </w:p>
              </w:tc>
              <w:tc>
                <w:tcPr>
                  <w:tcW w:w="1746" w:type="dxa"/>
                  <w:gridSpan w:val="2"/>
                  <w:tcBorders>
                    <w:tl2br w:val="nil"/>
                    <w:tr2bl w:val="nil"/>
                  </w:tcBorders>
                  <w:vAlign w:val="center"/>
                </w:tcPr>
                <w:p w14:paraId="641FCFBB">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0.883</w:t>
                  </w:r>
                </w:p>
              </w:tc>
              <w:tc>
                <w:tcPr>
                  <w:tcW w:w="1746" w:type="dxa"/>
                  <w:gridSpan w:val="2"/>
                  <w:tcBorders>
                    <w:tl2br w:val="nil"/>
                    <w:tr2bl w:val="nil"/>
                  </w:tcBorders>
                  <w:vAlign w:val="center"/>
                </w:tcPr>
                <w:p w14:paraId="258836E3">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0.813</w:t>
                  </w:r>
                </w:p>
              </w:tc>
              <w:tc>
                <w:tcPr>
                  <w:tcW w:w="1746" w:type="dxa"/>
                  <w:gridSpan w:val="2"/>
                  <w:tcBorders>
                    <w:tl2br w:val="nil"/>
                    <w:tr2bl w:val="nil"/>
                  </w:tcBorders>
                  <w:vAlign w:val="center"/>
                </w:tcPr>
                <w:p w14:paraId="5D811AF4">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0.913</w:t>
                  </w:r>
                </w:p>
              </w:tc>
            </w:tr>
            <w:tr w14:paraId="2B4B9D1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62BBA814">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样品状态</w:t>
                  </w:r>
                </w:p>
              </w:tc>
              <w:tc>
                <w:tcPr>
                  <w:tcW w:w="3492" w:type="dxa"/>
                  <w:gridSpan w:val="4"/>
                  <w:tcBorders>
                    <w:tl2br w:val="nil"/>
                    <w:tr2bl w:val="nil"/>
                  </w:tcBorders>
                  <w:vAlign w:val="center"/>
                </w:tcPr>
                <w:p w14:paraId="5F5CD318">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无色、微浑、无异味、无浮油、无藻类</w:t>
                  </w:r>
                </w:p>
              </w:tc>
              <w:tc>
                <w:tcPr>
                  <w:tcW w:w="3492" w:type="dxa"/>
                  <w:gridSpan w:val="4"/>
                  <w:tcBorders>
                    <w:tl2br w:val="nil"/>
                    <w:tr2bl w:val="nil"/>
                  </w:tcBorders>
                  <w:vAlign w:val="center"/>
                </w:tcPr>
                <w:p w14:paraId="37420C91">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无色、微浑、无异味、无浮油、无藻类</w:t>
                  </w:r>
                </w:p>
              </w:tc>
            </w:tr>
            <w:tr w14:paraId="2EDD000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After w:val="1"/>
                <w:wAfter w:w="5" w:type="dxa"/>
                <w:jc w:val="center"/>
              </w:trPr>
              <w:tc>
                <w:tcPr>
                  <w:tcW w:w="1745" w:type="dxa"/>
                  <w:gridSpan w:val="2"/>
                  <w:tcBorders>
                    <w:tl2br w:val="nil"/>
                    <w:tr2bl w:val="nil"/>
                  </w:tcBorders>
                  <w:vAlign w:val="center"/>
                </w:tcPr>
                <w:p w14:paraId="042DC237">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采样日期</w:t>
                  </w:r>
                </w:p>
              </w:tc>
              <w:tc>
                <w:tcPr>
                  <w:tcW w:w="6984" w:type="dxa"/>
                  <w:gridSpan w:val="8"/>
                  <w:tcBorders>
                    <w:tl2br w:val="nil"/>
                    <w:tr2bl w:val="nil"/>
                  </w:tcBorders>
                  <w:vAlign w:val="center"/>
                </w:tcPr>
                <w:p w14:paraId="314B15C7">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2025年01月08日</w:t>
                  </w:r>
                </w:p>
              </w:tc>
            </w:tr>
            <w:tr w14:paraId="5EC76AE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After w:val="1"/>
                <w:wAfter w:w="5" w:type="dxa"/>
                <w:jc w:val="center"/>
              </w:trPr>
              <w:tc>
                <w:tcPr>
                  <w:tcW w:w="1745" w:type="dxa"/>
                  <w:gridSpan w:val="2"/>
                  <w:tcBorders>
                    <w:tl2br w:val="nil"/>
                    <w:tr2bl w:val="nil"/>
                  </w:tcBorders>
                  <w:vAlign w:val="center"/>
                </w:tcPr>
                <w:p w14:paraId="513A716B">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采样点位</w:t>
                  </w:r>
                </w:p>
              </w:tc>
              <w:tc>
                <w:tcPr>
                  <w:tcW w:w="3492" w:type="dxa"/>
                  <w:gridSpan w:val="4"/>
                  <w:tcBorders>
                    <w:tl2br w:val="nil"/>
                    <w:tr2bl w:val="nil"/>
                  </w:tcBorders>
                  <w:vAlign w:val="center"/>
                </w:tcPr>
                <w:p w14:paraId="2E915FBA">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W1点（金坛第二污水处理厂排污口 排污口上游500m）</w:t>
                  </w:r>
                </w:p>
              </w:tc>
              <w:tc>
                <w:tcPr>
                  <w:tcW w:w="3492" w:type="dxa"/>
                  <w:gridSpan w:val="4"/>
                  <w:tcBorders>
                    <w:tl2br w:val="nil"/>
                    <w:tr2bl w:val="nil"/>
                  </w:tcBorders>
                  <w:vAlign w:val="center"/>
                </w:tcPr>
                <w:p w14:paraId="399290BD">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W2点（金坛第二污水处理厂排污口 排污口下游2000m）</w:t>
                  </w:r>
                </w:p>
              </w:tc>
            </w:tr>
            <w:tr w14:paraId="1E2BF12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After w:val="1"/>
                <w:wAfter w:w="5" w:type="dxa"/>
                <w:jc w:val="center"/>
              </w:trPr>
              <w:tc>
                <w:tcPr>
                  <w:tcW w:w="1745" w:type="dxa"/>
                  <w:gridSpan w:val="2"/>
                  <w:tcBorders>
                    <w:tl2br w:val="nil"/>
                    <w:tr2bl w:val="nil"/>
                  </w:tcBorders>
                  <w:vAlign w:val="center"/>
                </w:tcPr>
                <w:p w14:paraId="3BE212FE">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pH值（无量纲）</w:t>
                  </w:r>
                </w:p>
              </w:tc>
              <w:tc>
                <w:tcPr>
                  <w:tcW w:w="1746" w:type="dxa"/>
                  <w:gridSpan w:val="2"/>
                  <w:tcBorders>
                    <w:tl2br w:val="nil"/>
                    <w:tr2bl w:val="nil"/>
                  </w:tcBorders>
                  <w:vAlign w:val="center"/>
                </w:tcPr>
                <w:p w14:paraId="3D6057D7">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7.8</w:t>
                  </w:r>
                </w:p>
              </w:tc>
              <w:tc>
                <w:tcPr>
                  <w:tcW w:w="1746" w:type="dxa"/>
                  <w:gridSpan w:val="2"/>
                  <w:tcBorders>
                    <w:tl2br w:val="nil"/>
                    <w:tr2bl w:val="nil"/>
                  </w:tcBorders>
                  <w:vAlign w:val="center"/>
                </w:tcPr>
                <w:p w14:paraId="4EE9EC49">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7.7</w:t>
                  </w:r>
                </w:p>
              </w:tc>
              <w:tc>
                <w:tcPr>
                  <w:tcW w:w="1746" w:type="dxa"/>
                  <w:gridSpan w:val="2"/>
                  <w:tcBorders>
                    <w:tl2br w:val="nil"/>
                    <w:tr2bl w:val="nil"/>
                  </w:tcBorders>
                  <w:vAlign w:val="center"/>
                </w:tcPr>
                <w:p w14:paraId="3918F06F">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7.2</w:t>
                  </w:r>
                </w:p>
              </w:tc>
              <w:tc>
                <w:tcPr>
                  <w:tcW w:w="1746" w:type="dxa"/>
                  <w:gridSpan w:val="2"/>
                  <w:tcBorders>
                    <w:tl2br w:val="nil"/>
                    <w:tr2bl w:val="nil"/>
                  </w:tcBorders>
                  <w:vAlign w:val="center"/>
                </w:tcPr>
                <w:p w14:paraId="7D4A3D3F">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7.7</w:t>
                  </w:r>
                </w:p>
              </w:tc>
            </w:tr>
            <w:tr w14:paraId="5541B81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After w:val="1"/>
                <w:wAfter w:w="5" w:type="dxa"/>
                <w:jc w:val="center"/>
              </w:trPr>
              <w:tc>
                <w:tcPr>
                  <w:tcW w:w="1745" w:type="dxa"/>
                  <w:gridSpan w:val="2"/>
                  <w:tcBorders>
                    <w:tl2br w:val="nil"/>
                    <w:tr2bl w:val="nil"/>
                  </w:tcBorders>
                  <w:vAlign w:val="center"/>
                </w:tcPr>
                <w:p w14:paraId="5FCB042C">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水温（℃）</w:t>
                  </w:r>
                </w:p>
              </w:tc>
              <w:tc>
                <w:tcPr>
                  <w:tcW w:w="1746" w:type="dxa"/>
                  <w:gridSpan w:val="2"/>
                  <w:tcBorders>
                    <w:tl2br w:val="nil"/>
                    <w:tr2bl w:val="nil"/>
                  </w:tcBorders>
                  <w:vAlign w:val="center"/>
                </w:tcPr>
                <w:p w14:paraId="1C4FD9B1">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9.5</w:t>
                  </w:r>
                </w:p>
              </w:tc>
              <w:tc>
                <w:tcPr>
                  <w:tcW w:w="1746" w:type="dxa"/>
                  <w:gridSpan w:val="2"/>
                  <w:tcBorders>
                    <w:tl2br w:val="nil"/>
                    <w:tr2bl w:val="nil"/>
                  </w:tcBorders>
                  <w:vAlign w:val="center"/>
                </w:tcPr>
                <w:p w14:paraId="0350D324">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9.4</w:t>
                  </w:r>
                </w:p>
              </w:tc>
              <w:tc>
                <w:tcPr>
                  <w:tcW w:w="1746" w:type="dxa"/>
                  <w:gridSpan w:val="2"/>
                  <w:tcBorders>
                    <w:tl2br w:val="nil"/>
                    <w:tr2bl w:val="nil"/>
                  </w:tcBorders>
                  <w:vAlign w:val="center"/>
                </w:tcPr>
                <w:p w14:paraId="1E254BE4">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9.4</w:t>
                  </w:r>
                </w:p>
              </w:tc>
              <w:tc>
                <w:tcPr>
                  <w:tcW w:w="1746" w:type="dxa"/>
                  <w:gridSpan w:val="2"/>
                  <w:tcBorders>
                    <w:tl2br w:val="nil"/>
                    <w:tr2bl w:val="nil"/>
                  </w:tcBorders>
                  <w:vAlign w:val="center"/>
                </w:tcPr>
                <w:p w14:paraId="7279B4F2">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9.2</w:t>
                  </w:r>
                </w:p>
              </w:tc>
            </w:tr>
            <w:tr w14:paraId="1B10D78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After w:val="1"/>
                <w:wAfter w:w="5" w:type="dxa"/>
                <w:jc w:val="center"/>
              </w:trPr>
              <w:tc>
                <w:tcPr>
                  <w:tcW w:w="1745" w:type="dxa"/>
                  <w:gridSpan w:val="2"/>
                  <w:tcBorders>
                    <w:tl2br w:val="nil"/>
                    <w:tr2bl w:val="nil"/>
                  </w:tcBorders>
                  <w:vAlign w:val="center"/>
                </w:tcPr>
                <w:p w14:paraId="282F391E">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悬浮物（mg/L）</w:t>
                  </w:r>
                </w:p>
              </w:tc>
              <w:tc>
                <w:tcPr>
                  <w:tcW w:w="1746" w:type="dxa"/>
                  <w:gridSpan w:val="2"/>
                  <w:tcBorders>
                    <w:tl2br w:val="nil"/>
                    <w:tr2bl w:val="nil"/>
                  </w:tcBorders>
                  <w:vAlign w:val="center"/>
                </w:tcPr>
                <w:p w14:paraId="7C8568C5">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29</w:t>
                  </w:r>
                </w:p>
              </w:tc>
              <w:tc>
                <w:tcPr>
                  <w:tcW w:w="1746" w:type="dxa"/>
                  <w:gridSpan w:val="2"/>
                  <w:tcBorders>
                    <w:tl2br w:val="nil"/>
                    <w:tr2bl w:val="nil"/>
                  </w:tcBorders>
                  <w:vAlign w:val="center"/>
                </w:tcPr>
                <w:p w14:paraId="53EFB981">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24</w:t>
                  </w:r>
                </w:p>
              </w:tc>
              <w:tc>
                <w:tcPr>
                  <w:tcW w:w="1746" w:type="dxa"/>
                  <w:gridSpan w:val="2"/>
                  <w:tcBorders>
                    <w:tl2br w:val="nil"/>
                    <w:tr2bl w:val="nil"/>
                  </w:tcBorders>
                  <w:vAlign w:val="center"/>
                </w:tcPr>
                <w:p w14:paraId="7D3A1FCB">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26</w:t>
                  </w:r>
                </w:p>
              </w:tc>
              <w:tc>
                <w:tcPr>
                  <w:tcW w:w="1746" w:type="dxa"/>
                  <w:gridSpan w:val="2"/>
                  <w:tcBorders>
                    <w:tl2br w:val="nil"/>
                    <w:tr2bl w:val="nil"/>
                  </w:tcBorders>
                  <w:vAlign w:val="center"/>
                </w:tcPr>
                <w:p w14:paraId="28D1028C">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25</w:t>
                  </w:r>
                </w:p>
              </w:tc>
            </w:tr>
            <w:tr w14:paraId="521E8D8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After w:val="1"/>
                <w:wAfter w:w="5" w:type="dxa"/>
                <w:jc w:val="center"/>
              </w:trPr>
              <w:tc>
                <w:tcPr>
                  <w:tcW w:w="1745" w:type="dxa"/>
                  <w:gridSpan w:val="2"/>
                  <w:tcBorders>
                    <w:tl2br w:val="nil"/>
                    <w:tr2bl w:val="nil"/>
                  </w:tcBorders>
                  <w:vAlign w:val="center"/>
                </w:tcPr>
                <w:p w14:paraId="6F674B16">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化学需氧量（mg/L）</w:t>
                  </w:r>
                </w:p>
              </w:tc>
              <w:tc>
                <w:tcPr>
                  <w:tcW w:w="1746" w:type="dxa"/>
                  <w:gridSpan w:val="2"/>
                  <w:tcBorders>
                    <w:tl2br w:val="nil"/>
                    <w:tr2bl w:val="nil"/>
                  </w:tcBorders>
                  <w:vAlign w:val="center"/>
                </w:tcPr>
                <w:p w14:paraId="5B8B6CDB">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17</w:t>
                  </w:r>
                </w:p>
              </w:tc>
              <w:tc>
                <w:tcPr>
                  <w:tcW w:w="1746" w:type="dxa"/>
                  <w:gridSpan w:val="2"/>
                  <w:tcBorders>
                    <w:tl2br w:val="nil"/>
                    <w:tr2bl w:val="nil"/>
                  </w:tcBorders>
                  <w:vAlign w:val="center"/>
                </w:tcPr>
                <w:p w14:paraId="14A7AEE4">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16</w:t>
                  </w:r>
                </w:p>
              </w:tc>
              <w:tc>
                <w:tcPr>
                  <w:tcW w:w="1746" w:type="dxa"/>
                  <w:gridSpan w:val="2"/>
                  <w:tcBorders>
                    <w:tl2br w:val="nil"/>
                    <w:tr2bl w:val="nil"/>
                  </w:tcBorders>
                  <w:vAlign w:val="center"/>
                </w:tcPr>
                <w:p w14:paraId="22EDD224">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19</w:t>
                  </w:r>
                </w:p>
              </w:tc>
              <w:tc>
                <w:tcPr>
                  <w:tcW w:w="1746" w:type="dxa"/>
                  <w:gridSpan w:val="2"/>
                  <w:tcBorders>
                    <w:tl2br w:val="nil"/>
                    <w:tr2bl w:val="nil"/>
                  </w:tcBorders>
                  <w:vAlign w:val="center"/>
                </w:tcPr>
                <w:p w14:paraId="3941A06D">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18</w:t>
                  </w:r>
                </w:p>
              </w:tc>
            </w:tr>
            <w:tr w14:paraId="7A4352A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After w:val="1"/>
                <w:wAfter w:w="5" w:type="dxa"/>
                <w:jc w:val="center"/>
              </w:trPr>
              <w:tc>
                <w:tcPr>
                  <w:tcW w:w="1745" w:type="dxa"/>
                  <w:gridSpan w:val="2"/>
                  <w:tcBorders>
                    <w:tl2br w:val="nil"/>
                    <w:tr2bl w:val="nil"/>
                  </w:tcBorders>
                  <w:vAlign w:val="center"/>
                </w:tcPr>
                <w:p w14:paraId="23DCD8D3">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总磷（mg/L）</w:t>
                  </w:r>
                </w:p>
              </w:tc>
              <w:tc>
                <w:tcPr>
                  <w:tcW w:w="1746" w:type="dxa"/>
                  <w:gridSpan w:val="2"/>
                  <w:tcBorders>
                    <w:tl2br w:val="nil"/>
                    <w:tr2bl w:val="nil"/>
                  </w:tcBorders>
                  <w:vAlign w:val="center"/>
                </w:tcPr>
                <w:p w14:paraId="6D6A2DD9">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0.07</w:t>
                  </w:r>
                </w:p>
              </w:tc>
              <w:tc>
                <w:tcPr>
                  <w:tcW w:w="1746" w:type="dxa"/>
                  <w:gridSpan w:val="2"/>
                  <w:tcBorders>
                    <w:tl2br w:val="nil"/>
                    <w:tr2bl w:val="nil"/>
                  </w:tcBorders>
                  <w:vAlign w:val="center"/>
                </w:tcPr>
                <w:p w14:paraId="51142C67">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0.07</w:t>
                  </w:r>
                </w:p>
              </w:tc>
              <w:tc>
                <w:tcPr>
                  <w:tcW w:w="1746" w:type="dxa"/>
                  <w:gridSpan w:val="2"/>
                  <w:tcBorders>
                    <w:tl2br w:val="nil"/>
                    <w:tr2bl w:val="nil"/>
                  </w:tcBorders>
                  <w:vAlign w:val="center"/>
                </w:tcPr>
                <w:p w14:paraId="187538DC">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0.06</w:t>
                  </w:r>
                </w:p>
              </w:tc>
              <w:tc>
                <w:tcPr>
                  <w:tcW w:w="1746" w:type="dxa"/>
                  <w:gridSpan w:val="2"/>
                  <w:tcBorders>
                    <w:tl2br w:val="nil"/>
                    <w:tr2bl w:val="nil"/>
                  </w:tcBorders>
                  <w:vAlign w:val="center"/>
                </w:tcPr>
                <w:p w14:paraId="49449187">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0.07</w:t>
                  </w:r>
                </w:p>
              </w:tc>
            </w:tr>
            <w:tr w14:paraId="665061C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After w:val="1"/>
                <w:wAfter w:w="5" w:type="dxa"/>
                <w:jc w:val="center"/>
              </w:trPr>
              <w:tc>
                <w:tcPr>
                  <w:tcW w:w="1745" w:type="dxa"/>
                  <w:gridSpan w:val="2"/>
                  <w:tcBorders>
                    <w:tl2br w:val="nil"/>
                    <w:tr2bl w:val="nil"/>
                  </w:tcBorders>
                  <w:vAlign w:val="center"/>
                </w:tcPr>
                <w:p w14:paraId="52F9624B">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氨氮（mg/L）</w:t>
                  </w:r>
                </w:p>
              </w:tc>
              <w:tc>
                <w:tcPr>
                  <w:tcW w:w="1746" w:type="dxa"/>
                  <w:gridSpan w:val="2"/>
                  <w:tcBorders>
                    <w:tl2br w:val="nil"/>
                    <w:tr2bl w:val="nil"/>
                  </w:tcBorders>
                  <w:vAlign w:val="center"/>
                </w:tcPr>
                <w:p w14:paraId="408CF32F">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0.342</w:t>
                  </w:r>
                </w:p>
              </w:tc>
              <w:tc>
                <w:tcPr>
                  <w:tcW w:w="1746" w:type="dxa"/>
                  <w:gridSpan w:val="2"/>
                  <w:tcBorders>
                    <w:tl2br w:val="nil"/>
                    <w:tr2bl w:val="nil"/>
                  </w:tcBorders>
                  <w:vAlign w:val="center"/>
                </w:tcPr>
                <w:p w14:paraId="3F81C466">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0.349</w:t>
                  </w:r>
                </w:p>
              </w:tc>
              <w:tc>
                <w:tcPr>
                  <w:tcW w:w="1746" w:type="dxa"/>
                  <w:gridSpan w:val="2"/>
                  <w:tcBorders>
                    <w:tl2br w:val="nil"/>
                    <w:tr2bl w:val="nil"/>
                  </w:tcBorders>
                  <w:vAlign w:val="center"/>
                </w:tcPr>
                <w:p w14:paraId="2589A1C2">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0.368</w:t>
                  </w:r>
                </w:p>
              </w:tc>
              <w:tc>
                <w:tcPr>
                  <w:tcW w:w="1746" w:type="dxa"/>
                  <w:gridSpan w:val="2"/>
                  <w:tcBorders>
                    <w:tl2br w:val="nil"/>
                    <w:tr2bl w:val="nil"/>
                  </w:tcBorders>
                  <w:vAlign w:val="center"/>
                </w:tcPr>
                <w:p w14:paraId="3C3EF15E">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0.386</w:t>
                  </w:r>
                </w:p>
              </w:tc>
            </w:tr>
            <w:tr w14:paraId="77E77E7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After w:val="1"/>
                <w:wAfter w:w="5" w:type="dxa"/>
                <w:jc w:val="center"/>
              </w:trPr>
              <w:tc>
                <w:tcPr>
                  <w:tcW w:w="1745" w:type="dxa"/>
                  <w:gridSpan w:val="2"/>
                  <w:tcBorders>
                    <w:tl2br w:val="nil"/>
                    <w:tr2bl w:val="nil"/>
                  </w:tcBorders>
                  <w:vAlign w:val="center"/>
                </w:tcPr>
                <w:p w14:paraId="28FB9200">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总氮（mg/L）</w:t>
                  </w:r>
                </w:p>
              </w:tc>
              <w:tc>
                <w:tcPr>
                  <w:tcW w:w="1746" w:type="dxa"/>
                  <w:gridSpan w:val="2"/>
                  <w:tcBorders>
                    <w:tl2br w:val="nil"/>
                    <w:tr2bl w:val="nil"/>
                  </w:tcBorders>
                  <w:vAlign w:val="center"/>
                </w:tcPr>
                <w:p w14:paraId="4BEFD215">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0.803</w:t>
                  </w:r>
                </w:p>
              </w:tc>
              <w:tc>
                <w:tcPr>
                  <w:tcW w:w="1746" w:type="dxa"/>
                  <w:gridSpan w:val="2"/>
                  <w:tcBorders>
                    <w:tl2br w:val="nil"/>
                    <w:tr2bl w:val="nil"/>
                  </w:tcBorders>
                  <w:vAlign w:val="center"/>
                </w:tcPr>
                <w:p w14:paraId="25F1ACCE">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0.843</w:t>
                  </w:r>
                </w:p>
              </w:tc>
              <w:tc>
                <w:tcPr>
                  <w:tcW w:w="1746" w:type="dxa"/>
                  <w:gridSpan w:val="2"/>
                  <w:tcBorders>
                    <w:tl2br w:val="nil"/>
                    <w:tr2bl w:val="nil"/>
                  </w:tcBorders>
                  <w:vAlign w:val="center"/>
                </w:tcPr>
                <w:p w14:paraId="27A683E0">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0.923</w:t>
                  </w:r>
                </w:p>
              </w:tc>
              <w:tc>
                <w:tcPr>
                  <w:tcW w:w="1746" w:type="dxa"/>
                  <w:gridSpan w:val="2"/>
                  <w:tcBorders>
                    <w:tl2br w:val="nil"/>
                    <w:tr2bl w:val="nil"/>
                  </w:tcBorders>
                  <w:vAlign w:val="center"/>
                </w:tcPr>
                <w:p w14:paraId="6325CA6E">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0.783</w:t>
                  </w:r>
                </w:p>
              </w:tc>
            </w:tr>
            <w:tr w14:paraId="498647B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After w:val="1"/>
                <w:wAfter w:w="5" w:type="dxa"/>
                <w:jc w:val="center"/>
              </w:trPr>
              <w:tc>
                <w:tcPr>
                  <w:tcW w:w="1745" w:type="dxa"/>
                  <w:gridSpan w:val="2"/>
                  <w:tcBorders>
                    <w:tl2br w:val="nil"/>
                    <w:tr2bl w:val="nil"/>
                  </w:tcBorders>
                  <w:vAlign w:val="center"/>
                </w:tcPr>
                <w:p w14:paraId="67C27C54">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样品状态</w:t>
                  </w:r>
                </w:p>
              </w:tc>
              <w:tc>
                <w:tcPr>
                  <w:tcW w:w="3492" w:type="dxa"/>
                  <w:gridSpan w:val="4"/>
                  <w:tcBorders>
                    <w:tl2br w:val="nil"/>
                    <w:tr2bl w:val="nil"/>
                  </w:tcBorders>
                  <w:vAlign w:val="center"/>
                </w:tcPr>
                <w:p w14:paraId="5028BDD3">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无色、微浑、无异味、无浮油、无藻类</w:t>
                  </w:r>
                </w:p>
              </w:tc>
              <w:tc>
                <w:tcPr>
                  <w:tcW w:w="3492" w:type="dxa"/>
                  <w:gridSpan w:val="4"/>
                  <w:tcBorders>
                    <w:tl2br w:val="nil"/>
                    <w:tr2bl w:val="nil"/>
                  </w:tcBorders>
                  <w:vAlign w:val="center"/>
                </w:tcPr>
                <w:p w14:paraId="5E4441B1">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无色、微浑、无异味、无浮油、无藻类</w:t>
                  </w:r>
                </w:p>
              </w:tc>
            </w:tr>
            <w:tr w14:paraId="1E7E3A1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6182B0E8">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采样日期</w:t>
                  </w:r>
                </w:p>
              </w:tc>
              <w:tc>
                <w:tcPr>
                  <w:tcW w:w="6984" w:type="dxa"/>
                  <w:gridSpan w:val="8"/>
                  <w:tcBorders>
                    <w:tl2br w:val="nil"/>
                    <w:tr2bl w:val="nil"/>
                  </w:tcBorders>
                  <w:vAlign w:val="center"/>
                </w:tcPr>
                <w:p w14:paraId="037B1C73">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2025年01月09日</w:t>
                  </w:r>
                </w:p>
              </w:tc>
            </w:tr>
            <w:tr w14:paraId="5D3E916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72B42FE1">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采样点位</w:t>
                  </w:r>
                </w:p>
              </w:tc>
              <w:tc>
                <w:tcPr>
                  <w:tcW w:w="3492" w:type="dxa"/>
                  <w:gridSpan w:val="4"/>
                  <w:tcBorders>
                    <w:tl2br w:val="nil"/>
                    <w:tr2bl w:val="nil"/>
                  </w:tcBorders>
                  <w:vAlign w:val="center"/>
                </w:tcPr>
                <w:p w14:paraId="6076D9D6">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W1点（金坛第二污水处理厂排污口 排污口上游500m）</w:t>
                  </w:r>
                </w:p>
              </w:tc>
              <w:tc>
                <w:tcPr>
                  <w:tcW w:w="3492" w:type="dxa"/>
                  <w:gridSpan w:val="4"/>
                  <w:tcBorders>
                    <w:tl2br w:val="nil"/>
                    <w:tr2bl w:val="nil"/>
                  </w:tcBorders>
                  <w:vAlign w:val="center"/>
                </w:tcPr>
                <w:p w14:paraId="2D97EE93">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W2点（金坛第二污水处理厂排污口 排污口下游2000m）</w:t>
                  </w:r>
                </w:p>
              </w:tc>
            </w:tr>
            <w:tr w14:paraId="753FDF0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5057766C">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pH值（无量纲）</w:t>
                  </w:r>
                </w:p>
              </w:tc>
              <w:tc>
                <w:tcPr>
                  <w:tcW w:w="1746" w:type="dxa"/>
                  <w:gridSpan w:val="2"/>
                  <w:tcBorders>
                    <w:tl2br w:val="nil"/>
                    <w:tr2bl w:val="nil"/>
                  </w:tcBorders>
                  <w:vAlign w:val="center"/>
                </w:tcPr>
                <w:p w14:paraId="4F026B02">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7.8</w:t>
                  </w:r>
                </w:p>
              </w:tc>
              <w:tc>
                <w:tcPr>
                  <w:tcW w:w="1746" w:type="dxa"/>
                  <w:gridSpan w:val="2"/>
                  <w:tcBorders>
                    <w:tl2br w:val="nil"/>
                    <w:tr2bl w:val="nil"/>
                  </w:tcBorders>
                  <w:vAlign w:val="center"/>
                </w:tcPr>
                <w:p w14:paraId="68204031">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7.8</w:t>
                  </w:r>
                </w:p>
              </w:tc>
              <w:tc>
                <w:tcPr>
                  <w:tcW w:w="1746" w:type="dxa"/>
                  <w:gridSpan w:val="2"/>
                  <w:tcBorders>
                    <w:tl2br w:val="nil"/>
                    <w:tr2bl w:val="nil"/>
                  </w:tcBorders>
                  <w:vAlign w:val="center"/>
                </w:tcPr>
                <w:p w14:paraId="21B98109">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7.7</w:t>
                  </w:r>
                </w:p>
              </w:tc>
              <w:tc>
                <w:tcPr>
                  <w:tcW w:w="1746" w:type="dxa"/>
                  <w:gridSpan w:val="2"/>
                  <w:tcBorders>
                    <w:tl2br w:val="nil"/>
                    <w:tr2bl w:val="nil"/>
                  </w:tcBorders>
                  <w:vAlign w:val="center"/>
                </w:tcPr>
                <w:p w14:paraId="06415C13">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7.8</w:t>
                  </w:r>
                </w:p>
              </w:tc>
            </w:tr>
            <w:tr w14:paraId="366A389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06AFB493">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水温（℃）</w:t>
                  </w:r>
                </w:p>
              </w:tc>
              <w:tc>
                <w:tcPr>
                  <w:tcW w:w="1746" w:type="dxa"/>
                  <w:gridSpan w:val="2"/>
                  <w:tcBorders>
                    <w:tl2br w:val="nil"/>
                    <w:tr2bl w:val="nil"/>
                  </w:tcBorders>
                  <w:vAlign w:val="center"/>
                </w:tcPr>
                <w:p w14:paraId="313645B0">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8.7</w:t>
                  </w:r>
                </w:p>
              </w:tc>
              <w:tc>
                <w:tcPr>
                  <w:tcW w:w="1746" w:type="dxa"/>
                  <w:gridSpan w:val="2"/>
                  <w:tcBorders>
                    <w:tl2br w:val="nil"/>
                    <w:tr2bl w:val="nil"/>
                  </w:tcBorders>
                  <w:vAlign w:val="center"/>
                </w:tcPr>
                <w:p w14:paraId="2CC300B7">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8.8</w:t>
                  </w:r>
                </w:p>
              </w:tc>
              <w:tc>
                <w:tcPr>
                  <w:tcW w:w="1746" w:type="dxa"/>
                  <w:gridSpan w:val="2"/>
                  <w:tcBorders>
                    <w:tl2br w:val="nil"/>
                    <w:tr2bl w:val="nil"/>
                  </w:tcBorders>
                  <w:vAlign w:val="center"/>
                </w:tcPr>
                <w:p w14:paraId="299CA6C2">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8.2</w:t>
                  </w:r>
                </w:p>
              </w:tc>
              <w:tc>
                <w:tcPr>
                  <w:tcW w:w="1746" w:type="dxa"/>
                  <w:gridSpan w:val="2"/>
                  <w:tcBorders>
                    <w:tl2br w:val="nil"/>
                    <w:tr2bl w:val="nil"/>
                  </w:tcBorders>
                  <w:vAlign w:val="center"/>
                </w:tcPr>
                <w:p w14:paraId="368892D4">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7.9</w:t>
                  </w:r>
                </w:p>
              </w:tc>
            </w:tr>
            <w:tr w14:paraId="76AFC0E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559ACC8B">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悬浮物（mg/L）</w:t>
                  </w:r>
                </w:p>
              </w:tc>
              <w:tc>
                <w:tcPr>
                  <w:tcW w:w="1746" w:type="dxa"/>
                  <w:gridSpan w:val="2"/>
                  <w:tcBorders>
                    <w:tl2br w:val="nil"/>
                    <w:tr2bl w:val="nil"/>
                  </w:tcBorders>
                  <w:vAlign w:val="center"/>
                </w:tcPr>
                <w:p w14:paraId="2321C860">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29</w:t>
                  </w:r>
                </w:p>
              </w:tc>
              <w:tc>
                <w:tcPr>
                  <w:tcW w:w="1746" w:type="dxa"/>
                  <w:gridSpan w:val="2"/>
                  <w:tcBorders>
                    <w:tl2br w:val="nil"/>
                    <w:tr2bl w:val="nil"/>
                  </w:tcBorders>
                  <w:vAlign w:val="center"/>
                </w:tcPr>
                <w:p w14:paraId="16283DB9">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29</w:t>
                  </w:r>
                </w:p>
              </w:tc>
              <w:tc>
                <w:tcPr>
                  <w:tcW w:w="1746" w:type="dxa"/>
                  <w:gridSpan w:val="2"/>
                  <w:tcBorders>
                    <w:tl2br w:val="nil"/>
                    <w:tr2bl w:val="nil"/>
                  </w:tcBorders>
                  <w:vAlign w:val="center"/>
                </w:tcPr>
                <w:p w14:paraId="1BB9078D">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20</w:t>
                  </w:r>
                </w:p>
              </w:tc>
              <w:tc>
                <w:tcPr>
                  <w:tcW w:w="1746" w:type="dxa"/>
                  <w:gridSpan w:val="2"/>
                  <w:tcBorders>
                    <w:tl2br w:val="nil"/>
                    <w:tr2bl w:val="nil"/>
                  </w:tcBorders>
                  <w:vAlign w:val="center"/>
                </w:tcPr>
                <w:p w14:paraId="2B0B7147">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20</w:t>
                  </w:r>
                </w:p>
              </w:tc>
            </w:tr>
            <w:tr w14:paraId="55E907C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5B379BEF">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化学需氧量（mg/L）</w:t>
                  </w:r>
                </w:p>
              </w:tc>
              <w:tc>
                <w:tcPr>
                  <w:tcW w:w="1746" w:type="dxa"/>
                  <w:gridSpan w:val="2"/>
                  <w:tcBorders>
                    <w:tl2br w:val="nil"/>
                    <w:tr2bl w:val="nil"/>
                  </w:tcBorders>
                  <w:vAlign w:val="center"/>
                </w:tcPr>
                <w:p w14:paraId="477368C5">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18</w:t>
                  </w:r>
                </w:p>
              </w:tc>
              <w:tc>
                <w:tcPr>
                  <w:tcW w:w="1746" w:type="dxa"/>
                  <w:gridSpan w:val="2"/>
                  <w:tcBorders>
                    <w:tl2br w:val="nil"/>
                    <w:tr2bl w:val="nil"/>
                  </w:tcBorders>
                  <w:vAlign w:val="center"/>
                </w:tcPr>
                <w:p w14:paraId="34D2565A">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17</w:t>
                  </w:r>
                </w:p>
              </w:tc>
              <w:tc>
                <w:tcPr>
                  <w:tcW w:w="1746" w:type="dxa"/>
                  <w:gridSpan w:val="2"/>
                  <w:tcBorders>
                    <w:tl2br w:val="nil"/>
                    <w:tr2bl w:val="nil"/>
                  </w:tcBorders>
                  <w:vAlign w:val="center"/>
                </w:tcPr>
                <w:p w14:paraId="217B7854">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19</w:t>
                  </w:r>
                </w:p>
              </w:tc>
              <w:tc>
                <w:tcPr>
                  <w:tcW w:w="1746" w:type="dxa"/>
                  <w:gridSpan w:val="2"/>
                  <w:tcBorders>
                    <w:tl2br w:val="nil"/>
                    <w:tr2bl w:val="nil"/>
                  </w:tcBorders>
                  <w:vAlign w:val="center"/>
                </w:tcPr>
                <w:p w14:paraId="66936FEC">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18</w:t>
                  </w:r>
                </w:p>
              </w:tc>
            </w:tr>
            <w:tr w14:paraId="6A6D1CF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4A9E746C">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总磷（mg/L）</w:t>
                  </w:r>
                </w:p>
              </w:tc>
              <w:tc>
                <w:tcPr>
                  <w:tcW w:w="1746" w:type="dxa"/>
                  <w:gridSpan w:val="2"/>
                  <w:tcBorders>
                    <w:tl2br w:val="nil"/>
                    <w:tr2bl w:val="nil"/>
                  </w:tcBorders>
                  <w:vAlign w:val="center"/>
                </w:tcPr>
                <w:p w14:paraId="1D074117">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0.09</w:t>
                  </w:r>
                </w:p>
              </w:tc>
              <w:tc>
                <w:tcPr>
                  <w:tcW w:w="1746" w:type="dxa"/>
                  <w:gridSpan w:val="2"/>
                  <w:tcBorders>
                    <w:tl2br w:val="nil"/>
                    <w:tr2bl w:val="nil"/>
                  </w:tcBorders>
                  <w:vAlign w:val="center"/>
                </w:tcPr>
                <w:p w14:paraId="12AB1E09">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0.12</w:t>
                  </w:r>
                </w:p>
              </w:tc>
              <w:tc>
                <w:tcPr>
                  <w:tcW w:w="1746" w:type="dxa"/>
                  <w:gridSpan w:val="2"/>
                  <w:tcBorders>
                    <w:tl2br w:val="nil"/>
                    <w:tr2bl w:val="nil"/>
                  </w:tcBorders>
                  <w:vAlign w:val="center"/>
                </w:tcPr>
                <w:p w14:paraId="1B4EF7C9">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0.12</w:t>
                  </w:r>
                </w:p>
              </w:tc>
              <w:tc>
                <w:tcPr>
                  <w:tcW w:w="1746" w:type="dxa"/>
                  <w:gridSpan w:val="2"/>
                  <w:tcBorders>
                    <w:tl2br w:val="nil"/>
                    <w:tr2bl w:val="nil"/>
                  </w:tcBorders>
                  <w:vAlign w:val="center"/>
                </w:tcPr>
                <w:p w14:paraId="69AB9B5E">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0.09</w:t>
                  </w:r>
                </w:p>
              </w:tc>
            </w:tr>
            <w:tr w14:paraId="273DAC3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3C01187B">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氨氮（mg/L）</w:t>
                  </w:r>
                </w:p>
              </w:tc>
              <w:tc>
                <w:tcPr>
                  <w:tcW w:w="1746" w:type="dxa"/>
                  <w:gridSpan w:val="2"/>
                  <w:tcBorders>
                    <w:tl2br w:val="nil"/>
                    <w:tr2bl w:val="nil"/>
                  </w:tcBorders>
                  <w:vAlign w:val="center"/>
                </w:tcPr>
                <w:p w14:paraId="4D01AB0F">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0.263</w:t>
                  </w:r>
                </w:p>
              </w:tc>
              <w:tc>
                <w:tcPr>
                  <w:tcW w:w="1746" w:type="dxa"/>
                  <w:gridSpan w:val="2"/>
                  <w:tcBorders>
                    <w:tl2br w:val="nil"/>
                    <w:tr2bl w:val="nil"/>
                  </w:tcBorders>
                  <w:vAlign w:val="center"/>
                </w:tcPr>
                <w:p w14:paraId="0538B899">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0.447</w:t>
                  </w:r>
                </w:p>
              </w:tc>
              <w:tc>
                <w:tcPr>
                  <w:tcW w:w="1746" w:type="dxa"/>
                  <w:gridSpan w:val="2"/>
                  <w:tcBorders>
                    <w:tl2br w:val="nil"/>
                    <w:tr2bl w:val="nil"/>
                  </w:tcBorders>
                  <w:vAlign w:val="center"/>
                </w:tcPr>
                <w:p w14:paraId="6D6DCA6E">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0.368</w:t>
                  </w:r>
                </w:p>
              </w:tc>
              <w:tc>
                <w:tcPr>
                  <w:tcW w:w="1746" w:type="dxa"/>
                  <w:gridSpan w:val="2"/>
                  <w:tcBorders>
                    <w:tl2br w:val="nil"/>
                    <w:tr2bl w:val="nil"/>
                  </w:tcBorders>
                  <w:vAlign w:val="center"/>
                </w:tcPr>
                <w:p w14:paraId="65A350FD">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0.372</w:t>
                  </w:r>
                </w:p>
              </w:tc>
            </w:tr>
            <w:tr w14:paraId="213FD8E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1E670FF4">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总氮（mg/L）</w:t>
                  </w:r>
                </w:p>
              </w:tc>
              <w:tc>
                <w:tcPr>
                  <w:tcW w:w="1746" w:type="dxa"/>
                  <w:gridSpan w:val="2"/>
                  <w:tcBorders>
                    <w:tl2br w:val="nil"/>
                    <w:tr2bl w:val="nil"/>
                  </w:tcBorders>
                  <w:vAlign w:val="center"/>
                </w:tcPr>
                <w:p w14:paraId="6D8E8065">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0.888</w:t>
                  </w:r>
                </w:p>
              </w:tc>
              <w:tc>
                <w:tcPr>
                  <w:tcW w:w="1746" w:type="dxa"/>
                  <w:gridSpan w:val="2"/>
                  <w:tcBorders>
                    <w:tl2br w:val="nil"/>
                    <w:tr2bl w:val="nil"/>
                  </w:tcBorders>
                  <w:vAlign w:val="center"/>
                </w:tcPr>
                <w:p w14:paraId="6DA73388">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0.813</w:t>
                  </w:r>
                </w:p>
              </w:tc>
              <w:tc>
                <w:tcPr>
                  <w:tcW w:w="1746" w:type="dxa"/>
                  <w:gridSpan w:val="2"/>
                  <w:tcBorders>
                    <w:tl2br w:val="nil"/>
                    <w:tr2bl w:val="nil"/>
                  </w:tcBorders>
                  <w:vAlign w:val="center"/>
                </w:tcPr>
                <w:p w14:paraId="69993AFA">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0.783</w:t>
                  </w:r>
                </w:p>
              </w:tc>
              <w:tc>
                <w:tcPr>
                  <w:tcW w:w="1746" w:type="dxa"/>
                  <w:gridSpan w:val="2"/>
                  <w:tcBorders>
                    <w:tl2br w:val="nil"/>
                    <w:tr2bl w:val="nil"/>
                  </w:tcBorders>
                  <w:vAlign w:val="center"/>
                </w:tcPr>
                <w:p w14:paraId="345AAB69">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0.953</w:t>
                  </w:r>
                </w:p>
              </w:tc>
            </w:tr>
            <w:tr w14:paraId="4AC1226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gridBefore w:val="1"/>
                <w:wBefore w:w="5" w:type="dxa"/>
                <w:jc w:val="center"/>
              </w:trPr>
              <w:tc>
                <w:tcPr>
                  <w:tcW w:w="1745" w:type="dxa"/>
                  <w:gridSpan w:val="2"/>
                  <w:tcBorders>
                    <w:tl2br w:val="nil"/>
                    <w:tr2bl w:val="nil"/>
                  </w:tcBorders>
                  <w:vAlign w:val="center"/>
                </w:tcPr>
                <w:p w14:paraId="6D21A262">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样品状态</w:t>
                  </w:r>
                </w:p>
              </w:tc>
              <w:tc>
                <w:tcPr>
                  <w:tcW w:w="3492" w:type="dxa"/>
                  <w:gridSpan w:val="4"/>
                  <w:tcBorders>
                    <w:tl2br w:val="nil"/>
                    <w:tr2bl w:val="nil"/>
                  </w:tcBorders>
                  <w:vAlign w:val="center"/>
                </w:tcPr>
                <w:p w14:paraId="338A1D70">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无色、微浑、无异味、无浮油、无藻类</w:t>
                  </w:r>
                </w:p>
              </w:tc>
              <w:tc>
                <w:tcPr>
                  <w:tcW w:w="3492" w:type="dxa"/>
                  <w:gridSpan w:val="4"/>
                  <w:tcBorders>
                    <w:tl2br w:val="nil"/>
                    <w:tr2bl w:val="nil"/>
                  </w:tcBorders>
                  <w:vAlign w:val="center"/>
                </w:tcPr>
                <w:p w14:paraId="1B0156E7">
                  <w:pPr>
                    <w:pStyle w:val="6"/>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vertAlign w:val="baseline"/>
                      <w:lang w:val="en-US" w:eastAsia="zh-CN"/>
                    </w:rPr>
                    <w:t>无色、微浑、无异味、无浮油、无藻类</w:t>
                  </w:r>
                </w:p>
              </w:tc>
            </w:tr>
          </w:tbl>
          <w:p w14:paraId="66F09B0F">
            <w:pPr>
              <w:adjustRightInd w:val="0"/>
              <w:snapToGrid w:val="0"/>
              <w:spacing w:line="360" w:lineRule="auto"/>
              <w:ind w:firstLine="420" w:firstLineChars="200"/>
              <w:rPr>
                <w:b/>
                <w:color w:val="auto"/>
              </w:rPr>
            </w:pPr>
            <w:r>
              <w:rPr>
                <w:color w:val="auto"/>
              </w:rPr>
              <w:t>监测数据表明，尧塘河现状监测因子均能满足《地表水环境质量标准》（GB3838-2002）中</w:t>
            </w:r>
            <w:r>
              <w:rPr>
                <w:color w:val="auto"/>
              </w:rPr>
              <w:fldChar w:fldCharType="begin"/>
            </w:r>
            <w:r>
              <w:rPr>
                <w:color w:val="auto"/>
              </w:rPr>
              <w:instrText xml:space="preserve"> = 3 \* ROMAN \* MERGEFORMAT </w:instrText>
            </w:r>
            <w:r>
              <w:rPr>
                <w:color w:val="auto"/>
              </w:rPr>
              <w:fldChar w:fldCharType="separate"/>
            </w:r>
            <w:r>
              <w:rPr>
                <w:color w:val="auto"/>
              </w:rPr>
              <w:t>III</w:t>
            </w:r>
            <w:r>
              <w:rPr>
                <w:color w:val="auto"/>
              </w:rPr>
              <w:fldChar w:fldCharType="end"/>
            </w:r>
            <w:r>
              <w:rPr>
                <w:color w:val="auto"/>
              </w:rPr>
              <w:t>类标准。因此，项目地表水评价范围水环境水质良好，达</w:t>
            </w:r>
            <w:r>
              <w:rPr>
                <w:color w:val="auto"/>
              </w:rPr>
              <w:fldChar w:fldCharType="begin"/>
            </w:r>
            <w:r>
              <w:rPr>
                <w:color w:val="auto"/>
              </w:rPr>
              <w:instrText xml:space="preserve"> = 3 \* ROMAN \* MERGEFORMAT </w:instrText>
            </w:r>
            <w:r>
              <w:rPr>
                <w:color w:val="auto"/>
              </w:rPr>
              <w:fldChar w:fldCharType="separate"/>
            </w:r>
            <w:r>
              <w:rPr>
                <w:color w:val="auto"/>
              </w:rPr>
              <w:t>III</w:t>
            </w:r>
            <w:r>
              <w:rPr>
                <w:color w:val="auto"/>
              </w:rPr>
              <w:fldChar w:fldCharType="end"/>
            </w:r>
            <w:r>
              <w:rPr>
                <w:color w:val="auto"/>
              </w:rPr>
              <w:t>类功能区要求。</w:t>
            </w:r>
          </w:p>
          <w:p w14:paraId="11A28EEC">
            <w:pPr>
              <w:adjustRightInd w:val="0"/>
              <w:spacing w:line="360" w:lineRule="auto"/>
              <w:ind w:firstLine="422" w:firstLineChars="200"/>
              <w:rPr>
                <w:b/>
                <w:color w:val="auto"/>
              </w:rPr>
            </w:pPr>
            <w:r>
              <w:rPr>
                <w:b/>
                <w:color w:val="auto"/>
              </w:rPr>
              <w:t>3.</w:t>
            </w:r>
            <w:r>
              <w:rPr>
                <w:rFonts w:hint="eastAsia"/>
                <w:b/>
                <w:color w:val="auto"/>
              </w:rPr>
              <w:t>噪声</w:t>
            </w:r>
          </w:p>
          <w:p w14:paraId="4C42A89D">
            <w:pPr>
              <w:pStyle w:val="2"/>
              <w:widowControl w:val="0"/>
              <w:autoSpaceDE w:val="0"/>
              <w:autoSpaceDN w:val="0"/>
              <w:ind w:firstLine="420" w:firstLineChars="200"/>
              <w:rPr>
                <w:color w:val="auto"/>
                <w:sz w:val="21"/>
                <w:szCs w:val="21"/>
                <w:lang w:bidi="zh-CN"/>
              </w:rPr>
            </w:pPr>
            <w:r>
              <w:rPr>
                <w:color w:val="auto"/>
                <w:sz w:val="21"/>
                <w:szCs w:val="21"/>
              </w:rPr>
              <w:t>根据《</w:t>
            </w:r>
            <w:r>
              <w:rPr>
                <w:bCs/>
                <w:color w:val="auto"/>
                <w:sz w:val="21"/>
                <w:szCs w:val="21"/>
              </w:rPr>
              <w:t>202</w:t>
            </w:r>
            <w:r>
              <w:rPr>
                <w:rFonts w:hint="eastAsia"/>
                <w:bCs/>
                <w:color w:val="auto"/>
                <w:sz w:val="21"/>
                <w:szCs w:val="21"/>
                <w:lang w:val="en-US" w:eastAsia="zh-CN"/>
              </w:rPr>
              <w:t>4</w:t>
            </w:r>
            <w:r>
              <w:rPr>
                <w:bCs/>
                <w:color w:val="auto"/>
                <w:sz w:val="21"/>
                <w:szCs w:val="21"/>
              </w:rPr>
              <w:t>年常州市生态环境状况公报</w:t>
            </w:r>
            <w:r>
              <w:rPr>
                <w:color w:val="auto"/>
                <w:sz w:val="21"/>
                <w:szCs w:val="21"/>
              </w:rPr>
              <w:t>》中相关内容，</w:t>
            </w:r>
            <w:r>
              <w:rPr>
                <w:rFonts w:hint="eastAsia"/>
                <w:color w:val="auto"/>
                <w:sz w:val="21"/>
                <w:szCs w:val="21"/>
              </w:rPr>
              <w:t>2024年，全市区域环境噪声昼间平均值为53.6dB</w:t>
            </w:r>
            <w:r>
              <w:rPr>
                <w:rFonts w:hint="eastAsia"/>
                <w:color w:val="auto"/>
                <w:sz w:val="21"/>
                <w:szCs w:val="21"/>
                <w:lang w:eastAsia="zh-CN"/>
              </w:rPr>
              <w:t>（</w:t>
            </w:r>
            <w:r>
              <w:rPr>
                <w:rFonts w:hint="eastAsia"/>
                <w:color w:val="auto"/>
                <w:sz w:val="21"/>
                <w:szCs w:val="21"/>
                <w:lang w:val="en-US" w:eastAsia="zh-CN"/>
              </w:rPr>
              <w:t>A</w:t>
            </w:r>
            <w:r>
              <w:rPr>
                <w:rFonts w:hint="eastAsia"/>
                <w:color w:val="auto"/>
                <w:sz w:val="21"/>
                <w:szCs w:val="21"/>
                <w:lang w:eastAsia="zh-CN"/>
              </w:rPr>
              <w:t>）</w:t>
            </w:r>
            <w:r>
              <w:rPr>
                <w:rFonts w:hint="eastAsia"/>
                <w:color w:val="auto"/>
                <w:sz w:val="21"/>
                <w:szCs w:val="21"/>
              </w:rPr>
              <w:t>，较上年下降0.1dB</w:t>
            </w:r>
            <w:r>
              <w:rPr>
                <w:rFonts w:hint="eastAsia"/>
                <w:color w:val="auto"/>
                <w:sz w:val="21"/>
                <w:szCs w:val="21"/>
                <w:lang w:eastAsia="zh-CN"/>
              </w:rPr>
              <w:t>（</w:t>
            </w:r>
            <w:r>
              <w:rPr>
                <w:rFonts w:hint="eastAsia"/>
                <w:color w:val="auto"/>
                <w:sz w:val="21"/>
                <w:szCs w:val="21"/>
                <w:lang w:val="en-US" w:eastAsia="zh-CN"/>
              </w:rPr>
              <w:t>A</w:t>
            </w:r>
            <w:r>
              <w:rPr>
                <w:rFonts w:hint="eastAsia"/>
                <w:color w:val="auto"/>
                <w:sz w:val="21"/>
                <w:szCs w:val="21"/>
                <w:lang w:eastAsia="zh-CN"/>
              </w:rPr>
              <w:t>）；</w:t>
            </w:r>
            <w:r>
              <w:rPr>
                <w:rFonts w:hint="eastAsia"/>
                <w:color w:val="auto"/>
                <w:sz w:val="21"/>
                <w:szCs w:val="21"/>
              </w:rPr>
              <w:t>按照《环境噪声监测技术规范 城市声环境常规监测》</w:t>
            </w:r>
            <w:r>
              <w:rPr>
                <w:rFonts w:hint="eastAsia"/>
                <w:color w:val="auto"/>
                <w:sz w:val="21"/>
                <w:szCs w:val="21"/>
                <w:lang w:eastAsia="zh-CN"/>
              </w:rPr>
              <w:t>（</w:t>
            </w:r>
            <w:r>
              <w:rPr>
                <w:rFonts w:hint="eastAsia"/>
                <w:color w:val="auto"/>
                <w:sz w:val="21"/>
                <w:szCs w:val="21"/>
              </w:rPr>
              <w:t>HJ640-2012</w:t>
            </w:r>
            <w:r>
              <w:rPr>
                <w:rFonts w:hint="eastAsia"/>
                <w:color w:val="auto"/>
                <w:sz w:val="21"/>
                <w:szCs w:val="21"/>
                <w:lang w:eastAsia="zh-CN"/>
              </w:rPr>
              <w:t>）</w:t>
            </w:r>
            <w:r>
              <w:rPr>
                <w:rFonts w:hint="eastAsia"/>
                <w:color w:val="auto"/>
                <w:sz w:val="21"/>
                <w:szCs w:val="21"/>
              </w:rPr>
              <w:t>，城市区域昼间环境噪声总体水平等级为“二级”，属于“较好”水平。</w:t>
            </w:r>
          </w:p>
          <w:p w14:paraId="245E26AE">
            <w:pPr>
              <w:adjustRightInd w:val="0"/>
              <w:spacing w:line="360" w:lineRule="auto"/>
              <w:ind w:firstLine="420" w:firstLineChars="200"/>
              <w:rPr>
                <w:color w:val="auto"/>
              </w:rPr>
            </w:pPr>
            <w:r>
              <w:rPr>
                <w:rFonts w:hint="eastAsia"/>
                <w:color w:val="auto"/>
              </w:rPr>
              <w:t>本项目周边50米范围内无声环境保护目标，根据《建设项目环境影响报告表编制技术指南（污染影响类）（试行）》，不开展声环境质量现状调查。</w:t>
            </w:r>
          </w:p>
        </w:tc>
      </w:tr>
      <w:tr w14:paraId="4ACE61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77" w:hRule="atLeast"/>
          <w:jc w:val="center"/>
        </w:trPr>
        <w:tc>
          <w:tcPr>
            <w:tcW w:w="456" w:type="dxa"/>
            <w:vAlign w:val="center"/>
          </w:tcPr>
          <w:p w14:paraId="108106B1">
            <w:pPr>
              <w:adjustRightInd w:val="0"/>
              <w:snapToGrid w:val="0"/>
              <w:jc w:val="center"/>
              <w:rPr>
                <w:b/>
                <w:color w:val="auto"/>
                <w:kern w:val="0"/>
              </w:rPr>
            </w:pPr>
            <w:r>
              <w:rPr>
                <w:b/>
                <w:bCs/>
                <w:color w:val="auto"/>
                <w:kern w:val="0"/>
              </w:rPr>
              <w:t>环境保护目标</w:t>
            </w:r>
          </w:p>
        </w:tc>
        <w:tc>
          <w:tcPr>
            <w:tcW w:w="8945" w:type="dxa"/>
            <w:vAlign w:val="top"/>
          </w:tcPr>
          <w:p w14:paraId="45EC36CC">
            <w:pPr>
              <w:adjustRightInd w:val="0"/>
              <w:snapToGrid w:val="0"/>
              <w:spacing w:line="360" w:lineRule="auto"/>
              <w:ind w:firstLine="420" w:firstLineChars="200"/>
              <w:rPr>
                <w:b/>
                <w:bCs/>
                <w:color w:val="auto"/>
              </w:rPr>
            </w:pPr>
            <w:r>
              <w:rPr>
                <w:color w:val="auto"/>
                <w:kern w:val="0"/>
              </w:rPr>
              <w:t>项目位于</w:t>
            </w:r>
            <w:r>
              <w:rPr>
                <w:rFonts w:hint="eastAsia"/>
                <w:color w:val="auto"/>
                <w:lang w:eastAsia="zh-CN"/>
              </w:rPr>
              <w:t>江苏省常州市金坛区金湖路99号</w:t>
            </w:r>
            <w:r>
              <w:rPr>
                <w:color w:val="auto"/>
                <w:kern w:val="0"/>
              </w:rPr>
              <w:t>，经实地勘查，</w:t>
            </w:r>
            <w:r>
              <w:rPr>
                <w:rFonts w:hint="eastAsia"/>
                <w:color w:val="auto"/>
                <w:kern w:val="0"/>
              </w:rPr>
              <w:t>项目周边500米范围内</w:t>
            </w:r>
            <w:r>
              <w:rPr>
                <w:rFonts w:hint="eastAsia"/>
                <w:color w:val="auto"/>
                <w:kern w:val="0"/>
                <w:lang w:val="en-US" w:eastAsia="zh-CN"/>
              </w:rPr>
              <w:t>存在</w:t>
            </w:r>
            <w:r>
              <w:rPr>
                <w:rFonts w:hint="eastAsia"/>
                <w:color w:val="auto"/>
                <w:kern w:val="0"/>
              </w:rPr>
              <w:t>居民</w:t>
            </w:r>
            <w:r>
              <w:rPr>
                <w:rFonts w:hint="eastAsia"/>
                <w:color w:val="auto"/>
              </w:rPr>
              <w:t>，</w:t>
            </w:r>
            <w:r>
              <w:rPr>
                <w:rFonts w:hint="eastAsia"/>
                <w:color w:val="auto"/>
                <w:kern w:val="0"/>
              </w:rPr>
              <w:t>根据项目周边情况，确定建设项目主要环境保护目标见下表。</w:t>
            </w:r>
          </w:p>
          <w:p w14:paraId="0BD5F241">
            <w:pPr>
              <w:tabs>
                <w:tab w:val="left" w:pos="6510"/>
              </w:tabs>
              <w:adjustRightInd w:val="0"/>
              <w:snapToGrid w:val="0"/>
              <w:jc w:val="center"/>
              <w:rPr>
                <w:b/>
                <w:bCs/>
                <w:color w:val="auto"/>
              </w:rPr>
            </w:pPr>
            <w:r>
              <w:rPr>
                <w:b/>
                <w:bCs/>
                <w:color w:val="auto"/>
              </w:rPr>
              <w:t>表3-</w:t>
            </w:r>
            <w:r>
              <w:rPr>
                <w:rFonts w:hint="eastAsia"/>
                <w:b/>
                <w:bCs/>
                <w:color w:val="auto"/>
              </w:rPr>
              <w:t xml:space="preserve">4   </w:t>
            </w:r>
            <w:r>
              <w:rPr>
                <w:b/>
                <w:bCs/>
                <w:color w:val="auto"/>
              </w:rPr>
              <w:t>主要环境保护目标一览表</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870"/>
              <w:gridCol w:w="743"/>
              <w:gridCol w:w="743"/>
              <w:gridCol w:w="1321"/>
              <w:gridCol w:w="922"/>
              <w:gridCol w:w="2272"/>
              <w:gridCol w:w="825"/>
              <w:gridCol w:w="1033"/>
            </w:tblGrid>
            <w:tr w14:paraId="599B2A1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498" w:type="pct"/>
                  <w:vMerge w:val="restart"/>
                  <w:tcBorders>
                    <w:tl2br w:val="nil"/>
                    <w:tr2bl w:val="nil"/>
                  </w:tcBorders>
                  <w:tcMar>
                    <w:top w:w="0" w:type="dxa"/>
                    <w:left w:w="0" w:type="dxa"/>
                    <w:bottom w:w="0" w:type="dxa"/>
                    <w:right w:w="0" w:type="dxa"/>
                  </w:tcMar>
                  <w:vAlign w:val="center"/>
                </w:tcPr>
                <w:p w14:paraId="756CF0AD">
                  <w:pPr>
                    <w:pageBreakBefore w:val="0"/>
                    <w:widowControl w:val="0"/>
                    <w:kinsoku/>
                    <w:wordWrap/>
                    <w:overflowPunct/>
                    <w:topLinePunct w:val="0"/>
                    <w:autoSpaceDE/>
                    <w:autoSpaceDN/>
                    <w:bidi w:val="0"/>
                    <w:adjustRightInd w:val="0"/>
                    <w:snapToGrid w:val="0"/>
                    <w:spacing w:line="240" w:lineRule="auto"/>
                    <w:jc w:val="center"/>
                    <w:textAlignment w:val="auto"/>
                    <w:rPr>
                      <w:b/>
                      <w:bCs/>
                      <w:color w:val="auto"/>
                      <w:kern w:val="0"/>
                    </w:rPr>
                  </w:pPr>
                  <w:r>
                    <w:rPr>
                      <w:b/>
                      <w:bCs/>
                      <w:color w:val="auto"/>
                      <w:kern w:val="0"/>
                    </w:rPr>
                    <w:t>保护项目</w:t>
                  </w:r>
                </w:p>
              </w:tc>
              <w:tc>
                <w:tcPr>
                  <w:tcW w:w="851" w:type="pct"/>
                  <w:gridSpan w:val="2"/>
                  <w:tcBorders>
                    <w:tl2br w:val="nil"/>
                    <w:tr2bl w:val="nil"/>
                  </w:tcBorders>
                  <w:tcMar>
                    <w:top w:w="0" w:type="dxa"/>
                    <w:left w:w="0" w:type="dxa"/>
                    <w:bottom w:w="0" w:type="dxa"/>
                    <w:right w:w="0" w:type="dxa"/>
                  </w:tcMar>
                  <w:vAlign w:val="center"/>
                </w:tcPr>
                <w:p w14:paraId="4B07E9F9">
                  <w:pPr>
                    <w:keepNext/>
                    <w:keepLines/>
                    <w:pageBreakBefore w:val="0"/>
                    <w:widowControl w:val="0"/>
                    <w:kinsoku/>
                    <w:wordWrap/>
                    <w:overflowPunct/>
                    <w:topLinePunct w:val="0"/>
                    <w:autoSpaceDE/>
                    <w:autoSpaceDN/>
                    <w:bidi w:val="0"/>
                    <w:adjustRightInd w:val="0"/>
                    <w:snapToGrid w:val="0"/>
                    <w:spacing w:line="240" w:lineRule="auto"/>
                    <w:jc w:val="center"/>
                    <w:textAlignment w:val="auto"/>
                    <w:rPr>
                      <w:b/>
                      <w:bCs/>
                      <w:color w:val="auto"/>
                      <w:kern w:val="0"/>
                    </w:rPr>
                  </w:pPr>
                  <w:r>
                    <w:rPr>
                      <w:b/>
                      <w:bCs/>
                      <w:color w:val="auto"/>
                      <w:kern w:val="0"/>
                    </w:rPr>
                    <w:t>坐标</w:t>
                  </w:r>
                </w:p>
              </w:tc>
              <w:tc>
                <w:tcPr>
                  <w:tcW w:w="756" w:type="pct"/>
                  <w:vMerge w:val="restart"/>
                  <w:tcBorders>
                    <w:tl2br w:val="nil"/>
                    <w:tr2bl w:val="nil"/>
                  </w:tcBorders>
                  <w:tcMar>
                    <w:top w:w="0" w:type="dxa"/>
                    <w:left w:w="0" w:type="dxa"/>
                    <w:bottom w:w="0" w:type="dxa"/>
                    <w:right w:w="0" w:type="dxa"/>
                  </w:tcMar>
                  <w:vAlign w:val="center"/>
                </w:tcPr>
                <w:p w14:paraId="0AA0EEE9">
                  <w:pPr>
                    <w:pageBreakBefore w:val="0"/>
                    <w:widowControl w:val="0"/>
                    <w:kinsoku/>
                    <w:wordWrap/>
                    <w:overflowPunct/>
                    <w:topLinePunct w:val="0"/>
                    <w:autoSpaceDE/>
                    <w:autoSpaceDN/>
                    <w:bidi w:val="0"/>
                    <w:adjustRightInd w:val="0"/>
                    <w:snapToGrid w:val="0"/>
                    <w:spacing w:line="240" w:lineRule="auto"/>
                    <w:jc w:val="center"/>
                    <w:textAlignment w:val="auto"/>
                    <w:rPr>
                      <w:b/>
                      <w:bCs/>
                      <w:color w:val="auto"/>
                      <w:kern w:val="0"/>
                    </w:rPr>
                  </w:pPr>
                  <w:r>
                    <w:rPr>
                      <w:b/>
                      <w:bCs/>
                      <w:color w:val="auto"/>
                      <w:kern w:val="0"/>
                    </w:rPr>
                    <w:t>保护对象</w:t>
                  </w:r>
                </w:p>
              </w:tc>
              <w:tc>
                <w:tcPr>
                  <w:tcW w:w="528" w:type="pct"/>
                  <w:vMerge w:val="restart"/>
                  <w:tcBorders>
                    <w:tl2br w:val="nil"/>
                    <w:tr2bl w:val="nil"/>
                  </w:tcBorders>
                  <w:tcMar>
                    <w:top w:w="0" w:type="dxa"/>
                    <w:left w:w="0" w:type="dxa"/>
                    <w:bottom w:w="0" w:type="dxa"/>
                    <w:right w:w="0" w:type="dxa"/>
                  </w:tcMar>
                  <w:vAlign w:val="center"/>
                </w:tcPr>
                <w:p w14:paraId="4181734C">
                  <w:pPr>
                    <w:pageBreakBefore w:val="0"/>
                    <w:widowControl w:val="0"/>
                    <w:kinsoku/>
                    <w:wordWrap/>
                    <w:overflowPunct/>
                    <w:topLinePunct w:val="0"/>
                    <w:autoSpaceDE/>
                    <w:autoSpaceDN/>
                    <w:bidi w:val="0"/>
                    <w:adjustRightInd w:val="0"/>
                    <w:snapToGrid w:val="0"/>
                    <w:spacing w:line="240" w:lineRule="auto"/>
                    <w:jc w:val="center"/>
                    <w:textAlignment w:val="auto"/>
                    <w:rPr>
                      <w:b/>
                      <w:bCs/>
                      <w:color w:val="auto"/>
                      <w:kern w:val="0"/>
                    </w:rPr>
                  </w:pPr>
                  <w:r>
                    <w:rPr>
                      <w:b/>
                      <w:bCs/>
                      <w:color w:val="auto"/>
                      <w:kern w:val="0"/>
                    </w:rPr>
                    <w:t>保护内容</w:t>
                  </w:r>
                </w:p>
              </w:tc>
              <w:tc>
                <w:tcPr>
                  <w:tcW w:w="1301" w:type="pct"/>
                  <w:vMerge w:val="restart"/>
                  <w:tcBorders>
                    <w:tl2br w:val="nil"/>
                    <w:tr2bl w:val="nil"/>
                  </w:tcBorders>
                  <w:tcMar>
                    <w:top w:w="0" w:type="dxa"/>
                    <w:left w:w="0" w:type="dxa"/>
                    <w:bottom w:w="0" w:type="dxa"/>
                    <w:right w:w="0" w:type="dxa"/>
                  </w:tcMar>
                  <w:vAlign w:val="center"/>
                </w:tcPr>
                <w:p w14:paraId="0CACD685">
                  <w:pPr>
                    <w:pageBreakBefore w:val="0"/>
                    <w:widowControl w:val="0"/>
                    <w:kinsoku/>
                    <w:wordWrap/>
                    <w:overflowPunct/>
                    <w:topLinePunct w:val="0"/>
                    <w:autoSpaceDE/>
                    <w:autoSpaceDN/>
                    <w:bidi w:val="0"/>
                    <w:adjustRightInd w:val="0"/>
                    <w:snapToGrid w:val="0"/>
                    <w:spacing w:line="240" w:lineRule="auto"/>
                    <w:jc w:val="center"/>
                    <w:textAlignment w:val="auto"/>
                    <w:rPr>
                      <w:b/>
                      <w:bCs/>
                      <w:color w:val="auto"/>
                      <w:kern w:val="0"/>
                    </w:rPr>
                  </w:pPr>
                  <w:r>
                    <w:rPr>
                      <w:b/>
                      <w:bCs/>
                      <w:color w:val="auto"/>
                      <w:kern w:val="0"/>
                    </w:rPr>
                    <w:t>环境功能区</w:t>
                  </w:r>
                </w:p>
              </w:tc>
              <w:tc>
                <w:tcPr>
                  <w:tcW w:w="472" w:type="pct"/>
                  <w:vMerge w:val="restart"/>
                  <w:tcBorders>
                    <w:tl2br w:val="nil"/>
                    <w:tr2bl w:val="nil"/>
                  </w:tcBorders>
                  <w:tcMar>
                    <w:top w:w="0" w:type="dxa"/>
                    <w:left w:w="0" w:type="dxa"/>
                    <w:bottom w:w="0" w:type="dxa"/>
                    <w:right w:w="0" w:type="dxa"/>
                  </w:tcMar>
                  <w:vAlign w:val="center"/>
                </w:tcPr>
                <w:p w14:paraId="35BACB1E">
                  <w:pPr>
                    <w:pageBreakBefore w:val="0"/>
                    <w:widowControl w:val="0"/>
                    <w:kinsoku/>
                    <w:wordWrap/>
                    <w:overflowPunct/>
                    <w:topLinePunct w:val="0"/>
                    <w:autoSpaceDE/>
                    <w:autoSpaceDN/>
                    <w:bidi w:val="0"/>
                    <w:adjustRightInd w:val="0"/>
                    <w:snapToGrid w:val="0"/>
                    <w:spacing w:line="240" w:lineRule="auto"/>
                    <w:jc w:val="center"/>
                    <w:textAlignment w:val="auto"/>
                    <w:rPr>
                      <w:b/>
                      <w:bCs/>
                      <w:color w:val="auto"/>
                      <w:kern w:val="0"/>
                    </w:rPr>
                  </w:pPr>
                  <w:r>
                    <w:rPr>
                      <w:b/>
                      <w:bCs/>
                      <w:color w:val="auto"/>
                      <w:kern w:val="0"/>
                    </w:rPr>
                    <w:t>相对厂址方位</w:t>
                  </w:r>
                </w:p>
              </w:tc>
              <w:tc>
                <w:tcPr>
                  <w:tcW w:w="591" w:type="pct"/>
                  <w:vMerge w:val="restart"/>
                  <w:tcBorders>
                    <w:tl2br w:val="nil"/>
                    <w:tr2bl w:val="nil"/>
                  </w:tcBorders>
                  <w:tcMar>
                    <w:top w:w="0" w:type="dxa"/>
                    <w:left w:w="0" w:type="dxa"/>
                    <w:bottom w:w="0" w:type="dxa"/>
                    <w:right w:w="0" w:type="dxa"/>
                  </w:tcMar>
                  <w:vAlign w:val="center"/>
                </w:tcPr>
                <w:p w14:paraId="7AD5E214">
                  <w:pPr>
                    <w:pageBreakBefore w:val="0"/>
                    <w:widowControl w:val="0"/>
                    <w:kinsoku/>
                    <w:wordWrap/>
                    <w:overflowPunct/>
                    <w:topLinePunct w:val="0"/>
                    <w:autoSpaceDE/>
                    <w:autoSpaceDN/>
                    <w:bidi w:val="0"/>
                    <w:adjustRightInd w:val="0"/>
                    <w:snapToGrid w:val="0"/>
                    <w:spacing w:line="240" w:lineRule="auto"/>
                    <w:jc w:val="center"/>
                    <w:textAlignment w:val="auto"/>
                    <w:rPr>
                      <w:b/>
                      <w:bCs/>
                      <w:color w:val="auto"/>
                      <w:kern w:val="0"/>
                    </w:rPr>
                  </w:pPr>
                  <w:r>
                    <w:rPr>
                      <w:b/>
                      <w:bCs/>
                      <w:color w:val="auto"/>
                      <w:kern w:val="0"/>
                    </w:rPr>
                    <w:t>相对厂界最近距离</w:t>
                  </w:r>
                </w:p>
              </w:tc>
            </w:tr>
            <w:tr w14:paraId="115DFA8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498" w:type="pct"/>
                  <w:vMerge w:val="continue"/>
                  <w:tcBorders>
                    <w:tl2br w:val="nil"/>
                    <w:tr2bl w:val="nil"/>
                  </w:tcBorders>
                  <w:tcMar>
                    <w:top w:w="0" w:type="dxa"/>
                    <w:left w:w="0" w:type="dxa"/>
                    <w:bottom w:w="0" w:type="dxa"/>
                    <w:right w:w="0" w:type="dxa"/>
                  </w:tcMar>
                  <w:vAlign w:val="center"/>
                </w:tcPr>
                <w:p w14:paraId="09A234EE">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p>
              </w:tc>
              <w:tc>
                <w:tcPr>
                  <w:tcW w:w="425" w:type="pct"/>
                  <w:tcBorders>
                    <w:tl2br w:val="nil"/>
                    <w:tr2bl w:val="nil"/>
                  </w:tcBorders>
                  <w:tcMar>
                    <w:top w:w="0" w:type="dxa"/>
                    <w:left w:w="0" w:type="dxa"/>
                    <w:bottom w:w="0" w:type="dxa"/>
                    <w:right w:w="0" w:type="dxa"/>
                  </w:tcMar>
                  <w:vAlign w:val="center"/>
                </w:tcPr>
                <w:p w14:paraId="7729BA8C">
                  <w:pPr>
                    <w:keepNext/>
                    <w:keepLines/>
                    <w:pageBreakBefore w:val="0"/>
                    <w:widowControl w:val="0"/>
                    <w:kinsoku/>
                    <w:wordWrap/>
                    <w:overflowPunct/>
                    <w:topLinePunct w:val="0"/>
                    <w:autoSpaceDE/>
                    <w:autoSpaceDN/>
                    <w:bidi w:val="0"/>
                    <w:adjustRightInd w:val="0"/>
                    <w:snapToGrid w:val="0"/>
                    <w:spacing w:line="240" w:lineRule="auto"/>
                    <w:jc w:val="center"/>
                    <w:textAlignment w:val="auto"/>
                    <w:rPr>
                      <w:b/>
                      <w:bCs/>
                      <w:color w:val="auto"/>
                      <w:kern w:val="0"/>
                    </w:rPr>
                  </w:pPr>
                  <w:r>
                    <w:rPr>
                      <w:b/>
                      <w:bCs/>
                      <w:color w:val="auto"/>
                      <w:kern w:val="0"/>
                    </w:rPr>
                    <w:t>X</w:t>
                  </w:r>
                </w:p>
              </w:tc>
              <w:tc>
                <w:tcPr>
                  <w:tcW w:w="425" w:type="pct"/>
                  <w:tcBorders>
                    <w:tl2br w:val="nil"/>
                    <w:tr2bl w:val="nil"/>
                  </w:tcBorders>
                  <w:tcMar>
                    <w:top w:w="0" w:type="dxa"/>
                    <w:left w:w="0" w:type="dxa"/>
                    <w:bottom w:w="0" w:type="dxa"/>
                    <w:right w:w="0" w:type="dxa"/>
                  </w:tcMar>
                  <w:vAlign w:val="center"/>
                </w:tcPr>
                <w:p w14:paraId="30335D4A">
                  <w:pPr>
                    <w:keepNext/>
                    <w:keepLines/>
                    <w:pageBreakBefore w:val="0"/>
                    <w:widowControl w:val="0"/>
                    <w:kinsoku/>
                    <w:wordWrap/>
                    <w:overflowPunct/>
                    <w:topLinePunct w:val="0"/>
                    <w:autoSpaceDE/>
                    <w:autoSpaceDN/>
                    <w:bidi w:val="0"/>
                    <w:adjustRightInd w:val="0"/>
                    <w:snapToGrid w:val="0"/>
                    <w:spacing w:line="240" w:lineRule="auto"/>
                    <w:jc w:val="center"/>
                    <w:textAlignment w:val="auto"/>
                    <w:rPr>
                      <w:b/>
                      <w:bCs/>
                      <w:color w:val="auto"/>
                      <w:kern w:val="0"/>
                    </w:rPr>
                  </w:pPr>
                  <w:r>
                    <w:rPr>
                      <w:b/>
                      <w:bCs/>
                      <w:color w:val="auto"/>
                      <w:kern w:val="0"/>
                    </w:rPr>
                    <w:t>Y</w:t>
                  </w:r>
                </w:p>
              </w:tc>
              <w:tc>
                <w:tcPr>
                  <w:tcW w:w="756" w:type="pct"/>
                  <w:vMerge w:val="continue"/>
                  <w:tcBorders>
                    <w:tl2br w:val="nil"/>
                    <w:tr2bl w:val="nil"/>
                  </w:tcBorders>
                  <w:tcMar>
                    <w:top w:w="0" w:type="dxa"/>
                    <w:left w:w="0" w:type="dxa"/>
                    <w:bottom w:w="0" w:type="dxa"/>
                    <w:right w:w="0" w:type="dxa"/>
                  </w:tcMar>
                  <w:vAlign w:val="center"/>
                </w:tcPr>
                <w:p w14:paraId="290531D5">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p>
              </w:tc>
              <w:tc>
                <w:tcPr>
                  <w:tcW w:w="528" w:type="pct"/>
                  <w:vMerge w:val="continue"/>
                  <w:tcBorders>
                    <w:tl2br w:val="nil"/>
                    <w:tr2bl w:val="nil"/>
                  </w:tcBorders>
                  <w:tcMar>
                    <w:top w:w="0" w:type="dxa"/>
                    <w:left w:w="0" w:type="dxa"/>
                    <w:bottom w:w="0" w:type="dxa"/>
                    <w:right w:w="0" w:type="dxa"/>
                  </w:tcMar>
                  <w:vAlign w:val="center"/>
                </w:tcPr>
                <w:p w14:paraId="75C0A896">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p>
              </w:tc>
              <w:tc>
                <w:tcPr>
                  <w:tcW w:w="1301" w:type="pct"/>
                  <w:vMerge w:val="continue"/>
                  <w:tcBorders>
                    <w:tl2br w:val="nil"/>
                    <w:tr2bl w:val="nil"/>
                  </w:tcBorders>
                  <w:tcMar>
                    <w:top w:w="0" w:type="dxa"/>
                    <w:left w:w="0" w:type="dxa"/>
                    <w:bottom w:w="0" w:type="dxa"/>
                    <w:right w:w="0" w:type="dxa"/>
                  </w:tcMar>
                  <w:vAlign w:val="center"/>
                </w:tcPr>
                <w:p w14:paraId="3FEE1D53">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p>
              </w:tc>
              <w:tc>
                <w:tcPr>
                  <w:tcW w:w="472" w:type="pct"/>
                  <w:vMerge w:val="continue"/>
                  <w:tcBorders>
                    <w:tl2br w:val="nil"/>
                    <w:tr2bl w:val="nil"/>
                  </w:tcBorders>
                  <w:tcMar>
                    <w:top w:w="0" w:type="dxa"/>
                    <w:left w:w="0" w:type="dxa"/>
                    <w:bottom w:w="0" w:type="dxa"/>
                    <w:right w:w="0" w:type="dxa"/>
                  </w:tcMar>
                  <w:vAlign w:val="center"/>
                </w:tcPr>
                <w:p w14:paraId="6CE8EB55">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p>
              </w:tc>
              <w:tc>
                <w:tcPr>
                  <w:tcW w:w="591" w:type="pct"/>
                  <w:vMerge w:val="continue"/>
                  <w:tcBorders>
                    <w:tl2br w:val="nil"/>
                    <w:tr2bl w:val="nil"/>
                  </w:tcBorders>
                  <w:tcMar>
                    <w:top w:w="0" w:type="dxa"/>
                    <w:left w:w="0" w:type="dxa"/>
                    <w:bottom w:w="0" w:type="dxa"/>
                    <w:right w:w="0" w:type="dxa"/>
                  </w:tcMar>
                  <w:vAlign w:val="center"/>
                </w:tcPr>
                <w:p w14:paraId="1A81A768">
                  <w:pPr>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rPr>
                  </w:pPr>
                </w:p>
              </w:tc>
            </w:tr>
            <w:tr w14:paraId="41FC0C4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0" w:hRule="atLeast"/>
                <w:jc w:val="center"/>
              </w:trPr>
              <w:tc>
                <w:tcPr>
                  <w:tcW w:w="498" w:type="pct"/>
                  <w:vMerge w:val="restart"/>
                  <w:tcBorders>
                    <w:tl2br w:val="nil"/>
                    <w:tr2bl w:val="nil"/>
                  </w:tcBorders>
                  <w:tcMar>
                    <w:top w:w="0" w:type="dxa"/>
                    <w:left w:w="0" w:type="dxa"/>
                    <w:bottom w:w="0" w:type="dxa"/>
                    <w:right w:w="0" w:type="dxa"/>
                  </w:tcMar>
                  <w:vAlign w:val="center"/>
                </w:tcPr>
                <w:p w14:paraId="2F994201">
                  <w:pPr>
                    <w:pageBreakBefore w:val="0"/>
                    <w:widowControl w:val="0"/>
                    <w:kinsoku/>
                    <w:wordWrap/>
                    <w:overflowPunct/>
                    <w:topLinePunct w:val="0"/>
                    <w:autoSpaceDE/>
                    <w:autoSpaceDN/>
                    <w:bidi w:val="0"/>
                    <w:adjustRightInd w:val="0"/>
                    <w:snapToGrid w:val="0"/>
                    <w:spacing w:line="240" w:lineRule="auto"/>
                    <w:jc w:val="center"/>
                    <w:textAlignment w:val="auto"/>
                    <w:rPr>
                      <w:b w:val="0"/>
                      <w:bCs w:val="0"/>
                      <w:color w:val="auto"/>
                      <w:kern w:val="0"/>
                    </w:rPr>
                  </w:pPr>
                  <w:r>
                    <w:rPr>
                      <w:b w:val="0"/>
                      <w:bCs w:val="0"/>
                      <w:color w:val="auto"/>
                      <w:kern w:val="0"/>
                    </w:rPr>
                    <w:t>大气环境</w:t>
                  </w:r>
                </w:p>
              </w:tc>
              <w:tc>
                <w:tcPr>
                  <w:tcW w:w="425" w:type="pct"/>
                  <w:tcBorders>
                    <w:tl2br w:val="nil"/>
                    <w:tr2bl w:val="nil"/>
                  </w:tcBorders>
                  <w:tcMar>
                    <w:top w:w="0" w:type="dxa"/>
                    <w:left w:w="0" w:type="dxa"/>
                    <w:bottom w:w="0" w:type="dxa"/>
                    <w:right w:w="0" w:type="dxa"/>
                  </w:tcMar>
                  <w:vAlign w:val="center"/>
                </w:tcPr>
                <w:p w14:paraId="5415B473">
                  <w:pPr>
                    <w:pStyle w:val="55"/>
                    <w:pageBreakBefore w:val="0"/>
                    <w:widowControl w:val="0"/>
                    <w:kinsoku/>
                    <w:wordWrap/>
                    <w:overflowPunct/>
                    <w:topLinePunct w:val="0"/>
                    <w:autoSpaceDE/>
                    <w:autoSpaceDN/>
                    <w:bidi w:val="0"/>
                    <w:adjustRightInd w:val="0"/>
                    <w:snapToGrid w:val="0"/>
                    <w:spacing w:line="240" w:lineRule="auto"/>
                    <w:textAlignment w:val="auto"/>
                    <w:rPr>
                      <w:b w:val="0"/>
                      <w:bCs w:val="0"/>
                      <w:color w:val="auto"/>
                      <w:kern w:val="0"/>
                      <w:sz w:val="21"/>
                      <w:szCs w:val="21"/>
                    </w:rPr>
                  </w:pPr>
                  <w:r>
                    <w:rPr>
                      <w:rFonts w:hint="eastAsia"/>
                      <w:b w:val="0"/>
                      <w:bCs w:val="0"/>
                      <w:color w:val="auto"/>
                      <w:kern w:val="0"/>
                      <w:sz w:val="21"/>
                      <w:szCs w:val="21"/>
                    </w:rPr>
                    <w:t>119.62673664</w:t>
                  </w:r>
                </w:p>
              </w:tc>
              <w:tc>
                <w:tcPr>
                  <w:tcW w:w="425" w:type="pct"/>
                  <w:tcBorders>
                    <w:tl2br w:val="nil"/>
                    <w:tr2bl w:val="nil"/>
                  </w:tcBorders>
                  <w:tcMar>
                    <w:top w:w="0" w:type="dxa"/>
                    <w:left w:w="0" w:type="dxa"/>
                    <w:bottom w:w="0" w:type="dxa"/>
                    <w:right w:w="0" w:type="dxa"/>
                  </w:tcMar>
                  <w:vAlign w:val="center"/>
                </w:tcPr>
                <w:p w14:paraId="72A8409C">
                  <w:pPr>
                    <w:pStyle w:val="55"/>
                    <w:pageBreakBefore w:val="0"/>
                    <w:widowControl w:val="0"/>
                    <w:kinsoku/>
                    <w:wordWrap/>
                    <w:overflowPunct/>
                    <w:topLinePunct w:val="0"/>
                    <w:autoSpaceDE/>
                    <w:autoSpaceDN/>
                    <w:bidi w:val="0"/>
                    <w:adjustRightInd w:val="0"/>
                    <w:snapToGrid w:val="0"/>
                    <w:spacing w:line="240" w:lineRule="auto"/>
                    <w:textAlignment w:val="auto"/>
                    <w:rPr>
                      <w:b w:val="0"/>
                      <w:bCs w:val="0"/>
                      <w:color w:val="auto"/>
                      <w:kern w:val="0"/>
                      <w:sz w:val="21"/>
                      <w:szCs w:val="21"/>
                    </w:rPr>
                  </w:pPr>
                  <w:r>
                    <w:rPr>
                      <w:rFonts w:hint="eastAsia"/>
                      <w:b w:val="0"/>
                      <w:bCs w:val="0"/>
                      <w:color w:val="auto"/>
                      <w:kern w:val="0"/>
                      <w:sz w:val="21"/>
                      <w:szCs w:val="21"/>
                    </w:rPr>
                    <w:t>31.71663187</w:t>
                  </w:r>
                </w:p>
              </w:tc>
              <w:tc>
                <w:tcPr>
                  <w:tcW w:w="756" w:type="pct"/>
                  <w:tcBorders>
                    <w:tl2br w:val="nil"/>
                    <w:tr2bl w:val="nil"/>
                  </w:tcBorders>
                  <w:tcMar>
                    <w:top w:w="0" w:type="dxa"/>
                    <w:left w:w="0" w:type="dxa"/>
                    <w:bottom w:w="0" w:type="dxa"/>
                    <w:right w:w="0" w:type="dxa"/>
                  </w:tcMar>
                  <w:vAlign w:val="center"/>
                </w:tcPr>
                <w:p w14:paraId="1F90A47C">
                  <w:pPr>
                    <w:pStyle w:val="55"/>
                    <w:pageBreakBefore w:val="0"/>
                    <w:widowControl w:val="0"/>
                    <w:kinsoku/>
                    <w:wordWrap/>
                    <w:overflowPunct/>
                    <w:topLinePunct w:val="0"/>
                    <w:autoSpaceDE/>
                    <w:autoSpaceDN/>
                    <w:bidi w:val="0"/>
                    <w:adjustRightInd w:val="0"/>
                    <w:snapToGrid w:val="0"/>
                    <w:spacing w:line="240" w:lineRule="auto"/>
                    <w:textAlignment w:val="auto"/>
                    <w:rPr>
                      <w:rFonts w:hint="default" w:eastAsia="宋体"/>
                      <w:b w:val="0"/>
                      <w:bCs w:val="0"/>
                      <w:color w:val="auto"/>
                      <w:kern w:val="0"/>
                      <w:sz w:val="21"/>
                      <w:szCs w:val="21"/>
                      <w:lang w:val="en-US" w:eastAsia="zh-CN"/>
                    </w:rPr>
                  </w:pPr>
                  <w:r>
                    <w:rPr>
                      <w:rFonts w:hint="eastAsia"/>
                      <w:b w:val="0"/>
                      <w:bCs w:val="0"/>
                      <w:color w:val="auto"/>
                      <w:kern w:val="0"/>
                      <w:sz w:val="21"/>
                      <w:szCs w:val="21"/>
                      <w:lang w:val="en-US" w:eastAsia="zh-CN"/>
                    </w:rPr>
                    <w:t>华科荷香苑</w:t>
                  </w:r>
                </w:p>
              </w:tc>
              <w:tc>
                <w:tcPr>
                  <w:tcW w:w="528" w:type="pct"/>
                  <w:tcBorders>
                    <w:tl2br w:val="nil"/>
                    <w:tr2bl w:val="nil"/>
                  </w:tcBorders>
                  <w:tcMar>
                    <w:top w:w="0" w:type="dxa"/>
                    <w:left w:w="0" w:type="dxa"/>
                    <w:bottom w:w="0" w:type="dxa"/>
                    <w:right w:w="0" w:type="dxa"/>
                  </w:tcMar>
                  <w:vAlign w:val="center"/>
                </w:tcPr>
                <w:p w14:paraId="7016B403">
                  <w:pPr>
                    <w:pStyle w:val="55"/>
                    <w:pageBreakBefore w:val="0"/>
                    <w:widowControl w:val="0"/>
                    <w:kinsoku/>
                    <w:wordWrap/>
                    <w:overflowPunct/>
                    <w:topLinePunct w:val="0"/>
                    <w:autoSpaceDE/>
                    <w:autoSpaceDN/>
                    <w:bidi w:val="0"/>
                    <w:adjustRightInd w:val="0"/>
                    <w:snapToGrid w:val="0"/>
                    <w:spacing w:line="240" w:lineRule="auto"/>
                    <w:textAlignment w:val="auto"/>
                    <w:rPr>
                      <w:rFonts w:hint="eastAsia" w:eastAsia="宋体"/>
                      <w:b w:val="0"/>
                      <w:bCs w:val="0"/>
                      <w:color w:val="auto"/>
                      <w:kern w:val="0"/>
                      <w:sz w:val="21"/>
                      <w:szCs w:val="21"/>
                      <w:lang w:eastAsia="zh-CN"/>
                    </w:rPr>
                  </w:pPr>
                  <w:r>
                    <w:rPr>
                      <w:rFonts w:hint="eastAsia"/>
                      <w:b w:val="0"/>
                      <w:bCs w:val="0"/>
                      <w:color w:val="auto"/>
                      <w:kern w:val="0"/>
                      <w:sz w:val="21"/>
                      <w:szCs w:val="21"/>
                      <w:lang w:val="en-US" w:eastAsia="zh-CN"/>
                    </w:rPr>
                    <w:t>居民</w:t>
                  </w:r>
                </w:p>
              </w:tc>
              <w:tc>
                <w:tcPr>
                  <w:tcW w:w="1301" w:type="pct"/>
                  <w:vMerge w:val="restart"/>
                  <w:tcBorders>
                    <w:tl2br w:val="nil"/>
                    <w:tr2bl w:val="nil"/>
                  </w:tcBorders>
                  <w:tcMar>
                    <w:top w:w="0" w:type="dxa"/>
                    <w:left w:w="0" w:type="dxa"/>
                    <w:bottom w:w="0" w:type="dxa"/>
                    <w:right w:w="0" w:type="dxa"/>
                  </w:tcMar>
                  <w:vAlign w:val="center"/>
                </w:tcPr>
                <w:p w14:paraId="6CBD662E">
                  <w:pPr>
                    <w:pageBreakBefore w:val="0"/>
                    <w:widowControl w:val="0"/>
                    <w:kinsoku/>
                    <w:wordWrap/>
                    <w:overflowPunct/>
                    <w:topLinePunct w:val="0"/>
                    <w:autoSpaceDE/>
                    <w:autoSpaceDN/>
                    <w:bidi w:val="0"/>
                    <w:adjustRightInd w:val="0"/>
                    <w:snapToGrid w:val="0"/>
                    <w:spacing w:line="240" w:lineRule="auto"/>
                    <w:jc w:val="center"/>
                    <w:textAlignment w:val="auto"/>
                    <w:rPr>
                      <w:b w:val="0"/>
                      <w:bCs w:val="0"/>
                      <w:color w:val="auto"/>
                      <w:kern w:val="0"/>
                    </w:rPr>
                  </w:pPr>
                  <w:r>
                    <w:rPr>
                      <w:b w:val="0"/>
                      <w:bCs w:val="0"/>
                      <w:color w:val="auto"/>
                      <w:kern w:val="0"/>
                    </w:rPr>
                    <w:t>《环境空气质量标准》（GB3095-2012）中二类功能区</w:t>
                  </w:r>
                </w:p>
              </w:tc>
              <w:tc>
                <w:tcPr>
                  <w:tcW w:w="472" w:type="pct"/>
                  <w:tcBorders>
                    <w:tl2br w:val="nil"/>
                    <w:tr2bl w:val="nil"/>
                  </w:tcBorders>
                  <w:tcMar>
                    <w:top w:w="0" w:type="dxa"/>
                    <w:left w:w="0" w:type="dxa"/>
                    <w:bottom w:w="0" w:type="dxa"/>
                    <w:right w:w="0" w:type="dxa"/>
                  </w:tcMar>
                  <w:vAlign w:val="center"/>
                </w:tcPr>
                <w:p w14:paraId="2CD66EA3">
                  <w:pPr>
                    <w:pStyle w:val="698"/>
                    <w:pageBreakBefore w:val="0"/>
                    <w:widowControl w:val="0"/>
                    <w:kinsoku/>
                    <w:wordWrap/>
                    <w:overflowPunct/>
                    <w:topLinePunct w:val="0"/>
                    <w:autoSpaceDE/>
                    <w:autoSpaceDN/>
                    <w:bidi w:val="0"/>
                    <w:adjustRightInd w:val="0"/>
                    <w:snapToGrid w:val="0"/>
                    <w:spacing w:line="240" w:lineRule="auto"/>
                    <w:textAlignment w:val="auto"/>
                    <w:rPr>
                      <w:rFonts w:hint="eastAsia" w:eastAsia="宋体"/>
                      <w:b w:val="0"/>
                      <w:bCs w:val="0"/>
                      <w:color w:val="auto"/>
                      <w:kern w:val="0"/>
                      <w:lang w:eastAsia="zh-CN"/>
                    </w:rPr>
                  </w:pPr>
                  <w:r>
                    <w:rPr>
                      <w:rFonts w:hint="eastAsia" w:eastAsia="宋体"/>
                      <w:b w:val="0"/>
                      <w:bCs w:val="0"/>
                      <w:color w:val="auto"/>
                      <w:kern w:val="0"/>
                      <w:lang w:val="en-US" w:eastAsia="zh-CN"/>
                    </w:rPr>
                    <w:t>东北</w:t>
                  </w:r>
                </w:p>
              </w:tc>
              <w:tc>
                <w:tcPr>
                  <w:tcW w:w="591" w:type="pct"/>
                  <w:tcBorders>
                    <w:tl2br w:val="nil"/>
                    <w:tr2bl w:val="nil"/>
                  </w:tcBorders>
                  <w:tcMar>
                    <w:top w:w="0" w:type="dxa"/>
                    <w:left w:w="0" w:type="dxa"/>
                    <w:bottom w:w="0" w:type="dxa"/>
                    <w:right w:w="0" w:type="dxa"/>
                  </w:tcMar>
                  <w:vAlign w:val="center"/>
                </w:tcPr>
                <w:p w14:paraId="266ED58C">
                  <w:pPr>
                    <w:pStyle w:val="55"/>
                    <w:pageBreakBefore w:val="0"/>
                    <w:widowControl w:val="0"/>
                    <w:kinsoku/>
                    <w:wordWrap/>
                    <w:overflowPunct/>
                    <w:topLinePunct w:val="0"/>
                    <w:autoSpaceDE/>
                    <w:autoSpaceDN/>
                    <w:bidi w:val="0"/>
                    <w:adjustRightInd w:val="0"/>
                    <w:snapToGrid w:val="0"/>
                    <w:spacing w:line="240" w:lineRule="auto"/>
                    <w:textAlignment w:val="auto"/>
                    <w:rPr>
                      <w:rFonts w:hint="default" w:eastAsia="宋体"/>
                      <w:b w:val="0"/>
                      <w:bCs w:val="0"/>
                      <w:color w:val="auto"/>
                      <w:kern w:val="0"/>
                      <w:sz w:val="21"/>
                      <w:szCs w:val="21"/>
                      <w:lang w:val="en-US" w:eastAsia="zh-CN"/>
                    </w:rPr>
                  </w:pPr>
                  <w:r>
                    <w:rPr>
                      <w:rFonts w:hint="eastAsia"/>
                      <w:b w:val="0"/>
                      <w:bCs w:val="0"/>
                      <w:color w:val="auto"/>
                      <w:kern w:val="0"/>
                      <w:sz w:val="21"/>
                      <w:szCs w:val="21"/>
                      <w:lang w:val="en-US" w:eastAsia="zh-CN"/>
                    </w:rPr>
                    <w:t>481m</w:t>
                  </w:r>
                </w:p>
              </w:tc>
            </w:tr>
            <w:tr w14:paraId="7EA0A5D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498" w:type="pct"/>
                  <w:vMerge w:val="continue"/>
                  <w:tcBorders>
                    <w:tl2br w:val="nil"/>
                    <w:tr2bl w:val="nil"/>
                  </w:tcBorders>
                  <w:tcMar>
                    <w:top w:w="0" w:type="dxa"/>
                    <w:left w:w="0" w:type="dxa"/>
                    <w:bottom w:w="0" w:type="dxa"/>
                    <w:right w:w="0" w:type="dxa"/>
                  </w:tcMar>
                  <w:vAlign w:val="center"/>
                </w:tcPr>
                <w:p w14:paraId="69751201">
                  <w:pPr>
                    <w:pageBreakBefore w:val="0"/>
                    <w:widowControl w:val="0"/>
                    <w:kinsoku/>
                    <w:wordWrap/>
                    <w:overflowPunct/>
                    <w:topLinePunct w:val="0"/>
                    <w:autoSpaceDE/>
                    <w:autoSpaceDN/>
                    <w:bidi w:val="0"/>
                    <w:adjustRightInd w:val="0"/>
                    <w:snapToGrid w:val="0"/>
                    <w:spacing w:line="240" w:lineRule="auto"/>
                    <w:jc w:val="center"/>
                    <w:textAlignment w:val="auto"/>
                    <w:rPr>
                      <w:b w:val="0"/>
                      <w:bCs w:val="0"/>
                      <w:color w:val="auto"/>
                      <w:kern w:val="0"/>
                    </w:rPr>
                  </w:pPr>
                </w:p>
              </w:tc>
              <w:tc>
                <w:tcPr>
                  <w:tcW w:w="425" w:type="pct"/>
                  <w:tcBorders>
                    <w:tl2br w:val="nil"/>
                    <w:tr2bl w:val="nil"/>
                  </w:tcBorders>
                  <w:tcMar>
                    <w:top w:w="0" w:type="dxa"/>
                    <w:left w:w="0" w:type="dxa"/>
                    <w:bottom w:w="0" w:type="dxa"/>
                    <w:right w:w="0" w:type="dxa"/>
                  </w:tcMar>
                  <w:vAlign w:val="center"/>
                </w:tcPr>
                <w:p w14:paraId="1FF2D72F">
                  <w:pPr>
                    <w:pStyle w:val="55"/>
                    <w:pageBreakBefore w:val="0"/>
                    <w:widowControl w:val="0"/>
                    <w:kinsoku/>
                    <w:wordWrap/>
                    <w:overflowPunct/>
                    <w:topLinePunct w:val="0"/>
                    <w:autoSpaceDE/>
                    <w:autoSpaceDN/>
                    <w:bidi w:val="0"/>
                    <w:adjustRightInd w:val="0"/>
                    <w:snapToGrid w:val="0"/>
                    <w:spacing w:line="240" w:lineRule="auto"/>
                    <w:textAlignment w:val="auto"/>
                    <w:rPr>
                      <w:rFonts w:hint="eastAsia"/>
                      <w:b w:val="0"/>
                      <w:bCs w:val="0"/>
                      <w:color w:val="auto"/>
                      <w:kern w:val="0"/>
                      <w:sz w:val="21"/>
                      <w:szCs w:val="21"/>
                    </w:rPr>
                  </w:pPr>
                  <w:r>
                    <w:rPr>
                      <w:rFonts w:hint="eastAsia"/>
                      <w:b w:val="0"/>
                      <w:bCs w:val="0"/>
                      <w:color w:val="auto"/>
                      <w:kern w:val="0"/>
                      <w:sz w:val="21"/>
                      <w:szCs w:val="21"/>
                    </w:rPr>
                    <w:t>119.62817430</w:t>
                  </w:r>
                </w:p>
              </w:tc>
              <w:tc>
                <w:tcPr>
                  <w:tcW w:w="425" w:type="pct"/>
                  <w:tcBorders>
                    <w:tl2br w:val="nil"/>
                    <w:tr2bl w:val="nil"/>
                  </w:tcBorders>
                  <w:tcMar>
                    <w:top w:w="0" w:type="dxa"/>
                    <w:left w:w="0" w:type="dxa"/>
                    <w:bottom w:w="0" w:type="dxa"/>
                    <w:right w:w="0" w:type="dxa"/>
                  </w:tcMar>
                  <w:vAlign w:val="center"/>
                </w:tcPr>
                <w:p w14:paraId="0BB86801">
                  <w:pPr>
                    <w:pStyle w:val="55"/>
                    <w:pageBreakBefore w:val="0"/>
                    <w:widowControl w:val="0"/>
                    <w:kinsoku/>
                    <w:wordWrap/>
                    <w:overflowPunct/>
                    <w:topLinePunct w:val="0"/>
                    <w:autoSpaceDE/>
                    <w:autoSpaceDN/>
                    <w:bidi w:val="0"/>
                    <w:adjustRightInd w:val="0"/>
                    <w:snapToGrid w:val="0"/>
                    <w:spacing w:line="240" w:lineRule="auto"/>
                    <w:textAlignment w:val="auto"/>
                    <w:rPr>
                      <w:rFonts w:hint="eastAsia"/>
                      <w:b w:val="0"/>
                      <w:bCs w:val="0"/>
                      <w:color w:val="auto"/>
                      <w:kern w:val="0"/>
                      <w:sz w:val="21"/>
                      <w:szCs w:val="21"/>
                    </w:rPr>
                  </w:pPr>
                  <w:r>
                    <w:rPr>
                      <w:rFonts w:hint="eastAsia"/>
                      <w:b w:val="0"/>
                      <w:bCs w:val="0"/>
                      <w:color w:val="auto"/>
                      <w:kern w:val="0"/>
                      <w:sz w:val="21"/>
                      <w:szCs w:val="21"/>
                    </w:rPr>
                    <w:t>31.71038908</w:t>
                  </w:r>
                </w:p>
              </w:tc>
              <w:tc>
                <w:tcPr>
                  <w:tcW w:w="756" w:type="pct"/>
                  <w:tcBorders>
                    <w:tl2br w:val="nil"/>
                    <w:tr2bl w:val="nil"/>
                  </w:tcBorders>
                  <w:tcMar>
                    <w:top w:w="0" w:type="dxa"/>
                    <w:left w:w="0" w:type="dxa"/>
                    <w:bottom w:w="0" w:type="dxa"/>
                    <w:right w:w="0" w:type="dxa"/>
                  </w:tcMar>
                  <w:vAlign w:val="center"/>
                </w:tcPr>
                <w:p w14:paraId="4E864BAE">
                  <w:pPr>
                    <w:pStyle w:val="55"/>
                    <w:pageBreakBefore w:val="0"/>
                    <w:widowControl w:val="0"/>
                    <w:kinsoku/>
                    <w:wordWrap/>
                    <w:overflowPunct/>
                    <w:topLinePunct w:val="0"/>
                    <w:autoSpaceDE/>
                    <w:autoSpaceDN/>
                    <w:bidi w:val="0"/>
                    <w:adjustRightInd w:val="0"/>
                    <w:snapToGrid w:val="0"/>
                    <w:spacing w:line="240" w:lineRule="auto"/>
                    <w:textAlignment w:val="auto"/>
                    <w:rPr>
                      <w:rFonts w:hint="default" w:eastAsia="宋体"/>
                      <w:b w:val="0"/>
                      <w:bCs w:val="0"/>
                      <w:color w:val="auto"/>
                      <w:kern w:val="0"/>
                      <w:sz w:val="21"/>
                      <w:szCs w:val="21"/>
                      <w:lang w:val="en-US" w:eastAsia="zh-CN"/>
                    </w:rPr>
                  </w:pPr>
                  <w:r>
                    <w:rPr>
                      <w:rFonts w:hint="eastAsia"/>
                      <w:b w:val="0"/>
                      <w:bCs w:val="0"/>
                      <w:color w:val="auto"/>
                      <w:kern w:val="0"/>
                      <w:sz w:val="21"/>
                      <w:szCs w:val="21"/>
                      <w:lang w:val="en-US" w:eastAsia="zh-CN"/>
                    </w:rPr>
                    <w:t>碧桂园·花溪源著</w:t>
                  </w:r>
                </w:p>
              </w:tc>
              <w:tc>
                <w:tcPr>
                  <w:tcW w:w="528" w:type="pct"/>
                  <w:tcBorders>
                    <w:tl2br w:val="nil"/>
                    <w:tr2bl w:val="nil"/>
                  </w:tcBorders>
                  <w:tcMar>
                    <w:top w:w="0" w:type="dxa"/>
                    <w:left w:w="0" w:type="dxa"/>
                    <w:bottom w:w="0" w:type="dxa"/>
                    <w:right w:w="0" w:type="dxa"/>
                  </w:tcMar>
                  <w:vAlign w:val="center"/>
                </w:tcPr>
                <w:p w14:paraId="131F1E9D">
                  <w:pPr>
                    <w:pStyle w:val="55"/>
                    <w:pageBreakBefore w:val="0"/>
                    <w:widowControl w:val="0"/>
                    <w:kinsoku/>
                    <w:wordWrap/>
                    <w:overflowPunct/>
                    <w:topLinePunct w:val="0"/>
                    <w:autoSpaceDE/>
                    <w:autoSpaceDN/>
                    <w:bidi w:val="0"/>
                    <w:adjustRightInd w:val="0"/>
                    <w:snapToGrid w:val="0"/>
                    <w:spacing w:line="240" w:lineRule="auto"/>
                    <w:textAlignment w:val="auto"/>
                    <w:rPr>
                      <w:rFonts w:hint="eastAsia" w:eastAsia="宋体"/>
                      <w:b w:val="0"/>
                      <w:bCs w:val="0"/>
                      <w:color w:val="auto"/>
                      <w:kern w:val="0"/>
                      <w:sz w:val="21"/>
                      <w:szCs w:val="21"/>
                      <w:lang w:val="en-US" w:eastAsia="zh-CN"/>
                    </w:rPr>
                  </w:pPr>
                  <w:r>
                    <w:rPr>
                      <w:rFonts w:hint="eastAsia"/>
                      <w:b w:val="0"/>
                      <w:bCs w:val="0"/>
                      <w:color w:val="auto"/>
                      <w:kern w:val="0"/>
                      <w:sz w:val="21"/>
                      <w:szCs w:val="21"/>
                      <w:lang w:val="en-US" w:eastAsia="zh-CN"/>
                    </w:rPr>
                    <w:t>居民</w:t>
                  </w:r>
                </w:p>
              </w:tc>
              <w:tc>
                <w:tcPr>
                  <w:tcW w:w="1301" w:type="pct"/>
                  <w:vMerge w:val="continue"/>
                  <w:tcBorders>
                    <w:tl2br w:val="nil"/>
                    <w:tr2bl w:val="nil"/>
                  </w:tcBorders>
                  <w:tcMar>
                    <w:top w:w="0" w:type="dxa"/>
                    <w:left w:w="0" w:type="dxa"/>
                    <w:bottom w:w="0" w:type="dxa"/>
                    <w:right w:w="0" w:type="dxa"/>
                  </w:tcMar>
                  <w:vAlign w:val="center"/>
                </w:tcPr>
                <w:p w14:paraId="14384830">
                  <w:pPr>
                    <w:pageBreakBefore w:val="0"/>
                    <w:widowControl w:val="0"/>
                    <w:kinsoku/>
                    <w:wordWrap/>
                    <w:overflowPunct/>
                    <w:topLinePunct w:val="0"/>
                    <w:autoSpaceDE/>
                    <w:autoSpaceDN/>
                    <w:bidi w:val="0"/>
                    <w:adjustRightInd w:val="0"/>
                    <w:snapToGrid w:val="0"/>
                    <w:spacing w:line="240" w:lineRule="auto"/>
                    <w:jc w:val="center"/>
                    <w:textAlignment w:val="auto"/>
                    <w:rPr>
                      <w:b w:val="0"/>
                      <w:bCs w:val="0"/>
                      <w:color w:val="auto"/>
                      <w:kern w:val="0"/>
                    </w:rPr>
                  </w:pPr>
                </w:p>
              </w:tc>
              <w:tc>
                <w:tcPr>
                  <w:tcW w:w="472" w:type="pct"/>
                  <w:tcBorders>
                    <w:tl2br w:val="nil"/>
                    <w:tr2bl w:val="nil"/>
                  </w:tcBorders>
                  <w:tcMar>
                    <w:top w:w="0" w:type="dxa"/>
                    <w:left w:w="0" w:type="dxa"/>
                    <w:bottom w:w="0" w:type="dxa"/>
                    <w:right w:w="0" w:type="dxa"/>
                  </w:tcMar>
                  <w:vAlign w:val="center"/>
                </w:tcPr>
                <w:p w14:paraId="4B6DD963">
                  <w:pPr>
                    <w:pStyle w:val="698"/>
                    <w:pageBreakBefore w:val="0"/>
                    <w:widowControl w:val="0"/>
                    <w:kinsoku/>
                    <w:wordWrap/>
                    <w:overflowPunct/>
                    <w:topLinePunct w:val="0"/>
                    <w:autoSpaceDE/>
                    <w:autoSpaceDN/>
                    <w:bidi w:val="0"/>
                    <w:adjustRightInd w:val="0"/>
                    <w:snapToGrid w:val="0"/>
                    <w:spacing w:line="240" w:lineRule="auto"/>
                    <w:textAlignment w:val="auto"/>
                    <w:rPr>
                      <w:rFonts w:hint="eastAsia" w:eastAsia="宋体"/>
                      <w:b w:val="0"/>
                      <w:bCs w:val="0"/>
                      <w:color w:val="auto"/>
                      <w:kern w:val="0"/>
                      <w:lang w:val="en-US" w:eastAsia="zh-CN"/>
                    </w:rPr>
                  </w:pPr>
                  <w:r>
                    <w:rPr>
                      <w:rFonts w:hint="eastAsia" w:eastAsia="宋体"/>
                      <w:b w:val="0"/>
                      <w:bCs w:val="0"/>
                      <w:color w:val="auto"/>
                      <w:kern w:val="0"/>
                      <w:lang w:val="en-US" w:eastAsia="zh-CN"/>
                    </w:rPr>
                    <w:t>东南</w:t>
                  </w:r>
                </w:p>
              </w:tc>
              <w:tc>
                <w:tcPr>
                  <w:tcW w:w="591" w:type="pct"/>
                  <w:tcBorders>
                    <w:tl2br w:val="nil"/>
                    <w:tr2bl w:val="nil"/>
                  </w:tcBorders>
                  <w:tcMar>
                    <w:top w:w="0" w:type="dxa"/>
                    <w:left w:w="0" w:type="dxa"/>
                    <w:bottom w:w="0" w:type="dxa"/>
                    <w:right w:w="0" w:type="dxa"/>
                  </w:tcMar>
                  <w:vAlign w:val="center"/>
                </w:tcPr>
                <w:p w14:paraId="3439592F">
                  <w:pPr>
                    <w:pStyle w:val="55"/>
                    <w:pageBreakBefore w:val="0"/>
                    <w:widowControl w:val="0"/>
                    <w:kinsoku/>
                    <w:wordWrap/>
                    <w:overflowPunct/>
                    <w:topLinePunct w:val="0"/>
                    <w:autoSpaceDE/>
                    <w:autoSpaceDN/>
                    <w:bidi w:val="0"/>
                    <w:adjustRightInd w:val="0"/>
                    <w:snapToGrid w:val="0"/>
                    <w:spacing w:line="240" w:lineRule="auto"/>
                    <w:textAlignment w:val="auto"/>
                    <w:rPr>
                      <w:rFonts w:hint="default" w:eastAsia="宋体"/>
                      <w:b w:val="0"/>
                      <w:bCs w:val="0"/>
                      <w:color w:val="auto"/>
                      <w:kern w:val="0"/>
                      <w:sz w:val="21"/>
                      <w:szCs w:val="21"/>
                      <w:lang w:val="en-US" w:eastAsia="zh-CN"/>
                    </w:rPr>
                  </w:pPr>
                  <w:r>
                    <w:rPr>
                      <w:rFonts w:hint="eastAsia"/>
                      <w:b w:val="0"/>
                      <w:bCs w:val="0"/>
                      <w:color w:val="auto"/>
                      <w:kern w:val="0"/>
                      <w:sz w:val="21"/>
                      <w:szCs w:val="21"/>
                      <w:lang w:val="en-US" w:eastAsia="zh-CN"/>
                    </w:rPr>
                    <w:t>490m</w:t>
                  </w:r>
                </w:p>
              </w:tc>
            </w:tr>
            <w:tr w14:paraId="691EF83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498" w:type="pct"/>
                  <w:tcBorders>
                    <w:tl2br w:val="nil"/>
                    <w:tr2bl w:val="nil"/>
                  </w:tcBorders>
                  <w:tcMar>
                    <w:top w:w="0" w:type="dxa"/>
                    <w:left w:w="0" w:type="dxa"/>
                    <w:bottom w:w="0" w:type="dxa"/>
                    <w:right w:w="0" w:type="dxa"/>
                  </w:tcMar>
                  <w:vAlign w:val="center"/>
                </w:tcPr>
                <w:p w14:paraId="0E177846">
                  <w:pPr>
                    <w:pageBreakBefore w:val="0"/>
                    <w:widowControl w:val="0"/>
                    <w:kinsoku/>
                    <w:wordWrap/>
                    <w:overflowPunct/>
                    <w:topLinePunct w:val="0"/>
                    <w:autoSpaceDE/>
                    <w:autoSpaceDN/>
                    <w:bidi w:val="0"/>
                    <w:adjustRightInd w:val="0"/>
                    <w:snapToGrid w:val="0"/>
                    <w:spacing w:line="240" w:lineRule="auto"/>
                    <w:jc w:val="center"/>
                    <w:textAlignment w:val="auto"/>
                    <w:rPr>
                      <w:b w:val="0"/>
                      <w:bCs w:val="0"/>
                      <w:color w:val="auto"/>
                      <w:kern w:val="0"/>
                    </w:rPr>
                  </w:pPr>
                  <w:r>
                    <w:rPr>
                      <w:b w:val="0"/>
                      <w:bCs w:val="0"/>
                      <w:color w:val="auto"/>
                      <w:kern w:val="0"/>
                    </w:rPr>
                    <w:t>地表水环境</w:t>
                  </w:r>
                </w:p>
              </w:tc>
              <w:tc>
                <w:tcPr>
                  <w:tcW w:w="425" w:type="pct"/>
                  <w:tcBorders>
                    <w:tl2br w:val="nil"/>
                    <w:tr2bl w:val="nil"/>
                  </w:tcBorders>
                  <w:tcMar>
                    <w:top w:w="0" w:type="dxa"/>
                    <w:left w:w="0" w:type="dxa"/>
                    <w:bottom w:w="0" w:type="dxa"/>
                    <w:right w:w="0" w:type="dxa"/>
                  </w:tcMar>
                  <w:vAlign w:val="center"/>
                </w:tcPr>
                <w:p w14:paraId="07F87A65">
                  <w:pPr>
                    <w:pageBreakBefore w:val="0"/>
                    <w:widowControl w:val="0"/>
                    <w:kinsoku/>
                    <w:wordWrap/>
                    <w:overflowPunct/>
                    <w:topLinePunct w:val="0"/>
                    <w:autoSpaceDE/>
                    <w:autoSpaceDN/>
                    <w:bidi w:val="0"/>
                    <w:adjustRightInd w:val="0"/>
                    <w:snapToGrid w:val="0"/>
                    <w:spacing w:line="240" w:lineRule="auto"/>
                    <w:jc w:val="center"/>
                    <w:textAlignment w:val="auto"/>
                    <w:rPr>
                      <w:b w:val="0"/>
                      <w:bCs w:val="0"/>
                      <w:color w:val="auto"/>
                      <w:kern w:val="0"/>
                    </w:rPr>
                  </w:pPr>
                  <w:r>
                    <w:rPr>
                      <w:rFonts w:hint="eastAsia"/>
                      <w:b w:val="0"/>
                      <w:bCs w:val="0"/>
                      <w:color w:val="auto"/>
                      <w:kern w:val="0"/>
                    </w:rPr>
                    <w:t>119.64300156</w:t>
                  </w:r>
                </w:p>
              </w:tc>
              <w:tc>
                <w:tcPr>
                  <w:tcW w:w="425" w:type="pct"/>
                  <w:tcBorders>
                    <w:tl2br w:val="nil"/>
                    <w:tr2bl w:val="nil"/>
                  </w:tcBorders>
                  <w:tcMar>
                    <w:top w:w="0" w:type="dxa"/>
                    <w:left w:w="0" w:type="dxa"/>
                    <w:bottom w:w="0" w:type="dxa"/>
                    <w:right w:w="0" w:type="dxa"/>
                  </w:tcMar>
                  <w:vAlign w:val="center"/>
                </w:tcPr>
                <w:p w14:paraId="07AB3E8E">
                  <w:pPr>
                    <w:pageBreakBefore w:val="0"/>
                    <w:widowControl w:val="0"/>
                    <w:kinsoku/>
                    <w:wordWrap/>
                    <w:overflowPunct/>
                    <w:topLinePunct w:val="0"/>
                    <w:autoSpaceDE/>
                    <w:autoSpaceDN/>
                    <w:bidi w:val="0"/>
                    <w:adjustRightInd w:val="0"/>
                    <w:snapToGrid w:val="0"/>
                    <w:spacing w:line="240" w:lineRule="auto"/>
                    <w:jc w:val="center"/>
                    <w:textAlignment w:val="auto"/>
                    <w:rPr>
                      <w:b w:val="0"/>
                      <w:bCs w:val="0"/>
                      <w:color w:val="auto"/>
                      <w:kern w:val="0"/>
                    </w:rPr>
                  </w:pPr>
                  <w:r>
                    <w:rPr>
                      <w:rFonts w:hint="eastAsia"/>
                      <w:b w:val="0"/>
                      <w:bCs w:val="0"/>
                      <w:color w:val="auto"/>
                      <w:kern w:val="0"/>
                    </w:rPr>
                    <w:t>31.75305800</w:t>
                  </w:r>
                </w:p>
              </w:tc>
              <w:tc>
                <w:tcPr>
                  <w:tcW w:w="756" w:type="pct"/>
                  <w:tcBorders>
                    <w:tl2br w:val="nil"/>
                    <w:tr2bl w:val="nil"/>
                  </w:tcBorders>
                  <w:tcMar>
                    <w:top w:w="0" w:type="dxa"/>
                    <w:left w:w="0" w:type="dxa"/>
                    <w:bottom w:w="0" w:type="dxa"/>
                    <w:right w:w="0" w:type="dxa"/>
                  </w:tcMar>
                  <w:vAlign w:val="center"/>
                </w:tcPr>
                <w:p w14:paraId="0FDE9B40">
                  <w:pPr>
                    <w:pageBreakBefore w:val="0"/>
                    <w:widowControl w:val="0"/>
                    <w:kinsoku/>
                    <w:wordWrap/>
                    <w:overflowPunct/>
                    <w:topLinePunct w:val="0"/>
                    <w:autoSpaceDE/>
                    <w:autoSpaceDN/>
                    <w:bidi w:val="0"/>
                    <w:adjustRightInd w:val="0"/>
                    <w:snapToGrid w:val="0"/>
                    <w:spacing w:line="240" w:lineRule="auto"/>
                    <w:jc w:val="center"/>
                    <w:textAlignment w:val="auto"/>
                    <w:rPr>
                      <w:b w:val="0"/>
                      <w:bCs w:val="0"/>
                      <w:color w:val="auto"/>
                      <w:kern w:val="0"/>
                    </w:rPr>
                  </w:pPr>
                  <w:r>
                    <w:rPr>
                      <w:rFonts w:hint="eastAsia"/>
                      <w:b w:val="0"/>
                      <w:bCs w:val="0"/>
                      <w:color w:val="auto"/>
                      <w:kern w:val="0"/>
                    </w:rPr>
                    <w:t>尧塘河</w:t>
                  </w:r>
                </w:p>
              </w:tc>
              <w:tc>
                <w:tcPr>
                  <w:tcW w:w="528" w:type="pct"/>
                  <w:tcBorders>
                    <w:tl2br w:val="nil"/>
                    <w:tr2bl w:val="nil"/>
                  </w:tcBorders>
                  <w:tcMar>
                    <w:top w:w="0" w:type="dxa"/>
                    <w:left w:w="0" w:type="dxa"/>
                    <w:bottom w:w="0" w:type="dxa"/>
                    <w:right w:w="0" w:type="dxa"/>
                  </w:tcMar>
                  <w:vAlign w:val="center"/>
                </w:tcPr>
                <w:p w14:paraId="740F1280">
                  <w:pPr>
                    <w:pageBreakBefore w:val="0"/>
                    <w:widowControl w:val="0"/>
                    <w:kinsoku/>
                    <w:wordWrap/>
                    <w:overflowPunct/>
                    <w:topLinePunct w:val="0"/>
                    <w:autoSpaceDE/>
                    <w:autoSpaceDN/>
                    <w:bidi w:val="0"/>
                    <w:adjustRightInd w:val="0"/>
                    <w:snapToGrid w:val="0"/>
                    <w:spacing w:line="240" w:lineRule="auto"/>
                    <w:jc w:val="center"/>
                    <w:textAlignment w:val="auto"/>
                    <w:rPr>
                      <w:b w:val="0"/>
                      <w:bCs w:val="0"/>
                      <w:color w:val="auto"/>
                      <w:kern w:val="0"/>
                    </w:rPr>
                  </w:pPr>
                  <w:r>
                    <w:rPr>
                      <w:rFonts w:hint="eastAsia"/>
                      <w:b w:val="0"/>
                      <w:bCs w:val="0"/>
                      <w:color w:val="auto"/>
                      <w:kern w:val="0"/>
                    </w:rPr>
                    <w:t>河流</w:t>
                  </w:r>
                </w:p>
              </w:tc>
              <w:tc>
                <w:tcPr>
                  <w:tcW w:w="1301" w:type="pct"/>
                  <w:tcBorders>
                    <w:tl2br w:val="nil"/>
                    <w:tr2bl w:val="nil"/>
                  </w:tcBorders>
                  <w:tcMar>
                    <w:top w:w="0" w:type="dxa"/>
                    <w:left w:w="0" w:type="dxa"/>
                    <w:bottom w:w="0" w:type="dxa"/>
                    <w:right w:w="0" w:type="dxa"/>
                  </w:tcMar>
                  <w:vAlign w:val="center"/>
                </w:tcPr>
                <w:p w14:paraId="6E1A3EE8">
                  <w:pPr>
                    <w:pageBreakBefore w:val="0"/>
                    <w:widowControl w:val="0"/>
                    <w:kinsoku/>
                    <w:wordWrap/>
                    <w:overflowPunct/>
                    <w:topLinePunct w:val="0"/>
                    <w:autoSpaceDE/>
                    <w:autoSpaceDN/>
                    <w:bidi w:val="0"/>
                    <w:adjustRightInd w:val="0"/>
                    <w:snapToGrid w:val="0"/>
                    <w:spacing w:line="240" w:lineRule="auto"/>
                    <w:jc w:val="center"/>
                    <w:textAlignment w:val="auto"/>
                    <w:rPr>
                      <w:b w:val="0"/>
                      <w:bCs w:val="0"/>
                      <w:color w:val="auto"/>
                      <w:kern w:val="0"/>
                    </w:rPr>
                  </w:pPr>
                  <w:r>
                    <w:rPr>
                      <w:b w:val="0"/>
                      <w:bCs w:val="0"/>
                      <w:color w:val="auto"/>
                      <w:kern w:val="0"/>
                    </w:rPr>
                    <w:t>《地表水环境质量标准》（GB3838-2002）</w:t>
                  </w:r>
                  <w:r>
                    <w:rPr>
                      <w:rFonts w:hint="eastAsia"/>
                      <w:b w:val="0"/>
                      <w:bCs w:val="0"/>
                      <w:color w:val="auto"/>
                      <w:kern w:val="0"/>
                    </w:rPr>
                    <w:t>III</w:t>
                  </w:r>
                  <w:r>
                    <w:rPr>
                      <w:b w:val="0"/>
                      <w:bCs w:val="0"/>
                      <w:color w:val="auto"/>
                      <w:kern w:val="0"/>
                    </w:rPr>
                    <w:t>类区</w:t>
                  </w:r>
                </w:p>
              </w:tc>
              <w:tc>
                <w:tcPr>
                  <w:tcW w:w="472" w:type="pct"/>
                  <w:tcBorders>
                    <w:tl2br w:val="nil"/>
                    <w:tr2bl w:val="nil"/>
                  </w:tcBorders>
                  <w:tcMar>
                    <w:top w:w="0" w:type="dxa"/>
                    <w:left w:w="0" w:type="dxa"/>
                    <w:bottom w:w="0" w:type="dxa"/>
                    <w:right w:w="0" w:type="dxa"/>
                  </w:tcMar>
                  <w:vAlign w:val="center"/>
                </w:tcPr>
                <w:p w14:paraId="7DCE057A">
                  <w:pPr>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 w:val="0"/>
                      <w:bCs w:val="0"/>
                      <w:color w:val="auto"/>
                      <w:kern w:val="0"/>
                      <w:lang w:eastAsia="zh-CN"/>
                    </w:rPr>
                  </w:pPr>
                  <w:r>
                    <w:rPr>
                      <w:rFonts w:hint="eastAsia"/>
                      <w:b w:val="0"/>
                      <w:bCs w:val="0"/>
                      <w:color w:val="auto"/>
                      <w:kern w:val="0"/>
                      <w:lang w:val="en-US" w:eastAsia="zh-CN"/>
                    </w:rPr>
                    <w:t>东北</w:t>
                  </w:r>
                </w:p>
              </w:tc>
              <w:tc>
                <w:tcPr>
                  <w:tcW w:w="591" w:type="pct"/>
                  <w:tcBorders>
                    <w:tl2br w:val="nil"/>
                    <w:tr2bl w:val="nil"/>
                  </w:tcBorders>
                  <w:tcMar>
                    <w:top w:w="0" w:type="dxa"/>
                    <w:left w:w="0" w:type="dxa"/>
                    <w:bottom w:w="0" w:type="dxa"/>
                    <w:right w:w="0" w:type="dxa"/>
                  </w:tcMar>
                  <w:vAlign w:val="center"/>
                </w:tcPr>
                <w:p w14:paraId="085062F6">
                  <w:pPr>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val="0"/>
                      <w:color w:val="auto"/>
                      <w:kern w:val="0"/>
                      <w:lang w:val="en-US" w:eastAsia="zh-CN"/>
                    </w:rPr>
                  </w:pPr>
                  <w:r>
                    <w:rPr>
                      <w:rFonts w:hint="eastAsia"/>
                      <w:b w:val="0"/>
                      <w:bCs w:val="0"/>
                      <w:color w:val="auto"/>
                      <w:kern w:val="0"/>
                      <w:lang w:val="en-US" w:eastAsia="zh-CN"/>
                    </w:rPr>
                    <w:t>4800m</w:t>
                  </w:r>
                </w:p>
              </w:tc>
            </w:tr>
            <w:tr w14:paraId="5E50F96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498" w:type="pct"/>
                  <w:tcBorders>
                    <w:tl2br w:val="nil"/>
                    <w:tr2bl w:val="nil"/>
                  </w:tcBorders>
                  <w:tcMar>
                    <w:top w:w="0" w:type="dxa"/>
                    <w:left w:w="0" w:type="dxa"/>
                    <w:bottom w:w="0" w:type="dxa"/>
                    <w:right w:w="0" w:type="dxa"/>
                  </w:tcMar>
                  <w:vAlign w:val="center"/>
                </w:tcPr>
                <w:p w14:paraId="0A5264A3">
                  <w:pPr>
                    <w:pageBreakBefore w:val="0"/>
                    <w:widowControl w:val="0"/>
                    <w:kinsoku/>
                    <w:wordWrap/>
                    <w:overflowPunct/>
                    <w:topLinePunct w:val="0"/>
                    <w:autoSpaceDE/>
                    <w:autoSpaceDN/>
                    <w:bidi w:val="0"/>
                    <w:adjustRightInd w:val="0"/>
                    <w:snapToGrid w:val="0"/>
                    <w:spacing w:line="240" w:lineRule="auto"/>
                    <w:jc w:val="center"/>
                    <w:textAlignment w:val="auto"/>
                    <w:rPr>
                      <w:b w:val="0"/>
                      <w:bCs w:val="0"/>
                      <w:color w:val="auto"/>
                      <w:kern w:val="0"/>
                    </w:rPr>
                  </w:pPr>
                  <w:r>
                    <w:rPr>
                      <w:b w:val="0"/>
                      <w:bCs w:val="0"/>
                      <w:color w:val="auto"/>
                      <w:kern w:val="0"/>
                    </w:rPr>
                    <w:t>声环境</w:t>
                  </w:r>
                </w:p>
              </w:tc>
              <w:tc>
                <w:tcPr>
                  <w:tcW w:w="425" w:type="pct"/>
                  <w:tcBorders>
                    <w:tl2br w:val="nil"/>
                    <w:tr2bl w:val="nil"/>
                  </w:tcBorders>
                  <w:tcMar>
                    <w:top w:w="0" w:type="dxa"/>
                    <w:left w:w="0" w:type="dxa"/>
                    <w:bottom w:w="0" w:type="dxa"/>
                    <w:right w:w="0" w:type="dxa"/>
                  </w:tcMar>
                  <w:vAlign w:val="center"/>
                </w:tcPr>
                <w:p w14:paraId="0B211AFA">
                  <w:pPr>
                    <w:pageBreakBefore w:val="0"/>
                    <w:widowControl w:val="0"/>
                    <w:kinsoku/>
                    <w:wordWrap/>
                    <w:overflowPunct/>
                    <w:topLinePunct w:val="0"/>
                    <w:autoSpaceDE/>
                    <w:autoSpaceDN/>
                    <w:bidi w:val="0"/>
                    <w:adjustRightInd w:val="0"/>
                    <w:snapToGrid w:val="0"/>
                    <w:spacing w:line="240" w:lineRule="auto"/>
                    <w:jc w:val="center"/>
                    <w:textAlignment w:val="auto"/>
                    <w:rPr>
                      <w:b w:val="0"/>
                      <w:bCs w:val="0"/>
                      <w:color w:val="auto"/>
                      <w:kern w:val="0"/>
                    </w:rPr>
                  </w:pPr>
                  <w:r>
                    <w:rPr>
                      <w:b w:val="0"/>
                      <w:bCs w:val="0"/>
                      <w:color w:val="auto"/>
                      <w:kern w:val="0"/>
                    </w:rPr>
                    <w:t>/</w:t>
                  </w:r>
                </w:p>
              </w:tc>
              <w:tc>
                <w:tcPr>
                  <w:tcW w:w="425" w:type="pct"/>
                  <w:tcBorders>
                    <w:tl2br w:val="nil"/>
                    <w:tr2bl w:val="nil"/>
                  </w:tcBorders>
                  <w:tcMar>
                    <w:top w:w="0" w:type="dxa"/>
                    <w:left w:w="0" w:type="dxa"/>
                    <w:bottom w:w="0" w:type="dxa"/>
                    <w:right w:w="0" w:type="dxa"/>
                  </w:tcMar>
                  <w:vAlign w:val="center"/>
                </w:tcPr>
                <w:p w14:paraId="73BF3FF8">
                  <w:pPr>
                    <w:pageBreakBefore w:val="0"/>
                    <w:widowControl w:val="0"/>
                    <w:kinsoku/>
                    <w:wordWrap/>
                    <w:overflowPunct/>
                    <w:topLinePunct w:val="0"/>
                    <w:autoSpaceDE/>
                    <w:autoSpaceDN/>
                    <w:bidi w:val="0"/>
                    <w:adjustRightInd w:val="0"/>
                    <w:snapToGrid w:val="0"/>
                    <w:spacing w:line="240" w:lineRule="auto"/>
                    <w:jc w:val="center"/>
                    <w:textAlignment w:val="auto"/>
                    <w:rPr>
                      <w:b w:val="0"/>
                      <w:bCs w:val="0"/>
                      <w:color w:val="auto"/>
                      <w:kern w:val="0"/>
                    </w:rPr>
                  </w:pPr>
                  <w:r>
                    <w:rPr>
                      <w:b w:val="0"/>
                      <w:bCs w:val="0"/>
                      <w:color w:val="auto"/>
                      <w:kern w:val="0"/>
                    </w:rPr>
                    <w:t>/</w:t>
                  </w:r>
                </w:p>
              </w:tc>
              <w:tc>
                <w:tcPr>
                  <w:tcW w:w="756" w:type="pct"/>
                  <w:tcBorders>
                    <w:tl2br w:val="nil"/>
                    <w:tr2bl w:val="nil"/>
                  </w:tcBorders>
                  <w:tcMar>
                    <w:top w:w="0" w:type="dxa"/>
                    <w:left w:w="0" w:type="dxa"/>
                    <w:bottom w:w="0" w:type="dxa"/>
                    <w:right w:w="0" w:type="dxa"/>
                  </w:tcMar>
                  <w:vAlign w:val="center"/>
                </w:tcPr>
                <w:p w14:paraId="5B6A59C3">
                  <w:pPr>
                    <w:pageBreakBefore w:val="0"/>
                    <w:widowControl w:val="0"/>
                    <w:kinsoku/>
                    <w:wordWrap/>
                    <w:overflowPunct/>
                    <w:topLinePunct w:val="0"/>
                    <w:autoSpaceDE/>
                    <w:autoSpaceDN/>
                    <w:bidi w:val="0"/>
                    <w:adjustRightInd w:val="0"/>
                    <w:snapToGrid w:val="0"/>
                    <w:spacing w:line="240" w:lineRule="auto"/>
                    <w:jc w:val="center"/>
                    <w:textAlignment w:val="auto"/>
                    <w:rPr>
                      <w:b w:val="0"/>
                      <w:bCs w:val="0"/>
                      <w:color w:val="auto"/>
                      <w:kern w:val="0"/>
                    </w:rPr>
                  </w:pPr>
                  <w:r>
                    <w:rPr>
                      <w:b w:val="0"/>
                      <w:bCs w:val="0"/>
                      <w:color w:val="auto"/>
                      <w:kern w:val="0"/>
                    </w:rPr>
                    <w:t>厂界50m</w:t>
                  </w:r>
                </w:p>
              </w:tc>
              <w:tc>
                <w:tcPr>
                  <w:tcW w:w="528" w:type="pct"/>
                  <w:tcBorders>
                    <w:tl2br w:val="nil"/>
                    <w:tr2bl w:val="nil"/>
                  </w:tcBorders>
                  <w:tcMar>
                    <w:top w:w="0" w:type="dxa"/>
                    <w:left w:w="0" w:type="dxa"/>
                    <w:bottom w:w="0" w:type="dxa"/>
                    <w:right w:w="0" w:type="dxa"/>
                  </w:tcMar>
                  <w:vAlign w:val="center"/>
                </w:tcPr>
                <w:p w14:paraId="1F7E97DA">
                  <w:pPr>
                    <w:pageBreakBefore w:val="0"/>
                    <w:widowControl w:val="0"/>
                    <w:kinsoku/>
                    <w:wordWrap/>
                    <w:overflowPunct/>
                    <w:topLinePunct w:val="0"/>
                    <w:autoSpaceDE/>
                    <w:autoSpaceDN/>
                    <w:bidi w:val="0"/>
                    <w:adjustRightInd w:val="0"/>
                    <w:snapToGrid w:val="0"/>
                    <w:spacing w:line="240" w:lineRule="auto"/>
                    <w:jc w:val="center"/>
                    <w:textAlignment w:val="auto"/>
                    <w:rPr>
                      <w:b w:val="0"/>
                      <w:bCs w:val="0"/>
                      <w:color w:val="auto"/>
                      <w:kern w:val="0"/>
                    </w:rPr>
                  </w:pPr>
                  <w:r>
                    <w:rPr>
                      <w:b w:val="0"/>
                      <w:bCs w:val="0"/>
                      <w:color w:val="auto"/>
                      <w:kern w:val="0"/>
                    </w:rPr>
                    <w:t>/</w:t>
                  </w:r>
                </w:p>
              </w:tc>
              <w:tc>
                <w:tcPr>
                  <w:tcW w:w="1301" w:type="pct"/>
                  <w:tcBorders>
                    <w:tl2br w:val="nil"/>
                    <w:tr2bl w:val="nil"/>
                  </w:tcBorders>
                  <w:tcMar>
                    <w:top w:w="0" w:type="dxa"/>
                    <w:left w:w="0" w:type="dxa"/>
                    <w:bottom w:w="0" w:type="dxa"/>
                    <w:right w:w="0" w:type="dxa"/>
                  </w:tcMar>
                  <w:vAlign w:val="center"/>
                </w:tcPr>
                <w:p w14:paraId="39F1BFE1">
                  <w:pPr>
                    <w:pageBreakBefore w:val="0"/>
                    <w:widowControl w:val="0"/>
                    <w:kinsoku/>
                    <w:wordWrap/>
                    <w:overflowPunct/>
                    <w:topLinePunct w:val="0"/>
                    <w:autoSpaceDE/>
                    <w:autoSpaceDN/>
                    <w:bidi w:val="0"/>
                    <w:adjustRightInd w:val="0"/>
                    <w:snapToGrid w:val="0"/>
                    <w:spacing w:line="240" w:lineRule="auto"/>
                    <w:jc w:val="center"/>
                    <w:textAlignment w:val="auto"/>
                    <w:rPr>
                      <w:b w:val="0"/>
                      <w:bCs w:val="0"/>
                      <w:color w:val="auto"/>
                      <w:kern w:val="0"/>
                    </w:rPr>
                  </w:pPr>
                  <w:r>
                    <w:rPr>
                      <w:b w:val="0"/>
                      <w:bCs w:val="0"/>
                      <w:color w:val="auto"/>
                      <w:kern w:val="0"/>
                    </w:rPr>
                    <w:t>《声环境质量标准》（GB 3096-2008）</w:t>
                  </w:r>
                  <w:r>
                    <w:rPr>
                      <w:rFonts w:hint="eastAsia"/>
                      <w:b w:val="0"/>
                      <w:bCs w:val="0"/>
                      <w:color w:val="auto"/>
                      <w:kern w:val="0"/>
                      <w:lang w:val="en-US" w:eastAsia="zh-CN"/>
                    </w:rPr>
                    <w:t>2</w:t>
                  </w:r>
                  <w:r>
                    <w:rPr>
                      <w:b w:val="0"/>
                      <w:bCs w:val="0"/>
                      <w:color w:val="auto"/>
                      <w:kern w:val="0"/>
                    </w:rPr>
                    <w:t>类区</w:t>
                  </w:r>
                </w:p>
              </w:tc>
              <w:tc>
                <w:tcPr>
                  <w:tcW w:w="472" w:type="pct"/>
                  <w:tcBorders>
                    <w:tl2br w:val="nil"/>
                    <w:tr2bl w:val="nil"/>
                  </w:tcBorders>
                  <w:tcMar>
                    <w:top w:w="0" w:type="dxa"/>
                    <w:left w:w="0" w:type="dxa"/>
                    <w:bottom w:w="0" w:type="dxa"/>
                    <w:right w:w="0" w:type="dxa"/>
                  </w:tcMar>
                  <w:vAlign w:val="center"/>
                </w:tcPr>
                <w:p w14:paraId="35D30466">
                  <w:pPr>
                    <w:pageBreakBefore w:val="0"/>
                    <w:widowControl w:val="0"/>
                    <w:kinsoku/>
                    <w:wordWrap/>
                    <w:overflowPunct/>
                    <w:topLinePunct w:val="0"/>
                    <w:autoSpaceDE/>
                    <w:autoSpaceDN/>
                    <w:bidi w:val="0"/>
                    <w:adjustRightInd w:val="0"/>
                    <w:snapToGrid w:val="0"/>
                    <w:spacing w:line="240" w:lineRule="auto"/>
                    <w:jc w:val="center"/>
                    <w:textAlignment w:val="auto"/>
                    <w:rPr>
                      <w:b w:val="0"/>
                      <w:bCs w:val="0"/>
                      <w:color w:val="auto"/>
                      <w:kern w:val="0"/>
                    </w:rPr>
                  </w:pPr>
                  <w:r>
                    <w:rPr>
                      <w:b w:val="0"/>
                      <w:bCs w:val="0"/>
                      <w:color w:val="auto"/>
                      <w:kern w:val="0"/>
                    </w:rPr>
                    <w:t>/</w:t>
                  </w:r>
                </w:p>
              </w:tc>
              <w:tc>
                <w:tcPr>
                  <w:tcW w:w="591" w:type="pct"/>
                  <w:tcBorders>
                    <w:tl2br w:val="nil"/>
                    <w:tr2bl w:val="nil"/>
                  </w:tcBorders>
                  <w:tcMar>
                    <w:top w:w="0" w:type="dxa"/>
                    <w:left w:w="0" w:type="dxa"/>
                    <w:bottom w:w="0" w:type="dxa"/>
                    <w:right w:w="0" w:type="dxa"/>
                  </w:tcMar>
                  <w:vAlign w:val="center"/>
                </w:tcPr>
                <w:p w14:paraId="7D416E74">
                  <w:pPr>
                    <w:pageBreakBefore w:val="0"/>
                    <w:widowControl w:val="0"/>
                    <w:kinsoku/>
                    <w:wordWrap/>
                    <w:overflowPunct/>
                    <w:topLinePunct w:val="0"/>
                    <w:autoSpaceDE/>
                    <w:autoSpaceDN/>
                    <w:bidi w:val="0"/>
                    <w:adjustRightInd w:val="0"/>
                    <w:snapToGrid w:val="0"/>
                    <w:spacing w:line="240" w:lineRule="auto"/>
                    <w:jc w:val="center"/>
                    <w:textAlignment w:val="auto"/>
                    <w:rPr>
                      <w:b w:val="0"/>
                      <w:bCs w:val="0"/>
                      <w:color w:val="auto"/>
                      <w:kern w:val="0"/>
                    </w:rPr>
                  </w:pPr>
                  <w:r>
                    <w:rPr>
                      <w:b w:val="0"/>
                      <w:bCs w:val="0"/>
                      <w:color w:val="auto"/>
                      <w:kern w:val="0"/>
                    </w:rPr>
                    <w:t>/</w:t>
                  </w:r>
                </w:p>
              </w:tc>
            </w:tr>
            <w:tr w14:paraId="42FABD2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498" w:type="pct"/>
                  <w:vMerge w:val="restart"/>
                  <w:tcBorders>
                    <w:tl2br w:val="nil"/>
                    <w:tr2bl w:val="nil"/>
                  </w:tcBorders>
                  <w:tcMar>
                    <w:top w:w="0" w:type="dxa"/>
                    <w:left w:w="0" w:type="dxa"/>
                    <w:bottom w:w="0" w:type="dxa"/>
                    <w:right w:w="0" w:type="dxa"/>
                  </w:tcMar>
                  <w:vAlign w:val="center"/>
                </w:tcPr>
                <w:p w14:paraId="40D504AA">
                  <w:pPr>
                    <w:pageBreakBefore w:val="0"/>
                    <w:widowControl w:val="0"/>
                    <w:kinsoku/>
                    <w:wordWrap/>
                    <w:overflowPunct/>
                    <w:topLinePunct w:val="0"/>
                    <w:autoSpaceDE/>
                    <w:autoSpaceDN/>
                    <w:bidi w:val="0"/>
                    <w:adjustRightInd w:val="0"/>
                    <w:snapToGrid w:val="0"/>
                    <w:spacing w:line="240" w:lineRule="auto"/>
                    <w:jc w:val="center"/>
                    <w:textAlignment w:val="auto"/>
                    <w:rPr>
                      <w:b w:val="0"/>
                      <w:bCs w:val="0"/>
                      <w:color w:val="auto"/>
                      <w:kern w:val="0"/>
                    </w:rPr>
                  </w:pPr>
                  <w:r>
                    <w:rPr>
                      <w:b w:val="0"/>
                      <w:bCs w:val="0"/>
                      <w:color w:val="auto"/>
                      <w:kern w:val="0"/>
                    </w:rPr>
                    <w:t>生态环境</w:t>
                  </w:r>
                </w:p>
              </w:tc>
              <w:tc>
                <w:tcPr>
                  <w:tcW w:w="425" w:type="pct"/>
                  <w:tcBorders>
                    <w:tl2br w:val="nil"/>
                    <w:tr2bl w:val="nil"/>
                  </w:tcBorders>
                  <w:tcMar>
                    <w:top w:w="0" w:type="dxa"/>
                    <w:left w:w="0" w:type="dxa"/>
                    <w:bottom w:w="0" w:type="dxa"/>
                    <w:right w:w="0" w:type="dxa"/>
                  </w:tcMar>
                  <w:vAlign w:val="center"/>
                </w:tcPr>
                <w:p w14:paraId="1EF09E78">
                  <w:pPr>
                    <w:pageBreakBefore w:val="0"/>
                    <w:widowControl w:val="0"/>
                    <w:kinsoku/>
                    <w:wordWrap/>
                    <w:overflowPunct/>
                    <w:topLinePunct w:val="0"/>
                    <w:autoSpaceDE/>
                    <w:autoSpaceDN/>
                    <w:bidi w:val="0"/>
                    <w:adjustRightInd w:val="0"/>
                    <w:snapToGrid w:val="0"/>
                    <w:spacing w:line="240" w:lineRule="auto"/>
                    <w:jc w:val="center"/>
                    <w:textAlignment w:val="auto"/>
                    <w:rPr>
                      <w:b w:val="0"/>
                      <w:bCs w:val="0"/>
                      <w:color w:val="auto"/>
                      <w:kern w:val="0"/>
                    </w:rPr>
                  </w:pPr>
                  <w:r>
                    <w:rPr>
                      <w:rFonts w:hint="eastAsia"/>
                      <w:b w:val="0"/>
                      <w:bCs w:val="0"/>
                      <w:color w:val="auto"/>
                      <w:kern w:val="0"/>
                    </w:rPr>
                    <w:t>119.72333908</w:t>
                  </w:r>
                </w:p>
              </w:tc>
              <w:tc>
                <w:tcPr>
                  <w:tcW w:w="425" w:type="pct"/>
                  <w:tcBorders>
                    <w:tl2br w:val="nil"/>
                    <w:tr2bl w:val="nil"/>
                  </w:tcBorders>
                  <w:tcMar>
                    <w:top w:w="0" w:type="dxa"/>
                    <w:left w:w="0" w:type="dxa"/>
                    <w:bottom w:w="0" w:type="dxa"/>
                    <w:right w:w="0" w:type="dxa"/>
                  </w:tcMar>
                  <w:vAlign w:val="center"/>
                </w:tcPr>
                <w:p w14:paraId="3CF9870B">
                  <w:pPr>
                    <w:pageBreakBefore w:val="0"/>
                    <w:widowControl w:val="0"/>
                    <w:kinsoku/>
                    <w:wordWrap/>
                    <w:overflowPunct/>
                    <w:topLinePunct w:val="0"/>
                    <w:autoSpaceDE/>
                    <w:autoSpaceDN/>
                    <w:bidi w:val="0"/>
                    <w:adjustRightInd w:val="0"/>
                    <w:snapToGrid w:val="0"/>
                    <w:spacing w:line="240" w:lineRule="auto"/>
                    <w:jc w:val="center"/>
                    <w:textAlignment w:val="auto"/>
                    <w:rPr>
                      <w:b w:val="0"/>
                      <w:bCs w:val="0"/>
                      <w:color w:val="auto"/>
                      <w:kern w:val="0"/>
                    </w:rPr>
                  </w:pPr>
                  <w:r>
                    <w:rPr>
                      <w:rFonts w:hint="eastAsia"/>
                      <w:b w:val="0"/>
                      <w:bCs w:val="0"/>
                      <w:color w:val="auto"/>
                      <w:kern w:val="0"/>
                    </w:rPr>
                    <w:t>31.71225101</w:t>
                  </w:r>
                </w:p>
              </w:tc>
              <w:tc>
                <w:tcPr>
                  <w:tcW w:w="756" w:type="pct"/>
                  <w:tcBorders>
                    <w:tl2br w:val="nil"/>
                    <w:tr2bl w:val="nil"/>
                  </w:tcBorders>
                  <w:tcMar>
                    <w:top w:w="0" w:type="dxa"/>
                    <w:left w:w="0" w:type="dxa"/>
                    <w:bottom w:w="0" w:type="dxa"/>
                    <w:right w:w="0" w:type="dxa"/>
                  </w:tcMar>
                  <w:vAlign w:val="center"/>
                </w:tcPr>
                <w:p w14:paraId="74EE8845">
                  <w:pPr>
                    <w:pageBreakBefore w:val="0"/>
                    <w:widowControl w:val="0"/>
                    <w:kinsoku/>
                    <w:wordWrap/>
                    <w:overflowPunct/>
                    <w:topLinePunct w:val="0"/>
                    <w:autoSpaceDE/>
                    <w:autoSpaceDN/>
                    <w:bidi w:val="0"/>
                    <w:adjustRightInd w:val="0"/>
                    <w:snapToGrid w:val="0"/>
                    <w:spacing w:line="240" w:lineRule="auto"/>
                    <w:jc w:val="center"/>
                    <w:textAlignment w:val="auto"/>
                    <w:rPr>
                      <w:b w:val="0"/>
                      <w:bCs w:val="0"/>
                      <w:color w:val="auto"/>
                      <w:kern w:val="0"/>
                    </w:rPr>
                  </w:pPr>
                  <w:r>
                    <w:rPr>
                      <w:b w:val="0"/>
                      <w:bCs w:val="0"/>
                      <w:color w:val="auto"/>
                      <w:kern w:val="0"/>
                    </w:rPr>
                    <w:t>新孟河（金坛区）清水通道维护区</w:t>
                  </w:r>
                </w:p>
              </w:tc>
              <w:tc>
                <w:tcPr>
                  <w:tcW w:w="528" w:type="pct"/>
                  <w:tcBorders>
                    <w:tl2br w:val="nil"/>
                    <w:tr2bl w:val="nil"/>
                  </w:tcBorders>
                  <w:tcMar>
                    <w:top w:w="0" w:type="dxa"/>
                    <w:left w:w="0" w:type="dxa"/>
                    <w:bottom w:w="0" w:type="dxa"/>
                    <w:right w:w="0" w:type="dxa"/>
                  </w:tcMar>
                  <w:vAlign w:val="center"/>
                </w:tcPr>
                <w:p w14:paraId="2BC25960">
                  <w:pPr>
                    <w:pageBreakBefore w:val="0"/>
                    <w:widowControl w:val="0"/>
                    <w:kinsoku/>
                    <w:wordWrap/>
                    <w:overflowPunct/>
                    <w:topLinePunct w:val="0"/>
                    <w:autoSpaceDE/>
                    <w:autoSpaceDN/>
                    <w:bidi w:val="0"/>
                    <w:adjustRightInd w:val="0"/>
                    <w:snapToGrid w:val="0"/>
                    <w:spacing w:line="240" w:lineRule="auto"/>
                    <w:jc w:val="center"/>
                    <w:textAlignment w:val="auto"/>
                    <w:rPr>
                      <w:b w:val="0"/>
                      <w:bCs w:val="0"/>
                      <w:color w:val="auto"/>
                      <w:kern w:val="0"/>
                    </w:rPr>
                  </w:pPr>
                  <w:r>
                    <w:rPr>
                      <w:b w:val="0"/>
                      <w:bCs w:val="0"/>
                      <w:color w:val="auto"/>
                      <w:kern w:val="0"/>
                    </w:rPr>
                    <w:t>水源水质保护</w:t>
                  </w:r>
                </w:p>
              </w:tc>
              <w:tc>
                <w:tcPr>
                  <w:tcW w:w="1301" w:type="pct"/>
                  <w:vMerge w:val="restart"/>
                  <w:tcBorders>
                    <w:tl2br w:val="nil"/>
                    <w:tr2bl w:val="nil"/>
                  </w:tcBorders>
                  <w:tcMar>
                    <w:top w:w="0" w:type="dxa"/>
                    <w:left w:w="0" w:type="dxa"/>
                    <w:bottom w:w="0" w:type="dxa"/>
                    <w:right w:w="0" w:type="dxa"/>
                  </w:tcMar>
                  <w:vAlign w:val="center"/>
                </w:tcPr>
                <w:p w14:paraId="3A98CF94">
                  <w:pPr>
                    <w:pageBreakBefore w:val="0"/>
                    <w:widowControl w:val="0"/>
                    <w:kinsoku/>
                    <w:wordWrap/>
                    <w:overflowPunct/>
                    <w:topLinePunct w:val="0"/>
                    <w:autoSpaceDE/>
                    <w:autoSpaceDN/>
                    <w:bidi w:val="0"/>
                    <w:adjustRightInd w:val="0"/>
                    <w:snapToGrid w:val="0"/>
                    <w:spacing w:line="240" w:lineRule="auto"/>
                    <w:jc w:val="center"/>
                    <w:textAlignment w:val="auto"/>
                    <w:rPr>
                      <w:b w:val="0"/>
                      <w:bCs w:val="0"/>
                      <w:color w:val="auto"/>
                      <w:kern w:val="0"/>
                    </w:rPr>
                  </w:pPr>
                  <w:r>
                    <w:rPr>
                      <w:b w:val="0"/>
                      <w:bCs w:val="0"/>
                      <w:color w:val="auto"/>
                      <w:kern w:val="0"/>
                    </w:rPr>
                    <w:t>《江苏省生态空间管控区域规划》</w:t>
                  </w:r>
                </w:p>
              </w:tc>
              <w:tc>
                <w:tcPr>
                  <w:tcW w:w="472" w:type="pct"/>
                  <w:tcBorders>
                    <w:tl2br w:val="nil"/>
                    <w:tr2bl w:val="nil"/>
                  </w:tcBorders>
                  <w:tcMar>
                    <w:top w:w="0" w:type="dxa"/>
                    <w:left w:w="0" w:type="dxa"/>
                    <w:bottom w:w="0" w:type="dxa"/>
                    <w:right w:w="0" w:type="dxa"/>
                  </w:tcMar>
                  <w:vAlign w:val="center"/>
                </w:tcPr>
                <w:p w14:paraId="7B28F035">
                  <w:pPr>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val="0"/>
                      <w:color w:val="auto"/>
                      <w:kern w:val="0"/>
                      <w:lang w:val="en-US" w:eastAsia="zh-CN"/>
                    </w:rPr>
                  </w:pPr>
                  <w:r>
                    <w:rPr>
                      <w:rFonts w:hint="eastAsia"/>
                      <w:b w:val="0"/>
                      <w:bCs w:val="0"/>
                      <w:color w:val="auto"/>
                      <w:kern w:val="0"/>
                      <w:lang w:val="en-US" w:eastAsia="zh-CN"/>
                    </w:rPr>
                    <w:t>东南</w:t>
                  </w:r>
                </w:p>
              </w:tc>
              <w:tc>
                <w:tcPr>
                  <w:tcW w:w="591" w:type="pct"/>
                  <w:tcBorders>
                    <w:tl2br w:val="nil"/>
                    <w:tr2bl w:val="nil"/>
                  </w:tcBorders>
                  <w:tcMar>
                    <w:top w:w="0" w:type="dxa"/>
                    <w:left w:w="0" w:type="dxa"/>
                    <w:bottom w:w="0" w:type="dxa"/>
                    <w:right w:w="0" w:type="dxa"/>
                  </w:tcMar>
                  <w:vAlign w:val="center"/>
                </w:tcPr>
                <w:p w14:paraId="6F23CA36">
                  <w:pPr>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val="0"/>
                      <w:color w:val="auto"/>
                      <w:kern w:val="0"/>
                      <w:lang w:val="en-US" w:eastAsia="zh-CN"/>
                    </w:rPr>
                  </w:pPr>
                  <w:r>
                    <w:rPr>
                      <w:rFonts w:hint="eastAsia"/>
                      <w:b w:val="0"/>
                      <w:bCs w:val="0"/>
                      <w:color w:val="auto"/>
                      <w:kern w:val="0"/>
                      <w:lang w:val="en-US" w:eastAsia="zh-CN"/>
                    </w:rPr>
                    <w:t>8600m</w:t>
                  </w:r>
                </w:p>
              </w:tc>
            </w:tr>
            <w:tr w14:paraId="5605C64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498" w:type="pct"/>
                  <w:vMerge w:val="continue"/>
                  <w:tcBorders>
                    <w:tl2br w:val="nil"/>
                    <w:tr2bl w:val="nil"/>
                  </w:tcBorders>
                  <w:tcMar>
                    <w:top w:w="0" w:type="dxa"/>
                    <w:left w:w="0" w:type="dxa"/>
                    <w:bottom w:w="0" w:type="dxa"/>
                    <w:right w:w="0" w:type="dxa"/>
                  </w:tcMar>
                  <w:vAlign w:val="center"/>
                </w:tcPr>
                <w:p w14:paraId="72911517">
                  <w:pPr>
                    <w:pageBreakBefore w:val="0"/>
                    <w:widowControl w:val="0"/>
                    <w:kinsoku/>
                    <w:wordWrap/>
                    <w:overflowPunct/>
                    <w:topLinePunct w:val="0"/>
                    <w:autoSpaceDE/>
                    <w:autoSpaceDN/>
                    <w:bidi w:val="0"/>
                    <w:adjustRightInd w:val="0"/>
                    <w:snapToGrid w:val="0"/>
                    <w:spacing w:line="240" w:lineRule="auto"/>
                    <w:jc w:val="center"/>
                    <w:textAlignment w:val="auto"/>
                    <w:rPr>
                      <w:b w:val="0"/>
                      <w:bCs w:val="0"/>
                      <w:color w:val="auto"/>
                      <w:kern w:val="0"/>
                    </w:rPr>
                  </w:pPr>
                </w:p>
              </w:tc>
              <w:tc>
                <w:tcPr>
                  <w:tcW w:w="425" w:type="pct"/>
                  <w:tcBorders>
                    <w:tl2br w:val="nil"/>
                    <w:tr2bl w:val="nil"/>
                  </w:tcBorders>
                  <w:tcMar>
                    <w:top w:w="0" w:type="dxa"/>
                    <w:left w:w="0" w:type="dxa"/>
                    <w:bottom w:w="0" w:type="dxa"/>
                    <w:right w:w="0" w:type="dxa"/>
                  </w:tcMar>
                  <w:vAlign w:val="center"/>
                </w:tcPr>
                <w:p w14:paraId="4F2E574E">
                  <w:pPr>
                    <w:pageBreakBefore w:val="0"/>
                    <w:widowControl w:val="0"/>
                    <w:kinsoku/>
                    <w:wordWrap/>
                    <w:overflowPunct/>
                    <w:topLinePunct w:val="0"/>
                    <w:autoSpaceDE/>
                    <w:autoSpaceDN/>
                    <w:bidi w:val="0"/>
                    <w:adjustRightInd w:val="0"/>
                    <w:snapToGrid w:val="0"/>
                    <w:spacing w:line="240" w:lineRule="auto"/>
                    <w:jc w:val="center"/>
                    <w:textAlignment w:val="auto"/>
                    <w:rPr>
                      <w:b w:val="0"/>
                      <w:bCs w:val="0"/>
                      <w:color w:val="auto"/>
                      <w:kern w:val="0"/>
                    </w:rPr>
                  </w:pPr>
                  <w:r>
                    <w:rPr>
                      <w:rFonts w:hint="eastAsia"/>
                      <w:b w:val="0"/>
                      <w:bCs w:val="0"/>
                      <w:color w:val="auto"/>
                      <w:kern w:val="0"/>
                    </w:rPr>
                    <w:t>119.60171700</w:t>
                  </w:r>
                </w:p>
              </w:tc>
              <w:tc>
                <w:tcPr>
                  <w:tcW w:w="425" w:type="pct"/>
                  <w:tcBorders>
                    <w:tl2br w:val="nil"/>
                    <w:tr2bl w:val="nil"/>
                  </w:tcBorders>
                  <w:tcMar>
                    <w:top w:w="0" w:type="dxa"/>
                    <w:left w:w="0" w:type="dxa"/>
                    <w:bottom w:w="0" w:type="dxa"/>
                    <w:right w:w="0" w:type="dxa"/>
                  </w:tcMar>
                  <w:vAlign w:val="center"/>
                </w:tcPr>
                <w:p w14:paraId="1C5605DE">
                  <w:pPr>
                    <w:pageBreakBefore w:val="0"/>
                    <w:widowControl w:val="0"/>
                    <w:kinsoku/>
                    <w:wordWrap/>
                    <w:overflowPunct/>
                    <w:topLinePunct w:val="0"/>
                    <w:autoSpaceDE/>
                    <w:autoSpaceDN/>
                    <w:bidi w:val="0"/>
                    <w:adjustRightInd w:val="0"/>
                    <w:snapToGrid w:val="0"/>
                    <w:spacing w:line="240" w:lineRule="auto"/>
                    <w:jc w:val="center"/>
                    <w:textAlignment w:val="auto"/>
                    <w:rPr>
                      <w:b w:val="0"/>
                      <w:bCs w:val="0"/>
                      <w:color w:val="auto"/>
                      <w:kern w:val="0"/>
                    </w:rPr>
                  </w:pPr>
                  <w:r>
                    <w:rPr>
                      <w:rFonts w:hint="eastAsia"/>
                      <w:b w:val="0"/>
                      <w:bCs w:val="0"/>
                      <w:color w:val="auto"/>
                      <w:kern w:val="0"/>
                    </w:rPr>
                    <w:t>31.66791968</w:t>
                  </w:r>
                </w:p>
              </w:tc>
              <w:tc>
                <w:tcPr>
                  <w:tcW w:w="756" w:type="pct"/>
                  <w:tcBorders>
                    <w:tl2br w:val="nil"/>
                    <w:tr2bl w:val="nil"/>
                  </w:tcBorders>
                  <w:tcMar>
                    <w:top w:w="0" w:type="dxa"/>
                    <w:left w:w="0" w:type="dxa"/>
                    <w:bottom w:w="0" w:type="dxa"/>
                    <w:right w:w="0" w:type="dxa"/>
                  </w:tcMar>
                  <w:vAlign w:val="center"/>
                </w:tcPr>
                <w:p w14:paraId="0BC82FB2">
                  <w:pPr>
                    <w:pageBreakBefore w:val="0"/>
                    <w:widowControl w:val="0"/>
                    <w:kinsoku/>
                    <w:wordWrap/>
                    <w:overflowPunct/>
                    <w:topLinePunct w:val="0"/>
                    <w:autoSpaceDE/>
                    <w:autoSpaceDN/>
                    <w:bidi w:val="0"/>
                    <w:adjustRightInd w:val="0"/>
                    <w:snapToGrid w:val="0"/>
                    <w:spacing w:line="240" w:lineRule="auto"/>
                    <w:jc w:val="center"/>
                    <w:textAlignment w:val="auto"/>
                    <w:rPr>
                      <w:b w:val="0"/>
                      <w:bCs w:val="0"/>
                      <w:color w:val="auto"/>
                      <w:kern w:val="0"/>
                    </w:rPr>
                  </w:pPr>
                  <w:r>
                    <w:rPr>
                      <w:b w:val="0"/>
                      <w:bCs w:val="0"/>
                      <w:color w:val="auto"/>
                      <w:kern w:val="0"/>
                    </w:rPr>
                    <w:t>长荡湖（金坛区）重要湿地</w:t>
                  </w:r>
                </w:p>
              </w:tc>
              <w:tc>
                <w:tcPr>
                  <w:tcW w:w="528" w:type="pct"/>
                  <w:tcBorders>
                    <w:tl2br w:val="nil"/>
                    <w:tr2bl w:val="nil"/>
                  </w:tcBorders>
                  <w:tcMar>
                    <w:top w:w="0" w:type="dxa"/>
                    <w:left w:w="0" w:type="dxa"/>
                    <w:bottom w:w="0" w:type="dxa"/>
                    <w:right w:w="0" w:type="dxa"/>
                  </w:tcMar>
                  <w:vAlign w:val="center"/>
                </w:tcPr>
                <w:p w14:paraId="16F3AED9">
                  <w:pPr>
                    <w:pageBreakBefore w:val="0"/>
                    <w:widowControl w:val="0"/>
                    <w:kinsoku/>
                    <w:wordWrap/>
                    <w:overflowPunct/>
                    <w:topLinePunct w:val="0"/>
                    <w:autoSpaceDE/>
                    <w:autoSpaceDN/>
                    <w:bidi w:val="0"/>
                    <w:adjustRightInd w:val="0"/>
                    <w:snapToGrid w:val="0"/>
                    <w:spacing w:line="240" w:lineRule="auto"/>
                    <w:jc w:val="center"/>
                    <w:textAlignment w:val="auto"/>
                    <w:rPr>
                      <w:b w:val="0"/>
                      <w:bCs w:val="0"/>
                      <w:color w:val="auto"/>
                      <w:kern w:val="0"/>
                    </w:rPr>
                  </w:pPr>
                  <w:r>
                    <w:rPr>
                      <w:rFonts w:hint="eastAsia"/>
                      <w:b w:val="0"/>
                      <w:bCs w:val="0"/>
                      <w:color w:val="auto"/>
                      <w:kern w:val="0"/>
                    </w:rPr>
                    <w:t>重要湖泊湿地</w:t>
                  </w:r>
                </w:p>
              </w:tc>
              <w:tc>
                <w:tcPr>
                  <w:tcW w:w="1301" w:type="pct"/>
                  <w:vMerge w:val="continue"/>
                  <w:tcBorders>
                    <w:tl2br w:val="nil"/>
                    <w:tr2bl w:val="nil"/>
                  </w:tcBorders>
                  <w:tcMar>
                    <w:top w:w="0" w:type="dxa"/>
                    <w:left w:w="0" w:type="dxa"/>
                    <w:bottom w:w="0" w:type="dxa"/>
                    <w:right w:w="0" w:type="dxa"/>
                  </w:tcMar>
                  <w:vAlign w:val="center"/>
                </w:tcPr>
                <w:p w14:paraId="2FC31F86">
                  <w:pPr>
                    <w:pageBreakBefore w:val="0"/>
                    <w:widowControl w:val="0"/>
                    <w:kinsoku/>
                    <w:wordWrap/>
                    <w:overflowPunct/>
                    <w:topLinePunct w:val="0"/>
                    <w:autoSpaceDE/>
                    <w:autoSpaceDN/>
                    <w:bidi w:val="0"/>
                    <w:adjustRightInd w:val="0"/>
                    <w:snapToGrid w:val="0"/>
                    <w:spacing w:line="240" w:lineRule="auto"/>
                    <w:jc w:val="center"/>
                    <w:textAlignment w:val="auto"/>
                    <w:rPr>
                      <w:b w:val="0"/>
                      <w:bCs w:val="0"/>
                      <w:color w:val="auto"/>
                      <w:kern w:val="0"/>
                    </w:rPr>
                  </w:pPr>
                </w:p>
              </w:tc>
              <w:tc>
                <w:tcPr>
                  <w:tcW w:w="472" w:type="pct"/>
                  <w:tcBorders>
                    <w:tl2br w:val="nil"/>
                    <w:tr2bl w:val="nil"/>
                  </w:tcBorders>
                  <w:tcMar>
                    <w:top w:w="0" w:type="dxa"/>
                    <w:left w:w="0" w:type="dxa"/>
                    <w:bottom w:w="0" w:type="dxa"/>
                    <w:right w:w="0" w:type="dxa"/>
                  </w:tcMar>
                  <w:vAlign w:val="center"/>
                </w:tcPr>
                <w:p w14:paraId="063386B1">
                  <w:pPr>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 w:val="0"/>
                      <w:bCs w:val="0"/>
                      <w:color w:val="auto"/>
                      <w:kern w:val="0"/>
                      <w:lang w:val="en-US" w:eastAsia="zh-CN"/>
                    </w:rPr>
                  </w:pPr>
                  <w:r>
                    <w:rPr>
                      <w:rFonts w:hint="eastAsia"/>
                      <w:b w:val="0"/>
                      <w:bCs w:val="0"/>
                      <w:color w:val="auto"/>
                      <w:kern w:val="0"/>
                      <w:lang w:val="en-US" w:eastAsia="zh-CN"/>
                    </w:rPr>
                    <w:t>西南</w:t>
                  </w:r>
                </w:p>
              </w:tc>
              <w:tc>
                <w:tcPr>
                  <w:tcW w:w="591" w:type="pct"/>
                  <w:tcBorders>
                    <w:tl2br w:val="nil"/>
                    <w:tr2bl w:val="nil"/>
                  </w:tcBorders>
                  <w:tcMar>
                    <w:top w:w="0" w:type="dxa"/>
                    <w:left w:w="0" w:type="dxa"/>
                    <w:bottom w:w="0" w:type="dxa"/>
                    <w:right w:w="0" w:type="dxa"/>
                  </w:tcMar>
                  <w:vAlign w:val="center"/>
                </w:tcPr>
                <w:p w14:paraId="54B75FA7">
                  <w:pPr>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val="0"/>
                      <w:color w:val="auto"/>
                      <w:kern w:val="0"/>
                      <w:lang w:val="en-US" w:eastAsia="zh-CN"/>
                    </w:rPr>
                  </w:pPr>
                  <w:r>
                    <w:rPr>
                      <w:rFonts w:hint="eastAsia"/>
                      <w:b w:val="0"/>
                      <w:bCs w:val="0"/>
                      <w:color w:val="auto"/>
                      <w:kern w:val="0"/>
                      <w:lang w:val="en-US" w:eastAsia="zh-CN"/>
                    </w:rPr>
                    <w:t>5300m</w:t>
                  </w:r>
                </w:p>
              </w:tc>
            </w:tr>
            <w:tr w14:paraId="6361035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498" w:type="pct"/>
                  <w:vMerge w:val="continue"/>
                  <w:tcBorders>
                    <w:tl2br w:val="nil"/>
                    <w:tr2bl w:val="nil"/>
                  </w:tcBorders>
                  <w:tcMar>
                    <w:top w:w="0" w:type="dxa"/>
                    <w:left w:w="0" w:type="dxa"/>
                    <w:bottom w:w="0" w:type="dxa"/>
                    <w:right w:w="0" w:type="dxa"/>
                  </w:tcMar>
                  <w:vAlign w:val="center"/>
                </w:tcPr>
                <w:p w14:paraId="0A787813">
                  <w:pPr>
                    <w:pageBreakBefore w:val="0"/>
                    <w:widowControl w:val="0"/>
                    <w:kinsoku/>
                    <w:wordWrap/>
                    <w:overflowPunct/>
                    <w:topLinePunct w:val="0"/>
                    <w:autoSpaceDE/>
                    <w:autoSpaceDN/>
                    <w:bidi w:val="0"/>
                    <w:adjustRightInd w:val="0"/>
                    <w:snapToGrid w:val="0"/>
                    <w:spacing w:line="240" w:lineRule="auto"/>
                    <w:jc w:val="center"/>
                    <w:textAlignment w:val="auto"/>
                    <w:rPr>
                      <w:b w:val="0"/>
                      <w:bCs w:val="0"/>
                      <w:color w:val="auto"/>
                      <w:kern w:val="0"/>
                    </w:rPr>
                  </w:pPr>
                </w:p>
              </w:tc>
              <w:tc>
                <w:tcPr>
                  <w:tcW w:w="425" w:type="pct"/>
                  <w:tcBorders>
                    <w:tl2br w:val="nil"/>
                    <w:tr2bl w:val="nil"/>
                  </w:tcBorders>
                  <w:shd w:val="clear" w:color="auto" w:fill="auto"/>
                  <w:tcMar>
                    <w:top w:w="0" w:type="dxa"/>
                    <w:left w:w="0" w:type="dxa"/>
                    <w:bottom w:w="0" w:type="dxa"/>
                    <w:right w:w="0" w:type="dxa"/>
                  </w:tcMar>
                  <w:vAlign w:val="center"/>
                </w:tcPr>
                <w:p w14:paraId="27F70C38">
                  <w:pPr>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napToGrid w:val="0"/>
                      <w:color w:val="auto"/>
                      <w:kern w:val="0"/>
                      <w:sz w:val="21"/>
                      <w:szCs w:val="21"/>
                      <w:lang w:val="en-US" w:eastAsia="zh-CN" w:bidi="ar-SA"/>
                    </w:rPr>
                  </w:pPr>
                  <w:r>
                    <w:rPr>
                      <w:rFonts w:hint="eastAsia"/>
                      <w:b w:val="0"/>
                      <w:bCs w:val="0"/>
                      <w:color w:val="auto"/>
                      <w:kern w:val="0"/>
                    </w:rPr>
                    <w:t>119.61195230</w:t>
                  </w:r>
                </w:p>
              </w:tc>
              <w:tc>
                <w:tcPr>
                  <w:tcW w:w="425" w:type="pct"/>
                  <w:tcBorders>
                    <w:tl2br w:val="nil"/>
                    <w:tr2bl w:val="nil"/>
                  </w:tcBorders>
                  <w:shd w:val="clear" w:color="auto" w:fill="auto"/>
                  <w:tcMar>
                    <w:top w:w="0" w:type="dxa"/>
                    <w:left w:w="0" w:type="dxa"/>
                    <w:bottom w:w="0" w:type="dxa"/>
                    <w:right w:w="0" w:type="dxa"/>
                  </w:tcMar>
                  <w:vAlign w:val="center"/>
                </w:tcPr>
                <w:p w14:paraId="6F337225">
                  <w:pPr>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napToGrid w:val="0"/>
                      <w:color w:val="auto"/>
                      <w:kern w:val="0"/>
                      <w:sz w:val="21"/>
                      <w:szCs w:val="21"/>
                      <w:lang w:val="en-US" w:eastAsia="zh-CN" w:bidi="ar-SA"/>
                    </w:rPr>
                  </w:pPr>
                  <w:r>
                    <w:rPr>
                      <w:rFonts w:hint="eastAsia"/>
                      <w:b w:val="0"/>
                      <w:bCs w:val="0"/>
                      <w:color w:val="auto"/>
                      <w:kern w:val="0"/>
                    </w:rPr>
                    <w:t>31.70451099</w:t>
                  </w:r>
                </w:p>
              </w:tc>
              <w:tc>
                <w:tcPr>
                  <w:tcW w:w="756" w:type="pct"/>
                  <w:tcBorders>
                    <w:tl2br w:val="nil"/>
                    <w:tr2bl w:val="nil"/>
                  </w:tcBorders>
                  <w:shd w:val="clear" w:color="auto" w:fill="auto"/>
                  <w:tcMar>
                    <w:top w:w="0" w:type="dxa"/>
                    <w:left w:w="0" w:type="dxa"/>
                    <w:bottom w:w="0" w:type="dxa"/>
                    <w:right w:w="0" w:type="dxa"/>
                  </w:tcMar>
                  <w:vAlign w:val="center"/>
                </w:tcPr>
                <w:p w14:paraId="7291BE99">
                  <w:pPr>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eastAsia"/>
                      <w:b w:val="0"/>
                      <w:bCs w:val="0"/>
                      <w:color w:val="auto"/>
                      <w:kern w:val="0"/>
                      <w:lang w:val="en-US" w:eastAsia="zh-CN"/>
                    </w:rPr>
                    <w:t>钱资荡重要湿地</w:t>
                  </w:r>
                </w:p>
              </w:tc>
              <w:tc>
                <w:tcPr>
                  <w:tcW w:w="528" w:type="pct"/>
                  <w:tcBorders>
                    <w:tl2br w:val="nil"/>
                    <w:tr2bl w:val="nil"/>
                  </w:tcBorders>
                  <w:shd w:val="clear" w:color="auto" w:fill="auto"/>
                  <w:tcMar>
                    <w:top w:w="0" w:type="dxa"/>
                    <w:left w:w="0" w:type="dxa"/>
                    <w:bottom w:w="0" w:type="dxa"/>
                    <w:right w:w="0" w:type="dxa"/>
                  </w:tcMar>
                  <w:vAlign w:val="center"/>
                </w:tcPr>
                <w:p w14:paraId="42C29557">
                  <w:pPr>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snapToGrid w:val="0"/>
                      <w:color w:val="auto"/>
                      <w:kern w:val="0"/>
                      <w:sz w:val="21"/>
                      <w:szCs w:val="21"/>
                      <w:lang w:val="en-US" w:eastAsia="zh-CN" w:bidi="ar-SA"/>
                    </w:rPr>
                  </w:pPr>
                  <w:r>
                    <w:rPr>
                      <w:rFonts w:hint="eastAsia"/>
                      <w:b w:val="0"/>
                      <w:bCs w:val="0"/>
                      <w:color w:val="auto"/>
                      <w:kern w:val="0"/>
                      <w:lang w:val="en-US" w:eastAsia="zh-CN"/>
                    </w:rPr>
                    <w:t>湿地生态系统保护</w:t>
                  </w:r>
                </w:p>
              </w:tc>
              <w:tc>
                <w:tcPr>
                  <w:tcW w:w="1301" w:type="pct"/>
                  <w:vMerge w:val="continue"/>
                  <w:tcBorders>
                    <w:tl2br w:val="nil"/>
                    <w:tr2bl w:val="nil"/>
                  </w:tcBorders>
                  <w:tcMar>
                    <w:top w:w="0" w:type="dxa"/>
                    <w:left w:w="0" w:type="dxa"/>
                    <w:bottom w:w="0" w:type="dxa"/>
                    <w:right w:w="0" w:type="dxa"/>
                  </w:tcMar>
                  <w:vAlign w:val="center"/>
                </w:tcPr>
                <w:p w14:paraId="66D809FE">
                  <w:pPr>
                    <w:pageBreakBefore w:val="0"/>
                    <w:widowControl w:val="0"/>
                    <w:kinsoku/>
                    <w:wordWrap/>
                    <w:overflowPunct/>
                    <w:topLinePunct w:val="0"/>
                    <w:autoSpaceDE/>
                    <w:autoSpaceDN/>
                    <w:bidi w:val="0"/>
                    <w:adjustRightInd w:val="0"/>
                    <w:snapToGrid w:val="0"/>
                    <w:spacing w:line="240" w:lineRule="auto"/>
                    <w:jc w:val="center"/>
                    <w:textAlignment w:val="auto"/>
                    <w:rPr>
                      <w:b w:val="0"/>
                      <w:bCs w:val="0"/>
                      <w:color w:val="auto"/>
                      <w:kern w:val="0"/>
                    </w:rPr>
                  </w:pPr>
                </w:p>
              </w:tc>
              <w:tc>
                <w:tcPr>
                  <w:tcW w:w="472" w:type="pct"/>
                  <w:tcBorders>
                    <w:tl2br w:val="nil"/>
                    <w:tr2bl w:val="nil"/>
                  </w:tcBorders>
                  <w:tcMar>
                    <w:top w:w="0" w:type="dxa"/>
                    <w:left w:w="0" w:type="dxa"/>
                    <w:bottom w:w="0" w:type="dxa"/>
                    <w:right w:w="0" w:type="dxa"/>
                  </w:tcMar>
                  <w:vAlign w:val="center"/>
                </w:tcPr>
                <w:p w14:paraId="628825DE">
                  <w:pPr>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kern w:val="0"/>
                      <w:lang w:val="en-US" w:eastAsia="zh-CN"/>
                    </w:rPr>
                  </w:pPr>
                  <w:r>
                    <w:rPr>
                      <w:rFonts w:hint="eastAsia"/>
                      <w:b w:val="0"/>
                      <w:bCs w:val="0"/>
                      <w:color w:val="auto"/>
                      <w:kern w:val="0"/>
                      <w:lang w:val="en-US" w:eastAsia="zh-CN"/>
                    </w:rPr>
                    <w:t>西南</w:t>
                  </w:r>
                </w:p>
              </w:tc>
              <w:tc>
                <w:tcPr>
                  <w:tcW w:w="591" w:type="pct"/>
                  <w:tcBorders>
                    <w:tl2br w:val="nil"/>
                    <w:tr2bl w:val="nil"/>
                  </w:tcBorders>
                  <w:tcMar>
                    <w:top w:w="0" w:type="dxa"/>
                    <w:left w:w="0" w:type="dxa"/>
                    <w:bottom w:w="0" w:type="dxa"/>
                    <w:right w:w="0" w:type="dxa"/>
                  </w:tcMar>
                  <w:vAlign w:val="center"/>
                </w:tcPr>
                <w:p w14:paraId="15F79C2D">
                  <w:pPr>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color w:val="auto"/>
                      <w:kern w:val="0"/>
                      <w:lang w:val="en-US" w:eastAsia="zh-CN"/>
                    </w:rPr>
                  </w:pPr>
                  <w:r>
                    <w:rPr>
                      <w:rFonts w:hint="eastAsia"/>
                      <w:b w:val="0"/>
                      <w:bCs w:val="0"/>
                      <w:color w:val="auto"/>
                      <w:kern w:val="0"/>
                      <w:lang w:val="en-US" w:eastAsia="zh-CN"/>
                    </w:rPr>
                    <w:t>1300m</w:t>
                  </w:r>
                </w:p>
              </w:tc>
            </w:tr>
            <w:tr w14:paraId="2DF2F49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498" w:type="pct"/>
                  <w:tcBorders>
                    <w:tl2br w:val="nil"/>
                    <w:tr2bl w:val="nil"/>
                  </w:tcBorders>
                  <w:tcMar>
                    <w:top w:w="0" w:type="dxa"/>
                    <w:left w:w="0" w:type="dxa"/>
                    <w:bottom w:w="0" w:type="dxa"/>
                    <w:right w:w="0" w:type="dxa"/>
                  </w:tcMar>
                  <w:vAlign w:val="center"/>
                </w:tcPr>
                <w:p w14:paraId="3735E973">
                  <w:pPr>
                    <w:pageBreakBefore w:val="0"/>
                    <w:widowControl w:val="0"/>
                    <w:kinsoku/>
                    <w:wordWrap/>
                    <w:overflowPunct/>
                    <w:topLinePunct w:val="0"/>
                    <w:autoSpaceDE/>
                    <w:autoSpaceDN/>
                    <w:bidi w:val="0"/>
                    <w:adjustRightInd w:val="0"/>
                    <w:snapToGrid w:val="0"/>
                    <w:spacing w:line="240" w:lineRule="auto"/>
                    <w:jc w:val="center"/>
                    <w:textAlignment w:val="auto"/>
                    <w:rPr>
                      <w:b w:val="0"/>
                      <w:bCs w:val="0"/>
                      <w:color w:val="auto"/>
                      <w:kern w:val="0"/>
                    </w:rPr>
                  </w:pPr>
                  <w:r>
                    <w:rPr>
                      <w:b w:val="0"/>
                      <w:bCs w:val="0"/>
                      <w:color w:val="auto"/>
                      <w:kern w:val="0"/>
                    </w:rPr>
                    <w:t>地下水</w:t>
                  </w:r>
                </w:p>
              </w:tc>
              <w:tc>
                <w:tcPr>
                  <w:tcW w:w="2135" w:type="pct"/>
                  <w:gridSpan w:val="4"/>
                  <w:tcBorders>
                    <w:tl2br w:val="nil"/>
                    <w:tr2bl w:val="nil"/>
                  </w:tcBorders>
                  <w:tcMar>
                    <w:top w:w="0" w:type="dxa"/>
                    <w:left w:w="0" w:type="dxa"/>
                    <w:bottom w:w="0" w:type="dxa"/>
                    <w:right w:w="0" w:type="dxa"/>
                  </w:tcMar>
                  <w:vAlign w:val="center"/>
                </w:tcPr>
                <w:p w14:paraId="4252347B">
                  <w:pPr>
                    <w:pageBreakBefore w:val="0"/>
                    <w:widowControl w:val="0"/>
                    <w:kinsoku/>
                    <w:wordWrap/>
                    <w:overflowPunct/>
                    <w:topLinePunct w:val="0"/>
                    <w:autoSpaceDE/>
                    <w:autoSpaceDN/>
                    <w:bidi w:val="0"/>
                    <w:adjustRightInd w:val="0"/>
                    <w:snapToGrid w:val="0"/>
                    <w:spacing w:line="240" w:lineRule="auto"/>
                    <w:jc w:val="center"/>
                    <w:textAlignment w:val="auto"/>
                    <w:rPr>
                      <w:b w:val="0"/>
                      <w:bCs w:val="0"/>
                      <w:color w:val="auto"/>
                      <w:kern w:val="0"/>
                    </w:rPr>
                  </w:pPr>
                  <w:r>
                    <w:rPr>
                      <w:b w:val="0"/>
                      <w:bCs w:val="0"/>
                      <w:color w:val="auto"/>
                      <w:kern w:val="0"/>
                    </w:rPr>
                    <w:t>项目所在区域500m范围</w:t>
                  </w:r>
                </w:p>
              </w:tc>
              <w:tc>
                <w:tcPr>
                  <w:tcW w:w="2365" w:type="pct"/>
                  <w:gridSpan w:val="3"/>
                  <w:tcBorders>
                    <w:tl2br w:val="nil"/>
                    <w:tr2bl w:val="nil"/>
                  </w:tcBorders>
                  <w:tcMar>
                    <w:top w:w="0" w:type="dxa"/>
                    <w:left w:w="0" w:type="dxa"/>
                    <w:bottom w:w="0" w:type="dxa"/>
                    <w:right w:w="0" w:type="dxa"/>
                  </w:tcMar>
                  <w:vAlign w:val="center"/>
                </w:tcPr>
                <w:p w14:paraId="5B8D1E0C">
                  <w:pPr>
                    <w:pageBreakBefore w:val="0"/>
                    <w:widowControl w:val="0"/>
                    <w:kinsoku/>
                    <w:wordWrap/>
                    <w:overflowPunct/>
                    <w:topLinePunct w:val="0"/>
                    <w:autoSpaceDE/>
                    <w:autoSpaceDN/>
                    <w:bidi w:val="0"/>
                    <w:adjustRightInd w:val="0"/>
                    <w:snapToGrid w:val="0"/>
                    <w:spacing w:line="240" w:lineRule="auto"/>
                    <w:jc w:val="center"/>
                    <w:textAlignment w:val="auto"/>
                    <w:rPr>
                      <w:b w:val="0"/>
                      <w:bCs w:val="0"/>
                      <w:color w:val="auto"/>
                      <w:kern w:val="0"/>
                    </w:rPr>
                  </w:pPr>
                  <w:r>
                    <w:rPr>
                      <w:b w:val="0"/>
                      <w:bCs w:val="0"/>
                      <w:color w:val="auto"/>
                      <w:kern w:val="0"/>
                    </w:rPr>
                    <w:t>本项目厂界外500米范围内无地下水集中式饮用水水源等特殊地下水资源</w:t>
                  </w:r>
                </w:p>
              </w:tc>
            </w:tr>
            <w:tr w14:paraId="710FC04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5000" w:type="pct"/>
                  <w:gridSpan w:val="8"/>
                  <w:tcBorders>
                    <w:tl2br w:val="nil"/>
                    <w:tr2bl w:val="nil"/>
                  </w:tcBorders>
                  <w:tcMar>
                    <w:top w:w="0" w:type="dxa"/>
                    <w:left w:w="0" w:type="dxa"/>
                    <w:bottom w:w="0" w:type="dxa"/>
                    <w:right w:w="0" w:type="dxa"/>
                  </w:tcMar>
                  <w:vAlign w:val="center"/>
                </w:tcPr>
                <w:p w14:paraId="0C6F4863">
                  <w:pPr>
                    <w:pageBreakBefore w:val="0"/>
                    <w:widowControl w:val="0"/>
                    <w:kinsoku/>
                    <w:wordWrap/>
                    <w:overflowPunct/>
                    <w:topLinePunct w:val="0"/>
                    <w:autoSpaceDE/>
                    <w:autoSpaceDN/>
                    <w:bidi w:val="0"/>
                    <w:adjustRightInd w:val="0"/>
                    <w:snapToGrid w:val="0"/>
                    <w:spacing w:line="240" w:lineRule="auto"/>
                    <w:jc w:val="left"/>
                    <w:textAlignment w:val="auto"/>
                    <w:rPr>
                      <w:rFonts w:hint="eastAsia" w:eastAsia="宋体"/>
                      <w:color w:val="auto"/>
                      <w:kern w:val="0"/>
                      <w:lang w:val="en-US" w:eastAsia="zh-CN"/>
                    </w:rPr>
                  </w:pPr>
                  <w:r>
                    <w:rPr>
                      <w:rFonts w:hint="eastAsia"/>
                      <w:b/>
                      <w:bCs/>
                      <w:color w:val="auto"/>
                      <w:kern w:val="0"/>
                      <w:lang w:val="en-US" w:eastAsia="zh-CN"/>
                    </w:rPr>
                    <w:t>注：项目距离国控站点（金坛城区）直线距离约3.5km，距离省控站点（金坛监测站）5.4km，不在常州市空气质量监测国控、省控站点位置。</w:t>
                  </w:r>
                </w:p>
              </w:tc>
            </w:tr>
          </w:tbl>
          <w:p w14:paraId="01C553C6">
            <w:pPr>
              <w:adjustRightInd w:val="0"/>
              <w:snapToGrid w:val="0"/>
              <w:spacing w:line="360" w:lineRule="auto"/>
              <w:rPr>
                <w:rFonts w:hint="eastAsia"/>
                <w:color w:val="auto"/>
              </w:rPr>
            </w:pPr>
          </w:p>
        </w:tc>
      </w:tr>
      <w:tr w14:paraId="05B63F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63" w:hRule="atLeast"/>
          <w:jc w:val="center"/>
        </w:trPr>
        <w:tc>
          <w:tcPr>
            <w:tcW w:w="456" w:type="dxa"/>
            <w:tcMar>
              <w:left w:w="28" w:type="dxa"/>
              <w:right w:w="28" w:type="dxa"/>
            </w:tcMar>
            <w:vAlign w:val="center"/>
          </w:tcPr>
          <w:p w14:paraId="11B47D55">
            <w:pPr>
              <w:adjustRightInd w:val="0"/>
              <w:snapToGrid w:val="0"/>
              <w:jc w:val="center"/>
              <w:rPr>
                <w:color w:val="auto"/>
                <w:kern w:val="0"/>
              </w:rPr>
            </w:pPr>
            <w:r>
              <w:rPr>
                <w:b/>
                <w:bCs/>
                <w:color w:val="auto"/>
                <w:kern w:val="0"/>
              </w:rPr>
              <w:t>污染物排放控制标准</w:t>
            </w:r>
          </w:p>
        </w:tc>
        <w:tc>
          <w:tcPr>
            <w:tcW w:w="8945" w:type="dxa"/>
            <w:vAlign w:val="center"/>
          </w:tcPr>
          <w:p w14:paraId="6910CEF4">
            <w:pPr>
              <w:spacing w:line="360" w:lineRule="auto"/>
              <w:ind w:firstLine="422" w:firstLineChars="200"/>
              <w:rPr>
                <w:color w:val="auto"/>
              </w:rPr>
            </w:pPr>
            <w:r>
              <w:rPr>
                <w:rFonts w:hint="eastAsia"/>
                <w:b/>
                <w:bCs/>
                <w:color w:val="auto"/>
              </w:rPr>
              <w:t>1、</w:t>
            </w:r>
            <w:r>
              <w:rPr>
                <w:b/>
                <w:bCs/>
                <w:color w:val="auto"/>
              </w:rPr>
              <w:t>废气：</w:t>
            </w:r>
          </w:p>
          <w:p w14:paraId="12B7BCEE">
            <w:pPr>
              <w:adjustRightInd w:val="0"/>
              <w:snapToGrid w:val="0"/>
              <w:spacing w:line="360" w:lineRule="auto"/>
              <w:ind w:firstLine="420" w:firstLineChars="200"/>
              <w:rPr>
                <w:rFonts w:hint="eastAsia"/>
                <w:color w:val="auto"/>
              </w:rPr>
            </w:pPr>
            <w:r>
              <w:rPr>
                <w:rFonts w:hint="eastAsia"/>
                <w:color w:val="auto"/>
              </w:rPr>
              <w:t>①有组织废气：</w:t>
            </w:r>
            <w:r>
              <w:rPr>
                <w:rFonts w:hint="eastAsia"/>
                <w:color w:val="auto"/>
                <w:lang w:val="en-US" w:eastAsia="zh-CN"/>
              </w:rPr>
              <w:t>调漆、刷漆、喷漆、晾干</w:t>
            </w:r>
            <w:r>
              <w:rPr>
                <w:rFonts w:hint="eastAsia"/>
                <w:bCs/>
                <w:color w:val="auto"/>
                <w:lang w:val="en-US" w:eastAsia="zh-CN"/>
              </w:rPr>
              <w:t>有组织非甲烷总烃、</w:t>
            </w:r>
            <w:r>
              <w:rPr>
                <w:bCs/>
                <w:color w:val="auto"/>
              </w:rPr>
              <w:t>颗粒物</w:t>
            </w:r>
            <w:r>
              <w:rPr>
                <w:rFonts w:hint="eastAsia"/>
                <w:bCs/>
                <w:color w:val="auto"/>
                <w:lang w:eastAsia="zh-CN"/>
              </w:rPr>
              <w:t>、</w:t>
            </w:r>
            <w:r>
              <w:rPr>
                <w:rFonts w:hint="eastAsia"/>
                <w:bCs/>
                <w:color w:val="auto"/>
                <w:lang w:val="en-US" w:eastAsia="zh-CN"/>
              </w:rPr>
              <w:t>苯系物</w:t>
            </w:r>
            <w:r>
              <w:rPr>
                <w:rFonts w:hint="eastAsia"/>
                <w:color w:val="auto"/>
                <w:lang w:val="en-US" w:eastAsia="zh-CN"/>
              </w:rPr>
              <w:t>执行《工业涂装工序大气污染物排放标准》（DB32 4439-2022）表1标准；二甲苯执行</w:t>
            </w:r>
            <w:r>
              <w:rPr>
                <w:rFonts w:hint="eastAsia"/>
                <w:color w:val="auto"/>
              </w:rPr>
              <w:t>《大气污染物综合排放标准》（DB32/4041-2021）表</w:t>
            </w:r>
            <w:r>
              <w:rPr>
                <w:rFonts w:hint="eastAsia"/>
                <w:color w:val="auto"/>
                <w:lang w:val="en-US" w:eastAsia="zh-CN"/>
              </w:rPr>
              <w:t>1</w:t>
            </w:r>
            <w:r>
              <w:rPr>
                <w:rFonts w:hint="eastAsia"/>
                <w:color w:val="auto"/>
              </w:rPr>
              <w:t>标准</w:t>
            </w:r>
            <w:r>
              <w:rPr>
                <w:rFonts w:hint="eastAsia"/>
                <w:color w:val="auto"/>
                <w:lang w:val="en-US" w:eastAsia="zh-CN"/>
              </w:rPr>
              <w:t>；</w:t>
            </w:r>
          </w:p>
          <w:p w14:paraId="19E090FE">
            <w:pPr>
              <w:adjustRightInd w:val="0"/>
              <w:snapToGrid w:val="0"/>
              <w:spacing w:line="360" w:lineRule="auto"/>
              <w:ind w:firstLine="420" w:firstLineChars="200"/>
              <w:rPr>
                <w:rFonts w:hint="eastAsia" w:eastAsia="宋体"/>
                <w:color w:val="auto"/>
                <w:lang w:val="en-US" w:eastAsia="zh-CN"/>
              </w:rPr>
            </w:pPr>
            <w:r>
              <w:rPr>
                <w:rFonts w:hint="eastAsia"/>
                <w:color w:val="auto"/>
                <w:lang w:val="en-US" w:eastAsia="zh-CN"/>
              </w:rPr>
              <w:t>②厂界无组织废气：项目厂界无组织非甲烷总烃、颗粒物、苯系物、二甲苯执行</w:t>
            </w:r>
            <w:r>
              <w:rPr>
                <w:rFonts w:hint="eastAsia"/>
                <w:color w:val="auto"/>
              </w:rPr>
              <w:t>《大气污染物综合排放标准》（DB32/4041-2021）表3标准</w:t>
            </w:r>
            <w:r>
              <w:rPr>
                <w:rFonts w:hint="eastAsia"/>
                <w:color w:val="auto"/>
                <w:lang w:eastAsia="zh-CN"/>
              </w:rPr>
              <w:t>；</w:t>
            </w:r>
          </w:p>
          <w:p w14:paraId="2E62CF2C">
            <w:pPr>
              <w:adjustRightInd w:val="0"/>
              <w:snapToGrid w:val="0"/>
              <w:spacing w:line="360" w:lineRule="auto"/>
              <w:ind w:firstLine="420" w:firstLineChars="200"/>
              <w:rPr>
                <w:color w:val="auto"/>
              </w:rPr>
            </w:pPr>
            <w:r>
              <w:rPr>
                <w:rFonts w:hint="eastAsia"/>
                <w:color w:val="auto"/>
                <w:lang w:val="en-US" w:eastAsia="zh-CN"/>
              </w:rPr>
              <w:t>③车间外</w:t>
            </w:r>
            <w:r>
              <w:rPr>
                <w:rFonts w:hint="eastAsia"/>
                <w:color w:val="auto"/>
              </w:rPr>
              <w:t>无组织废气：</w:t>
            </w:r>
            <w:r>
              <w:rPr>
                <w:rFonts w:hint="eastAsia"/>
                <w:color w:val="auto"/>
                <w:lang w:val="en-US" w:eastAsia="zh-CN"/>
              </w:rPr>
              <w:t>项目车间外</w:t>
            </w:r>
            <w:r>
              <w:rPr>
                <w:bCs/>
                <w:color w:val="auto"/>
              </w:rPr>
              <w:t>非甲烷总烃</w:t>
            </w:r>
            <w:r>
              <w:rPr>
                <w:rFonts w:hint="eastAsia"/>
                <w:bCs/>
                <w:color w:val="auto"/>
                <w:lang w:val="en-US" w:eastAsia="zh-CN"/>
              </w:rPr>
              <w:t>执行</w:t>
            </w:r>
            <w:r>
              <w:rPr>
                <w:rFonts w:hint="eastAsia"/>
                <w:color w:val="auto"/>
                <w:lang w:val="en-US" w:eastAsia="zh-CN"/>
              </w:rPr>
              <w:t>《工业涂装工序大气污染物排放标准》（DB32 4439-2022）表3标准</w:t>
            </w:r>
            <w:r>
              <w:rPr>
                <w:rFonts w:hint="eastAsia"/>
                <w:color w:val="auto"/>
                <w:lang w:eastAsia="zh-CN"/>
              </w:rPr>
              <w:t>。</w:t>
            </w:r>
          </w:p>
          <w:p w14:paraId="09CAFC85">
            <w:pPr>
              <w:adjustRightInd w:val="0"/>
              <w:snapToGrid w:val="0"/>
              <w:spacing w:line="360" w:lineRule="auto"/>
              <w:ind w:firstLine="420" w:firstLineChars="200"/>
              <w:rPr>
                <w:color w:val="auto"/>
              </w:rPr>
            </w:pPr>
            <w:r>
              <w:rPr>
                <w:rFonts w:hint="eastAsia"/>
                <w:color w:val="auto"/>
              </w:rPr>
              <w:t>具体排放限值如下：</w:t>
            </w:r>
          </w:p>
          <w:p w14:paraId="34E151BD">
            <w:pPr>
              <w:adjustRightInd w:val="0"/>
              <w:snapToGrid w:val="0"/>
              <w:jc w:val="center"/>
              <w:rPr>
                <w:color w:val="auto"/>
              </w:rPr>
            </w:pPr>
            <w:r>
              <w:rPr>
                <w:b/>
                <w:color w:val="auto"/>
              </w:rPr>
              <w:t>表3-</w:t>
            </w:r>
            <w:r>
              <w:rPr>
                <w:rFonts w:hint="eastAsia"/>
                <w:b/>
                <w:color w:val="auto"/>
              </w:rPr>
              <w:t>5</w:t>
            </w:r>
            <w:r>
              <w:rPr>
                <w:b/>
                <w:color w:val="auto"/>
              </w:rPr>
              <w:t xml:space="preserve">   </w:t>
            </w:r>
            <w:r>
              <w:rPr>
                <w:rFonts w:hint="eastAsia"/>
                <w:b/>
                <w:color w:val="auto"/>
              </w:rPr>
              <w:t>有组织废气排放限值</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28" w:type="dxa"/>
                <w:bottom w:w="0" w:type="dxa"/>
                <w:right w:w="28" w:type="dxa"/>
              </w:tblCellMar>
            </w:tblPr>
            <w:tblGrid>
              <w:gridCol w:w="1324"/>
              <w:gridCol w:w="1380"/>
              <w:gridCol w:w="1455"/>
              <w:gridCol w:w="1735"/>
              <w:gridCol w:w="2832"/>
            </w:tblGrid>
            <w:tr w14:paraId="45609F3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trHeight w:val="23" w:hRule="atLeast"/>
                <w:jc w:val="center"/>
              </w:trPr>
              <w:tc>
                <w:tcPr>
                  <w:tcW w:w="758" w:type="pct"/>
                  <w:tcBorders>
                    <w:tl2br w:val="nil"/>
                    <w:tr2bl w:val="nil"/>
                  </w:tcBorders>
                  <w:vAlign w:val="center"/>
                </w:tcPr>
                <w:p w14:paraId="50A7CB3B">
                  <w:pPr>
                    <w:jc w:val="center"/>
                    <w:rPr>
                      <w:b/>
                      <w:bCs/>
                      <w:color w:val="auto"/>
                    </w:rPr>
                  </w:pPr>
                  <w:r>
                    <w:rPr>
                      <w:b/>
                      <w:bCs/>
                      <w:color w:val="auto"/>
                    </w:rPr>
                    <w:t>污染物名称</w:t>
                  </w:r>
                </w:p>
              </w:tc>
              <w:tc>
                <w:tcPr>
                  <w:tcW w:w="790" w:type="pct"/>
                  <w:tcBorders>
                    <w:tl2br w:val="nil"/>
                    <w:tr2bl w:val="nil"/>
                  </w:tcBorders>
                  <w:vAlign w:val="center"/>
                </w:tcPr>
                <w:p w14:paraId="59E4C248">
                  <w:pPr>
                    <w:jc w:val="center"/>
                    <w:rPr>
                      <w:b/>
                      <w:bCs/>
                      <w:color w:val="auto"/>
                    </w:rPr>
                  </w:pPr>
                  <w:r>
                    <w:rPr>
                      <w:b/>
                      <w:bCs/>
                      <w:color w:val="auto"/>
                    </w:rPr>
                    <w:t>最高允许排放浓度（mg/m</w:t>
                  </w:r>
                  <w:r>
                    <w:rPr>
                      <w:b/>
                      <w:bCs/>
                      <w:color w:val="auto"/>
                      <w:vertAlign w:val="superscript"/>
                    </w:rPr>
                    <w:t>3</w:t>
                  </w:r>
                  <w:r>
                    <w:rPr>
                      <w:b/>
                      <w:bCs/>
                      <w:color w:val="auto"/>
                    </w:rPr>
                    <w:t>）</w:t>
                  </w:r>
                </w:p>
              </w:tc>
              <w:tc>
                <w:tcPr>
                  <w:tcW w:w="833" w:type="pct"/>
                  <w:tcBorders>
                    <w:tl2br w:val="nil"/>
                    <w:tr2bl w:val="nil"/>
                  </w:tcBorders>
                  <w:vAlign w:val="center"/>
                </w:tcPr>
                <w:p w14:paraId="67A0403C">
                  <w:pPr>
                    <w:jc w:val="center"/>
                    <w:rPr>
                      <w:b/>
                      <w:bCs/>
                      <w:color w:val="auto"/>
                    </w:rPr>
                  </w:pPr>
                  <w:r>
                    <w:rPr>
                      <w:b/>
                      <w:bCs/>
                      <w:color w:val="auto"/>
                    </w:rPr>
                    <w:t>最高允许排放速率（kg/h）</w:t>
                  </w:r>
                </w:p>
              </w:tc>
              <w:tc>
                <w:tcPr>
                  <w:tcW w:w="994" w:type="pct"/>
                  <w:tcBorders>
                    <w:tl2br w:val="nil"/>
                    <w:tr2bl w:val="nil"/>
                  </w:tcBorders>
                  <w:vAlign w:val="center"/>
                </w:tcPr>
                <w:p w14:paraId="5B3685CB">
                  <w:pPr>
                    <w:jc w:val="center"/>
                    <w:rPr>
                      <w:b/>
                      <w:bCs/>
                      <w:color w:val="auto"/>
                    </w:rPr>
                  </w:pPr>
                  <w:r>
                    <w:rPr>
                      <w:rFonts w:hint="eastAsia"/>
                      <w:b/>
                      <w:bCs/>
                      <w:color w:val="auto"/>
                    </w:rPr>
                    <w:t>污染物排放监控位置</w:t>
                  </w:r>
                </w:p>
              </w:tc>
              <w:tc>
                <w:tcPr>
                  <w:tcW w:w="1622" w:type="pct"/>
                  <w:tcBorders>
                    <w:tl2br w:val="nil"/>
                    <w:tr2bl w:val="nil"/>
                  </w:tcBorders>
                  <w:vAlign w:val="center"/>
                </w:tcPr>
                <w:p w14:paraId="503E23BC">
                  <w:pPr>
                    <w:jc w:val="center"/>
                    <w:rPr>
                      <w:b/>
                      <w:bCs/>
                      <w:color w:val="auto"/>
                    </w:rPr>
                  </w:pPr>
                  <w:r>
                    <w:rPr>
                      <w:b/>
                      <w:bCs/>
                      <w:color w:val="auto"/>
                    </w:rPr>
                    <w:t>标准来源</w:t>
                  </w:r>
                </w:p>
              </w:tc>
            </w:tr>
            <w:tr w14:paraId="7623A7D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trHeight w:val="372" w:hRule="atLeast"/>
                <w:jc w:val="center"/>
              </w:trPr>
              <w:tc>
                <w:tcPr>
                  <w:tcW w:w="758" w:type="pct"/>
                  <w:tcBorders>
                    <w:tl2br w:val="nil"/>
                    <w:tr2bl w:val="nil"/>
                  </w:tcBorders>
                  <w:vAlign w:val="center"/>
                </w:tcPr>
                <w:p w14:paraId="6B80B5F1">
                  <w:pPr>
                    <w:jc w:val="center"/>
                    <w:rPr>
                      <w:rFonts w:hint="default"/>
                      <w:color w:val="auto"/>
                      <w:lang w:val="en-US" w:eastAsia="zh-CN"/>
                    </w:rPr>
                  </w:pPr>
                  <w:r>
                    <w:rPr>
                      <w:rFonts w:hint="eastAsia"/>
                      <w:color w:val="auto"/>
                      <w:lang w:val="en-US" w:eastAsia="zh-CN"/>
                    </w:rPr>
                    <w:t>非甲烷总烃</w:t>
                  </w:r>
                </w:p>
              </w:tc>
              <w:tc>
                <w:tcPr>
                  <w:tcW w:w="790" w:type="pct"/>
                  <w:tcBorders>
                    <w:tl2br w:val="nil"/>
                    <w:tr2bl w:val="nil"/>
                  </w:tcBorders>
                  <w:vAlign w:val="center"/>
                </w:tcPr>
                <w:p w14:paraId="7C336419">
                  <w:pPr>
                    <w:jc w:val="center"/>
                    <w:rPr>
                      <w:rFonts w:hint="default"/>
                      <w:color w:val="auto"/>
                      <w:lang w:val="en-US" w:eastAsia="zh-CN"/>
                    </w:rPr>
                  </w:pPr>
                  <w:r>
                    <w:rPr>
                      <w:rFonts w:hint="eastAsia"/>
                      <w:color w:val="auto"/>
                      <w:lang w:val="en-US" w:eastAsia="zh-CN"/>
                    </w:rPr>
                    <w:t>50</w:t>
                  </w:r>
                </w:p>
              </w:tc>
              <w:tc>
                <w:tcPr>
                  <w:tcW w:w="833" w:type="pct"/>
                  <w:tcBorders>
                    <w:tl2br w:val="nil"/>
                    <w:tr2bl w:val="nil"/>
                  </w:tcBorders>
                  <w:vAlign w:val="center"/>
                </w:tcPr>
                <w:p w14:paraId="0290C189">
                  <w:pPr>
                    <w:jc w:val="center"/>
                    <w:rPr>
                      <w:rFonts w:hint="default"/>
                      <w:color w:val="auto"/>
                      <w:lang w:val="en-US" w:eastAsia="zh-CN"/>
                    </w:rPr>
                  </w:pPr>
                  <w:r>
                    <w:rPr>
                      <w:rFonts w:hint="eastAsia"/>
                      <w:color w:val="auto"/>
                      <w:lang w:val="en-US" w:eastAsia="zh-CN"/>
                    </w:rPr>
                    <w:t>2.0</w:t>
                  </w:r>
                </w:p>
              </w:tc>
              <w:tc>
                <w:tcPr>
                  <w:tcW w:w="994" w:type="pct"/>
                  <w:vMerge w:val="restart"/>
                  <w:tcBorders>
                    <w:tl2br w:val="nil"/>
                    <w:tr2bl w:val="nil"/>
                  </w:tcBorders>
                  <w:vAlign w:val="center"/>
                </w:tcPr>
                <w:p w14:paraId="1FD7EA88">
                  <w:pPr>
                    <w:jc w:val="center"/>
                    <w:rPr>
                      <w:rFonts w:hint="default"/>
                      <w:color w:val="auto"/>
                      <w:lang w:val="en-US" w:eastAsia="zh-CN"/>
                    </w:rPr>
                  </w:pPr>
                  <w:r>
                    <w:rPr>
                      <w:rFonts w:hint="eastAsia"/>
                      <w:color w:val="auto"/>
                      <w:lang w:val="en-US" w:eastAsia="zh-CN"/>
                    </w:rPr>
                    <w:t>DA001排气筒出口</w:t>
                  </w:r>
                </w:p>
              </w:tc>
              <w:tc>
                <w:tcPr>
                  <w:tcW w:w="1622" w:type="pct"/>
                  <w:vMerge w:val="restart"/>
                  <w:tcBorders>
                    <w:tl2br w:val="nil"/>
                    <w:tr2bl w:val="nil"/>
                  </w:tcBorders>
                  <w:vAlign w:val="center"/>
                </w:tcPr>
                <w:p w14:paraId="6A8354E3">
                  <w:pPr>
                    <w:jc w:val="center"/>
                    <w:rPr>
                      <w:rFonts w:hint="eastAsia" w:eastAsia="宋体"/>
                      <w:color w:val="auto"/>
                      <w:lang w:val="en-US" w:eastAsia="zh-CN"/>
                    </w:rPr>
                  </w:pPr>
                  <w:r>
                    <w:rPr>
                      <w:rFonts w:hint="eastAsia"/>
                      <w:color w:val="auto"/>
                    </w:rPr>
                    <w:t>《工业涂装工序大气污染物排放标准》（DB32 4439-2022）表</w:t>
                  </w:r>
                  <w:r>
                    <w:rPr>
                      <w:rFonts w:hint="eastAsia"/>
                      <w:color w:val="auto"/>
                      <w:lang w:val="en-US" w:eastAsia="zh-CN"/>
                    </w:rPr>
                    <w:t>1</w:t>
                  </w:r>
                </w:p>
              </w:tc>
            </w:tr>
            <w:tr w14:paraId="7683112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trHeight w:val="23" w:hRule="atLeast"/>
                <w:jc w:val="center"/>
              </w:trPr>
              <w:tc>
                <w:tcPr>
                  <w:tcW w:w="758" w:type="pct"/>
                  <w:tcBorders>
                    <w:tl2br w:val="nil"/>
                    <w:tr2bl w:val="nil"/>
                  </w:tcBorders>
                  <w:vAlign w:val="center"/>
                </w:tcPr>
                <w:p w14:paraId="04EA0AD5">
                  <w:pPr>
                    <w:jc w:val="center"/>
                    <w:rPr>
                      <w:rFonts w:hint="default"/>
                      <w:color w:val="auto"/>
                      <w:lang w:val="en-US" w:eastAsia="zh-CN"/>
                    </w:rPr>
                  </w:pPr>
                  <w:r>
                    <w:rPr>
                      <w:rFonts w:hint="eastAsia"/>
                      <w:color w:val="auto"/>
                      <w:lang w:val="en-US" w:eastAsia="zh-CN"/>
                    </w:rPr>
                    <w:t>颗粒物</w:t>
                  </w:r>
                </w:p>
              </w:tc>
              <w:tc>
                <w:tcPr>
                  <w:tcW w:w="790" w:type="pct"/>
                  <w:tcBorders>
                    <w:tl2br w:val="nil"/>
                    <w:tr2bl w:val="nil"/>
                  </w:tcBorders>
                  <w:vAlign w:val="center"/>
                </w:tcPr>
                <w:p w14:paraId="37DE949B">
                  <w:pPr>
                    <w:jc w:val="center"/>
                    <w:rPr>
                      <w:rFonts w:hint="default"/>
                      <w:color w:val="auto"/>
                      <w:lang w:val="en-US" w:eastAsia="zh-CN"/>
                    </w:rPr>
                  </w:pPr>
                  <w:r>
                    <w:rPr>
                      <w:rFonts w:hint="eastAsia"/>
                      <w:color w:val="auto"/>
                      <w:lang w:val="en-US" w:eastAsia="zh-CN"/>
                    </w:rPr>
                    <w:t>10</w:t>
                  </w:r>
                </w:p>
              </w:tc>
              <w:tc>
                <w:tcPr>
                  <w:tcW w:w="833" w:type="pct"/>
                  <w:tcBorders>
                    <w:tl2br w:val="nil"/>
                    <w:tr2bl w:val="nil"/>
                  </w:tcBorders>
                  <w:vAlign w:val="center"/>
                </w:tcPr>
                <w:p w14:paraId="7A960CCC">
                  <w:pPr>
                    <w:jc w:val="center"/>
                    <w:rPr>
                      <w:rFonts w:hint="default"/>
                      <w:color w:val="auto"/>
                      <w:lang w:val="en-US" w:eastAsia="zh-CN"/>
                    </w:rPr>
                  </w:pPr>
                  <w:r>
                    <w:rPr>
                      <w:rFonts w:hint="eastAsia"/>
                      <w:color w:val="auto"/>
                      <w:lang w:val="en-US" w:eastAsia="zh-CN"/>
                    </w:rPr>
                    <w:t>0.4</w:t>
                  </w:r>
                </w:p>
              </w:tc>
              <w:tc>
                <w:tcPr>
                  <w:tcW w:w="994" w:type="pct"/>
                  <w:vMerge w:val="continue"/>
                  <w:tcBorders>
                    <w:tl2br w:val="nil"/>
                    <w:tr2bl w:val="nil"/>
                  </w:tcBorders>
                  <w:vAlign w:val="center"/>
                </w:tcPr>
                <w:p w14:paraId="32D91EBC">
                  <w:pPr>
                    <w:jc w:val="center"/>
                    <w:rPr>
                      <w:rFonts w:hint="eastAsia"/>
                      <w:color w:val="auto"/>
                      <w:lang w:val="en-US" w:eastAsia="zh-CN"/>
                    </w:rPr>
                  </w:pPr>
                </w:p>
              </w:tc>
              <w:tc>
                <w:tcPr>
                  <w:tcW w:w="1622" w:type="pct"/>
                  <w:vMerge w:val="continue"/>
                  <w:tcBorders>
                    <w:tl2br w:val="nil"/>
                    <w:tr2bl w:val="nil"/>
                  </w:tcBorders>
                  <w:vAlign w:val="center"/>
                </w:tcPr>
                <w:p w14:paraId="45870C72">
                  <w:pPr>
                    <w:jc w:val="center"/>
                    <w:rPr>
                      <w:rFonts w:hint="eastAsia"/>
                      <w:color w:val="auto"/>
                    </w:rPr>
                  </w:pPr>
                </w:p>
              </w:tc>
            </w:tr>
            <w:tr w14:paraId="734BC40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trHeight w:val="23" w:hRule="atLeast"/>
                <w:jc w:val="center"/>
              </w:trPr>
              <w:tc>
                <w:tcPr>
                  <w:tcW w:w="758" w:type="pct"/>
                  <w:tcBorders>
                    <w:tl2br w:val="nil"/>
                    <w:tr2bl w:val="nil"/>
                  </w:tcBorders>
                  <w:vAlign w:val="center"/>
                </w:tcPr>
                <w:p w14:paraId="46E3F521">
                  <w:pPr>
                    <w:jc w:val="center"/>
                    <w:rPr>
                      <w:rFonts w:hint="default"/>
                      <w:color w:val="auto"/>
                      <w:lang w:val="en-US" w:eastAsia="zh-CN"/>
                    </w:rPr>
                  </w:pPr>
                  <w:r>
                    <w:rPr>
                      <w:rFonts w:hint="eastAsia"/>
                      <w:color w:val="auto"/>
                      <w:lang w:val="en-US" w:eastAsia="zh-CN"/>
                    </w:rPr>
                    <w:t>苯系物</w:t>
                  </w:r>
                </w:p>
              </w:tc>
              <w:tc>
                <w:tcPr>
                  <w:tcW w:w="790" w:type="pct"/>
                  <w:tcBorders>
                    <w:tl2br w:val="nil"/>
                    <w:tr2bl w:val="nil"/>
                  </w:tcBorders>
                  <w:vAlign w:val="center"/>
                </w:tcPr>
                <w:p w14:paraId="4106345E">
                  <w:pPr>
                    <w:jc w:val="center"/>
                    <w:rPr>
                      <w:rFonts w:hint="default"/>
                      <w:color w:val="auto"/>
                      <w:lang w:val="en-US" w:eastAsia="zh-CN"/>
                    </w:rPr>
                  </w:pPr>
                  <w:r>
                    <w:rPr>
                      <w:rFonts w:hint="eastAsia"/>
                      <w:color w:val="auto"/>
                      <w:lang w:val="en-US" w:eastAsia="zh-CN"/>
                    </w:rPr>
                    <w:t>20</w:t>
                  </w:r>
                </w:p>
              </w:tc>
              <w:tc>
                <w:tcPr>
                  <w:tcW w:w="833" w:type="pct"/>
                  <w:tcBorders>
                    <w:tl2br w:val="nil"/>
                    <w:tr2bl w:val="nil"/>
                  </w:tcBorders>
                  <w:vAlign w:val="center"/>
                </w:tcPr>
                <w:p w14:paraId="6797C3A9">
                  <w:pPr>
                    <w:jc w:val="center"/>
                    <w:rPr>
                      <w:rFonts w:hint="default"/>
                      <w:color w:val="auto"/>
                      <w:lang w:val="en-US" w:eastAsia="zh-CN"/>
                    </w:rPr>
                  </w:pPr>
                  <w:r>
                    <w:rPr>
                      <w:rFonts w:hint="eastAsia"/>
                      <w:color w:val="auto"/>
                      <w:lang w:val="en-US" w:eastAsia="zh-CN"/>
                    </w:rPr>
                    <w:t>0.8</w:t>
                  </w:r>
                </w:p>
              </w:tc>
              <w:tc>
                <w:tcPr>
                  <w:tcW w:w="994" w:type="pct"/>
                  <w:vMerge w:val="continue"/>
                  <w:tcBorders>
                    <w:tl2br w:val="nil"/>
                    <w:tr2bl w:val="nil"/>
                  </w:tcBorders>
                  <w:vAlign w:val="center"/>
                </w:tcPr>
                <w:p w14:paraId="2F04E9B1">
                  <w:pPr>
                    <w:jc w:val="center"/>
                    <w:rPr>
                      <w:rFonts w:hint="eastAsia"/>
                      <w:color w:val="auto"/>
                      <w:lang w:val="en-US" w:eastAsia="zh-CN"/>
                    </w:rPr>
                  </w:pPr>
                </w:p>
              </w:tc>
              <w:tc>
                <w:tcPr>
                  <w:tcW w:w="1622" w:type="pct"/>
                  <w:vMerge w:val="continue"/>
                  <w:tcBorders>
                    <w:tl2br w:val="nil"/>
                    <w:tr2bl w:val="nil"/>
                  </w:tcBorders>
                  <w:vAlign w:val="center"/>
                </w:tcPr>
                <w:p w14:paraId="49021530">
                  <w:pPr>
                    <w:jc w:val="center"/>
                    <w:rPr>
                      <w:rFonts w:hint="eastAsia"/>
                      <w:color w:val="auto"/>
                    </w:rPr>
                  </w:pPr>
                </w:p>
              </w:tc>
            </w:tr>
            <w:tr w14:paraId="39F0546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trHeight w:val="283" w:hRule="atLeast"/>
                <w:jc w:val="center"/>
              </w:trPr>
              <w:tc>
                <w:tcPr>
                  <w:tcW w:w="758" w:type="pct"/>
                  <w:tcBorders>
                    <w:tl2br w:val="nil"/>
                    <w:tr2bl w:val="nil"/>
                  </w:tcBorders>
                  <w:vAlign w:val="center"/>
                </w:tcPr>
                <w:p w14:paraId="369745A5">
                  <w:pPr>
                    <w:jc w:val="center"/>
                    <w:rPr>
                      <w:rFonts w:hint="default"/>
                      <w:color w:val="auto"/>
                      <w:lang w:val="en-US" w:eastAsia="zh-CN"/>
                    </w:rPr>
                  </w:pPr>
                  <w:r>
                    <w:rPr>
                      <w:rFonts w:hint="eastAsia"/>
                      <w:color w:val="auto"/>
                      <w:lang w:val="en-US" w:eastAsia="zh-CN"/>
                    </w:rPr>
                    <w:t>二甲苯</w:t>
                  </w:r>
                </w:p>
              </w:tc>
              <w:tc>
                <w:tcPr>
                  <w:tcW w:w="790" w:type="pct"/>
                  <w:tcBorders>
                    <w:tl2br w:val="nil"/>
                    <w:tr2bl w:val="nil"/>
                  </w:tcBorders>
                  <w:vAlign w:val="center"/>
                </w:tcPr>
                <w:p w14:paraId="516C0F7F">
                  <w:pPr>
                    <w:jc w:val="center"/>
                    <w:rPr>
                      <w:rFonts w:hint="default"/>
                      <w:color w:val="auto"/>
                      <w:lang w:val="en-US" w:eastAsia="zh-CN"/>
                    </w:rPr>
                  </w:pPr>
                  <w:r>
                    <w:rPr>
                      <w:rFonts w:hint="eastAsia"/>
                      <w:color w:val="auto"/>
                      <w:lang w:val="en-US" w:eastAsia="zh-CN"/>
                    </w:rPr>
                    <w:t>10</w:t>
                  </w:r>
                </w:p>
              </w:tc>
              <w:tc>
                <w:tcPr>
                  <w:tcW w:w="833" w:type="pct"/>
                  <w:tcBorders>
                    <w:tl2br w:val="nil"/>
                    <w:tr2bl w:val="nil"/>
                  </w:tcBorders>
                  <w:vAlign w:val="center"/>
                </w:tcPr>
                <w:p w14:paraId="36EC9266">
                  <w:pPr>
                    <w:jc w:val="center"/>
                    <w:rPr>
                      <w:rFonts w:hint="default"/>
                      <w:color w:val="auto"/>
                      <w:lang w:val="en-US" w:eastAsia="zh-CN"/>
                    </w:rPr>
                  </w:pPr>
                  <w:r>
                    <w:rPr>
                      <w:rFonts w:hint="eastAsia"/>
                      <w:color w:val="auto"/>
                      <w:lang w:val="en-US" w:eastAsia="zh-CN"/>
                    </w:rPr>
                    <w:t>0.72</w:t>
                  </w:r>
                </w:p>
              </w:tc>
              <w:tc>
                <w:tcPr>
                  <w:tcW w:w="994" w:type="pct"/>
                  <w:vMerge w:val="continue"/>
                  <w:tcBorders>
                    <w:tl2br w:val="nil"/>
                    <w:tr2bl w:val="nil"/>
                  </w:tcBorders>
                  <w:vAlign w:val="center"/>
                </w:tcPr>
                <w:p w14:paraId="2B57360C">
                  <w:pPr>
                    <w:jc w:val="center"/>
                    <w:rPr>
                      <w:rFonts w:hint="eastAsia"/>
                      <w:color w:val="auto"/>
                      <w:lang w:val="en-US" w:eastAsia="zh-CN"/>
                    </w:rPr>
                  </w:pPr>
                </w:p>
              </w:tc>
              <w:tc>
                <w:tcPr>
                  <w:tcW w:w="1622" w:type="pct"/>
                  <w:tcBorders>
                    <w:tl2br w:val="nil"/>
                    <w:tr2bl w:val="nil"/>
                  </w:tcBorders>
                  <w:vAlign w:val="center"/>
                </w:tcPr>
                <w:p w14:paraId="342EFFF4">
                  <w:pPr>
                    <w:jc w:val="center"/>
                    <w:rPr>
                      <w:rFonts w:hint="eastAsia"/>
                      <w:color w:val="auto"/>
                    </w:rPr>
                  </w:pPr>
                  <w:r>
                    <w:rPr>
                      <w:rFonts w:hint="eastAsia"/>
                      <w:color w:val="auto"/>
                    </w:rPr>
                    <w:t>《大气污染物综合排放标准》（DB32/4041-2021）表</w:t>
                  </w:r>
                  <w:r>
                    <w:rPr>
                      <w:rFonts w:hint="eastAsia"/>
                      <w:color w:val="auto"/>
                      <w:lang w:val="en-US" w:eastAsia="zh-CN"/>
                    </w:rPr>
                    <w:t>1</w:t>
                  </w:r>
                </w:p>
              </w:tc>
            </w:tr>
          </w:tbl>
          <w:p w14:paraId="2EAB0E18">
            <w:pPr>
              <w:adjustRightInd w:val="0"/>
              <w:snapToGrid w:val="0"/>
              <w:jc w:val="center"/>
              <w:rPr>
                <w:color w:val="auto"/>
              </w:rPr>
            </w:pPr>
            <w:r>
              <w:rPr>
                <w:b/>
                <w:color w:val="auto"/>
              </w:rPr>
              <w:t>表3</w:t>
            </w:r>
            <w:r>
              <w:rPr>
                <w:rFonts w:hint="eastAsia"/>
                <w:b/>
                <w:color w:val="auto"/>
              </w:rPr>
              <w:t>-6</w:t>
            </w:r>
            <w:r>
              <w:rPr>
                <w:b/>
                <w:color w:val="auto"/>
              </w:rPr>
              <w:t xml:space="preserve">   </w:t>
            </w:r>
            <w:r>
              <w:rPr>
                <w:rFonts w:hint="eastAsia"/>
                <w:b/>
                <w:color w:val="auto"/>
              </w:rPr>
              <w:t>无组织废气排放限值</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28" w:type="dxa"/>
                <w:bottom w:w="0" w:type="dxa"/>
                <w:right w:w="28" w:type="dxa"/>
              </w:tblCellMar>
            </w:tblPr>
            <w:tblGrid>
              <w:gridCol w:w="1305"/>
              <w:gridCol w:w="2220"/>
              <w:gridCol w:w="2054"/>
              <w:gridCol w:w="3147"/>
            </w:tblGrid>
            <w:tr w14:paraId="5D556F4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cantSplit/>
                <w:jc w:val="center"/>
              </w:trPr>
              <w:tc>
                <w:tcPr>
                  <w:tcW w:w="747" w:type="pct"/>
                  <w:vMerge w:val="restart"/>
                  <w:tcBorders>
                    <w:tl2br w:val="nil"/>
                    <w:tr2bl w:val="nil"/>
                  </w:tcBorders>
                  <w:vAlign w:val="center"/>
                </w:tcPr>
                <w:p w14:paraId="3B1BC8AE">
                  <w:pPr>
                    <w:adjustRightInd w:val="0"/>
                    <w:snapToGrid w:val="0"/>
                    <w:jc w:val="center"/>
                    <w:rPr>
                      <w:b/>
                      <w:bCs/>
                      <w:color w:val="auto"/>
                    </w:rPr>
                  </w:pPr>
                  <w:r>
                    <w:rPr>
                      <w:b/>
                      <w:bCs/>
                      <w:color w:val="auto"/>
                    </w:rPr>
                    <w:t>污染物名称</w:t>
                  </w:r>
                </w:p>
              </w:tc>
              <w:tc>
                <w:tcPr>
                  <w:tcW w:w="2449" w:type="pct"/>
                  <w:gridSpan w:val="2"/>
                  <w:tcBorders>
                    <w:tl2br w:val="nil"/>
                    <w:tr2bl w:val="nil"/>
                  </w:tcBorders>
                  <w:vAlign w:val="center"/>
                </w:tcPr>
                <w:p w14:paraId="36B65BF3">
                  <w:pPr>
                    <w:adjustRightInd w:val="0"/>
                    <w:snapToGrid w:val="0"/>
                    <w:jc w:val="center"/>
                    <w:rPr>
                      <w:b/>
                      <w:bCs/>
                      <w:color w:val="auto"/>
                    </w:rPr>
                  </w:pPr>
                  <w:r>
                    <w:rPr>
                      <w:b/>
                      <w:bCs/>
                      <w:color w:val="auto"/>
                    </w:rPr>
                    <w:t>无组织排放监控浓度值</w:t>
                  </w:r>
                </w:p>
              </w:tc>
              <w:tc>
                <w:tcPr>
                  <w:tcW w:w="1803" w:type="pct"/>
                  <w:vMerge w:val="restart"/>
                  <w:tcBorders>
                    <w:tl2br w:val="nil"/>
                    <w:tr2bl w:val="nil"/>
                  </w:tcBorders>
                  <w:vAlign w:val="center"/>
                </w:tcPr>
                <w:p w14:paraId="4EDDB815">
                  <w:pPr>
                    <w:adjustRightInd w:val="0"/>
                    <w:snapToGrid w:val="0"/>
                    <w:jc w:val="center"/>
                    <w:rPr>
                      <w:b/>
                      <w:bCs/>
                      <w:color w:val="auto"/>
                    </w:rPr>
                  </w:pPr>
                  <w:r>
                    <w:rPr>
                      <w:b/>
                      <w:bCs/>
                      <w:color w:val="auto"/>
                    </w:rPr>
                    <w:t>标准来源</w:t>
                  </w:r>
                </w:p>
              </w:tc>
            </w:tr>
            <w:tr w14:paraId="477209B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jc w:val="center"/>
              </w:trPr>
              <w:tc>
                <w:tcPr>
                  <w:tcW w:w="747" w:type="pct"/>
                  <w:vMerge w:val="continue"/>
                  <w:tcBorders>
                    <w:tl2br w:val="nil"/>
                    <w:tr2bl w:val="nil"/>
                  </w:tcBorders>
                  <w:vAlign w:val="center"/>
                </w:tcPr>
                <w:p w14:paraId="69D5A0C6">
                  <w:pPr>
                    <w:adjustRightInd w:val="0"/>
                    <w:snapToGrid w:val="0"/>
                    <w:jc w:val="center"/>
                    <w:rPr>
                      <w:b/>
                      <w:bCs/>
                      <w:color w:val="auto"/>
                    </w:rPr>
                  </w:pPr>
                </w:p>
              </w:tc>
              <w:tc>
                <w:tcPr>
                  <w:tcW w:w="1272" w:type="pct"/>
                  <w:tcBorders>
                    <w:tl2br w:val="nil"/>
                    <w:tr2bl w:val="nil"/>
                  </w:tcBorders>
                  <w:vAlign w:val="center"/>
                </w:tcPr>
                <w:p w14:paraId="50A03366">
                  <w:pPr>
                    <w:adjustRightInd w:val="0"/>
                    <w:snapToGrid w:val="0"/>
                    <w:jc w:val="center"/>
                    <w:rPr>
                      <w:b/>
                      <w:bCs/>
                      <w:color w:val="auto"/>
                    </w:rPr>
                  </w:pPr>
                  <w:r>
                    <w:rPr>
                      <w:b/>
                      <w:bCs/>
                      <w:color w:val="auto"/>
                    </w:rPr>
                    <w:t>监控点浓度（mg/m</w:t>
                  </w:r>
                  <w:r>
                    <w:rPr>
                      <w:b/>
                      <w:bCs/>
                      <w:color w:val="auto"/>
                      <w:vertAlign w:val="superscript"/>
                    </w:rPr>
                    <w:t>3</w:t>
                  </w:r>
                  <w:r>
                    <w:rPr>
                      <w:b/>
                      <w:bCs/>
                      <w:color w:val="auto"/>
                    </w:rPr>
                    <w:t>）</w:t>
                  </w:r>
                </w:p>
              </w:tc>
              <w:tc>
                <w:tcPr>
                  <w:tcW w:w="1176" w:type="pct"/>
                  <w:tcBorders>
                    <w:tl2br w:val="nil"/>
                    <w:tr2bl w:val="nil"/>
                  </w:tcBorders>
                  <w:vAlign w:val="center"/>
                </w:tcPr>
                <w:p w14:paraId="3577A92D">
                  <w:pPr>
                    <w:adjustRightInd w:val="0"/>
                    <w:snapToGrid w:val="0"/>
                    <w:jc w:val="center"/>
                    <w:rPr>
                      <w:b/>
                      <w:bCs/>
                      <w:color w:val="auto"/>
                    </w:rPr>
                  </w:pPr>
                  <w:r>
                    <w:rPr>
                      <w:rFonts w:hint="eastAsia"/>
                      <w:b/>
                      <w:bCs/>
                      <w:color w:val="auto"/>
                    </w:rPr>
                    <w:t>监控点</w:t>
                  </w:r>
                </w:p>
              </w:tc>
              <w:tc>
                <w:tcPr>
                  <w:tcW w:w="1803" w:type="pct"/>
                  <w:vMerge w:val="continue"/>
                  <w:tcBorders>
                    <w:tl2br w:val="nil"/>
                    <w:tr2bl w:val="nil"/>
                  </w:tcBorders>
                  <w:vAlign w:val="center"/>
                </w:tcPr>
                <w:p w14:paraId="6520D198">
                  <w:pPr>
                    <w:adjustRightInd w:val="0"/>
                    <w:snapToGrid w:val="0"/>
                    <w:jc w:val="center"/>
                    <w:rPr>
                      <w:color w:val="auto"/>
                    </w:rPr>
                  </w:pPr>
                </w:p>
              </w:tc>
            </w:tr>
            <w:tr w14:paraId="71D846B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jc w:val="center"/>
              </w:trPr>
              <w:tc>
                <w:tcPr>
                  <w:tcW w:w="747" w:type="pct"/>
                  <w:tcBorders>
                    <w:tl2br w:val="nil"/>
                    <w:tr2bl w:val="nil"/>
                  </w:tcBorders>
                  <w:shd w:val="clear" w:color="auto" w:fill="auto"/>
                  <w:vAlign w:val="center"/>
                </w:tcPr>
                <w:p w14:paraId="043FF05A">
                  <w:pPr>
                    <w:adjustRightInd w:val="0"/>
                    <w:snapToGrid w:val="0"/>
                    <w:jc w:val="center"/>
                    <w:rPr>
                      <w:rFonts w:hint="eastAsia" w:ascii="Times New Roman" w:hAnsi="Times New Roman" w:eastAsia="宋体" w:cs="Times New Roman"/>
                      <w:snapToGrid w:val="0"/>
                      <w:color w:val="auto"/>
                      <w:kern w:val="2"/>
                      <w:sz w:val="21"/>
                      <w:szCs w:val="21"/>
                      <w:lang w:val="en-US" w:eastAsia="zh-CN" w:bidi="ar-SA"/>
                    </w:rPr>
                  </w:pPr>
                  <w:r>
                    <w:rPr>
                      <w:rFonts w:hint="eastAsia"/>
                      <w:color w:val="auto"/>
                    </w:rPr>
                    <w:t>非甲烷总烃</w:t>
                  </w:r>
                </w:p>
              </w:tc>
              <w:tc>
                <w:tcPr>
                  <w:tcW w:w="1272" w:type="pct"/>
                  <w:tcBorders>
                    <w:tl2br w:val="nil"/>
                    <w:tr2bl w:val="nil"/>
                  </w:tcBorders>
                  <w:shd w:val="clear" w:color="auto" w:fill="auto"/>
                  <w:vAlign w:val="center"/>
                </w:tcPr>
                <w:p w14:paraId="5CB5BB77">
                  <w:pPr>
                    <w:adjustRightInd w:val="0"/>
                    <w:snapToGrid w:val="0"/>
                    <w:jc w:val="center"/>
                    <w:rPr>
                      <w:rFonts w:hint="eastAsia" w:ascii="Times New Roman" w:hAnsi="Times New Roman" w:eastAsia="宋体" w:cs="Times New Roman"/>
                      <w:snapToGrid w:val="0"/>
                      <w:color w:val="auto"/>
                      <w:kern w:val="2"/>
                      <w:sz w:val="21"/>
                      <w:szCs w:val="21"/>
                      <w:lang w:val="en-US" w:eastAsia="zh-CN" w:bidi="ar-SA"/>
                    </w:rPr>
                  </w:pPr>
                  <w:r>
                    <w:rPr>
                      <w:rFonts w:hint="eastAsia"/>
                      <w:color w:val="auto"/>
                    </w:rPr>
                    <w:t>4</w:t>
                  </w:r>
                  <w:r>
                    <w:rPr>
                      <w:color w:val="auto"/>
                    </w:rPr>
                    <w:t>.0</w:t>
                  </w:r>
                </w:p>
              </w:tc>
              <w:tc>
                <w:tcPr>
                  <w:tcW w:w="1176" w:type="pct"/>
                  <w:vMerge w:val="restart"/>
                  <w:tcBorders>
                    <w:tl2br w:val="nil"/>
                    <w:tr2bl w:val="nil"/>
                  </w:tcBorders>
                  <w:vAlign w:val="center"/>
                </w:tcPr>
                <w:p w14:paraId="221060C7">
                  <w:pPr>
                    <w:adjustRightInd w:val="0"/>
                    <w:snapToGrid w:val="0"/>
                    <w:jc w:val="center"/>
                    <w:rPr>
                      <w:color w:val="auto"/>
                    </w:rPr>
                  </w:pPr>
                  <w:r>
                    <w:rPr>
                      <w:rFonts w:hint="eastAsia"/>
                      <w:color w:val="auto"/>
                    </w:rPr>
                    <w:t>边界外浓度最高点</w:t>
                  </w:r>
                </w:p>
              </w:tc>
              <w:tc>
                <w:tcPr>
                  <w:tcW w:w="1803" w:type="pct"/>
                  <w:vMerge w:val="restart"/>
                  <w:tcBorders>
                    <w:tl2br w:val="nil"/>
                    <w:tr2bl w:val="nil"/>
                  </w:tcBorders>
                  <w:vAlign w:val="center"/>
                </w:tcPr>
                <w:p w14:paraId="7F27D3E4">
                  <w:pPr>
                    <w:adjustRightInd w:val="0"/>
                    <w:snapToGrid w:val="0"/>
                    <w:jc w:val="center"/>
                    <w:rPr>
                      <w:color w:val="auto"/>
                    </w:rPr>
                  </w:pPr>
                  <w:r>
                    <w:rPr>
                      <w:color w:val="auto"/>
                    </w:rPr>
                    <w:t>《大气污染物综合排放标准》（DB32/4041-2021）中表</w:t>
                  </w:r>
                  <w:r>
                    <w:rPr>
                      <w:rFonts w:hint="eastAsia"/>
                      <w:color w:val="auto"/>
                    </w:rPr>
                    <w:t>3</w:t>
                  </w:r>
                  <w:r>
                    <w:rPr>
                      <w:color w:val="auto"/>
                    </w:rPr>
                    <w:t>中的排放限值</w:t>
                  </w:r>
                </w:p>
              </w:tc>
            </w:tr>
            <w:tr w14:paraId="5F3EDA6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jc w:val="center"/>
              </w:trPr>
              <w:tc>
                <w:tcPr>
                  <w:tcW w:w="747" w:type="pct"/>
                  <w:tcBorders>
                    <w:tl2br w:val="nil"/>
                    <w:tr2bl w:val="nil"/>
                  </w:tcBorders>
                  <w:vAlign w:val="center"/>
                </w:tcPr>
                <w:p w14:paraId="7BC65D39">
                  <w:pPr>
                    <w:adjustRightInd w:val="0"/>
                    <w:snapToGrid w:val="0"/>
                    <w:jc w:val="center"/>
                    <w:rPr>
                      <w:color w:val="auto"/>
                    </w:rPr>
                  </w:pPr>
                  <w:r>
                    <w:rPr>
                      <w:rFonts w:hint="eastAsia"/>
                      <w:color w:val="auto"/>
                    </w:rPr>
                    <w:t>颗粒物</w:t>
                  </w:r>
                </w:p>
              </w:tc>
              <w:tc>
                <w:tcPr>
                  <w:tcW w:w="1272" w:type="pct"/>
                  <w:tcBorders>
                    <w:tl2br w:val="nil"/>
                    <w:tr2bl w:val="nil"/>
                  </w:tcBorders>
                  <w:vAlign w:val="center"/>
                </w:tcPr>
                <w:p w14:paraId="3A33DDE1">
                  <w:pPr>
                    <w:adjustRightInd w:val="0"/>
                    <w:snapToGrid w:val="0"/>
                    <w:jc w:val="center"/>
                    <w:rPr>
                      <w:color w:val="auto"/>
                    </w:rPr>
                  </w:pPr>
                  <w:r>
                    <w:rPr>
                      <w:rFonts w:hint="eastAsia"/>
                      <w:color w:val="auto"/>
                    </w:rPr>
                    <w:t>0</w:t>
                  </w:r>
                  <w:r>
                    <w:rPr>
                      <w:color w:val="auto"/>
                    </w:rPr>
                    <w:t>.5</w:t>
                  </w:r>
                </w:p>
              </w:tc>
              <w:tc>
                <w:tcPr>
                  <w:tcW w:w="1176" w:type="pct"/>
                  <w:vMerge w:val="continue"/>
                  <w:tcBorders>
                    <w:tl2br w:val="nil"/>
                    <w:tr2bl w:val="nil"/>
                  </w:tcBorders>
                  <w:vAlign w:val="center"/>
                </w:tcPr>
                <w:p w14:paraId="71C65082">
                  <w:pPr>
                    <w:adjustRightInd w:val="0"/>
                    <w:snapToGrid w:val="0"/>
                    <w:jc w:val="center"/>
                    <w:rPr>
                      <w:color w:val="auto"/>
                    </w:rPr>
                  </w:pPr>
                </w:p>
              </w:tc>
              <w:tc>
                <w:tcPr>
                  <w:tcW w:w="1803" w:type="pct"/>
                  <w:vMerge w:val="continue"/>
                  <w:tcBorders>
                    <w:tl2br w:val="nil"/>
                    <w:tr2bl w:val="nil"/>
                  </w:tcBorders>
                  <w:vAlign w:val="center"/>
                </w:tcPr>
                <w:p w14:paraId="6841C068">
                  <w:pPr>
                    <w:adjustRightInd w:val="0"/>
                    <w:snapToGrid w:val="0"/>
                    <w:jc w:val="center"/>
                    <w:rPr>
                      <w:color w:val="auto"/>
                    </w:rPr>
                  </w:pPr>
                </w:p>
              </w:tc>
            </w:tr>
            <w:tr w14:paraId="70F278F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jc w:val="center"/>
              </w:trPr>
              <w:tc>
                <w:tcPr>
                  <w:tcW w:w="747" w:type="pct"/>
                  <w:tcBorders>
                    <w:tl2br w:val="nil"/>
                    <w:tr2bl w:val="nil"/>
                  </w:tcBorders>
                  <w:shd w:val="clear" w:color="auto" w:fill="auto"/>
                  <w:vAlign w:val="center"/>
                </w:tcPr>
                <w:p w14:paraId="416F7C56">
                  <w:pPr>
                    <w:adjustRightInd w:val="0"/>
                    <w:snapToGrid w:val="0"/>
                    <w:jc w:val="center"/>
                    <w:rPr>
                      <w:rFonts w:hint="eastAsia" w:ascii="Times New Roman" w:hAnsi="Times New Roman" w:eastAsia="宋体" w:cs="Times New Roman"/>
                      <w:snapToGrid w:val="0"/>
                      <w:color w:val="auto"/>
                      <w:kern w:val="2"/>
                      <w:sz w:val="21"/>
                      <w:szCs w:val="21"/>
                      <w:lang w:val="en-US" w:eastAsia="zh-CN" w:bidi="ar-SA"/>
                    </w:rPr>
                  </w:pPr>
                  <w:r>
                    <w:rPr>
                      <w:rFonts w:hint="eastAsia"/>
                      <w:color w:val="auto"/>
                      <w:lang w:val="en-US" w:eastAsia="zh-CN"/>
                    </w:rPr>
                    <w:t>苯系物</w:t>
                  </w:r>
                </w:p>
              </w:tc>
              <w:tc>
                <w:tcPr>
                  <w:tcW w:w="1272" w:type="pct"/>
                  <w:tcBorders>
                    <w:tl2br w:val="nil"/>
                    <w:tr2bl w:val="nil"/>
                  </w:tcBorders>
                  <w:shd w:val="clear" w:color="auto" w:fill="auto"/>
                  <w:vAlign w:val="center"/>
                </w:tcPr>
                <w:p w14:paraId="7CD5E595">
                  <w:pPr>
                    <w:adjustRightInd w:val="0"/>
                    <w:snapToGrid w:val="0"/>
                    <w:jc w:val="center"/>
                    <w:rPr>
                      <w:rFonts w:hint="eastAsia" w:ascii="Times New Roman" w:hAnsi="Times New Roman" w:eastAsia="宋体" w:cs="Times New Roman"/>
                      <w:snapToGrid w:val="0"/>
                      <w:color w:val="auto"/>
                      <w:kern w:val="2"/>
                      <w:sz w:val="21"/>
                      <w:szCs w:val="21"/>
                      <w:lang w:val="en-US" w:eastAsia="zh-CN" w:bidi="ar-SA"/>
                    </w:rPr>
                  </w:pPr>
                  <w:r>
                    <w:rPr>
                      <w:rFonts w:hint="eastAsia"/>
                      <w:color w:val="auto"/>
                      <w:lang w:val="en-US" w:eastAsia="zh-CN"/>
                    </w:rPr>
                    <w:t>0.4</w:t>
                  </w:r>
                </w:p>
              </w:tc>
              <w:tc>
                <w:tcPr>
                  <w:tcW w:w="1176" w:type="pct"/>
                  <w:vMerge w:val="continue"/>
                  <w:tcBorders>
                    <w:tl2br w:val="nil"/>
                    <w:tr2bl w:val="nil"/>
                  </w:tcBorders>
                  <w:vAlign w:val="center"/>
                </w:tcPr>
                <w:p w14:paraId="72D2C9F0">
                  <w:pPr>
                    <w:adjustRightInd w:val="0"/>
                    <w:snapToGrid w:val="0"/>
                    <w:jc w:val="center"/>
                    <w:rPr>
                      <w:color w:val="auto"/>
                    </w:rPr>
                  </w:pPr>
                </w:p>
              </w:tc>
              <w:tc>
                <w:tcPr>
                  <w:tcW w:w="1803" w:type="pct"/>
                  <w:vMerge w:val="continue"/>
                  <w:tcBorders>
                    <w:tl2br w:val="nil"/>
                    <w:tr2bl w:val="nil"/>
                  </w:tcBorders>
                  <w:vAlign w:val="center"/>
                </w:tcPr>
                <w:p w14:paraId="6AE92CB8">
                  <w:pPr>
                    <w:adjustRightInd w:val="0"/>
                    <w:snapToGrid w:val="0"/>
                    <w:jc w:val="center"/>
                    <w:rPr>
                      <w:color w:val="auto"/>
                    </w:rPr>
                  </w:pPr>
                </w:p>
              </w:tc>
            </w:tr>
            <w:tr w14:paraId="11B63DF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jc w:val="center"/>
              </w:trPr>
              <w:tc>
                <w:tcPr>
                  <w:tcW w:w="747" w:type="pct"/>
                  <w:tcBorders>
                    <w:tl2br w:val="nil"/>
                    <w:tr2bl w:val="nil"/>
                  </w:tcBorders>
                  <w:vAlign w:val="center"/>
                </w:tcPr>
                <w:p w14:paraId="667FC6F2">
                  <w:pPr>
                    <w:adjustRightInd w:val="0"/>
                    <w:snapToGrid w:val="0"/>
                    <w:jc w:val="center"/>
                    <w:rPr>
                      <w:rFonts w:hint="eastAsia" w:eastAsia="宋体"/>
                      <w:color w:val="auto"/>
                      <w:lang w:val="en-US" w:eastAsia="zh-CN"/>
                    </w:rPr>
                  </w:pPr>
                  <w:r>
                    <w:rPr>
                      <w:rFonts w:hint="eastAsia"/>
                      <w:color w:val="auto"/>
                      <w:lang w:val="en-US" w:eastAsia="zh-CN"/>
                    </w:rPr>
                    <w:t>二甲苯</w:t>
                  </w:r>
                </w:p>
              </w:tc>
              <w:tc>
                <w:tcPr>
                  <w:tcW w:w="1272" w:type="pct"/>
                  <w:tcBorders>
                    <w:tl2br w:val="nil"/>
                    <w:tr2bl w:val="nil"/>
                  </w:tcBorders>
                  <w:vAlign w:val="center"/>
                </w:tcPr>
                <w:p w14:paraId="4CC9EA50">
                  <w:pPr>
                    <w:adjustRightInd w:val="0"/>
                    <w:snapToGrid w:val="0"/>
                    <w:jc w:val="center"/>
                    <w:rPr>
                      <w:rFonts w:hint="default" w:eastAsia="宋体"/>
                      <w:color w:val="auto"/>
                      <w:lang w:val="en-US" w:eastAsia="zh-CN"/>
                    </w:rPr>
                  </w:pPr>
                  <w:r>
                    <w:rPr>
                      <w:rFonts w:hint="eastAsia"/>
                      <w:color w:val="auto"/>
                      <w:lang w:val="en-US" w:eastAsia="zh-CN"/>
                    </w:rPr>
                    <w:t>0.2</w:t>
                  </w:r>
                </w:p>
              </w:tc>
              <w:tc>
                <w:tcPr>
                  <w:tcW w:w="1176" w:type="pct"/>
                  <w:vMerge w:val="continue"/>
                  <w:tcBorders>
                    <w:tl2br w:val="nil"/>
                    <w:tr2bl w:val="nil"/>
                  </w:tcBorders>
                  <w:vAlign w:val="center"/>
                </w:tcPr>
                <w:p w14:paraId="1721C85E">
                  <w:pPr>
                    <w:adjustRightInd w:val="0"/>
                    <w:snapToGrid w:val="0"/>
                    <w:jc w:val="center"/>
                    <w:rPr>
                      <w:color w:val="auto"/>
                    </w:rPr>
                  </w:pPr>
                </w:p>
              </w:tc>
              <w:tc>
                <w:tcPr>
                  <w:tcW w:w="1803" w:type="pct"/>
                  <w:vMerge w:val="continue"/>
                  <w:tcBorders>
                    <w:tl2br w:val="nil"/>
                    <w:tr2bl w:val="nil"/>
                  </w:tcBorders>
                  <w:vAlign w:val="center"/>
                </w:tcPr>
                <w:p w14:paraId="08229010">
                  <w:pPr>
                    <w:adjustRightInd w:val="0"/>
                    <w:snapToGrid w:val="0"/>
                    <w:jc w:val="center"/>
                    <w:rPr>
                      <w:color w:val="auto"/>
                    </w:rPr>
                  </w:pPr>
                </w:p>
              </w:tc>
            </w:tr>
          </w:tbl>
          <w:p w14:paraId="7FD52013">
            <w:pPr>
              <w:adjustRightInd w:val="0"/>
              <w:snapToGrid w:val="0"/>
              <w:jc w:val="center"/>
              <w:rPr>
                <w:b/>
                <w:color w:val="auto"/>
              </w:rPr>
            </w:pPr>
            <w:r>
              <w:rPr>
                <w:b/>
                <w:color w:val="auto"/>
              </w:rPr>
              <w:t>表3-</w:t>
            </w:r>
            <w:r>
              <w:rPr>
                <w:rFonts w:hint="eastAsia"/>
                <w:b/>
                <w:color w:val="auto"/>
              </w:rPr>
              <w:t>7</w:t>
            </w:r>
            <w:r>
              <w:rPr>
                <w:b/>
                <w:color w:val="auto"/>
              </w:rPr>
              <w:t xml:space="preserve">   </w:t>
            </w:r>
            <w:r>
              <w:rPr>
                <w:rFonts w:hint="eastAsia"/>
                <w:b/>
                <w:color w:val="auto"/>
              </w:rPr>
              <w:t>厂区内VOCs</w:t>
            </w:r>
            <w:r>
              <w:rPr>
                <w:b/>
                <w:color w:val="auto"/>
              </w:rPr>
              <w:t>无组织排放限值</w:t>
            </w:r>
          </w:p>
          <w:tbl>
            <w:tblPr>
              <w:tblStyle w:val="59"/>
              <w:tblW w:w="0" w:type="auto"/>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020"/>
              <w:gridCol w:w="1350"/>
              <w:gridCol w:w="990"/>
              <w:gridCol w:w="2655"/>
              <w:gridCol w:w="2636"/>
            </w:tblGrid>
            <w:tr w14:paraId="568D7EB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1020" w:type="dxa"/>
                  <w:tcBorders>
                    <w:tl2br w:val="nil"/>
                    <w:tr2bl w:val="nil"/>
                  </w:tcBorders>
                  <w:vAlign w:val="center"/>
                </w:tcPr>
                <w:p w14:paraId="6D637DD0">
                  <w:pPr>
                    <w:pStyle w:val="389"/>
                    <w:adjustRightInd w:val="0"/>
                    <w:snapToGrid w:val="0"/>
                    <w:spacing w:line="240" w:lineRule="auto"/>
                    <w:ind w:firstLine="0" w:firstLineChars="0"/>
                    <w:jc w:val="center"/>
                    <w:rPr>
                      <w:b/>
                      <w:bCs/>
                      <w:color w:val="auto"/>
                      <w:sz w:val="21"/>
                      <w:szCs w:val="21"/>
                    </w:rPr>
                  </w:pPr>
                  <w:r>
                    <w:rPr>
                      <w:b/>
                      <w:bCs/>
                      <w:color w:val="auto"/>
                      <w:sz w:val="21"/>
                      <w:szCs w:val="21"/>
                    </w:rPr>
                    <w:t>污染物</w:t>
                  </w:r>
                </w:p>
              </w:tc>
              <w:tc>
                <w:tcPr>
                  <w:tcW w:w="1350" w:type="dxa"/>
                  <w:tcBorders>
                    <w:tl2br w:val="nil"/>
                    <w:tr2bl w:val="nil"/>
                  </w:tcBorders>
                  <w:vAlign w:val="center"/>
                </w:tcPr>
                <w:p w14:paraId="4BF542AE">
                  <w:pPr>
                    <w:pStyle w:val="389"/>
                    <w:adjustRightInd w:val="0"/>
                    <w:snapToGrid w:val="0"/>
                    <w:spacing w:line="240" w:lineRule="auto"/>
                    <w:ind w:firstLine="0" w:firstLineChars="0"/>
                    <w:jc w:val="center"/>
                    <w:rPr>
                      <w:b/>
                      <w:bCs/>
                      <w:color w:val="auto"/>
                      <w:sz w:val="21"/>
                      <w:szCs w:val="21"/>
                    </w:rPr>
                  </w:pPr>
                  <w:r>
                    <w:rPr>
                      <w:b/>
                      <w:bCs/>
                      <w:color w:val="auto"/>
                      <w:sz w:val="21"/>
                      <w:szCs w:val="21"/>
                    </w:rPr>
                    <w:t>监控点</w:t>
                  </w:r>
                </w:p>
              </w:tc>
              <w:tc>
                <w:tcPr>
                  <w:tcW w:w="990" w:type="dxa"/>
                  <w:tcBorders>
                    <w:tl2br w:val="nil"/>
                    <w:tr2bl w:val="nil"/>
                  </w:tcBorders>
                  <w:vAlign w:val="center"/>
                </w:tcPr>
                <w:p w14:paraId="3CEBAEB4">
                  <w:pPr>
                    <w:pStyle w:val="389"/>
                    <w:adjustRightInd w:val="0"/>
                    <w:snapToGrid w:val="0"/>
                    <w:spacing w:line="240" w:lineRule="auto"/>
                    <w:ind w:firstLine="0" w:firstLineChars="0"/>
                    <w:jc w:val="center"/>
                    <w:rPr>
                      <w:b/>
                      <w:bCs/>
                      <w:color w:val="auto"/>
                      <w:sz w:val="21"/>
                      <w:szCs w:val="21"/>
                    </w:rPr>
                  </w:pPr>
                  <w:r>
                    <w:rPr>
                      <w:b/>
                      <w:bCs/>
                      <w:color w:val="auto"/>
                      <w:sz w:val="21"/>
                      <w:szCs w:val="21"/>
                    </w:rPr>
                    <w:t>监测点限值</w:t>
                  </w:r>
                </w:p>
              </w:tc>
              <w:tc>
                <w:tcPr>
                  <w:tcW w:w="2655" w:type="dxa"/>
                  <w:tcBorders>
                    <w:tl2br w:val="nil"/>
                    <w:tr2bl w:val="nil"/>
                  </w:tcBorders>
                  <w:vAlign w:val="center"/>
                </w:tcPr>
                <w:p w14:paraId="062C8B32">
                  <w:pPr>
                    <w:pStyle w:val="389"/>
                    <w:adjustRightInd w:val="0"/>
                    <w:snapToGrid w:val="0"/>
                    <w:spacing w:line="240" w:lineRule="auto"/>
                    <w:ind w:firstLine="0" w:firstLineChars="0"/>
                    <w:jc w:val="center"/>
                    <w:rPr>
                      <w:b/>
                      <w:bCs/>
                      <w:color w:val="auto"/>
                      <w:sz w:val="21"/>
                      <w:szCs w:val="21"/>
                    </w:rPr>
                  </w:pPr>
                  <w:r>
                    <w:rPr>
                      <w:b/>
                      <w:bCs/>
                      <w:color w:val="auto"/>
                      <w:sz w:val="21"/>
                      <w:szCs w:val="21"/>
                    </w:rPr>
                    <w:t>限值含义</w:t>
                  </w:r>
                </w:p>
              </w:tc>
              <w:tc>
                <w:tcPr>
                  <w:tcW w:w="2636" w:type="dxa"/>
                  <w:tcBorders>
                    <w:tl2br w:val="nil"/>
                    <w:tr2bl w:val="nil"/>
                  </w:tcBorders>
                  <w:vAlign w:val="center"/>
                </w:tcPr>
                <w:p w14:paraId="20C9C8D2">
                  <w:pPr>
                    <w:pStyle w:val="389"/>
                    <w:adjustRightInd w:val="0"/>
                    <w:snapToGrid w:val="0"/>
                    <w:spacing w:line="240" w:lineRule="auto"/>
                    <w:ind w:firstLine="0" w:firstLineChars="0"/>
                    <w:jc w:val="center"/>
                    <w:rPr>
                      <w:b/>
                      <w:bCs/>
                      <w:color w:val="auto"/>
                      <w:sz w:val="21"/>
                      <w:szCs w:val="21"/>
                    </w:rPr>
                  </w:pPr>
                  <w:r>
                    <w:rPr>
                      <w:b/>
                      <w:color w:val="auto"/>
                      <w:sz w:val="21"/>
                      <w:szCs w:val="21"/>
                    </w:rPr>
                    <w:t>标准来源</w:t>
                  </w:r>
                </w:p>
              </w:tc>
            </w:tr>
            <w:tr w14:paraId="0BBE4F1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57" w:hRule="atLeast"/>
              </w:trPr>
              <w:tc>
                <w:tcPr>
                  <w:tcW w:w="1020" w:type="dxa"/>
                  <w:vMerge w:val="restart"/>
                  <w:tcBorders>
                    <w:tl2br w:val="nil"/>
                    <w:tr2bl w:val="nil"/>
                  </w:tcBorders>
                  <w:vAlign w:val="center"/>
                </w:tcPr>
                <w:p w14:paraId="3B2CB3B7">
                  <w:pPr>
                    <w:pStyle w:val="389"/>
                    <w:adjustRightInd w:val="0"/>
                    <w:snapToGrid w:val="0"/>
                    <w:spacing w:line="240" w:lineRule="auto"/>
                    <w:ind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非甲烷总烃</w:t>
                  </w:r>
                </w:p>
              </w:tc>
              <w:tc>
                <w:tcPr>
                  <w:tcW w:w="1350" w:type="dxa"/>
                  <w:vMerge w:val="restart"/>
                  <w:tcBorders>
                    <w:tl2br w:val="nil"/>
                    <w:tr2bl w:val="nil"/>
                  </w:tcBorders>
                  <w:vAlign w:val="center"/>
                </w:tcPr>
                <w:p w14:paraId="092B4D22">
                  <w:pPr>
                    <w:pStyle w:val="389"/>
                    <w:adjustRightInd w:val="0"/>
                    <w:snapToGrid w:val="0"/>
                    <w:spacing w:line="240" w:lineRule="auto"/>
                    <w:ind w:firstLine="0" w:firstLineChars="0"/>
                    <w:jc w:val="center"/>
                    <w:rPr>
                      <w:color w:val="auto"/>
                      <w:sz w:val="21"/>
                      <w:szCs w:val="21"/>
                    </w:rPr>
                  </w:pPr>
                  <w:r>
                    <w:rPr>
                      <w:rFonts w:hint="eastAsia"/>
                      <w:color w:val="auto"/>
                      <w:sz w:val="21"/>
                      <w:szCs w:val="21"/>
                      <w:lang w:val="en-US" w:eastAsia="zh-CN"/>
                    </w:rPr>
                    <w:t>在厂房外</w:t>
                  </w:r>
                  <w:r>
                    <w:rPr>
                      <w:color w:val="auto"/>
                      <w:sz w:val="21"/>
                      <w:szCs w:val="21"/>
                    </w:rPr>
                    <w:t>设置监控点</w:t>
                  </w:r>
                </w:p>
              </w:tc>
              <w:tc>
                <w:tcPr>
                  <w:tcW w:w="990" w:type="dxa"/>
                  <w:tcBorders>
                    <w:tl2br w:val="nil"/>
                    <w:tr2bl w:val="nil"/>
                  </w:tcBorders>
                  <w:vAlign w:val="center"/>
                </w:tcPr>
                <w:p w14:paraId="40B0C6DB">
                  <w:pPr>
                    <w:pStyle w:val="389"/>
                    <w:adjustRightInd w:val="0"/>
                    <w:snapToGrid w:val="0"/>
                    <w:spacing w:line="240" w:lineRule="auto"/>
                    <w:ind w:firstLine="0" w:firstLineChars="0"/>
                    <w:jc w:val="center"/>
                    <w:rPr>
                      <w:rFonts w:hint="eastAsia" w:eastAsia="宋体"/>
                      <w:color w:val="auto"/>
                      <w:sz w:val="21"/>
                      <w:szCs w:val="21"/>
                      <w:lang w:eastAsia="zh-CN"/>
                    </w:rPr>
                  </w:pPr>
                  <w:r>
                    <w:rPr>
                      <w:rFonts w:hint="eastAsia"/>
                      <w:color w:val="auto"/>
                      <w:sz w:val="21"/>
                      <w:szCs w:val="21"/>
                      <w:lang w:val="en-US" w:eastAsia="zh-CN"/>
                    </w:rPr>
                    <w:t>6</w:t>
                  </w:r>
                </w:p>
              </w:tc>
              <w:tc>
                <w:tcPr>
                  <w:tcW w:w="2655" w:type="dxa"/>
                  <w:tcBorders>
                    <w:tl2br w:val="nil"/>
                    <w:tr2bl w:val="nil"/>
                  </w:tcBorders>
                  <w:vAlign w:val="center"/>
                </w:tcPr>
                <w:p w14:paraId="46BB7FEB">
                  <w:pPr>
                    <w:pStyle w:val="389"/>
                    <w:adjustRightInd w:val="0"/>
                    <w:snapToGrid w:val="0"/>
                    <w:spacing w:line="240" w:lineRule="auto"/>
                    <w:ind w:firstLine="0" w:firstLineChars="0"/>
                    <w:jc w:val="center"/>
                    <w:rPr>
                      <w:color w:val="auto"/>
                      <w:sz w:val="21"/>
                      <w:szCs w:val="21"/>
                    </w:rPr>
                  </w:pPr>
                  <w:r>
                    <w:rPr>
                      <w:color w:val="auto"/>
                      <w:sz w:val="21"/>
                      <w:szCs w:val="21"/>
                    </w:rPr>
                    <w:t>监控点</w:t>
                  </w:r>
                  <w:r>
                    <w:rPr>
                      <w:rFonts w:hint="eastAsia"/>
                      <w:color w:val="auto"/>
                      <w:sz w:val="21"/>
                      <w:szCs w:val="21"/>
                      <w:lang w:val="en-US" w:eastAsia="zh-CN"/>
                    </w:rPr>
                    <w:t>处</w:t>
                  </w:r>
                  <w:r>
                    <w:rPr>
                      <w:color w:val="auto"/>
                      <w:sz w:val="21"/>
                      <w:szCs w:val="21"/>
                    </w:rPr>
                    <w:t>1h平均浓度值</w:t>
                  </w:r>
                </w:p>
              </w:tc>
              <w:tc>
                <w:tcPr>
                  <w:tcW w:w="2636" w:type="dxa"/>
                  <w:vMerge w:val="restart"/>
                  <w:tcBorders>
                    <w:tl2br w:val="nil"/>
                    <w:tr2bl w:val="nil"/>
                  </w:tcBorders>
                  <w:vAlign w:val="center"/>
                </w:tcPr>
                <w:p w14:paraId="2228B37B">
                  <w:pPr>
                    <w:pStyle w:val="389"/>
                    <w:adjustRightInd w:val="0"/>
                    <w:snapToGrid w:val="0"/>
                    <w:spacing w:line="240" w:lineRule="auto"/>
                    <w:ind w:firstLine="0" w:firstLineChars="0"/>
                    <w:jc w:val="center"/>
                    <w:rPr>
                      <w:rFonts w:hint="eastAsia" w:eastAsia="宋体"/>
                      <w:color w:val="auto"/>
                      <w:sz w:val="21"/>
                      <w:szCs w:val="21"/>
                      <w:lang w:val="en-US" w:eastAsia="zh-CN"/>
                    </w:rPr>
                  </w:pPr>
                  <w:r>
                    <w:rPr>
                      <w:rFonts w:hint="eastAsia"/>
                      <w:color w:val="auto"/>
                      <w:sz w:val="21"/>
                      <w:szCs w:val="21"/>
                    </w:rPr>
                    <w:t>《工业涂装工序大气污染物排放标准》（DB32 4439-2022）表</w:t>
                  </w:r>
                  <w:r>
                    <w:rPr>
                      <w:rFonts w:hint="eastAsia"/>
                      <w:color w:val="auto"/>
                      <w:sz w:val="21"/>
                      <w:szCs w:val="21"/>
                      <w:lang w:val="en-US" w:eastAsia="zh-CN"/>
                    </w:rPr>
                    <w:t>3</w:t>
                  </w:r>
                </w:p>
              </w:tc>
            </w:tr>
            <w:tr w14:paraId="77191DC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1020" w:type="dxa"/>
                  <w:vMerge w:val="continue"/>
                  <w:tcBorders>
                    <w:tl2br w:val="nil"/>
                    <w:tr2bl w:val="nil"/>
                  </w:tcBorders>
                  <w:vAlign w:val="center"/>
                </w:tcPr>
                <w:p w14:paraId="53A74815">
                  <w:pPr>
                    <w:pStyle w:val="389"/>
                    <w:adjustRightInd w:val="0"/>
                    <w:snapToGrid w:val="0"/>
                    <w:spacing w:line="240" w:lineRule="auto"/>
                    <w:ind w:firstLine="0" w:firstLineChars="0"/>
                    <w:jc w:val="center"/>
                    <w:rPr>
                      <w:rFonts w:hint="eastAsia"/>
                      <w:color w:val="auto"/>
                      <w:kern w:val="0"/>
                      <w:sz w:val="21"/>
                      <w:szCs w:val="21"/>
                      <w:lang w:val="en-US" w:eastAsia="zh-CN"/>
                    </w:rPr>
                  </w:pPr>
                </w:p>
              </w:tc>
              <w:tc>
                <w:tcPr>
                  <w:tcW w:w="1350" w:type="dxa"/>
                  <w:vMerge w:val="continue"/>
                  <w:tcBorders>
                    <w:tl2br w:val="nil"/>
                    <w:tr2bl w:val="nil"/>
                  </w:tcBorders>
                  <w:vAlign w:val="center"/>
                </w:tcPr>
                <w:p w14:paraId="38BDB47C">
                  <w:pPr>
                    <w:pStyle w:val="389"/>
                    <w:adjustRightInd w:val="0"/>
                    <w:snapToGrid w:val="0"/>
                    <w:spacing w:line="240" w:lineRule="auto"/>
                    <w:ind w:firstLine="0" w:firstLineChars="0"/>
                    <w:jc w:val="center"/>
                    <w:rPr>
                      <w:rFonts w:hint="eastAsia"/>
                      <w:color w:val="auto"/>
                      <w:sz w:val="21"/>
                      <w:szCs w:val="21"/>
                      <w:lang w:val="en-US" w:eastAsia="zh-CN"/>
                    </w:rPr>
                  </w:pPr>
                </w:p>
              </w:tc>
              <w:tc>
                <w:tcPr>
                  <w:tcW w:w="990" w:type="dxa"/>
                  <w:tcBorders>
                    <w:tl2br w:val="nil"/>
                    <w:tr2bl w:val="nil"/>
                  </w:tcBorders>
                  <w:vAlign w:val="center"/>
                </w:tcPr>
                <w:p w14:paraId="37384998">
                  <w:pPr>
                    <w:pStyle w:val="389"/>
                    <w:adjustRightInd w:val="0"/>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20</w:t>
                  </w:r>
                </w:p>
              </w:tc>
              <w:tc>
                <w:tcPr>
                  <w:tcW w:w="2655" w:type="dxa"/>
                  <w:tcBorders>
                    <w:tl2br w:val="nil"/>
                    <w:tr2bl w:val="nil"/>
                  </w:tcBorders>
                  <w:vAlign w:val="center"/>
                </w:tcPr>
                <w:p w14:paraId="19CDDBF7">
                  <w:pPr>
                    <w:pStyle w:val="389"/>
                    <w:adjustRightInd w:val="0"/>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监控点处任意一次浓度值</w:t>
                  </w:r>
                </w:p>
              </w:tc>
              <w:tc>
                <w:tcPr>
                  <w:tcW w:w="2636" w:type="dxa"/>
                  <w:vMerge w:val="continue"/>
                  <w:tcBorders>
                    <w:tl2br w:val="nil"/>
                    <w:tr2bl w:val="nil"/>
                  </w:tcBorders>
                  <w:vAlign w:val="center"/>
                </w:tcPr>
                <w:p w14:paraId="55BCD76E">
                  <w:pPr>
                    <w:pStyle w:val="389"/>
                    <w:adjustRightInd w:val="0"/>
                    <w:snapToGrid w:val="0"/>
                    <w:spacing w:line="240" w:lineRule="auto"/>
                    <w:ind w:firstLine="0" w:firstLineChars="0"/>
                    <w:jc w:val="center"/>
                    <w:rPr>
                      <w:color w:val="auto"/>
                      <w:sz w:val="21"/>
                      <w:szCs w:val="21"/>
                    </w:rPr>
                  </w:pPr>
                </w:p>
              </w:tc>
            </w:tr>
          </w:tbl>
          <w:p w14:paraId="7F1B5B17">
            <w:pPr>
              <w:adjustRightInd w:val="0"/>
              <w:snapToGrid w:val="0"/>
              <w:spacing w:line="360" w:lineRule="auto"/>
              <w:rPr>
                <w:b/>
                <w:bCs/>
                <w:color w:val="auto"/>
              </w:rPr>
            </w:pPr>
            <w:r>
              <w:rPr>
                <w:rFonts w:hint="eastAsia"/>
                <w:b/>
                <w:bCs/>
                <w:color w:val="auto"/>
              </w:rPr>
              <w:t>2、废水：</w:t>
            </w:r>
          </w:p>
          <w:p w14:paraId="2F219D01">
            <w:pPr>
              <w:adjustRightInd w:val="0"/>
              <w:snapToGrid w:val="0"/>
              <w:spacing w:line="360" w:lineRule="auto"/>
              <w:ind w:firstLine="420" w:firstLineChars="200"/>
              <w:rPr>
                <w:color w:val="auto"/>
              </w:rPr>
            </w:pPr>
            <w:r>
              <w:rPr>
                <w:rFonts w:hint="eastAsia"/>
                <w:color w:val="auto"/>
              </w:rPr>
              <w:t>本项目生活污水经厂区污水管网接入市政污水管网排入常州金坛区第二污水处理有限公司处理，达标尾水排入尧塘河，污水接管标准执行常州金坛区第二污水处理有限公司接管</w:t>
            </w:r>
            <w:r>
              <w:rPr>
                <w:rFonts w:hint="eastAsia"/>
                <w:color w:val="auto"/>
                <w:lang w:val="en-US" w:eastAsia="zh-CN"/>
              </w:rPr>
              <w:t>限值</w:t>
            </w:r>
            <w:r>
              <w:rPr>
                <w:rFonts w:hint="eastAsia"/>
                <w:color w:val="auto"/>
              </w:rPr>
              <w:t>。</w:t>
            </w:r>
          </w:p>
          <w:p w14:paraId="3746B6C7">
            <w:pPr>
              <w:adjustRightInd w:val="0"/>
              <w:snapToGrid w:val="0"/>
              <w:spacing w:line="360" w:lineRule="auto"/>
              <w:ind w:firstLine="420" w:firstLineChars="200"/>
              <w:rPr>
                <w:color w:val="auto"/>
              </w:rPr>
            </w:pPr>
            <w:r>
              <w:rPr>
                <w:rFonts w:hint="eastAsia"/>
                <w:color w:val="auto"/>
              </w:rPr>
              <w:t>常州金坛区第二污水处理有限公司接管浓度限值要求见下表。</w:t>
            </w:r>
          </w:p>
          <w:p w14:paraId="59DBB548">
            <w:pPr>
              <w:adjustRightInd w:val="0"/>
              <w:snapToGrid w:val="0"/>
              <w:jc w:val="center"/>
              <w:rPr>
                <w:b/>
                <w:bCs/>
                <w:color w:val="auto"/>
              </w:rPr>
            </w:pPr>
            <w:r>
              <w:rPr>
                <w:rFonts w:hint="eastAsia"/>
                <w:b/>
                <w:bCs/>
                <w:color w:val="auto"/>
              </w:rPr>
              <w:t>表3-</w:t>
            </w:r>
            <w:r>
              <w:rPr>
                <w:rFonts w:hint="eastAsia"/>
                <w:b/>
                <w:bCs/>
                <w:color w:val="auto"/>
                <w:lang w:val="en-US" w:eastAsia="zh-CN"/>
              </w:rPr>
              <w:t>8</w:t>
            </w:r>
            <w:r>
              <w:rPr>
                <w:rFonts w:hint="eastAsia"/>
                <w:b/>
                <w:bCs/>
                <w:color w:val="auto"/>
              </w:rPr>
              <w:t xml:space="preserve">   污水接管标准 单位：mg/L</w:t>
            </w:r>
          </w:p>
          <w:tbl>
            <w:tblPr>
              <w:tblStyle w:val="59"/>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2180"/>
              <w:gridCol w:w="2182"/>
              <w:gridCol w:w="2182"/>
              <w:gridCol w:w="2182"/>
            </w:tblGrid>
            <w:tr w14:paraId="5994355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c>
                <w:tcPr>
                  <w:tcW w:w="1249" w:type="pct"/>
                  <w:tcBorders>
                    <w:tl2br w:val="nil"/>
                    <w:tr2bl w:val="nil"/>
                  </w:tcBorders>
                  <w:shd w:val="clear" w:color="auto" w:fill="auto"/>
                  <w:vAlign w:val="center"/>
                </w:tcPr>
                <w:p w14:paraId="604D0095">
                  <w:pPr>
                    <w:adjustRightInd w:val="0"/>
                    <w:snapToGrid w:val="0"/>
                    <w:jc w:val="center"/>
                    <w:rPr>
                      <w:b/>
                      <w:bCs/>
                      <w:color w:val="auto"/>
                    </w:rPr>
                  </w:pPr>
                  <w:r>
                    <w:rPr>
                      <w:rFonts w:hint="eastAsia"/>
                      <w:b/>
                      <w:bCs/>
                      <w:color w:val="auto"/>
                    </w:rPr>
                    <w:t>排放源</w:t>
                  </w:r>
                </w:p>
              </w:tc>
              <w:tc>
                <w:tcPr>
                  <w:tcW w:w="1250" w:type="pct"/>
                  <w:tcBorders>
                    <w:tl2br w:val="nil"/>
                    <w:tr2bl w:val="nil"/>
                  </w:tcBorders>
                  <w:shd w:val="clear" w:color="auto" w:fill="auto"/>
                  <w:vAlign w:val="center"/>
                </w:tcPr>
                <w:p w14:paraId="6C352A16">
                  <w:pPr>
                    <w:adjustRightInd w:val="0"/>
                    <w:snapToGrid w:val="0"/>
                    <w:jc w:val="center"/>
                    <w:rPr>
                      <w:b/>
                      <w:bCs/>
                      <w:color w:val="auto"/>
                    </w:rPr>
                  </w:pPr>
                  <w:r>
                    <w:rPr>
                      <w:rFonts w:hint="eastAsia"/>
                      <w:b/>
                      <w:bCs/>
                      <w:color w:val="auto"/>
                    </w:rPr>
                    <w:t>污染物</w:t>
                  </w:r>
                </w:p>
              </w:tc>
              <w:tc>
                <w:tcPr>
                  <w:tcW w:w="1250" w:type="pct"/>
                  <w:tcBorders>
                    <w:tl2br w:val="nil"/>
                    <w:tr2bl w:val="nil"/>
                  </w:tcBorders>
                  <w:shd w:val="clear" w:color="auto" w:fill="auto"/>
                  <w:vAlign w:val="center"/>
                </w:tcPr>
                <w:p w14:paraId="5E7105A9">
                  <w:pPr>
                    <w:adjustRightInd w:val="0"/>
                    <w:snapToGrid w:val="0"/>
                    <w:jc w:val="center"/>
                    <w:rPr>
                      <w:b/>
                      <w:bCs/>
                      <w:color w:val="auto"/>
                    </w:rPr>
                  </w:pPr>
                  <w:r>
                    <w:rPr>
                      <w:rFonts w:hint="eastAsia"/>
                      <w:b/>
                      <w:bCs/>
                      <w:color w:val="auto"/>
                    </w:rPr>
                    <w:t>标准值</w:t>
                  </w:r>
                </w:p>
              </w:tc>
              <w:tc>
                <w:tcPr>
                  <w:tcW w:w="1250" w:type="pct"/>
                  <w:tcBorders>
                    <w:tl2br w:val="nil"/>
                    <w:tr2bl w:val="nil"/>
                  </w:tcBorders>
                  <w:shd w:val="clear" w:color="auto" w:fill="auto"/>
                  <w:vAlign w:val="center"/>
                </w:tcPr>
                <w:p w14:paraId="59CF4D1F">
                  <w:pPr>
                    <w:adjustRightInd w:val="0"/>
                    <w:snapToGrid w:val="0"/>
                    <w:jc w:val="center"/>
                    <w:rPr>
                      <w:b/>
                      <w:bCs/>
                      <w:color w:val="auto"/>
                    </w:rPr>
                  </w:pPr>
                  <w:r>
                    <w:rPr>
                      <w:rFonts w:hint="eastAsia"/>
                      <w:b/>
                      <w:bCs/>
                      <w:color w:val="auto"/>
                    </w:rPr>
                    <w:t>标准来源</w:t>
                  </w:r>
                </w:p>
              </w:tc>
            </w:tr>
            <w:tr w14:paraId="56D7887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249" w:type="pct"/>
                  <w:vMerge w:val="restart"/>
                  <w:tcBorders>
                    <w:tl2br w:val="nil"/>
                    <w:tr2bl w:val="nil"/>
                  </w:tcBorders>
                  <w:shd w:val="clear" w:color="auto" w:fill="auto"/>
                  <w:vAlign w:val="center"/>
                </w:tcPr>
                <w:p w14:paraId="0EAEF046">
                  <w:pPr>
                    <w:adjustRightInd w:val="0"/>
                    <w:snapToGrid w:val="0"/>
                    <w:jc w:val="center"/>
                    <w:rPr>
                      <w:color w:val="auto"/>
                    </w:rPr>
                  </w:pPr>
                  <w:r>
                    <w:rPr>
                      <w:rFonts w:hint="eastAsia"/>
                      <w:color w:val="auto"/>
                    </w:rPr>
                    <w:t>生活污水</w:t>
                  </w:r>
                </w:p>
              </w:tc>
              <w:tc>
                <w:tcPr>
                  <w:tcW w:w="1250" w:type="pct"/>
                  <w:tcBorders>
                    <w:tl2br w:val="nil"/>
                    <w:tr2bl w:val="nil"/>
                  </w:tcBorders>
                  <w:shd w:val="clear" w:color="auto" w:fill="auto"/>
                  <w:vAlign w:val="center"/>
                </w:tcPr>
                <w:p w14:paraId="6D78A559">
                  <w:pPr>
                    <w:adjustRightInd w:val="0"/>
                    <w:snapToGrid w:val="0"/>
                    <w:jc w:val="center"/>
                    <w:rPr>
                      <w:color w:val="auto"/>
                    </w:rPr>
                  </w:pPr>
                  <w:r>
                    <w:rPr>
                      <w:rFonts w:hint="eastAsia"/>
                      <w:color w:val="auto"/>
                    </w:rPr>
                    <w:t>pH值（无量纲）</w:t>
                  </w:r>
                </w:p>
              </w:tc>
              <w:tc>
                <w:tcPr>
                  <w:tcW w:w="1250" w:type="pct"/>
                  <w:tcBorders>
                    <w:tl2br w:val="nil"/>
                    <w:tr2bl w:val="nil"/>
                  </w:tcBorders>
                  <w:shd w:val="clear" w:color="auto" w:fill="auto"/>
                  <w:vAlign w:val="center"/>
                </w:tcPr>
                <w:p w14:paraId="5D28E78D">
                  <w:pPr>
                    <w:adjustRightInd w:val="0"/>
                    <w:snapToGrid w:val="0"/>
                    <w:jc w:val="center"/>
                    <w:rPr>
                      <w:color w:val="auto"/>
                    </w:rPr>
                  </w:pPr>
                  <w:r>
                    <w:rPr>
                      <w:rFonts w:hint="eastAsia"/>
                      <w:color w:val="auto"/>
                    </w:rPr>
                    <w:t>6-9</w:t>
                  </w:r>
                </w:p>
              </w:tc>
              <w:tc>
                <w:tcPr>
                  <w:tcW w:w="1250" w:type="pct"/>
                  <w:vMerge w:val="restart"/>
                  <w:tcBorders>
                    <w:tl2br w:val="nil"/>
                    <w:tr2bl w:val="nil"/>
                  </w:tcBorders>
                  <w:shd w:val="clear" w:color="auto" w:fill="auto"/>
                  <w:vAlign w:val="center"/>
                </w:tcPr>
                <w:p w14:paraId="102D4623">
                  <w:pPr>
                    <w:adjustRightInd w:val="0"/>
                    <w:snapToGrid w:val="0"/>
                    <w:jc w:val="center"/>
                    <w:rPr>
                      <w:color w:val="auto"/>
                    </w:rPr>
                  </w:pPr>
                  <w:r>
                    <w:rPr>
                      <w:rFonts w:hint="eastAsia"/>
                      <w:color w:val="auto"/>
                    </w:rPr>
                    <w:t>常州金坛区第二污水处理有限公司接管</w:t>
                  </w:r>
                  <w:r>
                    <w:rPr>
                      <w:rFonts w:hint="eastAsia"/>
                      <w:color w:val="auto"/>
                      <w:lang w:val="en-US" w:eastAsia="zh-CN"/>
                    </w:rPr>
                    <w:t>限值</w:t>
                  </w:r>
                </w:p>
              </w:tc>
            </w:tr>
            <w:tr w14:paraId="7263A29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249" w:type="pct"/>
                  <w:vMerge w:val="continue"/>
                  <w:tcBorders>
                    <w:tl2br w:val="nil"/>
                    <w:tr2bl w:val="nil"/>
                  </w:tcBorders>
                  <w:shd w:val="clear" w:color="auto" w:fill="auto"/>
                  <w:vAlign w:val="center"/>
                </w:tcPr>
                <w:p w14:paraId="73EBD7F0">
                  <w:pPr>
                    <w:adjustRightInd w:val="0"/>
                    <w:snapToGrid w:val="0"/>
                    <w:jc w:val="center"/>
                    <w:rPr>
                      <w:color w:val="auto"/>
                    </w:rPr>
                  </w:pPr>
                </w:p>
              </w:tc>
              <w:tc>
                <w:tcPr>
                  <w:tcW w:w="1250" w:type="pct"/>
                  <w:tcBorders>
                    <w:tl2br w:val="nil"/>
                    <w:tr2bl w:val="nil"/>
                  </w:tcBorders>
                  <w:shd w:val="clear" w:color="auto" w:fill="auto"/>
                  <w:vAlign w:val="center"/>
                </w:tcPr>
                <w:p w14:paraId="7C2C0853">
                  <w:pPr>
                    <w:adjustRightInd w:val="0"/>
                    <w:snapToGrid w:val="0"/>
                    <w:jc w:val="center"/>
                    <w:rPr>
                      <w:color w:val="auto"/>
                    </w:rPr>
                  </w:pPr>
                  <w:r>
                    <w:rPr>
                      <w:rFonts w:hint="eastAsia"/>
                      <w:color w:val="auto"/>
                    </w:rPr>
                    <w:t>COD</w:t>
                  </w:r>
                </w:p>
              </w:tc>
              <w:tc>
                <w:tcPr>
                  <w:tcW w:w="1250" w:type="pct"/>
                  <w:tcBorders>
                    <w:tl2br w:val="nil"/>
                    <w:tr2bl w:val="nil"/>
                  </w:tcBorders>
                  <w:shd w:val="clear" w:color="auto" w:fill="auto"/>
                  <w:vAlign w:val="center"/>
                </w:tcPr>
                <w:p w14:paraId="4EBAB320">
                  <w:pPr>
                    <w:adjustRightInd w:val="0"/>
                    <w:snapToGrid w:val="0"/>
                    <w:jc w:val="center"/>
                    <w:rPr>
                      <w:color w:val="auto"/>
                    </w:rPr>
                  </w:pPr>
                  <w:r>
                    <w:rPr>
                      <w:rFonts w:hint="eastAsia"/>
                      <w:color w:val="auto"/>
                    </w:rPr>
                    <w:t>500</w:t>
                  </w:r>
                </w:p>
              </w:tc>
              <w:tc>
                <w:tcPr>
                  <w:tcW w:w="1250" w:type="pct"/>
                  <w:vMerge w:val="continue"/>
                  <w:tcBorders>
                    <w:tl2br w:val="nil"/>
                    <w:tr2bl w:val="nil"/>
                  </w:tcBorders>
                  <w:shd w:val="clear" w:color="auto" w:fill="auto"/>
                  <w:vAlign w:val="center"/>
                </w:tcPr>
                <w:p w14:paraId="1E1DACCC">
                  <w:pPr>
                    <w:adjustRightInd w:val="0"/>
                    <w:snapToGrid w:val="0"/>
                    <w:jc w:val="center"/>
                    <w:rPr>
                      <w:color w:val="auto"/>
                    </w:rPr>
                  </w:pPr>
                </w:p>
              </w:tc>
            </w:tr>
            <w:tr w14:paraId="511AB2A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249" w:type="pct"/>
                  <w:vMerge w:val="continue"/>
                  <w:tcBorders>
                    <w:tl2br w:val="nil"/>
                    <w:tr2bl w:val="nil"/>
                  </w:tcBorders>
                  <w:shd w:val="clear" w:color="auto" w:fill="auto"/>
                  <w:vAlign w:val="center"/>
                </w:tcPr>
                <w:p w14:paraId="2BC203FA">
                  <w:pPr>
                    <w:adjustRightInd w:val="0"/>
                    <w:snapToGrid w:val="0"/>
                    <w:jc w:val="center"/>
                    <w:rPr>
                      <w:color w:val="auto"/>
                    </w:rPr>
                  </w:pPr>
                </w:p>
              </w:tc>
              <w:tc>
                <w:tcPr>
                  <w:tcW w:w="1250" w:type="pct"/>
                  <w:tcBorders>
                    <w:tl2br w:val="nil"/>
                    <w:tr2bl w:val="nil"/>
                  </w:tcBorders>
                  <w:shd w:val="clear" w:color="auto" w:fill="auto"/>
                  <w:vAlign w:val="center"/>
                </w:tcPr>
                <w:p w14:paraId="7DF240EE">
                  <w:pPr>
                    <w:adjustRightInd w:val="0"/>
                    <w:snapToGrid w:val="0"/>
                    <w:jc w:val="center"/>
                    <w:rPr>
                      <w:color w:val="auto"/>
                    </w:rPr>
                  </w:pPr>
                  <w:r>
                    <w:rPr>
                      <w:rFonts w:hint="eastAsia"/>
                      <w:color w:val="auto"/>
                    </w:rPr>
                    <w:t>SS</w:t>
                  </w:r>
                </w:p>
              </w:tc>
              <w:tc>
                <w:tcPr>
                  <w:tcW w:w="1250" w:type="pct"/>
                  <w:tcBorders>
                    <w:tl2br w:val="nil"/>
                    <w:tr2bl w:val="nil"/>
                  </w:tcBorders>
                  <w:shd w:val="clear" w:color="auto" w:fill="auto"/>
                  <w:vAlign w:val="center"/>
                </w:tcPr>
                <w:p w14:paraId="27DB7A32">
                  <w:pPr>
                    <w:adjustRightInd w:val="0"/>
                    <w:snapToGrid w:val="0"/>
                    <w:jc w:val="center"/>
                    <w:rPr>
                      <w:color w:val="auto"/>
                    </w:rPr>
                  </w:pPr>
                  <w:r>
                    <w:rPr>
                      <w:rFonts w:hint="eastAsia"/>
                      <w:color w:val="auto"/>
                    </w:rPr>
                    <w:t>250</w:t>
                  </w:r>
                </w:p>
              </w:tc>
              <w:tc>
                <w:tcPr>
                  <w:tcW w:w="1250" w:type="pct"/>
                  <w:vMerge w:val="continue"/>
                  <w:tcBorders>
                    <w:tl2br w:val="nil"/>
                    <w:tr2bl w:val="nil"/>
                  </w:tcBorders>
                  <w:shd w:val="clear" w:color="auto" w:fill="auto"/>
                  <w:vAlign w:val="center"/>
                </w:tcPr>
                <w:p w14:paraId="138DE334">
                  <w:pPr>
                    <w:adjustRightInd w:val="0"/>
                    <w:snapToGrid w:val="0"/>
                    <w:jc w:val="center"/>
                    <w:rPr>
                      <w:color w:val="auto"/>
                    </w:rPr>
                  </w:pPr>
                </w:p>
              </w:tc>
            </w:tr>
            <w:tr w14:paraId="0266CAA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c>
                <w:tcPr>
                  <w:tcW w:w="1249" w:type="pct"/>
                  <w:vMerge w:val="continue"/>
                  <w:tcBorders>
                    <w:tl2br w:val="nil"/>
                    <w:tr2bl w:val="nil"/>
                  </w:tcBorders>
                  <w:shd w:val="clear" w:color="auto" w:fill="auto"/>
                  <w:vAlign w:val="center"/>
                </w:tcPr>
                <w:p w14:paraId="47D744C1">
                  <w:pPr>
                    <w:adjustRightInd w:val="0"/>
                    <w:snapToGrid w:val="0"/>
                    <w:jc w:val="center"/>
                    <w:rPr>
                      <w:color w:val="auto"/>
                    </w:rPr>
                  </w:pPr>
                </w:p>
              </w:tc>
              <w:tc>
                <w:tcPr>
                  <w:tcW w:w="1250" w:type="pct"/>
                  <w:tcBorders>
                    <w:tl2br w:val="nil"/>
                    <w:tr2bl w:val="nil"/>
                  </w:tcBorders>
                  <w:shd w:val="clear" w:color="auto" w:fill="auto"/>
                  <w:vAlign w:val="center"/>
                </w:tcPr>
                <w:p w14:paraId="477E002D">
                  <w:pPr>
                    <w:adjustRightInd w:val="0"/>
                    <w:snapToGrid w:val="0"/>
                    <w:jc w:val="center"/>
                    <w:rPr>
                      <w:color w:val="auto"/>
                    </w:rPr>
                  </w:pPr>
                  <w:r>
                    <w:rPr>
                      <w:rFonts w:hint="eastAsia"/>
                      <w:color w:val="auto"/>
                    </w:rPr>
                    <w:t>NH</w:t>
                  </w:r>
                  <w:r>
                    <w:rPr>
                      <w:rFonts w:hint="eastAsia"/>
                      <w:color w:val="auto"/>
                      <w:vertAlign w:val="subscript"/>
                    </w:rPr>
                    <w:t>3</w:t>
                  </w:r>
                  <w:r>
                    <w:rPr>
                      <w:rFonts w:hint="eastAsia"/>
                      <w:color w:val="auto"/>
                    </w:rPr>
                    <w:t>-N</w:t>
                  </w:r>
                </w:p>
              </w:tc>
              <w:tc>
                <w:tcPr>
                  <w:tcW w:w="1250" w:type="pct"/>
                  <w:tcBorders>
                    <w:tl2br w:val="nil"/>
                    <w:tr2bl w:val="nil"/>
                  </w:tcBorders>
                  <w:shd w:val="clear" w:color="auto" w:fill="auto"/>
                  <w:vAlign w:val="center"/>
                </w:tcPr>
                <w:p w14:paraId="71FB053F">
                  <w:pPr>
                    <w:adjustRightInd w:val="0"/>
                    <w:snapToGrid w:val="0"/>
                    <w:jc w:val="center"/>
                    <w:rPr>
                      <w:color w:val="auto"/>
                    </w:rPr>
                  </w:pPr>
                  <w:r>
                    <w:rPr>
                      <w:rFonts w:hint="eastAsia"/>
                      <w:color w:val="auto"/>
                    </w:rPr>
                    <w:t>35</w:t>
                  </w:r>
                </w:p>
              </w:tc>
              <w:tc>
                <w:tcPr>
                  <w:tcW w:w="1250" w:type="pct"/>
                  <w:vMerge w:val="continue"/>
                  <w:tcBorders>
                    <w:tl2br w:val="nil"/>
                    <w:tr2bl w:val="nil"/>
                  </w:tcBorders>
                  <w:shd w:val="clear" w:color="auto" w:fill="auto"/>
                  <w:vAlign w:val="center"/>
                </w:tcPr>
                <w:p w14:paraId="2CD92479">
                  <w:pPr>
                    <w:adjustRightInd w:val="0"/>
                    <w:snapToGrid w:val="0"/>
                    <w:jc w:val="center"/>
                    <w:rPr>
                      <w:color w:val="auto"/>
                    </w:rPr>
                  </w:pPr>
                </w:p>
              </w:tc>
            </w:tr>
            <w:tr w14:paraId="7B3365A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c>
                <w:tcPr>
                  <w:tcW w:w="1249" w:type="pct"/>
                  <w:vMerge w:val="continue"/>
                  <w:tcBorders>
                    <w:tl2br w:val="nil"/>
                    <w:tr2bl w:val="nil"/>
                  </w:tcBorders>
                  <w:shd w:val="clear" w:color="auto" w:fill="auto"/>
                  <w:vAlign w:val="center"/>
                </w:tcPr>
                <w:p w14:paraId="32BA8651">
                  <w:pPr>
                    <w:adjustRightInd w:val="0"/>
                    <w:snapToGrid w:val="0"/>
                    <w:jc w:val="center"/>
                    <w:rPr>
                      <w:color w:val="auto"/>
                    </w:rPr>
                  </w:pPr>
                </w:p>
              </w:tc>
              <w:tc>
                <w:tcPr>
                  <w:tcW w:w="1250" w:type="pct"/>
                  <w:tcBorders>
                    <w:tl2br w:val="nil"/>
                    <w:tr2bl w:val="nil"/>
                  </w:tcBorders>
                  <w:shd w:val="clear" w:color="auto" w:fill="auto"/>
                  <w:vAlign w:val="center"/>
                </w:tcPr>
                <w:p w14:paraId="7128DB59">
                  <w:pPr>
                    <w:adjustRightInd w:val="0"/>
                    <w:snapToGrid w:val="0"/>
                    <w:jc w:val="center"/>
                    <w:rPr>
                      <w:color w:val="auto"/>
                    </w:rPr>
                  </w:pPr>
                  <w:r>
                    <w:rPr>
                      <w:rFonts w:hint="eastAsia"/>
                      <w:color w:val="auto"/>
                    </w:rPr>
                    <w:t>TP</w:t>
                  </w:r>
                </w:p>
              </w:tc>
              <w:tc>
                <w:tcPr>
                  <w:tcW w:w="1250" w:type="pct"/>
                  <w:tcBorders>
                    <w:tl2br w:val="nil"/>
                    <w:tr2bl w:val="nil"/>
                  </w:tcBorders>
                  <w:shd w:val="clear" w:color="auto" w:fill="auto"/>
                  <w:vAlign w:val="center"/>
                </w:tcPr>
                <w:p w14:paraId="7A8A5FB9">
                  <w:pPr>
                    <w:adjustRightInd w:val="0"/>
                    <w:snapToGrid w:val="0"/>
                    <w:jc w:val="center"/>
                    <w:rPr>
                      <w:color w:val="auto"/>
                    </w:rPr>
                  </w:pPr>
                  <w:r>
                    <w:rPr>
                      <w:rFonts w:hint="eastAsia"/>
                      <w:color w:val="auto"/>
                    </w:rPr>
                    <w:t>3</w:t>
                  </w:r>
                </w:p>
              </w:tc>
              <w:tc>
                <w:tcPr>
                  <w:tcW w:w="1250" w:type="pct"/>
                  <w:vMerge w:val="continue"/>
                  <w:tcBorders>
                    <w:tl2br w:val="nil"/>
                    <w:tr2bl w:val="nil"/>
                  </w:tcBorders>
                  <w:shd w:val="clear" w:color="auto" w:fill="auto"/>
                  <w:vAlign w:val="center"/>
                </w:tcPr>
                <w:p w14:paraId="7E1AFABF">
                  <w:pPr>
                    <w:adjustRightInd w:val="0"/>
                    <w:snapToGrid w:val="0"/>
                    <w:jc w:val="center"/>
                    <w:rPr>
                      <w:color w:val="auto"/>
                    </w:rPr>
                  </w:pPr>
                </w:p>
              </w:tc>
            </w:tr>
            <w:tr w14:paraId="740751C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c>
                <w:tcPr>
                  <w:tcW w:w="1249" w:type="pct"/>
                  <w:vMerge w:val="continue"/>
                  <w:tcBorders>
                    <w:tl2br w:val="nil"/>
                    <w:tr2bl w:val="nil"/>
                  </w:tcBorders>
                  <w:shd w:val="clear" w:color="auto" w:fill="auto"/>
                  <w:vAlign w:val="center"/>
                </w:tcPr>
                <w:p w14:paraId="3D442A0A">
                  <w:pPr>
                    <w:adjustRightInd w:val="0"/>
                    <w:snapToGrid w:val="0"/>
                    <w:jc w:val="center"/>
                    <w:rPr>
                      <w:color w:val="auto"/>
                    </w:rPr>
                  </w:pPr>
                </w:p>
              </w:tc>
              <w:tc>
                <w:tcPr>
                  <w:tcW w:w="1250" w:type="pct"/>
                  <w:tcBorders>
                    <w:tl2br w:val="nil"/>
                    <w:tr2bl w:val="nil"/>
                  </w:tcBorders>
                  <w:shd w:val="clear" w:color="auto" w:fill="auto"/>
                  <w:vAlign w:val="center"/>
                </w:tcPr>
                <w:p w14:paraId="60F67AEF">
                  <w:pPr>
                    <w:adjustRightInd w:val="0"/>
                    <w:snapToGrid w:val="0"/>
                    <w:jc w:val="center"/>
                    <w:rPr>
                      <w:color w:val="auto"/>
                    </w:rPr>
                  </w:pPr>
                  <w:r>
                    <w:rPr>
                      <w:rFonts w:hint="eastAsia"/>
                      <w:color w:val="auto"/>
                    </w:rPr>
                    <w:t>TN</w:t>
                  </w:r>
                </w:p>
              </w:tc>
              <w:tc>
                <w:tcPr>
                  <w:tcW w:w="1250" w:type="pct"/>
                  <w:tcBorders>
                    <w:tl2br w:val="nil"/>
                    <w:tr2bl w:val="nil"/>
                  </w:tcBorders>
                  <w:shd w:val="clear" w:color="auto" w:fill="auto"/>
                  <w:vAlign w:val="center"/>
                </w:tcPr>
                <w:p w14:paraId="3FEE5D42">
                  <w:pPr>
                    <w:adjustRightInd w:val="0"/>
                    <w:snapToGrid w:val="0"/>
                    <w:jc w:val="center"/>
                    <w:rPr>
                      <w:color w:val="auto"/>
                    </w:rPr>
                  </w:pPr>
                  <w:r>
                    <w:rPr>
                      <w:rFonts w:hint="eastAsia"/>
                      <w:color w:val="auto"/>
                    </w:rPr>
                    <w:t>50</w:t>
                  </w:r>
                </w:p>
              </w:tc>
              <w:tc>
                <w:tcPr>
                  <w:tcW w:w="1250" w:type="pct"/>
                  <w:vMerge w:val="continue"/>
                  <w:tcBorders>
                    <w:tl2br w:val="nil"/>
                    <w:tr2bl w:val="nil"/>
                  </w:tcBorders>
                  <w:shd w:val="clear" w:color="auto" w:fill="auto"/>
                  <w:vAlign w:val="center"/>
                </w:tcPr>
                <w:p w14:paraId="6227D2E0">
                  <w:pPr>
                    <w:adjustRightInd w:val="0"/>
                    <w:snapToGrid w:val="0"/>
                    <w:jc w:val="center"/>
                    <w:rPr>
                      <w:color w:val="auto"/>
                    </w:rPr>
                  </w:pPr>
                </w:p>
              </w:tc>
            </w:tr>
          </w:tbl>
          <w:p w14:paraId="365EA7BF">
            <w:pPr>
              <w:adjustRightInd w:val="0"/>
              <w:snapToGrid w:val="0"/>
              <w:spacing w:line="360" w:lineRule="auto"/>
              <w:ind w:firstLine="420" w:firstLineChars="200"/>
              <w:rPr>
                <w:color w:val="auto"/>
              </w:rPr>
            </w:pPr>
            <w:r>
              <w:rPr>
                <w:rFonts w:hint="eastAsia"/>
                <w:color w:val="auto"/>
              </w:rPr>
              <w:t>常州金坛区第二污水处理有限公司尾水排放标准执行《太湖地区城镇污水处理厂及重点工业行业主要水污染物排放限值》（DB32/1072-2018）中表2标准及《城镇污水处理厂污染物排放标准》（GB18918-2002）中表1一级A标准。</w:t>
            </w:r>
          </w:p>
          <w:p w14:paraId="44C9009F">
            <w:pPr>
              <w:pStyle w:val="17"/>
              <w:keepNext/>
              <w:adjustRightInd w:val="0"/>
              <w:snapToGrid w:val="0"/>
              <w:jc w:val="center"/>
              <w:rPr>
                <w:rFonts w:ascii="Times New Roman" w:hAnsi="Times New Roman" w:eastAsia="宋体"/>
                <w:b/>
                <w:color w:val="auto"/>
                <w:sz w:val="21"/>
                <w:szCs w:val="21"/>
              </w:rPr>
            </w:pPr>
            <w:r>
              <w:rPr>
                <w:rFonts w:ascii="Times New Roman" w:hAnsi="Times New Roman" w:eastAsia="宋体"/>
                <w:b/>
                <w:color w:val="auto"/>
                <w:sz w:val="21"/>
                <w:szCs w:val="21"/>
              </w:rPr>
              <w:t>表3-</w:t>
            </w:r>
            <w:r>
              <w:rPr>
                <w:rFonts w:hint="eastAsia" w:ascii="Times New Roman" w:hAnsi="Times New Roman" w:eastAsia="宋体"/>
                <w:b/>
                <w:color w:val="auto"/>
                <w:sz w:val="21"/>
                <w:szCs w:val="21"/>
                <w:lang w:val="en-US" w:eastAsia="zh-CN"/>
              </w:rPr>
              <w:t>9</w:t>
            </w:r>
            <w:r>
              <w:rPr>
                <w:rFonts w:ascii="Times New Roman" w:hAnsi="Times New Roman" w:eastAsia="宋体"/>
                <w:b/>
                <w:color w:val="auto"/>
                <w:sz w:val="21"/>
                <w:szCs w:val="21"/>
              </w:rPr>
              <w:t xml:space="preserve">   </w:t>
            </w:r>
            <w:r>
              <w:rPr>
                <w:rFonts w:hint="eastAsia" w:ascii="Times New Roman" w:hAnsi="Times New Roman" w:eastAsia="宋体"/>
                <w:b/>
                <w:color w:val="auto"/>
                <w:sz w:val="21"/>
                <w:szCs w:val="21"/>
              </w:rPr>
              <w:t>常州金坛区第二污水处理有限公司</w:t>
            </w:r>
            <w:r>
              <w:rPr>
                <w:rFonts w:ascii="Times New Roman" w:hAnsi="Times New Roman" w:eastAsia="宋体"/>
                <w:b/>
                <w:color w:val="auto"/>
                <w:sz w:val="21"/>
                <w:szCs w:val="21"/>
              </w:rPr>
              <w:t>尾水排放标准 单位：mg/L</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893"/>
              <w:gridCol w:w="5003"/>
              <w:gridCol w:w="1833"/>
            </w:tblGrid>
            <w:tr w14:paraId="4408479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1084" w:type="pct"/>
                  <w:tcBorders>
                    <w:tl2br w:val="nil"/>
                    <w:tr2bl w:val="nil"/>
                  </w:tcBorders>
                  <w:vAlign w:val="center"/>
                </w:tcPr>
                <w:p w14:paraId="7EEED6BA">
                  <w:pPr>
                    <w:adjustRightInd w:val="0"/>
                    <w:snapToGrid w:val="0"/>
                    <w:jc w:val="center"/>
                    <w:rPr>
                      <w:b/>
                      <w:bCs/>
                      <w:color w:val="auto"/>
                    </w:rPr>
                  </w:pPr>
                  <w:r>
                    <w:rPr>
                      <w:b/>
                      <w:bCs/>
                      <w:color w:val="auto"/>
                    </w:rPr>
                    <w:t>污染物</w:t>
                  </w:r>
                </w:p>
              </w:tc>
              <w:tc>
                <w:tcPr>
                  <w:tcW w:w="2866" w:type="pct"/>
                  <w:tcBorders>
                    <w:tl2br w:val="nil"/>
                    <w:tr2bl w:val="nil"/>
                  </w:tcBorders>
                  <w:vAlign w:val="center"/>
                </w:tcPr>
                <w:p w14:paraId="740FA521">
                  <w:pPr>
                    <w:adjustRightInd w:val="0"/>
                    <w:snapToGrid w:val="0"/>
                    <w:jc w:val="center"/>
                    <w:rPr>
                      <w:b/>
                      <w:bCs/>
                      <w:color w:val="auto"/>
                    </w:rPr>
                  </w:pPr>
                  <w:r>
                    <w:rPr>
                      <w:b/>
                      <w:bCs/>
                      <w:color w:val="auto"/>
                    </w:rPr>
                    <w:t>标准</w:t>
                  </w:r>
                </w:p>
              </w:tc>
              <w:tc>
                <w:tcPr>
                  <w:tcW w:w="1048" w:type="pct"/>
                  <w:tcBorders>
                    <w:tl2br w:val="nil"/>
                    <w:tr2bl w:val="nil"/>
                  </w:tcBorders>
                  <w:vAlign w:val="center"/>
                </w:tcPr>
                <w:p w14:paraId="77A69BAC">
                  <w:pPr>
                    <w:adjustRightInd w:val="0"/>
                    <w:snapToGrid w:val="0"/>
                    <w:jc w:val="center"/>
                    <w:rPr>
                      <w:b/>
                      <w:bCs/>
                      <w:color w:val="auto"/>
                    </w:rPr>
                  </w:pPr>
                  <w:r>
                    <w:rPr>
                      <w:b/>
                      <w:bCs/>
                      <w:color w:val="auto"/>
                    </w:rPr>
                    <w:t>污染物排放标准</w:t>
                  </w:r>
                </w:p>
              </w:tc>
            </w:tr>
            <w:tr w14:paraId="2EC953F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45" w:hRule="atLeast"/>
                <w:jc w:val="center"/>
              </w:trPr>
              <w:tc>
                <w:tcPr>
                  <w:tcW w:w="1084" w:type="pct"/>
                  <w:tcBorders>
                    <w:tl2br w:val="nil"/>
                    <w:tr2bl w:val="nil"/>
                  </w:tcBorders>
                  <w:vAlign w:val="center"/>
                </w:tcPr>
                <w:p w14:paraId="5722D5F6">
                  <w:pPr>
                    <w:adjustRightInd w:val="0"/>
                    <w:snapToGrid w:val="0"/>
                    <w:jc w:val="center"/>
                    <w:rPr>
                      <w:color w:val="auto"/>
                    </w:rPr>
                  </w:pPr>
                  <w:r>
                    <w:rPr>
                      <w:color w:val="auto"/>
                    </w:rPr>
                    <w:t>COD</w:t>
                  </w:r>
                </w:p>
              </w:tc>
              <w:tc>
                <w:tcPr>
                  <w:tcW w:w="2866" w:type="pct"/>
                  <w:vMerge w:val="restart"/>
                  <w:tcBorders>
                    <w:tl2br w:val="nil"/>
                    <w:tr2bl w:val="nil"/>
                  </w:tcBorders>
                  <w:vAlign w:val="center"/>
                </w:tcPr>
                <w:p w14:paraId="3484C782">
                  <w:pPr>
                    <w:adjustRightInd w:val="0"/>
                    <w:snapToGrid w:val="0"/>
                    <w:jc w:val="center"/>
                    <w:rPr>
                      <w:color w:val="auto"/>
                    </w:rPr>
                  </w:pPr>
                  <w:r>
                    <w:rPr>
                      <w:color w:val="auto"/>
                    </w:rPr>
                    <w:t>《太湖地区城镇污水处理厂及重点工业行业主要水污染物排放限值》（DB32/1072-2018）</w:t>
                  </w:r>
                </w:p>
              </w:tc>
              <w:tc>
                <w:tcPr>
                  <w:tcW w:w="1048" w:type="pct"/>
                  <w:tcBorders>
                    <w:tl2br w:val="nil"/>
                    <w:tr2bl w:val="nil"/>
                  </w:tcBorders>
                  <w:vAlign w:val="center"/>
                </w:tcPr>
                <w:p w14:paraId="3265B4CB">
                  <w:pPr>
                    <w:adjustRightInd w:val="0"/>
                    <w:snapToGrid w:val="0"/>
                    <w:jc w:val="center"/>
                    <w:rPr>
                      <w:color w:val="auto"/>
                    </w:rPr>
                  </w:pPr>
                  <w:r>
                    <w:rPr>
                      <w:color w:val="auto"/>
                    </w:rPr>
                    <w:t>50</w:t>
                  </w:r>
                </w:p>
              </w:tc>
            </w:tr>
            <w:tr w14:paraId="6A02F70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84" w:type="pct"/>
                  <w:tcBorders>
                    <w:tl2br w:val="nil"/>
                    <w:tr2bl w:val="nil"/>
                  </w:tcBorders>
                  <w:vAlign w:val="center"/>
                </w:tcPr>
                <w:p w14:paraId="27688495">
                  <w:pPr>
                    <w:adjustRightInd w:val="0"/>
                    <w:snapToGrid w:val="0"/>
                    <w:jc w:val="center"/>
                    <w:rPr>
                      <w:color w:val="auto"/>
                    </w:rPr>
                  </w:pPr>
                  <w:r>
                    <w:rPr>
                      <w:color w:val="auto"/>
                    </w:rPr>
                    <w:t>NH</w:t>
                  </w:r>
                  <w:r>
                    <w:rPr>
                      <w:color w:val="auto"/>
                      <w:vertAlign w:val="subscript"/>
                    </w:rPr>
                    <w:t>3</w:t>
                  </w:r>
                  <w:r>
                    <w:rPr>
                      <w:color w:val="auto"/>
                    </w:rPr>
                    <w:t>-N</w:t>
                  </w:r>
                </w:p>
              </w:tc>
              <w:tc>
                <w:tcPr>
                  <w:tcW w:w="2866" w:type="pct"/>
                  <w:vMerge w:val="continue"/>
                  <w:tcBorders>
                    <w:tl2br w:val="nil"/>
                    <w:tr2bl w:val="nil"/>
                  </w:tcBorders>
                  <w:vAlign w:val="center"/>
                </w:tcPr>
                <w:p w14:paraId="41E38CE8">
                  <w:pPr>
                    <w:adjustRightInd w:val="0"/>
                    <w:snapToGrid w:val="0"/>
                    <w:jc w:val="center"/>
                    <w:rPr>
                      <w:color w:val="auto"/>
                    </w:rPr>
                  </w:pPr>
                </w:p>
              </w:tc>
              <w:tc>
                <w:tcPr>
                  <w:tcW w:w="1048" w:type="pct"/>
                  <w:tcBorders>
                    <w:tl2br w:val="nil"/>
                    <w:tr2bl w:val="nil"/>
                  </w:tcBorders>
                  <w:vAlign w:val="center"/>
                </w:tcPr>
                <w:p w14:paraId="240AE535">
                  <w:pPr>
                    <w:adjustRightInd w:val="0"/>
                    <w:snapToGrid w:val="0"/>
                    <w:jc w:val="center"/>
                    <w:rPr>
                      <w:color w:val="auto"/>
                    </w:rPr>
                  </w:pPr>
                  <w:r>
                    <w:rPr>
                      <w:color w:val="auto"/>
                    </w:rPr>
                    <w:t>4（6）*</w:t>
                  </w:r>
                </w:p>
              </w:tc>
            </w:tr>
            <w:tr w14:paraId="6B501F6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84" w:type="pct"/>
                  <w:tcBorders>
                    <w:tl2br w:val="nil"/>
                    <w:tr2bl w:val="nil"/>
                  </w:tcBorders>
                  <w:vAlign w:val="center"/>
                </w:tcPr>
                <w:p w14:paraId="20EE1232">
                  <w:pPr>
                    <w:adjustRightInd w:val="0"/>
                    <w:snapToGrid w:val="0"/>
                    <w:jc w:val="center"/>
                    <w:rPr>
                      <w:color w:val="auto"/>
                    </w:rPr>
                  </w:pPr>
                  <w:r>
                    <w:rPr>
                      <w:color w:val="auto"/>
                    </w:rPr>
                    <w:t>TP</w:t>
                  </w:r>
                </w:p>
              </w:tc>
              <w:tc>
                <w:tcPr>
                  <w:tcW w:w="2866" w:type="pct"/>
                  <w:vMerge w:val="continue"/>
                  <w:tcBorders>
                    <w:tl2br w:val="nil"/>
                    <w:tr2bl w:val="nil"/>
                  </w:tcBorders>
                  <w:vAlign w:val="center"/>
                </w:tcPr>
                <w:p w14:paraId="4E598086">
                  <w:pPr>
                    <w:adjustRightInd w:val="0"/>
                    <w:snapToGrid w:val="0"/>
                    <w:jc w:val="center"/>
                    <w:rPr>
                      <w:color w:val="auto"/>
                    </w:rPr>
                  </w:pPr>
                </w:p>
              </w:tc>
              <w:tc>
                <w:tcPr>
                  <w:tcW w:w="1048" w:type="pct"/>
                  <w:tcBorders>
                    <w:tl2br w:val="nil"/>
                    <w:tr2bl w:val="nil"/>
                  </w:tcBorders>
                  <w:vAlign w:val="center"/>
                </w:tcPr>
                <w:p w14:paraId="5E8597B0">
                  <w:pPr>
                    <w:adjustRightInd w:val="0"/>
                    <w:snapToGrid w:val="0"/>
                    <w:jc w:val="center"/>
                    <w:rPr>
                      <w:color w:val="auto"/>
                    </w:rPr>
                  </w:pPr>
                  <w:r>
                    <w:rPr>
                      <w:color w:val="auto"/>
                    </w:rPr>
                    <w:t>0.5</w:t>
                  </w:r>
                </w:p>
              </w:tc>
            </w:tr>
            <w:tr w14:paraId="79EBD8D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84" w:type="pct"/>
                  <w:tcBorders>
                    <w:tl2br w:val="nil"/>
                    <w:tr2bl w:val="nil"/>
                  </w:tcBorders>
                  <w:vAlign w:val="center"/>
                </w:tcPr>
                <w:p w14:paraId="4EDF8B46">
                  <w:pPr>
                    <w:adjustRightInd w:val="0"/>
                    <w:snapToGrid w:val="0"/>
                    <w:jc w:val="center"/>
                    <w:rPr>
                      <w:color w:val="auto"/>
                    </w:rPr>
                  </w:pPr>
                  <w:r>
                    <w:rPr>
                      <w:color w:val="auto"/>
                    </w:rPr>
                    <w:t>TN</w:t>
                  </w:r>
                </w:p>
              </w:tc>
              <w:tc>
                <w:tcPr>
                  <w:tcW w:w="2866" w:type="pct"/>
                  <w:vMerge w:val="continue"/>
                  <w:tcBorders>
                    <w:tl2br w:val="nil"/>
                    <w:tr2bl w:val="nil"/>
                  </w:tcBorders>
                  <w:vAlign w:val="center"/>
                </w:tcPr>
                <w:p w14:paraId="2929DFFE">
                  <w:pPr>
                    <w:adjustRightInd w:val="0"/>
                    <w:snapToGrid w:val="0"/>
                    <w:jc w:val="center"/>
                    <w:rPr>
                      <w:color w:val="auto"/>
                    </w:rPr>
                  </w:pPr>
                </w:p>
              </w:tc>
              <w:tc>
                <w:tcPr>
                  <w:tcW w:w="1048" w:type="pct"/>
                  <w:tcBorders>
                    <w:tl2br w:val="nil"/>
                    <w:tr2bl w:val="nil"/>
                  </w:tcBorders>
                  <w:vAlign w:val="center"/>
                </w:tcPr>
                <w:p w14:paraId="119149EE">
                  <w:pPr>
                    <w:adjustRightInd w:val="0"/>
                    <w:snapToGrid w:val="0"/>
                    <w:jc w:val="center"/>
                    <w:rPr>
                      <w:color w:val="auto"/>
                    </w:rPr>
                  </w:pPr>
                  <w:r>
                    <w:rPr>
                      <w:color w:val="auto"/>
                    </w:rPr>
                    <w:t>12（15）*</w:t>
                  </w:r>
                </w:p>
              </w:tc>
            </w:tr>
            <w:tr w14:paraId="1357899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84" w:type="pct"/>
                  <w:tcBorders>
                    <w:tl2br w:val="nil"/>
                    <w:tr2bl w:val="nil"/>
                  </w:tcBorders>
                  <w:vAlign w:val="center"/>
                </w:tcPr>
                <w:p w14:paraId="6F9612C4">
                  <w:pPr>
                    <w:adjustRightInd w:val="0"/>
                    <w:snapToGrid w:val="0"/>
                    <w:jc w:val="center"/>
                    <w:rPr>
                      <w:color w:val="auto"/>
                    </w:rPr>
                  </w:pPr>
                  <w:r>
                    <w:rPr>
                      <w:color w:val="auto"/>
                    </w:rPr>
                    <w:t>SS</w:t>
                  </w:r>
                </w:p>
              </w:tc>
              <w:tc>
                <w:tcPr>
                  <w:tcW w:w="2866" w:type="pct"/>
                  <w:vMerge w:val="restart"/>
                  <w:tcBorders>
                    <w:tl2br w:val="nil"/>
                    <w:tr2bl w:val="nil"/>
                  </w:tcBorders>
                  <w:vAlign w:val="center"/>
                </w:tcPr>
                <w:p w14:paraId="0F46E709">
                  <w:pPr>
                    <w:adjustRightInd w:val="0"/>
                    <w:snapToGrid w:val="0"/>
                    <w:jc w:val="center"/>
                    <w:rPr>
                      <w:color w:val="auto"/>
                    </w:rPr>
                  </w:pPr>
                  <w:r>
                    <w:rPr>
                      <w:color w:val="auto"/>
                    </w:rPr>
                    <w:t>《城镇污水处理厂污染物排放标准》（GB18918－2002）一级A标准</w:t>
                  </w:r>
                </w:p>
              </w:tc>
              <w:tc>
                <w:tcPr>
                  <w:tcW w:w="1048" w:type="pct"/>
                  <w:tcBorders>
                    <w:tl2br w:val="nil"/>
                    <w:tr2bl w:val="nil"/>
                  </w:tcBorders>
                  <w:vAlign w:val="center"/>
                </w:tcPr>
                <w:p w14:paraId="0FCC5490">
                  <w:pPr>
                    <w:adjustRightInd w:val="0"/>
                    <w:snapToGrid w:val="0"/>
                    <w:jc w:val="center"/>
                    <w:rPr>
                      <w:color w:val="auto"/>
                    </w:rPr>
                  </w:pPr>
                  <w:r>
                    <w:rPr>
                      <w:color w:val="auto"/>
                    </w:rPr>
                    <w:t>10</w:t>
                  </w:r>
                </w:p>
              </w:tc>
            </w:tr>
            <w:tr w14:paraId="5808C98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84" w:type="pct"/>
                  <w:tcBorders>
                    <w:tl2br w:val="nil"/>
                    <w:tr2bl w:val="nil"/>
                  </w:tcBorders>
                  <w:vAlign w:val="center"/>
                </w:tcPr>
                <w:p w14:paraId="41109EAB">
                  <w:pPr>
                    <w:adjustRightInd w:val="0"/>
                    <w:snapToGrid w:val="0"/>
                    <w:jc w:val="center"/>
                    <w:rPr>
                      <w:color w:val="auto"/>
                    </w:rPr>
                  </w:pPr>
                  <w:r>
                    <w:rPr>
                      <w:color w:val="auto"/>
                    </w:rPr>
                    <w:t>pH值（无量纲）</w:t>
                  </w:r>
                </w:p>
              </w:tc>
              <w:tc>
                <w:tcPr>
                  <w:tcW w:w="2866" w:type="pct"/>
                  <w:vMerge w:val="continue"/>
                  <w:tcBorders>
                    <w:tl2br w:val="nil"/>
                    <w:tr2bl w:val="nil"/>
                  </w:tcBorders>
                  <w:vAlign w:val="center"/>
                </w:tcPr>
                <w:p w14:paraId="1B7A1C4B">
                  <w:pPr>
                    <w:adjustRightInd w:val="0"/>
                    <w:snapToGrid w:val="0"/>
                    <w:jc w:val="center"/>
                    <w:rPr>
                      <w:color w:val="auto"/>
                    </w:rPr>
                  </w:pPr>
                </w:p>
              </w:tc>
              <w:tc>
                <w:tcPr>
                  <w:tcW w:w="1048" w:type="pct"/>
                  <w:tcBorders>
                    <w:tl2br w:val="nil"/>
                    <w:tr2bl w:val="nil"/>
                  </w:tcBorders>
                  <w:vAlign w:val="center"/>
                </w:tcPr>
                <w:p w14:paraId="55733CD8">
                  <w:pPr>
                    <w:adjustRightInd w:val="0"/>
                    <w:snapToGrid w:val="0"/>
                    <w:jc w:val="center"/>
                    <w:rPr>
                      <w:color w:val="auto"/>
                    </w:rPr>
                  </w:pPr>
                  <w:r>
                    <w:rPr>
                      <w:color w:val="auto"/>
                    </w:rPr>
                    <w:t>6-9</w:t>
                  </w:r>
                </w:p>
              </w:tc>
            </w:tr>
            <w:tr w14:paraId="55F765F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3"/>
                  <w:tcBorders>
                    <w:tl2br w:val="nil"/>
                    <w:tr2bl w:val="nil"/>
                  </w:tcBorders>
                  <w:vAlign w:val="center"/>
                </w:tcPr>
                <w:p w14:paraId="6132205C">
                  <w:pPr>
                    <w:adjustRightInd w:val="0"/>
                    <w:snapToGrid w:val="0"/>
                    <w:jc w:val="left"/>
                    <w:rPr>
                      <w:color w:val="auto"/>
                    </w:rPr>
                  </w:pPr>
                  <w:r>
                    <w:rPr>
                      <w:b/>
                      <w:color w:val="auto"/>
                    </w:rPr>
                    <w:t>注*：括号外数值为水温＞12℃时的控制指标，括号内数值为水温≤12℃时的控制指标。</w:t>
                  </w:r>
                </w:p>
              </w:tc>
            </w:tr>
          </w:tbl>
          <w:p w14:paraId="11CF0117">
            <w:pPr>
              <w:adjustRightInd w:val="0"/>
              <w:snapToGrid w:val="0"/>
              <w:spacing w:line="360" w:lineRule="auto"/>
              <w:ind w:firstLine="420" w:firstLineChars="200"/>
              <w:rPr>
                <w:bCs/>
                <w:color w:val="auto"/>
              </w:rPr>
            </w:pPr>
            <w:r>
              <w:rPr>
                <w:bCs/>
                <w:color w:val="auto"/>
              </w:rPr>
              <w:t>自2026年3月28日起，</w:t>
            </w:r>
            <w:r>
              <w:rPr>
                <w:rFonts w:hint="eastAsia"/>
                <w:bCs/>
                <w:color w:val="auto"/>
              </w:rPr>
              <w:t>常州金坛区第二污水处理有限公司</w:t>
            </w:r>
            <w:r>
              <w:rPr>
                <w:bCs/>
                <w:color w:val="auto"/>
              </w:rPr>
              <w:t>尾水排放标准执行《城镇污水处理厂污染物排放标准》（DB32/4440-2022）中表1基本控制项目（常规污染物）日均排放限值和表2四项主要常规污染物一次监测排放限值，具体见下表。</w:t>
            </w:r>
          </w:p>
          <w:p w14:paraId="28399D9A">
            <w:pPr>
              <w:pStyle w:val="17"/>
              <w:keepNext/>
              <w:adjustRightInd w:val="0"/>
              <w:snapToGrid w:val="0"/>
              <w:jc w:val="center"/>
              <w:rPr>
                <w:rFonts w:ascii="Times New Roman" w:hAnsi="Times New Roman" w:eastAsia="宋体"/>
                <w:b/>
                <w:color w:val="auto"/>
                <w:sz w:val="21"/>
                <w:szCs w:val="21"/>
              </w:rPr>
            </w:pPr>
            <w:r>
              <w:rPr>
                <w:rFonts w:hint="eastAsia" w:ascii="Times New Roman" w:hAnsi="Times New Roman" w:eastAsia="宋体"/>
                <w:b/>
                <w:color w:val="auto"/>
                <w:sz w:val="21"/>
                <w:szCs w:val="21"/>
              </w:rPr>
              <w:t>表3-1</w:t>
            </w:r>
            <w:r>
              <w:rPr>
                <w:rFonts w:hint="eastAsia" w:ascii="Times New Roman" w:hAnsi="Times New Roman" w:eastAsia="宋体"/>
                <w:b/>
                <w:color w:val="auto"/>
                <w:sz w:val="21"/>
                <w:szCs w:val="21"/>
                <w:lang w:val="en-US" w:eastAsia="zh-CN"/>
              </w:rPr>
              <w:t>0</w:t>
            </w:r>
            <w:r>
              <w:rPr>
                <w:rFonts w:hint="eastAsia" w:ascii="Times New Roman" w:hAnsi="Times New Roman" w:eastAsia="宋体"/>
                <w:b/>
                <w:color w:val="auto"/>
                <w:sz w:val="21"/>
                <w:szCs w:val="21"/>
              </w:rPr>
              <w:t xml:space="preserve">   常州金坛区第二污水处理有限公司</w:t>
            </w:r>
            <w:r>
              <w:rPr>
                <w:rFonts w:ascii="Times New Roman" w:hAnsi="Times New Roman" w:eastAsia="宋体"/>
                <w:b/>
                <w:color w:val="auto"/>
                <w:sz w:val="21"/>
                <w:szCs w:val="21"/>
              </w:rPr>
              <w:t>基本控制项目（常规污染物）日均排放限值 单位：mg/L</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3060"/>
              <w:gridCol w:w="3139"/>
              <w:gridCol w:w="2530"/>
            </w:tblGrid>
            <w:tr w14:paraId="16D77CA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1753" w:type="pct"/>
                  <w:tcBorders>
                    <w:tl2br w:val="nil"/>
                    <w:tr2bl w:val="nil"/>
                  </w:tcBorders>
                  <w:vAlign w:val="center"/>
                </w:tcPr>
                <w:p w14:paraId="0C9D5B31">
                  <w:pPr>
                    <w:pStyle w:val="17"/>
                    <w:keepNext/>
                    <w:adjustRightInd w:val="0"/>
                    <w:snapToGrid w:val="0"/>
                    <w:jc w:val="center"/>
                    <w:rPr>
                      <w:rFonts w:ascii="Times New Roman" w:hAnsi="Times New Roman" w:eastAsia="宋体"/>
                      <w:b/>
                      <w:color w:val="auto"/>
                      <w:sz w:val="21"/>
                      <w:szCs w:val="21"/>
                    </w:rPr>
                  </w:pPr>
                  <w:r>
                    <w:rPr>
                      <w:rFonts w:ascii="Times New Roman" w:hAnsi="Times New Roman" w:eastAsia="宋体"/>
                      <w:b/>
                      <w:color w:val="auto"/>
                      <w:sz w:val="21"/>
                      <w:szCs w:val="21"/>
                    </w:rPr>
                    <w:t>污染物</w:t>
                  </w:r>
                </w:p>
              </w:tc>
              <w:tc>
                <w:tcPr>
                  <w:tcW w:w="1798" w:type="pct"/>
                  <w:tcBorders>
                    <w:tl2br w:val="nil"/>
                    <w:tr2bl w:val="nil"/>
                  </w:tcBorders>
                  <w:vAlign w:val="center"/>
                </w:tcPr>
                <w:p w14:paraId="24547ED8">
                  <w:pPr>
                    <w:pStyle w:val="17"/>
                    <w:keepNext/>
                    <w:adjustRightInd w:val="0"/>
                    <w:snapToGrid w:val="0"/>
                    <w:jc w:val="center"/>
                    <w:rPr>
                      <w:rFonts w:ascii="Times New Roman" w:hAnsi="Times New Roman" w:eastAsia="宋体"/>
                      <w:b/>
                      <w:color w:val="auto"/>
                      <w:sz w:val="21"/>
                      <w:szCs w:val="21"/>
                    </w:rPr>
                  </w:pPr>
                  <w:r>
                    <w:rPr>
                      <w:rFonts w:ascii="Times New Roman" w:hAnsi="Times New Roman" w:eastAsia="宋体"/>
                      <w:b/>
                      <w:color w:val="auto"/>
                      <w:sz w:val="21"/>
                      <w:szCs w:val="21"/>
                    </w:rPr>
                    <w:t>标准</w:t>
                  </w:r>
                </w:p>
              </w:tc>
              <w:tc>
                <w:tcPr>
                  <w:tcW w:w="1448" w:type="pct"/>
                  <w:tcBorders>
                    <w:tl2br w:val="nil"/>
                    <w:tr2bl w:val="nil"/>
                  </w:tcBorders>
                  <w:vAlign w:val="center"/>
                </w:tcPr>
                <w:p w14:paraId="3F469E1D">
                  <w:pPr>
                    <w:pStyle w:val="17"/>
                    <w:keepNext/>
                    <w:adjustRightInd w:val="0"/>
                    <w:snapToGrid w:val="0"/>
                    <w:jc w:val="center"/>
                    <w:rPr>
                      <w:rFonts w:ascii="Times New Roman" w:hAnsi="Times New Roman" w:eastAsia="宋体"/>
                      <w:b/>
                      <w:color w:val="auto"/>
                      <w:sz w:val="21"/>
                      <w:szCs w:val="21"/>
                    </w:rPr>
                  </w:pPr>
                  <w:r>
                    <w:rPr>
                      <w:rFonts w:ascii="Times New Roman" w:hAnsi="Times New Roman" w:eastAsia="宋体"/>
                      <w:b/>
                      <w:color w:val="auto"/>
                      <w:sz w:val="21"/>
                      <w:szCs w:val="21"/>
                    </w:rPr>
                    <w:t>污染物排放标准</w:t>
                  </w:r>
                </w:p>
              </w:tc>
            </w:tr>
            <w:tr w14:paraId="6280082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753" w:type="pct"/>
                  <w:tcBorders>
                    <w:tl2br w:val="nil"/>
                    <w:tr2bl w:val="nil"/>
                  </w:tcBorders>
                  <w:vAlign w:val="center"/>
                </w:tcPr>
                <w:p w14:paraId="0A3EE3CA">
                  <w:pPr>
                    <w:pStyle w:val="17"/>
                    <w:keepNext/>
                    <w:adjustRightInd w:val="0"/>
                    <w:snapToGrid w:val="0"/>
                    <w:jc w:val="center"/>
                    <w:rPr>
                      <w:rFonts w:ascii="Times New Roman" w:hAnsi="Times New Roman" w:eastAsia="宋体"/>
                      <w:bCs/>
                      <w:color w:val="auto"/>
                      <w:sz w:val="21"/>
                      <w:szCs w:val="21"/>
                    </w:rPr>
                  </w:pPr>
                  <w:r>
                    <w:rPr>
                      <w:rFonts w:ascii="Times New Roman" w:hAnsi="Times New Roman" w:eastAsia="宋体"/>
                      <w:bCs/>
                      <w:color w:val="auto"/>
                      <w:sz w:val="21"/>
                      <w:szCs w:val="21"/>
                    </w:rPr>
                    <w:t>COD</w:t>
                  </w:r>
                </w:p>
              </w:tc>
              <w:tc>
                <w:tcPr>
                  <w:tcW w:w="1798" w:type="pct"/>
                  <w:vMerge w:val="restart"/>
                  <w:tcBorders>
                    <w:tl2br w:val="nil"/>
                    <w:tr2bl w:val="nil"/>
                  </w:tcBorders>
                  <w:vAlign w:val="center"/>
                </w:tcPr>
                <w:p w14:paraId="00E5616D">
                  <w:pPr>
                    <w:pStyle w:val="17"/>
                    <w:keepNext/>
                    <w:adjustRightInd w:val="0"/>
                    <w:snapToGrid w:val="0"/>
                    <w:jc w:val="center"/>
                    <w:rPr>
                      <w:rFonts w:ascii="Times New Roman" w:hAnsi="Times New Roman" w:eastAsia="宋体"/>
                      <w:bCs/>
                      <w:color w:val="auto"/>
                      <w:sz w:val="21"/>
                      <w:szCs w:val="21"/>
                    </w:rPr>
                  </w:pPr>
                  <w:r>
                    <w:rPr>
                      <w:rFonts w:ascii="Times New Roman" w:hAnsi="Times New Roman" w:eastAsia="宋体"/>
                      <w:bCs/>
                      <w:color w:val="auto"/>
                      <w:sz w:val="21"/>
                      <w:szCs w:val="21"/>
                    </w:rPr>
                    <w:t>《城镇污水处理厂污染物排放标准》（DB32/4440-2022）</w:t>
                  </w:r>
                </w:p>
              </w:tc>
              <w:tc>
                <w:tcPr>
                  <w:tcW w:w="1448" w:type="pct"/>
                  <w:tcBorders>
                    <w:tl2br w:val="nil"/>
                    <w:tr2bl w:val="nil"/>
                  </w:tcBorders>
                  <w:vAlign w:val="center"/>
                </w:tcPr>
                <w:p w14:paraId="54B1575B">
                  <w:pPr>
                    <w:pStyle w:val="17"/>
                    <w:keepNext/>
                    <w:adjustRightInd w:val="0"/>
                    <w:snapToGrid w:val="0"/>
                    <w:jc w:val="center"/>
                    <w:rPr>
                      <w:rFonts w:ascii="Times New Roman" w:hAnsi="Times New Roman" w:eastAsia="宋体"/>
                      <w:bCs/>
                      <w:color w:val="auto"/>
                      <w:sz w:val="21"/>
                      <w:szCs w:val="21"/>
                    </w:rPr>
                  </w:pPr>
                  <w:r>
                    <w:rPr>
                      <w:rFonts w:ascii="Times New Roman" w:hAnsi="Times New Roman" w:eastAsia="宋体"/>
                      <w:bCs/>
                      <w:color w:val="auto"/>
                      <w:sz w:val="21"/>
                      <w:szCs w:val="21"/>
                    </w:rPr>
                    <w:t>50</w:t>
                  </w:r>
                </w:p>
              </w:tc>
            </w:tr>
            <w:tr w14:paraId="3919EAA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753" w:type="pct"/>
                  <w:tcBorders>
                    <w:tl2br w:val="nil"/>
                    <w:tr2bl w:val="nil"/>
                  </w:tcBorders>
                  <w:vAlign w:val="center"/>
                </w:tcPr>
                <w:p w14:paraId="118B8EF0">
                  <w:pPr>
                    <w:pStyle w:val="17"/>
                    <w:keepNext/>
                    <w:adjustRightInd w:val="0"/>
                    <w:snapToGrid w:val="0"/>
                    <w:jc w:val="center"/>
                    <w:rPr>
                      <w:rFonts w:ascii="Times New Roman" w:hAnsi="Times New Roman" w:eastAsia="宋体"/>
                      <w:bCs/>
                      <w:color w:val="auto"/>
                      <w:sz w:val="21"/>
                      <w:szCs w:val="21"/>
                    </w:rPr>
                  </w:pPr>
                  <w:r>
                    <w:rPr>
                      <w:rFonts w:ascii="Times New Roman" w:hAnsi="Times New Roman" w:eastAsia="宋体"/>
                      <w:bCs/>
                      <w:color w:val="auto"/>
                      <w:sz w:val="21"/>
                      <w:szCs w:val="21"/>
                    </w:rPr>
                    <w:t>NH</w:t>
                  </w:r>
                  <w:r>
                    <w:rPr>
                      <w:rFonts w:ascii="Times New Roman" w:hAnsi="Times New Roman" w:eastAsia="宋体"/>
                      <w:bCs/>
                      <w:color w:val="auto"/>
                      <w:sz w:val="21"/>
                      <w:szCs w:val="21"/>
                      <w:vertAlign w:val="subscript"/>
                    </w:rPr>
                    <w:t>3</w:t>
                  </w:r>
                  <w:r>
                    <w:rPr>
                      <w:rFonts w:ascii="Times New Roman" w:hAnsi="Times New Roman" w:eastAsia="宋体"/>
                      <w:bCs/>
                      <w:color w:val="auto"/>
                      <w:sz w:val="21"/>
                      <w:szCs w:val="21"/>
                    </w:rPr>
                    <w:t>-N</w:t>
                  </w:r>
                </w:p>
              </w:tc>
              <w:tc>
                <w:tcPr>
                  <w:tcW w:w="1798" w:type="pct"/>
                  <w:vMerge w:val="continue"/>
                  <w:tcBorders>
                    <w:tl2br w:val="nil"/>
                    <w:tr2bl w:val="nil"/>
                  </w:tcBorders>
                  <w:vAlign w:val="center"/>
                </w:tcPr>
                <w:p w14:paraId="737F6EA2">
                  <w:pPr>
                    <w:pStyle w:val="17"/>
                    <w:keepNext/>
                    <w:adjustRightInd w:val="0"/>
                    <w:snapToGrid w:val="0"/>
                    <w:jc w:val="center"/>
                    <w:rPr>
                      <w:rFonts w:ascii="Times New Roman" w:hAnsi="Times New Roman" w:eastAsia="宋体"/>
                      <w:bCs/>
                      <w:color w:val="auto"/>
                      <w:sz w:val="21"/>
                      <w:szCs w:val="21"/>
                    </w:rPr>
                  </w:pPr>
                </w:p>
              </w:tc>
              <w:tc>
                <w:tcPr>
                  <w:tcW w:w="1448" w:type="pct"/>
                  <w:tcBorders>
                    <w:tl2br w:val="nil"/>
                    <w:tr2bl w:val="nil"/>
                  </w:tcBorders>
                  <w:vAlign w:val="center"/>
                </w:tcPr>
                <w:p w14:paraId="0B1483D1">
                  <w:pPr>
                    <w:pStyle w:val="17"/>
                    <w:keepNext/>
                    <w:adjustRightInd w:val="0"/>
                    <w:snapToGrid w:val="0"/>
                    <w:jc w:val="center"/>
                    <w:rPr>
                      <w:rFonts w:ascii="Times New Roman" w:hAnsi="Times New Roman" w:eastAsia="宋体"/>
                      <w:bCs/>
                      <w:color w:val="auto"/>
                      <w:sz w:val="21"/>
                      <w:szCs w:val="21"/>
                    </w:rPr>
                  </w:pPr>
                  <w:r>
                    <w:rPr>
                      <w:rFonts w:ascii="Times New Roman" w:hAnsi="Times New Roman" w:eastAsia="宋体"/>
                      <w:bCs/>
                      <w:color w:val="auto"/>
                      <w:sz w:val="21"/>
                      <w:szCs w:val="21"/>
                    </w:rPr>
                    <w:t>4（6）*</w:t>
                  </w:r>
                </w:p>
              </w:tc>
            </w:tr>
            <w:tr w14:paraId="4545408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753" w:type="pct"/>
                  <w:tcBorders>
                    <w:tl2br w:val="nil"/>
                    <w:tr2bl w:val="nil"/>
                  </w:tcBorders>
                  <w:vAlign w:val="center"/>
                </w:tcPr>
                <w:p w14:paraId="42563FBB">
                  <w:pPr>
                    <w:pStyle w:val="17"/>
                    <w:keepNext/>
                    <w:adjustRightInd w:val="0"/>
                    <w:snapToGrid w:val="0"/>
                    <w:jc w:val="center"/>
                    <w:rPr>
                      <w:rFonts w:ascii="Times New Roman" w:hAnsi="Times New Roman" w:eastAsia="宋体"/>
                      <w:bCs/>
                      <w:color w:val="auto"/>
                      <w:sz w:val="21"/>
                      <w:szCs w:val="21"/>
                    </w:rPr>
                  </w:pPr>
                  <w:r>
                    <w:rPr>
                      <w:rFonts w:ascii="Times New Roman" w:hAnsi="Times New Roman" w:eastAsia="宋体"/>
                      <w:bCs/>
                      <w:color w:val="auto"/>
                      <w:sz w:val="21"/>
                      <w:szCs w:val="21"/>
                    </w:rPr>
                    <w:t>TP</w:t>
                  </w:r>
                </w:p>
              </w:tc>
              <w:tc>
                <w:tcPr>
                  <w:tcW w:w="1798" w:type="pct"/>
                  <w:vMerge w:val="continue"/>
                  <w:tcBorders>
                    <w:tl2br w:val="nil"/>
                    <w:tr2bl w:val="nil"/>
                  </w:tcBorders>
                  <w:vAlign w:val="center"/>
                </w:tcPr>
                <w:p w14:paraId="7EAC6337">
                  <w:pPr>
                    <w:pStyle w:val="17"/>
                    <w:keepNext/>
                    <w:adjustRightInd w:val="0"/>
                    <w:snapToGrid w:val="0"/>
                    <w:jc w:val="center"/>
                    <w:rPr>
                      <w:rFonts w:ascii="Times New Roman" w:hAnsi="Times New Roman" w:eastAsia="宋体"/>
                      <w:bCs/>
                      <w:color w:val="auto"/>
                      <w:sz w:val="21"/>
                      <w:szCs w:val="21"/>
                    </w:rPr>
                  </w:pPr>
                </w:p>
              </w:tc>
              <w:tc>
                <w:tcPr>
                  <w:tcW w:w="1448" w:type="pct"/>
                  <w:tcBorders>
                    <w:tl2br w:val="nil"/>
                    <w:tr2bl w:val="nil"/>
                  </w:tcBorders>
                  <w:vAlign w:val="center"/>
                </w:tcPr>
                <w:p w14:paraId="283ABB2C">
                  <w:pPr>
                    <w:pStyle w:val="17"/>
                    <w:keepNext/>
                    <w:adjustRightInd w:val="0"/>
                    <w:snapToGrid w:val="0"/>
                    <w:jc w:val="center"/>
                    <w:rPr>
                      <w:rFonts w:ascii="Times New Roman" w:hAnsi="Times New Roman" w:eastAsia="宋体"/>
                      <w:bCs/>
                      <w:color w:val="auto"/>
                      <w:sz w:val="21"/>
                      <w:szCs w:val="21"/>
                    </w:rPr>
                  </w:pPr>
                  <w:r>
                    <w:rPr>
                      <w:rFonts w:ascii="Times New Roman" w:hAnsi="Times New Roman" w:eastAsia="宋体"/>
                      <w:bCs/>
                      <w:color w:val="auto"/>
                      <w:sz w:val="21"/>
                      <w:szCs w:val="21"/>
                    </w:rPr>
                    <w:t>0.5</w:t>
                  </w:r>
                </w:p>
              </w:tc>
            </w:tr>
            <w:tr w14:paraId="61019DB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753" w:type="pct"/>
                  <w:tcBorders>
                    <w:tl2br w:val="nil"/>
                    <w:tr2bl w:val="nil"/>
                  </w:tcBorders>
                  <w:vAlign w:val="center"/>
                </w:tcPr>
                <w:p w14:paraId="0D1CF2E3">
                  <w:pPr>
                    <w:pStyle w:val="17"/>
                    <w:keepNext/>
                    <w:adjustRightInd w:val="0"/>
                    <w:snapToGrid w:val="0"/>
                    <w:jc w:val="center"/>
                    <w:rPr>
                      <w:rFonts w:ascii="Times New Roman" w:hAnsi="Times New Roman" w:eastAsia="宋体"/>
                      <w:bCs/>
                      <w:color w:val="auto"/>
                      <w:sz w:val="21"/>
                      <w:szCs w:val="21"/>
                    </w:rPr>
                  </w:pPr>
                  <w:r>
                    <w:rPr>
                      <w:rFonts w:ascii="Times New Roman" w:hAnsi="Times New Roman" w:eastAsia="宋体"/>
                      <w:bCs/>
                      <w:color w:val="auto"/>
                      <w:sz w:val="21"/>
                      <w:szCs w:val="21"/>
                    </w:rPr>
                    <w:t>TN</w:t>
                  </w:r>
                </w:p>
              </w:tc>
              <w:tc>
                <w:tcPr>
                  <w:tcW w:w="1798" w:type="pct"/>
                  <w:vMerge w:val="continue"/>
                  <w:tcBorders>
                    <w:tl2br w:val="nil"/>
                    <w:tr2bl w:val="nil"/>
                  </w:tcBorders>
                  <w:vAlign w:val="center"/>
                </w:tcPr>
                <w:p w14:paraId="2D3C5E48">
                  <w:pPr>
                    <w:pStyle w:val="17"/>
                    <w:keepNext/>
                    <w:adjustRightInd w:val="0"/>
                    <w:snapToGrid w:val="0"/>
                    <w:jc w:val="center"/>
                    <w:rPr>
                      <w:rFonts w:ascii="Times New Roman" w:hAnsi="Times New Roman" w:eastAsia="宋体"/>
                      <w:bCs/>
                      <w:color w:val="auto"/>
                      <w:sz w:val="21"/>
                      <w:szCs w:val="21"/>
                    </w:rPr>
                  </w:pPr>
                </w:p>
              </w:tc>
              <w:tc>
                <w:tcPr>
                  <w:tcW w:w="1448" w:type="pct"/>
                  <w:tcBorders>
                    <w:tl2br w:val="nil"/>
                    <w:tr2bl w:val="nil"/>
                  </w:tcBorders>
                  <w:vAlign w:val="center"/>
                </w:tcPr>
                <w:p w14:paraId="6B5BCA5D">
                  <w:pPr>
                    <w:pStyle w:val="17"/>
                    <w:keepNext/>
                    <w:adjustRightInd w:val="0"/>
                    <w:snapToGrid w:val="0"/>
                    <w:jc w:val="center"/>
                    <w:rPr>
                      <w:rFonts w:ascii="Times New Roman" w:hAnsi="Times New Roman" w:eastAsia="宋体"/>
                      <w:bCs/>
                      <w:color w:val="auto"/>
                      <w:sz w:val="21"/>
                      <w:szCs w:val="21"/>
                    </w:rPr>
                  </w:pPr>
                  <w:r>
                    <w:rPr>
                      <w:rFonts w:ascii="Times New Roman" w:hAnsi="Times New Roman" w:eastAsia="宋体"/>
                      <w:bCs/>
                      <w:color w:val="auto"/>
                      <w:sz w:val="21"/>
                      <w:szCs w:val="21"/>
                    </w:rPr>
                    <w:t>12（15）*</w:t>
                  </w:r>
                </w:p>
              </w:tc>
            </w:tr>
            <w:tr w14:paraId="454F5EE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753" w:type="pct"/>
                  <w:tcBorders>
                    <w:tl2br w:val="nil"/>
                    <w:tr2bl w:val="nil"/>
                  </w:tcBorders>
                  <w:vAlign w:val="center"/>
                </w:tcPr>
                <w:p w14:paraId="37D7749B">
                  <w:pPr>
                    <w:pStyle w:val="17"/>
                    <w:keepNext/>
                    <w:adjustRightInd w:val="0"/>
                    <w:snapToGrid w:val="0"/>
                    <w:jc w:val="center"/>
                    <w:rPr>
                      <w:rFonts w:ascii="Times New Roman" w:hAnsi="Times New Roman" w:eastAsia="宋体"/>
                      <w:bCs/>
                      <w:color w:val="auto"/>
                      <w:sz w:val="21"/>
                      <w:szCs w:val="21"/>
                    </w:rPr>
                  </w:pPr>
                  <w:r>
                    <w:rPr>
                      <w:rFonts w:ascii="Times New Roman" w:hAnsi="Times New Roman" w:eastAsia="宋体"/>
                      <w:bCs/>
                      <w:color w:val="auto"/>
                      <w:sz w:val="21"/>
                      <w:szCs w:val="21"/>
                    </w:rPr>
                    <w:t>pH值（无量纲）</w:t>
                  </w:r>
                </w:p>
              </w:tc>
              <w:tc>
                <w:tcPr>
                  <w:tcW w:w="1798" w:type="pct"/>
                  <w:vMerge w:val="continue"/>
                  <w:tcBorders>
                    <w:tl2br w:val="nil"/>
                    <w:tr2bl w:val="nil"/>
                  </w:tcBorders>
                  <w:vAlign w:val="center"/>
                </w:tcPr>
                <w:p w14:paraId="6EB8E048">
                  <w:pPr>
                    <w:pStyle w:val="17"/>
                    <w:keepNext/>
                    <w:adjustRightInd w:val="0"/>
                    <w:snapToGrid w:val="0"/>
                    <w:jc w:val="center"/>
                    <w:rPr>
                      <w:rFonts w:ascii="Times New Roman" w:hAnsi="Times New Roman" w:eastAsia="宋体"/>
                      <w:bCs/>
                      <w:color w:val="auto"/>
                      <w:sz w:val="21"/>
                      <w:szCs w:val="21"/>
                    </w:rPr>
                  </w:pPr>
                </w:p>
              </w:tc>
              <w:tc>
                <w:tcPr>
                  <w:tcW w:w="1448" w:type="pct"/>
                  <w:tcBorders>
                    <w:tl2br w:val="nil"/>
                    <w:tr2bl w:val="nil"/>
                  </w:tcBorders>
                  <w:vAlign w:val="center"/>
                </w:tcPr>
                <w:p w14:paraId="23F8101D">
                  <w:pPr>
                    <w:pStyle w:val="17"/>
                    <w:keepNext/>
                    <w:adjustRightInd w:val="0"/>
                    <w:snapToGrid w:val="0"/>
                    <w:jc w:val="center"/>
                    <w:rPr>
                      <w:rFonts w:ascii="Times New Roman" w:hAnsi="Times New Roman" w:eastAsia="宋体"/>
                      <w:bCs/>
                      <w:color w:val="auto"/>
                      <w:sz w:val="21"/>
                      <w:szCs w:val="21"/>
                    </w:rPr>
                  </w:pPr>
                  <w:r>
                    <w:rPr>
                      <w:rFonts w:ascii="Times New Roman" w:hAnsi="Times New Roman" w:eastAsia="宋体"/>
                      <w:bCs/>
                      <w:color w:val="auto"/>
                      <w:sz w:val="21"/>
                      <w:szCs w:val="21"/>
                    </w:rPr>
                    <w:t>6-9</w:t>
                  </w:r>
                </w:p>
              </w:tc>
            </w:tr>
            <w:tr w14:paraId="731A20A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753" w:type="pct"/>
                  <w:tcBorders>
                    <w:tl2br w:val="nil"/>
                    <w:tr2bl w:val="nil"/>
                  </w:tcBorders>
                  <w:vAlign w:val="center"/>
                </w:tcPr>
                <w:p w14:paraId="70BDC61E">
                  <w:pPr>
                    <w:pStyle w:val="17"/>
                    <w:keepNext/>
                    <w:adjustRightInd w:val="0"/>
                    <w:snapToGrid w:val="0"/>
                    <w:jc w:val="center"/>
                    <w:rPr>
                      <w:rFonts w:ascii="Times New Roman" w:hAnsi="Times New Roman" w:eastAsia="宋体"/>
                      <w:bCs/>
                      <w:color w:val="auto"/>
                      <w:sz w:val="21"/>
                      <w:szCs w:val="21"/>
                    </w:rPr>
                  </w:pPr>
                  <w:r>
                    <w:rPr>
                      <w:rFonts w:ascii="Times New Roman" w:hAnsi="Times New Roman" w:eastAsia="宋体"/>
                      <w:bCs/>
                      <w:color w:val="auto"/>
                      <w:sz w:val="21"/>
                      <w:szCs w:val="21"/>
                    </w:rPr>
                    <w:t>SS</w:t>
                  </w:r>
                </w:p>
              </w:tc>
              <w:tc>
                <w:tcPr>
                  <w:tcW w:w="1798" w:type="pct"/>
                  <w:vMerge w:val="continue"/>
                  <w:tcBorders>
                    <w:tl2br w:val="nil"/>
                    <w:tr2bl w:val="nil"/>
                  </w:tcBorders>
                  <w:vAlign w:val="center"/>
                </w:tcPr>
                <w:p w14:paraId="638E8D92">
                  <w:pPr>
                    <w:pStyle w:val="17"/>
                    <w:keepNext/>
                    <w:adjustRightInd w:val="0"/>
                    <w:snapToGrid w:val="0"/>
                    <w:jc w:val="center"/>
                    <w:rPr>
                      <w:rFonts w:ascii="Times New Roman" w:hAnsi="Times New Roman" w:eastAsia="宋体"/>
                      <w:bCs/>
                      <w:color w:val="auto"/>
                      <w:sz w:val="21"/>
                      <w:szCs w:val="21"/>
                    </w:rPr>
                  </w:pPr>
                </w:p>
              </w:tc>
              <w:tc>
                <w:tcPr>
                  <w:tcW w:w="1448" w:type="pct"/>
                  <w:tcBorders>
                    <w:tl2br w:val="nil"/>
                    <w:tr2bl w:val="nil"/>
                  </w:tcBorders>
                  <w:vAlign w:val="center"/>
                </w:tcPr>
                <w:p w14:paraId="7A4C8BF9">
                  <w:pPr>
                    <w:pStyle w:val="17"/>
                    <w:keepNext/>
                    <w:adjustRightInd w:val="0"/>
                    <w:snapToGrid w:val="0"/>
                    <w:jc w:val="center"/>
                    <w:rPr>
                      <w:rFonts w:ascii="Times New Roman" w:hAnsi="Times New Roman" w:eastAsia="宋体"/>
                      <w:bCs/>
                      <w:color w:val="auto"/>
                      <w:sz w:val="21"/>
                      <w:szCs w:val="21"/>
                    </w:rPr>
                  </w:pPr>
                  <w:r>
                    <w:rPr>
                      <w:rFonts w:ascii="Times New Roman" w:hAnsi="Times New Roman" w:eastAsia="宋体"/>
                      <w:bCs/>
                      <w:color w:val="auto"/>
                      <w:sz w:val="21"/>
                      <w:szCs w:val="21"/>
                    </w:rPr>
                    <w:t>10</w:t>
                  </w:r>
                </w:p>
              </w:tc>
            </w:tr>
            <w:tr w14:paraId="32F50AA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3"/>
                  <w:tcBorders>
                    <w:tl2br w:val="nil"/>
                    <w:tr2bl w:val="nil"/>
                  </w:tcBorders>
                  <w:vAlign w:val="center"/>
                </w:tcPr>
                <w:p w14:paraId="5DE55D3C">
                  <w:pPr>
                    <w:adjustRightInd w:val="0"/>
                    <w:snapToGrid w:val="0"/>
                    <w:rPr>
                      <w:bCs/>
                      <w:color w:val="auto"/>
                    </w:rPr>
                  </w:pPr>
                  <w:r>
                    <w:rPr>
                      <w:b/>
                      <w:color w:val="auto"/>
                    </w:rPr>
                    <w:t>注*：每年11月1日至次年3月31日执行括号内排放限值。</w:t>
                  </w:r>
                </w:p>
              </w:tc>
            </w:tr>
          </w:tbl>
          <w:p w14:paraId="6D8E417A">
            <w:pPr>
              <w:pStyle w:val="17"/>
              <w:keepNext/>
              <w:adjustRightInd w:val="0"/>
              <w:snapToGrid w:val="0"/>
              <w:jc w:val="center"/>
              <w:rPr>
                <w:rFonts w:ascii="Times New Roman" w:hAnsi="Times New Roman" w:eastAsia="宋体"/>
                <w:b/>
                <w:color w:val="auto"/>
                <w:sz w:val="21"/>
                <w:szCs w:val="21"/>
              </w:rPr>
            </w:pPr>
            <w:r>
              <w:rPr>
                <w:rFonts w:ascii="Times New Roman" w:hAnsi="Times New Roman" w:eastAsia="宋体"/>
                <w:b/>
                <w:color w:val="auto"/>
                <w:sz w:val="21"/>
                <w:szCs w:val="21"/>
              </w:rPr>
              <w:t>表3-</w:t>
            </w:r>
            <w:r>
              <w:rPr>
                <w:rFonts w:hint="eastAsia" w:ascii="Times New Roman" w:hAnsi="Times New Roman" w:eastAsia="宋体"/>
                <w:b/>
                <w:color w:val="auto"/>
                <w:sz w:val="21"/>
                <w:szCs w:val="21"/>
              </w:rPr>
              <w:t>1</w:t>
            </w:r>
            <w:r>
              <w:rPr>
                <w:rFonts w:hint="eastAsia" w:ascii="Times New Roman" w:hAnsi="Times New Roman" w:eastAsia="宋体"/>
                <w:b/>
                <w:color w:val="auto"/>
                <w:sz w:val="21"/>
                <w:szCs w:val="21"/>
                <w:lang w:val="en-US" w:eastAsia="zh-CN"/>
              </w:rPr>
              <w:t>1</w:t>
            </w:r>
            <w:r>
              <w:rPr>
                <w:rFonts w:ascii="Times New Roman" w:hAnsi="Times New Roman" w:eastAsia="宋体"/>
                <w:b/>
                <w:color w:val="auto"/>
                <w:sz w:val="21"/>
                <w:szCs w:val="21"/>
              </w:rPr>
              <w:t xml:space="preserve">   </w:t>
            </w:r>
            <w:r>
              <w:rPr>
                <w:rFonts w:hint="eastAsia" w:ascii="Times New Roman" w:hAnsi="Times New Roman" w:eastAsia="宋体"/>
                <w:b/>
                <w:color w:val="auto"/>
                <w:sz w:val="21"/>
                <w:szCs w:val="21"/>
              </w:rPr>
              <w:t>常州金坛区第二污水处理有限公司</w:t>
            </w:r>
            <w:r>
              <w:rPr>
                <w:rFonts w:ascii="Times New Roman" w:hAnsi="Times New Roman" w:eastAsia="宋体"/>
                <w:b/>
                <w:color w:val="auto"/>
                <w:sz w:val="21"/>
                <w:szCs w:val="21"/>
              </w:rPr>
              <w:t>四项主要常规污染物一次监测排放限值 单位：mg/L</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3060"/>
              <w:gridCol w:w="3139"/>
              <w:gridCol w:w="2530"/>
            </w:tblGrid>
            <w:tr w14:paraId="55C3C2B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1753" w:type="pct"/>
                  <w:tcBorders>
                    <w:tl2br w:val="nil"/>
                    <w:tr2bl w:val="nil"/>
                  </w:tcBorders>
                  <w:vAlign w:val="center"/>
                </w:tcPr>
                <w:p w14:paraId="5B4A239B">
                  <w:pPr>
                    <w:adjustRightInd w:val="0"/>
                    <w:snapToGrid w:val="0"/>
                    <w:jc w:val="center"/>
                    <w:rPr>
                      <w:b/>
                      <w:bCs/>
                      <w:color w:val="auto"/>
                    </w:rPr>
                  </w:pPr>
                  <w:r>
                    <w:rPr>
                      <w:b/>
                      <w:bCs/>
                      <w:color w:val="auto"/>
                    </w:rPr>
                    <w:t>污染物</w:t>
                  </w:r>
                </w:p>
              </w:tc>
              <w:tc>
                <w:tcPr>
                  <w:tcW w:w="1798" w:type="pct"/>
                  <w:tcBorders>
                    <w:tl2br w:val="nil"/>
                    <w:tr2bl w:val="nil"/>
                  </w:tcBorders>
                  <w:vAlign w:val="center"/>
                </w:tcPr>
                <w:p w14:paraId="60FD4B48">
                  <w:pPr>
                    <w:adjustRightInd w:val="0"/>
                    <w:snapToGrid w:val="0"/>
                    <w:jc w:val="center"/>
                    <w:rPr>
                      <w:b/>
                      <w:bCs/>
                      <w:color w:val="auto"/>
                    </w:rPr>
                  </w:pPr>
                  <w:r>
                    <w:rPr>
                      <w:b/>
                      <w:bCs/>
                      <w:color w:val="auto"/>
                    </w:rPr>
                    <w:t>标准</w:t>
                  </w:r>
                </w:p>
              </w:tc>
              <w:tc>
                <w:tcPr>
                  <w:tcW w:w="1448" w:type="pct"/>
                  <w:tcBorders>
                    <w:tl2br w:val="nil"/>
                    <w:tr2bl w:val="nil"/>
                  </w:tcBorders>
                  <w:vAlign w:val="center"/>
                </w:tcPr>
                <w:p w14:paraId="379A07F0">
                  <w:pPr>
                    <w:adjustRightInd w:val="0"/>
                    <w:snapToGrid w:val="0"/>
                    <w:jc w:val="center"/>
                    <w:rPr>
                      <w:b/>
                      <w:bCs/>
                      <w:color w:val="auto"/>
                    </w:rPr>
                  </w:pPr>
                  <w:r>
                    <w:rPr>
                      <w:b/>
                      <w:bCs/>
                      <w:color w:val="auto"/>
                    </w:rPr>
                    <w:t>污染物排放标准</w:t>
                  </w:r>
                </w:p>
              </w:tc>
            </w:tr>
            <w:tr w14:paraId="3A01B60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753" w:type="pct"/>
                  <w:tcBorders>
                    <w:tl2br w:val="nil"/>
                    <w:tr2bl w:val="nil"/>
                  </w:tcBorders>
                  <w:vAlign w:val="center"/>
                </w:tcPr>
                <w:p w14:paraId="04CCE871">
                  <w:pPr>
                    <w:adjustRightInd w:val="0"/>
                    <w:snapToGrid w:val="0"/>
                    <w:jc w:val="center"/>
                    <w:rPr>
                      <w:color w:val="auto"/>
                    </w:rPr>
                  </w:pPr>
                  <w:r>
                    <w:rPr>
                      <w:color w:val="auto"/>
                    </w:rPr>
                    <w:t>COD</w:t>
                  </w:r>
                </w:p>
              </w:tc>
              <w:tc>
                <w:tcPr>
                  <w:tcW w:w="1798" w:type="pct"/>
                  <w:vMerge w:val="restart"/>
                  <w:tcBorders>
                    <w:tl2br w:val="nil"/>
                    <w:tr2bl w:val="nil"/>
                  </w:tcBorders>
                  <w:vAlign w:val="center"/>
                </w:tcPr>
                <w:p w14:paraId="449DA3B6">
                  <w:pPr>
                    <w:adjustRightInd w:val="0"/>
                    <w:snapToGrid w:val="0"/>
                    <w:jc w:val="center"/>
                    <w:rPr>
                      <w:color w:val="auto"/>
                    </w:rPr>
                  </w:pPr>
                  <w:r>
                    <w:rPr>
                      <w:color w:val="auto"/>
                    </w:rPr>
                    <w:t>《城镇污水处理厂污染物排放标准》（DB32/4440-2022）</w:t>
                  </w:r>
                </w:p>
              </w:tc>
              <w:tc>
                <w:tcPr>
                  <w:tcW w:w="1448" w:type="pct"/>
                  <w:tcBorders>
                    <w:tl2br w:val="nil"/>
                    <w:tr2bl w:val="nil"/>
                  </w:tcBorders>
                  <w:vAlign w:val="center"/>
                </w:tcPr>
                <w:p w14:paraId="7DD2B917">
                  <w:pPr>
                    <w:adjustRightInd w:val="0"/>
                    <w:snapToGrid w:val="0"/>
                    <w:jc w:val="center"/>
                    <w:rPr>
                      <w:color w:val="auto"/>
                    </w:rPr>
                  </w:pPr>
                  <w:r>
                    <w:rPr>
                      <w:color w:val="auto"/>
                    </w:rPr>
                    <w:t>75</w:t>
                  </w:r>
                </w:p>
              </w:tc>
            </w:tr>
            <w:tr w14:paraId="2C6A37C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753" w:type="pct"/>
                  <w:tcBorders>
                    <w:tl2br w:val="nil"/>
                    <w:tr2bl w:val="nil"/>
                  </w:tcBorders>
                  <w:vAlign w:val="center"/>
                </w:tcPr>
                <w:p w14:paraId="167B48A0">
                  <w:pPr>
                    <w:adjustRightInd w:val="0"/>
                    <w:snapToGrid w:val="0"/>
                    <w:jc w:val="center"/>
                    <w:rPr>
                      <w:color w:val="auto"/>
                    </w:rPr>
                  </w:pPr>
                  <w:r>
                    <w:rPr>
                      <w:color w:val="auto"/>
                    </w:rPr>
                    <w:t>NH</w:t>
                  </w:r>
                  <w:r>
                    <w:rPr>
                      <w:color w:val="auto"/>
                      <w:vertAlign w:val="subscript"/>
                    </w:rPr>
                    <w:t>3</w:t>
                  </w:r>
                  <w:r>
                    <w:rPr>
                      <w:color w:val="auto"/>
                    </w:rPr>
                    <w:t>-N</w:t>
                  </w:r>
                </w:p>
              </w:tc>
              <w:tc>
                <w:tcPr>
                  <w:tcW w:w="1798" w:type="pct"/>
                  <w:vMerge w:val="continue"/>
                  <w:tcBorders>
                    <w:tl2br w:val="nil"/>
                    <w:tr2bl w:val="nil"/>
                  </w:tcBorders>
                  <w:vAlign w:val="center"/>
                </w:tcPr>
                <w:p w14:paraId="14F784A9">
                  <w:pPr>
                    <w:adjustRightInd w:val="0"/>
                    <w:snapToGrid w:val="0"/>
                    <w:jc w:val="center"/>
                    <w:rPr>
                      <w:color w:val="auto"/>
                    </w:rPr>
                  </w:pPr>
                </w:p>
              </w:tc>
              <w:tc>
                <w:tcPr>
                  <w:tcW w:w="1448" w:type="pct"/>
                  <w:tcBorders>
                    <w:tl2br w:val="nil"/>
                    <w:tr2bl w:val="nil"/>
                  </w:tcBorders>
                  <w:vAlign w:val="center"/>
                </w:tcPr>
                <w:p w14:paraId="3B849E53">
                  <w:pPr>
                    <w:adjustRightInd w:val="0"/>
                    <w:snapToGrid w:val="0"/>
                    <w:jc w:val="center"/>
                    <w:rPr>
                      <w:color w:val="auto"/>
                    </w:rPr>
                  </w:pPr>
                  <w:r>
                    <w:rPr>
                      <w:color w:val="auto"/>
                    </w:rPr>
                    <w:t>8（12）*</w:t>
                  </w:r>
                </w:p>
              </w:tc>
            </w:tr>
            <w:tr w14:paraId="1B2EE13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753" w:type="pct"/>
                  <w:tcBorders>
                    <w:tl2br w:val="nil"/>
                    <w:tr2bl w:val="nil"/>
                  </w:tcBorders>
                  <w:vAlign w:val="center"/>
                </w:tcPr>
                <w:p w14:paraId="6152B759">
                  <w:pPr>
                    <w:adjustRightInd w:val="0"/>
                    <w:snapToGrid w:val="0"/>
                    <w:jc w:val="center"/>
                    <w:rPr>
                      <w:color w:val="auto"/>
                    </w:rPr>
                  </w:pPr>
                  <w:r>
                    <w:rPr>
                      <w:color w:val="auto"/>
                    </w:rPr>
                    <w:t>TP</w:t>
                  </w:r>
                </w:p>
              </w:tc>
              <w:tc>
                <w:tcPr>
                  <w:tcW w:w="1798" w:type="pct"/>
                  <w:vMerge w:val="continue"/>
                  <w:tcBorders>
                    <w:tl2br w:val="nil"/>
                    <w:tr2bl w:val="nil"/>
                  </w:tcBorders>
                  <w:vAlign w:val="center"/>
                </w:tcPr>
                <w:p w14:paraId="3DA317EF">
                  <w:pPr>
                    <w:adjustRightInd w:val="0"/>
                    <w:snapToGrid w:val="0"/>
                    <w:jc w:val="center"/>
                    <w:rPr>
                      <w:color w:val="auto"/>
                    </w:rPr>
                  </w:pPr>
                </w:p>
              </w:tc>
              <w:tc>
                <w:tcPr>
                  <w:tcW w:w="1448" w:type="pct"/>
                  <w:tcBorders>
                    <w:tl2br w:val="nil"/>
                    <w:tr2bl w:val="nil"/>
                  </w:tcBorders>
                  <w:vAlign w:val="center"/>
                </w:tcPr>
                <w:p w14:paraId="4373560E">
                  <w:pPr>
                    <w:adjustRightInd w:val="0"/>
                    <w:snapToGrid w:val="0"/>
                    <w:jc w:val="center"/>
                    <w:rPr>
                      <w:color w:val="auto"/>
                    </w:rPr>
                  </w:pPr>
                  <w:r>
                    <w:rPr>
                      <w:color w:val="auto"/>
                    </w:rPr>
                    <w:t>1</w:t>
                  </w:r>
                </w:p>
              </w:tc>
            </w:tr>
            <w:tr w14:paraId="42BCCD3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753" w:type="pct"/>
                  <w:tcBorders>
                    <w:tl2br w:val="nil"/>
                    <w:tr2bl w:val="nil"/>
                  </w:tcBorders>
                  <w:vAlign w:val="center"/>
                </w:tcPr>
                <w:p w14:paraId="53BB4D51">
                  <w:pPr>
                    <w:adjustRightInd w:val="0"/>
                    <w:snapToGrid w:val="0"/>
                    <w:jc w:val="center"/>
                    <w:rPr>
                      <w:color w:val="auto"/>
                    </w:rPr>
                  </w:pPr>
                  <w:r>
                    <w:rPr>
                      <w:color w:val="auto"/>
                    </w:rPr>
                    <w:t>TN</w:t>
                  </w:r>
                </w:p>
              </w:tc>
              <w:tc>
                <w:tcPr>
                  <w:tcW w:w="1798" w:type="pct"/>
                  <w:vMerge w:val="continue"/>
                  <w:tcBorders>
                    <w:tl2br w:val="nil"/>
                    <w:tr2bl w:val="nil"/>
                  </w:tcBorders>
                  <w:vAlign w:val="center"/>
                </w:tcPr>
                <w:p w14:paraId="1BA39D06">
                  <w:pPr>
                    <w:adjustRightInd w:val="0"/>
                    <w:snapToGrid w:val="0"/>
                    <w:jc w:val="center"/>
                    <w:rPr>
                      <w:color w:val="auto"/>
                    </w:rPr>
                  </w:pPr>
                </w:p>
              </w:tc>
              <w:tc>
                <w:tcPr>
                  <w:tcW w:w="1448" w:type="pct"/>
                  <w:tcBorders>
                    <w:tl2br w:val="nil"/>
                    <w:tr2bl w:val="nil"/>
                  </w:tcBorders>
                  <w:vAlign w:val="center"/>
                </w:tcPr>
                <w:p w14:paraId="08BD5E60">
                  <w:pPr>
                    <w:adjustRightInd w:val="0"/>
                    <w:snapToGrid w:val="0"/>
                    <w:jc w:val="center"/>
                    <w:rPr>
                      <w:color w:val="auto"/>
                    </w:rPr>
                  </w:pPr>
                  <w:r>
                    <w:rPr>
                      <w:color w:val="auto"/>
                    </w:rPr>
                    <w:t>15（20）*</w:t>
                  </w:r>
                </w:p>
              </w:tc>
            </w:tr>
            <w:tr w14:paraId="52AC0DB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3"/>
                  <w:tcBorders>
                    <w:tl2br w:val="nil"/>
                    <w:tr2bl w:val="nil"/>
                  </w:tcBorders>
                  <w:vAlign w:val="center"/>
                </w:tcPr>
                <w:p w14:paraId="7104B3B7">
                  <w:pPr>
                    <w:adjustRightInd w:val="0"/>
                    <w:snapToGrid w:val="0"/>
                    <w:rPr>
                      <w:color w:val="auto"/>
                    </w:rPr>
                  </w:pPr>
                  <w:r>
                    <w:rPr>
                      <w:b/>
                      <w:color w:val="auto"/>
                    </w:rPr>
                    <w:t>注*：每年11月1日至次年3月31日执行括号内排放限值。</w:t>
                  </w:r>
                </w:p>
              </w:tc>
            </w:tr>
          </w:tbl>
          <w:p w14:paraId="650072B1">
            <w:pPr>
              <w:adjustRightInd w:val="0"/>
              <w:snapToGrid w:val="0"/>
              <w:spacing w:line="360" w:lineRule="auto"/>
              <w:rPr>
                <w:b/>
                <w:bCs/>
                <w:color w:val="auto"/>
              </w:rPr>
            </w:pPr>
            <w:r>
              <w:rPr>
                <w:b/>
                <w:bCs/>
                <w:color w:val="auto"/>
              </w:rPr>
              <w:t>3</w:t>
            </w:r>
            <w:r>
              <w:rPr>
                <w:rFonts w:hint="eastAsia"/>
                <w:b/>
                <w:bCs/>
                <w:color w:val="auto"/>
              </w:rPr>
              <w:t>、</w:t>
            </w:r>
            <w:r>
              <w:rPr>
                <w:b/>
                <w:bCs/>
                <w:color w:val="auto"/>
              </w:rPr>
              <w:t>噪声</w:t>
            </w:r>
          </w:p>
          <w:p w14:paraId="3B5B31A5">
            <w:pPr>
              <w:adjustRightInd w:val="0"/>
              <w:snapToGrid w:val="0"/>
              <w:spacing w:line="360" w:lineRule="auto"/>
              <w:ind w:firstLine="420" w:firstLineChars="200"/>
              <w:rPr>
                <w:color w:val="auto"/>
              </w:rPr>
            </w:pPr>
            <w:r>
              <w:rPr>
                <w:rFonts w:hint="eastAsia"/>
                <w:color w:val="auto"/>
              </w:rPr>
              <w:t>本项目</w:t>
            </w:r>
            <w:r>
              <w:rPr>
                <w:color w:val="auto"/>
              </w:rPr>
              <w:t>营运期厂界执行《工业企业厂界环境噪声排放标准》</w:t>
            </w:r>
            <w:r>
              <w:rPr>
                <w:rFonts w:hint="eastAsia"/>
                <w:color w:val="auto"/>
              </w:rPr>
              <w:t>（</w:t>
            </w:r>
            <w:r>
              <w:rPr>
                <w:color w:val="auto"/>
              </w:rPr>
              <w:t>GB12348-2008</w:t>
            </w:r>
            <w:r>
              <w:rPr>
                <w:rFonts w:hint="eastAsia"/>
                <w:color w:val="auto"/>
              </w:rPr>
              <w:t>）</w:t>
            </w:r>
            <w:r>
              <w:rPr>
                <w:rFonts w:hint="eastAsia"/>
                <w:color w:val="auto"/>
                <w:lang w:val="en-US" w:eastAsia="zh-CN"/>
              </w:rPr>
              <w:t>2</w:t>
            </w:r>
            <w:r>
              <w:rPr>
                <w:color w:val="auto"/>
              </w:rPr>
              <w:t>类区标准要求，见</w:t>
            </w:r>
            <w:r>
              <w:rPr>
                <w:rFonts w:hint="eastAsia"/>
                <w:color w:val="auto"/>
              </w:rPr>
              <w:t>下表</w:t>
            </w:r>
            <w:r>
              <w:rPr>
                <w:color w:val="auto"/>
              </w:rPr>
              <w:t>。</w:t>
            </w:r>
          </w:p>
          <w:p w14:paraId="39C8A75F">
            <w:pPr>
              <w:adjustRightInd w:val="0"/>
              <w:snapToGrid w:val="0"/>
              <w:jc w:val="center"/>
              <w:rPr>
                <w:color w:val="auto"/>
              </w:rPr>
            </w:pPr>
            <w:r>
              <w:rPr>
                <w:b/>
                <w:bCs/>
                <w:color w:val="auto"/>
              </w:rPr>
              <w:t>表3-</w:t>
            </w:r>
            <w:r>
              <w:rPr>
                <w:rFonts w:hint="eastAsia"/>
                <w:b/>
                <w:bCs/>
                <w:color w:val="auto"/>
              </w:rPr>
              <w:t>1</w:t>
            </w:r>
            <w:r>
              <w:rPr>
                <w:rFonts w:hint="eastAsia"/>
                <w:b/>
                <w:bCs/>
                <w:color w:val="auto"/>
                <w:lang w:val="en-US" w:eastAsia="zh-CN"/>
              </w:rPr>
              <w:t>2</w:t>
            </w:r>
            <w:r>
              <w:rPr>
                <w:rFonts w:hint="eastAsia"/>
                <w:b/>
                <w:bCs/>
                <w:color w:val="auto"/>
              </w:rPr>
              <w:t xml:space="preserve">   </w:t>
            </w:r>
            <w:r>
              <w:rPr>
                <w:b/>
                <w:bCs/>
                <w:color w:val="auto"/>
              </w:rPr>
              <w:t>工业企业厂界环境噪声标准限值   单位：dB（A）</w:t>
            </w:r>
          </w:p>
          <w:tbl>
            <w:tblPr>
              <w:tblStyle w:val="59"/>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909"/>
              <w:gridCol w:w="2909"/>
              <w:gridCol w:w="2909"/>
            </w:tblGrid>
            <w:tr w14:paraId="79AD03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666" w:type="pct"/>
                  <w:vAlign w:val="center"/>
                </w:tcPr>
                <w:p w14:paraId="09C51CAA">
                  <w:pPr>
                    <w:widowControl/>
                    <w:adjustRightInd w:val="0"/>
                    <w:snapToGrid w:val="0"/>
                    <w:jc w:val="center"/>
                    <w:textAlignment w:val="center"/>
                    <w:rPr>
                      <w:b/>
                      <w:color w:val="auto"/>
                      <w:kern w:val="0"/>
                      <w:lang w:bidi="ar"/>
                    </w:rPr>
                  </w:pPr>
                  <w:r>
                    <w:rPr>
                      <w:b/>
                      <w:color w:val="auto"/>
                      <w:kern w:val="0"/>
                      <w:lang w:bidi="ar"/>
                    </w:rPr>
                    <w:t>厂界外声环境功能区类别</w:t>
                  </w:r>
                </w:p>
              </w:tc>
              <w:tc>
                <w:tcPr>
                  <w:tcW w:w="1666" w:type="pct"/>
                  <w:vAlign w:val="center"/>
                </w:tcPr>
                <w:p w14:paraId="309D98EA">
                  <w:pPr>
                    <w:widowControl/>
                    <w:adjustRightInd w:val="0"/>
                    <w:snapToGrid w:val="0"/>
                    <w:jc w:val="center"/>
                    <w:textAlignment w:val="center"/>
                    <w:rPr>
                      <w:b/>
                      <w:color w:val="auto"/>
                      <w:kern w:val="0"/>
                      <w:lang w:bidi="ar"/>
                    </w:rPr>
                  </w:pPr>
                  <w:r>
                    <w:rPr>
                      <w:b/>
                      <w:color w:val="auto"/>
                      <w:kern w:val="0"/>
                      <w:lang w:bidi="ar"/>
                    </w:rPr>
                    <w:t>昼间</w:t>
                  </w:r>
                </w:p>
              </w:tc>
              <w:tc>
                <w:tcPr>
                  <w:tcW w:w="1666" w:type="pct"/>
                  <w:vAlign w:val="center"/>
                </w:tcPr>
                <w:p w14:paraId="6ED70CC0">
                  <w:pPr>
                    <w:widowControl/>
                    <w:adjustRightInd w:val="0"/>
                    <w:snapToGrid w:val="0"/>
                    <w:jc w:val="center"/>
                    <w:textAlignment w:val="center"/>
                    <w:rPr>
                      <w:b/>
                      <w:color w:val="auto"/>
                      <w:kern w:val="0"/>
                      <w:lang w:bidi="ar"/>
                    </w:rPr>
                  </w:pPr>
                  <w:r>
                    <w:rPr>
                      <w:b/>
                      <w:color w:val="auto"/>
                      <w:kern w:val="0"/>
                      <w:lang w:bidi="ar"/>
                    </w:rPr>
                    <w:t>夜间</w:t>
                  </w:r>
                </w:p>
              </w:tc>
            </w:tr>
            <w:tr w14:paraId="15EB0F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666" w:type="pct"/>
                  <w:vAlign w:val="center"/>
                </w:tcPr>
                <w:p w14:paraId="1D2B95AF">
                  <w:pPr>
                    <w:widowControl/>
                    <w:adjustRightInd w:val="0"/>
                    <w:snapToGrid w:val="0"/>
                    <w:jc w:val="center"/>
                    <w:textAlignment w:val="center"/>
                    <w:rPr>
                      <w:rFonts w:hint="eastAsia" w:eastAsia="宋体"/>
                      <w:color w:val="auto"/>
                      <w:kern w:val="0"/>
                      <w:lang w:eastAsia="zh-CN" w:bidi="ar"/>
                    </w:rPr>
                  </w:pPr>
                  <w:r>
                    <w:rPr>
                      <w:rFonts w:hint="eastAsia"/>
                      <w:color w:val="auto"/>
                      <w:kern w:val="0"/>
                      <w:lang w:val="en-US" w:eastAsia="zh-CN" w:bidi="ar"/>
                    </w:rPr>
                    <w:t>2</w:t>
                  </w:r>
                </w:p>
              </w:tc>
              <w:tc>
                <w:tcPr>
                  <w:tcW w:w="1666" w:type="pct"/>
                  <w:vAlign w:val="center"/>
                </w:tcPr>
                <w:p w14:paraId="3C57F9B3">
                  <w:pPr>
                    <w:widowControl/>
                    <w:adjustRightInd w:val="0"/>
                    <w:snapToGrid w:val="0"/>
                    <w:jc w:val="center"/>
                    <w:textAlignment w:val="center"/>
                    <w:rPr>
                      <w:rFonts w:hint="default" w:eastAsia="宋体"/>
                      <w:color w:val="auto"/>
                      <w:kern w:val="0"/>
                      <w:lang w:val="en-US" w:eastAsia="zh-CN" w:bidi="ar"/>
                    </w:rPr>
                  </w:pPr>
                  <w:r>
                    <w:rPr>
                      <w:rFonts w:hint="eastAsia"/>
                      <w:color w:val="auto"/>
                      <w:kern w:val="0"/>
                      <w:lang w:val="en-US" w:eastAsia="zh-CN" w:bidi="ar"/>
                    </w:rPr>
                    <w:t>60</w:t>
                  </w:r>
                </w:p>
              </w:tc>
              <w:tc>
                <w:tcPr>
                  <w:tcW w:w="1666" w:type="pct"/>
                  <w:vAlign w:val="center"/>
                </w:tcPr>
                <w:p w14:paraId="4F16A802">
                  <w:pPr>
                    <w:widowControl/>
                    <w:adjustRightInd w:val="0"/>
                    <w:snapToGrid w:val="0"/>
                    <w:jc w:val="center"/>
                    <w:textAlignment w:val="center"/>
                    <w:rPr>
                      <w:rFonts w:hint="default" w:eastAsia="宋体"/>
                      <w:color w:val="auto"/>
                      <w:kern w:val="0"/>
                      <w:lang w:val="en-US" w:eastAsia="zh-CN" w:bidi="ar"/>
                    </w:rPr>
                  </w:pPr>
                  <w:r>
                    <w:rPr>
                      <w:rFonts w:hint="eastAsia"/>
                      <w:color w:val="auto"/>
                      <w:kern w:val="0"/>
                      <w:lang w:val="en-US" w:eastAsia="zh-CN" w:bidi="ar"/>
                    </w:rPr>
                    <w:t>50</w:t>
                  </w:r>
                </w:p>
              </w:tc>
            </w:tr>
          </w:tbl>
          <w:p w14:paraId="7F4F7D31">
            <w:pPr>
              <w:adjustRightInd w:val="0"/>
              <w:snapToGrid w:val="0"/>
              <w:spacing w:line="360" w:lineRule="auto"/>
              <w:rPr>
                <w:b/>
                <w:bCs/>
                <w:color w:val="auto"/>
              </w:rPr>
            </w:pPr>
            <w:r>
              <w:rPr>
                <w:b/>
                <w:bCs/>
                <w:color w:val="auto"/>
              </w:rPr>
              <w:t>4</w:t>
            </w:r>
            <w:r>
              <w:rPr>
                <w:rFonts w:hint="eastAsia"/>
                <w:b/>
                <w:bCs/>
                <w:color w:val="auto"/>
              </w:rPr>
              <w:t>、</w:t>
            </w:r>
            <w:r>
              <w:rPr>
                <w:b/>
                <w:bCs/>
                <w:color w:val="auto"/>
              </w:rPr>
              <w:t>固废</w:t>
            </w:r>
          </w:p>
          <w:p w14:paraId="63A4B6BB">
            <w:pPr>
              <w:adjustRightInd w:val="0"/>
              <w:snapToGrid w:val="0"/>
              <w:spacing w:line="360" w:lineRule="auto"/>
              <w:ind w:firstLine="420" w:firstLineChars="200"/>
              <w:rPr>
                <w:color w:val="auto"/>
              </w:rPr>
            </w:pPr>
            <w:r>
              <w:rPr>
                <w:color w:val="auto"/>
              </w:rPr>
              <w:t>固体废物主要是一般工业固废、危废和生活垃圾，一般工业固废厂内暂存须执行《一般工业固体废物贮存和填埋污染控制标准》（GB18599-2020）的相关规定；</w:t>
            </w:r>
          </w:p>
          <w:p w14:paraId="482AB0F7">
            <w:pPr>
              <w:adjustRightInd w:val="0"/>
              <w:snapToGrid w:val="0"/>
              <w:spacing w:line="360" w:lineRule="auto"/>
              <w:ind w:firstLine="420" w:firstLineChars="200"/>
              <w:rPr>
                <w:color w:val="auto"/>
              </w:rPr>
            </w:pPr>
            <w:r>
              <w:rPr>
                <w:color w:val="auto"/>
              </w:rPr>
              <w:t>危险废物贮存执行《危险废物收集、贮存、运输技术规范》（HJ2025</w:t>
            </w:r>
            <w:r>
              <w:rPr>
                <w:rFonts w:hint="eastAsia"/>
                <w:color w:val="auto"/>
              </w:rPr>
              <w:t xml:space="preserve"> </w:t>
            </w:r>
            <w:r>
              <w:rPr>
                <w:color w:val="auto"/>
              </w:rPr>
              <w:t>2012）、《危险废物贮存污染控制标准》（GB 18597-2023）</w:t>
            </w:r>
            <w:r>
              <w:rPr>
                <w:rFonts w:hint="eastAsia"/>
                <w:color w:val="auto"/>
              </w:rPr>
              <w:t>；</w:t>
            </w:r>
          </w:p>
          <w:p w14:paraId="519499E6">
            <w:pPr>
              <w:adjustRightInd w:val="0"/>
              <w:snapToGrid w:val="0"/>
              <w:spacing w:line="360" w:lineRule="auto"/>
              <w:ind w:firstLine="420" w:firstLineChars="200"/>
              <w:rPr>
                <w:color w:val="auto"/>
              </w:rPr>
            </w:pPr>
            <w:r>
              <w:rPr>
                <w:color w:val="auto"/>
              </w:rPr>
              <w:t>生活垃圾的储存与处置参照执行《城市生活垃圾管理办法》（建设部令第157号）</w:t>
            </w:r>
            <w:r>
              <w:rPr>
                <w:rFonts w:hint="eastAsia"/>
                <w:color w:val="auto"/>
              </w:rPr>
              <w:t>。</w:t>
            </w:r>
          </w:p>
          <w:p w14:paraId="21FA6B60">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2150CCA6">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4188813D">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38693304">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6F4E1C9B">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0B0EEA9A">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4F9F5AE9">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7E3FE189">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6447BB18">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1C91FE61">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346575E4">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174B1085">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4D2590C3">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1166F749">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0E28F0B5">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54FB3047">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7EBD217A">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75213B9D">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079478D8">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5752E5BB">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52D46B07">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7F2E018A">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07400FE0">
            <w:pPr>
              <w:pStyle w:val="49"/>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72AC9D11">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3D1487D7">
            <w:pPr>
              <w:pStyle w:val="49"/>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3D49999B">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5F2BA073">
            <w:pPr>
              <w:pStyle w:val="49"/>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418C611E">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3E922AB9">
            <w:pPr>
              <w:pStyle w:val="49"/>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659CE685">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3D777947">
            <w:pPr>
              <w:pStyle w:val="49"/>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6EB5E06B">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77D63654">
            <w:pPr>
              <w:pStyle w:val="49"/>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44DA779B">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color w:val="auto"/>
              </w:rPr>
            </w:pPr>
          </w:p>
          <w:p w14:paraId="25888D14">
            <w:pPr>
              <w:pStyle w:val="49"/>
              <w:ind w:left="0" w:leftChars="0" w:firstLine="0" w:firstLineChars="0"/>
              <w:rPr>
                <w:color w:val="auto"/>
              </w:rPr>
            </w:pPr>
          </w:p>
        </w:tc>
      </w:tr>
      <w:tr w14:paraId="42875F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43" w:hRule="atLeast"/>
          <w:jc w:val="center"/>
        </w:trPr>
        <w:tc>
          <w:tcPr>
            <w:tcW w:w="456" w:type="dxa"/>
            <w:tcMar>
              <w:left w:w="28" w:type="dxa"/>
              <w:right w:w="28" w:type="dxa"/>
            </w:tcMar>
            <w:vAlign w:val="center"/>
          </w:tcPr>
          <w:p w14:paraId="713C66D7">
            <w:pPr>
              <w:adjustRightInd w:val="0"/>
              <w:snapToGrid w:val="0"/>
              <w:jc w:val="center"/>
              <w:rPr>
                <w:color w:val="auto"/>
                <w:kern w:val="0"/>
              </w:rPr>
            </w:pPr>
            <w:r>
              <w:rPr>
                <w:b/>
                <w:bCs/>
                <w:color w:val="auto"/>
                <w:kern w:val="0"/>
              </w:rPr>
              <w:t>总量控制指标</w:t>
            </w:r>
          </w:p>
        </w:tc>
        <w:tc>
          <w:tcPr>
            <w:tcW w:w="8945" w:type="dxa"/>
          </w:tcPr>
          <w:p w14:paraId="323D0A03">
            <w:pPr>
              <w:pStyle w:val="5"/>
              <w:adjustRightInd w:val="0"/>
              <w:snapToGrid w:val="0"/>
              <w:spacing w:line="360" w:lineRule="auto"/>
              <w:ind w:firstLine="422" w:firstLineChars="200"/>
              <w:rPr>
                <w:b/>
                <w:bCs/>
                <w:color w:val="auto"/>
                <w:szCs w:val="21"/>
              </w:rPr>
            </w:pPr>
            <w:r>
              <w:rPr>
                <w:rFonts w:hint="eastAsia"/>
                <w:b/>
                <w:bCs/>
                <w:color w:val="auto"/>
                <w:szCs w:val="21"/>
              </w:rPr>
              <w:t>1、总量控制建议指标</w:t>
            </w:r>
          </w:p>
          <w:p w14:paraId="47934669">
            <w:pPr>
              <w:adjustRightInd w:val="0"/>
              <w:snapToGrid w:val="0"/>
              <w:jc w:val="center"/>
              <w:rPr>
                <w:b/>
                <w:color w:val="auto"/>
              </w:rPr>
            </w:pPr>
            <w:r>
              <w:rPr>
                <w:b/>
                <w:color w:val="auto"/>
              </w:rPr>
              <w:t>表3-</w:t>
            </w:r>
            <w:r>
              <w:rPr>
                <w:rFonts w:hint="eastAsia"/>
                <w:b/>
                <w:color w:val="auto"/>
              </w:rPr>
              <w:t>1</w:t>
            </w:r>
            <w:r>
              <w:rPr>
                <w:rFonts w:hint="eastAsia"/>
                <w:b/>
                <w:color w:val="auto"/>
                <w:lang w:val="en-US" w:eastAsia="zh-CN"/>
              </w:rPr>
              <w:t>3</w:t>
            </w:r>
            <w:r>
              <w:rPr>
                <w:b/>
                <w:color w:val="auto"/>
              </w:rPr>
              <w:t xml:space="preserve">   总量控制建议值</w:t>
            </w:r>
            <w:r>
              <w:rPr>
                <w:rFonts w:hint="eastAsia"/>
                <w:b/>
                <w:color w:val="auto"/>
              </w:rPr>
              <w:t>（t/a）</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610"/>
              <w:gridCol w:w="1074"/>
              <w:gridCol w:w="712"/>
              <w:gridCol w:w="713"/>
              <w:gridCol w:w="735"/>
              <w:gridCol w:w="768"/>
              <w:gridCol w:w="720"/>
              <w:gridCol w:w="800"/>
              <w:gridCol w:w="865"/>
              <w:gridCol w:w="928"/>
              <w:gridCol w:w="804"/>
            </w:tblGrid>
            <w:tr w14:paraId="066CF8D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cantSplit/>
                <w:trHeight w:val="0" w:hRule="atLeast"/>
                <w:jc w:val="center"/>
              </w:trPr>
              <w:tc>
                <w:tcPr>
                  <w:tcW w:w="349" w:type="pct"/>
                  <w:vMerge w:val="restart"/>
                  <w:tcBorders>
                    <w:tl2br w:val="nil"/>
                    <w:tr2bl w:val="nil"/>
                  </w:tcBorders>
                  <w:noWrap w:val="0"/>
                  <w:vAlign w:val="center"/>
                </w:tcPr>
                <w:p w14:paraId="6BD99E5A">
                  <w:pPr>
                    <w:pStyle w:val="70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val="0"/>
                      <w:color w:val="auto"/>
                      <w:spacing w:val="0"/>
                      <w:kern w:val="0"/>
                      <w:sz w:val="18"/>
                      <w:szCs w:val="18"/>
                      <w:highlight w:val="none"/>
                    </w:rPr>
                  </w:pPr>
                  <w:r>
                    <w:rPr>
                      <w:rFonts w:hint="default" w:ascii="Times New Roman" w:hAnsi="Times New Roman" w:eastAsia="宋体" w:cs="Times New Roman"/>
                      <w:b/>
                      <w:bCs w:val="0"/>
                      <w:color w:val="auto"/>
                      <w:spacing w:val="0"/>
                      <w:kern w:val="0"/>
                      <w:sz w:val="18"/>
                      <w:szCs w:val="18"/>
                      <w:highlight w:val="none"/>
                    </w:rPr>
                    <w:t>种类</w:t>
                  </w:r>
                </w:p>
              </w:tc>
              <w:tc>
                <w:tcPr>
                  <w:tcW w:w="615" w:type="pct"/>
                  <w:vMerge w:val="restart"/>
                  <w:tcBorders>
                    <w:tl2br w:val="nil"/>
                    <w:tr2bl w:val="nil"/>
                  </w:tcBorders>
                  <w:noWrap w:val="0"/>
                  <w:vAlign w:val="center"/>
                </w:tcPr>
                <w:p w14:paraId="1A2DA990">
                  <w:pPr>
                    <w:pStyle w:val="70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val="0"/>
                      <w:color w:val="auto"/>
                      <w:spacing w:val="0"/>
                      <w:kern w:val="0"/>
                      <w:sz w:val="18"/>
                      <w:szCs w:val="18"/>
                      <w:highlight w:val="none"/>
                      <w:lang w:val="en-US" w:eastAsia="zh-CN"/>
                    </w:rPr>
                  </w:pPr>
                  <w:r>
                    <w:rPr>
                      <w:rFonts w:hint="default" w:ascii="Times New Roman" w:hAnsi="Times New Roman" w:eastAsia="宋体" w:cs="Times New Roman"/>
                      <w:b/>
                      <w:bCs w:val="0"/>
                      <w:color w:val="auto"/>
                      <w:spacing w:val="0"/>
                      <w:kern w:val="0"/>
                      <w:sz w:val="18"/>
                      <w:szCs w:val="18"/>
                      <w:highlight w:val="none"/>
                    </w:rPr>
                    <w:t>污染物名称</w:t>
                  </w:r>
                </w:p>
              </w:tc>
              <w:tc>
                <w:tcPr>
                  <w:tcW w:w="407" w:type="pct"/>
                  <w:vMerge w:val="restart"/>
                  <w:tcBorders>
                    <w:tl2br w:val="nil"/>
                    <w:tr2bl w:val="nil"/>
                  </w:tcBorders>
                  <w:noWrap w:val="0"/>
                  <w:vAlign w:val="center"/>
                </w:tcPr>
                <w:p w14:paraId="10C07841">
                  <w:pPr>
                    <w:pStyle w:val="70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val="0"/>
                      <w:color w:val="auto"/>
                      <w:spacing w:val="0"/>
                      <w:kern w:val="0"/>
                      <w:sz w:val="18"/>
                      <w:szCs w:val="18"/>
                      <w:highlight w:val="none"/>
                      <w:lang w:val="en-US"/>
                    </w:rPr>
                  </w:pPr>
                  <w:r>
                    <w:rPr>
                      <w:rFonts w:hint="eastAsia" w:eastAsia="宋体" w:cs="Times New Roman"/>
                      <w:b/>
                      <w:bCs w:val="0"/>
                      <w:color w:val="auto"/>
                      <w:spacing w:val="0"/>
                      <w:kern w:val="0"/>
                      <w:sz w:val="18"/>
                      <w:szCs w:val="18"/>
                      <w:highlight w:val="none"/>
                      <w:lang w:val="en-US" w:eastAsia="zh-CN"/>
                    </w:rPr>
                    <w:t>现有批复</w:t>
                  </w:r>
                  <w:r>
                    <w:rPr>
                      <w:rFonts w:hint="default" w:ascii="Times New Roman" w:hAnsi="Times New Roman" w:eastAsia="宋体" w:cs="Times New Roman"/>
                      <w:b/>
                      <w:bCs w:val="0"/>
                      <w:color w:val="auto"/>
                      <w:spacing w:val="0"/>
                      <w:kern w:val="0"/>
                      <w:sz w:val="18"/>
                      <w:szCs w:val="18"/>
                      <w:highlight w:val="none"/>
                      <w:lang w:val="en-US" w:eastAsia="zh-CN"/>
                    </w:rPr>
                    <w:t>量</w:t>
                  </w:r>
                </w:p>
              </w:tc>
              <w:tc>
                <w:tcPr>
                  <w:tcW w:w="408" w:type="pct"/>
                  <w:vMerge w:val="restart"/>
                  <w:tcBorders>
                    <w:tl2br w:val="nil"/>
                    <w:tr2bl w:val="nil"/>
                  </w:tcBorders>
                  <w:noWrap w:val="0"/>
                  <w:vAlign w:val="center"/>
                </w:tcPr>
                <w:p w14:paraId="007AAF98">
                  <w:pPr>
                    <w:pStyle w:val="700"/>
                    <w:keepNext w:val="0"/>
                    <w:keepLines w:val="0"/>
                    <w:pageBreakBefore w:val="0"/>
                    <w:kinsoku/>
                    <w:wordWrap/>
                    <w:overflowPunct/>
                    <w:topLinePunct w:val="0"/>
                    <w:autoSpaceDE/>
                    <w:autoSpaceDN/>
                    <w:bidi w:val="0"/>
                    <w:adjustRightInd w:val="0"/>
                    <w:snapToGrid w:val="0"/>
                    <w:spacing w:line="240" w:lineRule="auto"/>
                    <w:jc w:val="center"/>
                    <w:rPr>
                      <w:rFonts w:hint="eastAsia" w:eastAsia="宋体" w:cs="Times New Roman"/>
                      <w:b/>
                      <w:bCs w:val="0"/>
                      <w:color w:val="auto"/>
                      <w:spacing w:val="0"/>
                      <w:kern w:val="0"/>
                      <w:sz w:val="18"/>
                      <w:szCs w:val="18"/>
                      <w:highlight w:val="none"/>
                      <w:lang w:val="en-US" w:eastAsia="zh-CN"/>
                    </w:rPr>
                  </w:pPr>
                  <w:r>
                    <w:rPr>
                      <w:rFonts w:hint="eastAsia" w:ascii="Times New Roman" w:hAnsi="Times New Roman" w:eastAsia="宋体" w:cs="Times New Roman"/>
                      <w:b/>
                      <w:bCs w:val="0"/>
                      <w:color w:val="auto"/>
                      <w:spacing w:val="0"/>
                      <w:kern w:val="0"/>
                      <w:sz w:val="18"/>
                      <w:szCs w:val="18"/>
                      <w:highlight w:val="none"/>
                      <w:lang w:val="en-US" w:eastAsia="zh-CN"/>
                    </w:rPr>
                    <w:t>实际排放量</w:t>
                  </w:r>
                </w:p>
              </w:tc>
              <w:tc>
                <w:tcPr>
                  <w:tcW w:w="1273" w:type="pct"/>
                  <w:gridSpan w:val="3"/>
                  <w:tcBorders>
                    <w:tl2br w:val="nil"/>
                    <w:tr2bl w:val="nil"/>
                  </w:tcBorders>
                  <w:noWrap w:val="0"/>
                  <w:vAlign w:val="center"/>
                </w:tcPr>
                <w:p w14:paraId="2D8E6055">
                  <w:pPr>
                    <w:pStyle w:val="70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val="0"/>
                      <w:color w:val="auto"/>
                      <w:spacing w:val="0"/>
                      <w:kern w:val="0"/>
                      <w:sz w:val="18"/>
                      <w:szCs w:val="18"/>
                      <w:highlight w:val="none"/>
                    </w:rPr>
                  </w:pPr>
                  <w:r>
                    <w:rPr>
                      <w:rFonts w:hint="default" w:ascii="Times New Roman" w:hAnsi="Times New Roman" w:eastAsia="宋体" w:cs="Times New Roman"/>
                      <w:b/>
                      <w:bCs w:val="0"/>
                      <w:color w:val="auto"/>
                      <w:spacing w:val="0"/>
                      <w:kern w:val="0"/>
                      <w:sz w:val="18"/>
                      <w:szCs w:val="18"/>
                      <w:highlight w:val="none"/>
                      <w:lang w:val="en-US" w:eastAsia="zh-CN"/>
                    </w:rPr>
                    <w:t>本项目</w:t>
                  </w:r>
                </w:p>
              </w:tc>
              <w:tc>
                <w:tcPr>
                  <w:tcW w:w="1485" w:type="pct"/>
                  <w:gridSpan w:val="3"/>
                  <w:tcBorders>
                    <w:tl2br w:val="nil"/>
                    <w:tr2bl w:val="nil"/>
                  </w:tcBorders>
                  <w:noWrap w:val="0"/>
                  <w:vAlign w:val="center"/>
                </w:tcPr>
                <w:p w14:paraId="51319C4E">
                  <w:pPr>
                    <w:pStyle w:val="70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val="0"/>
                      <w:color w:val="auto"/>
                      <w:spacing w:val="0"/>
                      <w:kern w:val="0"/>
                      <w:sz w:val="18"/>
                      <w:szCs w:val="18"/>
                      <w:highlight w:val="none"/>
                      <w:lang w:val="en-US" w:eastAsia="zh-CN"/>
                    </w:rPr>
                  </w:pPr>
                  <w:r>
                    <w:rPr>
                      <w:rFonts w:hint="default" w:ascii="Times New Roman" w:hAnsi="Times New Roman" w:eastAsia="宋体" w:cs="Times New Roman"/>
                      <w:b/>
                      <w:bCs w:val="0"/>
                      <w:color w:val="auto"/>
                      <w:spacing w:val="0"/>
                      <w:kern w:val="0"/>
                      <w:sz w:val="18"/>
                      <w:szCs w:val="18"/>
                      <w:highlight w:val="none"/>
                      <w:lang w:val="en-US" w:eastAsia="zh-CN"/>
                    </w:rPr>
                    <w:t>全厂</w:t>
                  </w:r>
                </w:p>
              </w:tc>
              <w:tc>
                <w:tcPr>
                  <w:tcW w:w="460" w:type="pct"/>
                  <w:vMerge w:val="restart"/>
                  <w:tcBorders>
                    <w:tl2br w:val="nil"/>
                    <w:tr2bl w:val="nil"/>
                  </w:tcBorders>
                  <w:noWrap w:val="0"/>
                  <w:vAlign w:val="center"/>
                </w:tcPr>
                <w:p w14:paraId="3269D9C7">
                  <w:pPr>
                    <w:pStyle w:val="70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val="0"/>
                      <w:color w:val="auto"/>
                      <w:spacing w:val="0"/>
                      <w:kern w:val="0"/>
                      <w:sz w:val="18"/>
                      <w:szCs w:val="18"/>
                      <w:highlight w:val="none"/>
                      <w:lang w:val="en-US" w:eastAsia="zh-CN"/>
                    </w:rPr>
                  </w:pPr>
                  <w:r>
                    <w:rPr>
                      <w:rFonts w:hint="default" w:ascii="Times New Roman" w:hAnsi="Times New Roman" w:eastAsia="宋体" w:cs="Times New Roman"/>
                      <w:b/>
                      <w:bCs w:val="0"/>
                      <w:color w:val="auto"/>
                      <w:spacing w:val="0"/>
                      <w:kern w:val="0"/>
                      <w:sz w:val="18"/>
                      <w:szCs w:val="18"/>
                      <w:highlight w:val="none"/>
                      <w:lang w:val="en-US" w:eastAsia="zh-CN"/>
                    </w:rPr>
                    <w:t>本项目需申请总量</w:t>
                  </w:r>
                </w:p>
              </w:tc>
            </w:tr>
            <w:tr w14:paraId="7E0D048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510" w:hRule="atLeast"/>
                <w:jc w:val="center"/>
              </w:trPr>
              <w:tc>
                <w:tcPr>
                  <w:tcW w:w="349" w:type="pct"/>
                  <w:vMerge w:val="continue"/>
                  <w:tcBorders>
                    <w:tl2br w:val="nil"/>
                    <w:tr2bl w:val="nil"/>
                  </w:tcBorders>
                  <w:noWrap w:val="0"/>
                  <w:vAlign w:val="center"/>
                </w:tcPr>
                <w:p w14:paraId="294E1DE4">
                  <w:pPr>
                    <w:pStyle w:val="70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val="0"/>
                      <w:color w:val="auto"/>
                      <w:spacing w:val="0"/>
                      <w:kern w:val="0"/>
                      <w:sz w:val="18"/>
                      <w:szCs w:val="18"/>
                      <w:highlight w:val="none"/>
                    </w:rPr>
                  </w:pPr>
                </w:p>
              </w:tc>
              <w:tc>
                <w:tcPr>
                  <w:tcW w:w="615" w:type="pct"/>
                  <w:vMerge w:val="continue"/>
                  <w:tcBorders>
                    <w:tl2br w:val="nil"/>
                    <w:tr2bl w:val="nil"/>
                  </w:tcBorders>
                  <w:noWrap w:val="0"/>
                  <w:vAlign w:val="center"/>
                </w:tcPr>
                <w:p w14:paraId="36F7CE68">
                  <w:pPr>
                    <w:pStyle w:val="70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val="0"/>
                      <w:color w:val="auto"/>
                      <w:spacing w:val="0"/>
                      <w:kern w:val="0"/>
                      <w:sz w:val="18"/>
                      <w:szCs w:val="18"/>
                      <w:highlight w:val="none"/>
                      <w:lang w:val="en-US" w:eastAsia="zh-CN"/>
                    </w:rPr>
                  </w:pPr>
                </w:p>
              </w:tc>
              <w:tc>
                <w:tcPr>
                  <w:tcW w:w="407" w:type="pct"/>
                  <w:vMerge w:val="continue"/>
                  <w:tcBorders>
                    <w:tl2br w:val="nil"/>
                    <w:tr2bl w:val="nil"/>
                  </w:tcBorders>
                  <w:noWrap w:val="0"/>
                  <w:vAlign w:val="center"/>
                </w:tcPr>
                <w:p w14:paraId="2394F98D">
                  <w:pPr>
                    <w:pStyle w:val="70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val="0"/>
                      <w:color w:val="auto"/>
                      <w:spacing w:val="0"/>
                      <w:kern w:val="0"/>
                      <w:sz w:val="18"/>
                      <w:szCs w:val="18"/>
                      <w:highlight w:val="none"/>
                    </w:rPr>
                  </w:pPr>
                </w:p>
              </w:tc>
              <w:tc>
                <w:tcPr>
                  <w:tcW w:w="408" w:type="pct"/>
                  <w:vMerge w:val="continue"/>
                  <w:tcBorders>
                    <w:tl2br w:val="nil"/>
                    <w:tr2bl w:val="nil"/>
                  </w:tcBorders>
                  <w:noWrap w:val="0"/>
                  <w:vAlign w:val="center"/>
                </w:tcPr>
                <w:p w14:paraId="646AACA5">
                  <w:pPr>
                    <w:pStyle w:val="70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val="0"/>
                      <w:color w:val="auto"/>
                      <w:spacing w:val="0"/>
                      <w:kern w:val="0"/>
                      <w:sz w:val="18"/>
                      <w:szCs w:val="18"/>
                      <w:highlight w:val="none"/>
                    </w:rPr>
                  </w:pPr>
                </w:p>
              </w:tc>
              <w:tc>
                <w:tcPr>
                  <w:tcW w:w="421" w:type="pct"/>
                  <w:tcBorders>
                    <w:tl2br w:val="nil"/>
                    <w:tr2bl w:val="nil"/>
                  </w:tcBorders>
                  <w:noWrap w:val="0"/>
                  <w:vAlign w:val="center"/>
                </w:tcPr>
                <w:p w14:paraId="52327E20">
                  <w:pPr>
                    <w:pStyle w:val="70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val="0"/>
                      <w:color w:val="auto"/>
                      <w:spacing w:val="0"/>
                      <w:kern w:val="0"/>
                      <w:sz w:val="18"/>
                      <w:szCs w:val="18"/>
                      <w:highlight w:val="none"/>
                      <w:lang w:val="en-US" w:eastAsia="zh-CN" w:bidi="ar-SA"/>
                    </w:rPr>
                  </w:pPr>
                  <w:r>
                    <w:rPr>
                      <w:rFonts w:hint="default" w:ascii="Times New Roman" w:hAnsi="Times New Roman" w:eastAsia="宋体" w:cs="Times New Roman"/>
                      <w:b/>
                      <w:bCs w:val="0"/>
                      <w:color w:val="auto"/>
                      <w:spacing w:val="0"/>
                      <w:kern w:val="0"/>
                      <w:sz w:val="18"/>
                      <w:szCs w:val="18"/>
                      <w:highlight w:val="none"/>
                    </w:rPr>
                    <w:t>产生量</w:t>
                  </w:r>
                </w:p>
              </w:tc>
              <w:tc>
                <w:tcPr>
                  <w:tcW w:w="439" w:type="pct"/>
                  <w:tcBorders>
                    <w:tl2br w:val="nil"/>
                    <w:tr2bl w:val="nil"/>
                  </w:tcBorders>
                  <w:noWrap w:val="0"/>
                  <w:vAlign w:val="center"/>
                </w:tcPr>
                <w:p w14:paraId="0C4BD177">
                  <w:pPr>
                    <w:pStyle w:val="70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val="0"/>
                      <w:color w:val="auto"/>
                      <w:spacing w:val="0"/>
                      <w:kern w:val="0"/>
                      <w:sz w:val="18"/>
                      <w:szCs w:val="18"/>
                      <w:highlight w:val="none"/>
                      <w:lang w:val="en-US" w:eastAsia="zh-CN" w:bidi="ar-SA"/>
                    </w:rPr>
                  </w:pPr>
                  <w:r>
                    <w:rPr>
                      <w:rFonts w:hint="default" w:ascii="Times New Roman" w:hAnsi="Times New Roman" w:eastAsia="宋体" w:cs="Times New Roman"/>
                      <w:b/>
                      <w:bCs w:val="0"/>
                      <w:color w:val="auto"/>
                      <w:spacing w:val="0"/>
                      <w:kern w:val="0"/>
                      <w:sz w:val="18"/>
                      <w:szCs w:val="18"/>
                      <w:highlight w:val="none"/>
                    </w:rPr>
                    <w:t>削减量</w:t>
                  </w:r>
                </w:p>
              </w:tc>
              <w:tc>
                <w:tcPr>
                  <w:tcW w:w="412" w:type="pct"/>
                  <w:tcBorders>
                    <w:tl2br w:val="nil"/>
                    <w:tr2bl w:val="nil"/>
                  </w:tcBorders>
                  <w:noWrap w:val="0"/>
                  <w:vAlign w:val="center"/>
                </w:tcPr>
                <w:p w14:paraId="36228F72">
                  <w:pPr>
                    <w:pStyle w:val="70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val="0"/>
                      <w:color w:val="auto"/>
                      <w:spacing w:val="0"/>
                      <w:kern w:val="0"/>
                      <w:sz w:val="18"/>
                      <w:szCs w:val="18"/>
                      <w:highlight w:val="none"/>
                      <w:lang w:val="en-US" w:eastAsia="zh-CN" w:bidi="ar-SA"/>
                    </w:rPr>
                  </w:pPr>
                  <w:r>
                    <w:rPr>
                      <w:rFonts w:hint="default" w:ascii="Times New Roman" w:hAnsi="Times New Roman" w:eastAsia="宋体" w:cs="Times New Roman"/>
                      <w:b/>
                      <w:bCs w:val="0"/>
                      <w:color w:val="auto"/>
                      <w:spacing w:val="0"/>
                      <w:kern w:val="0"/>
                      <w:sz w:val="18"/>
                      <w:szCs w:val="18"/>
                      <w:highlight w:val="none"/>
                      <w:lang w:val="en-US" w:eastAsia="zh-CN" w:bidi="ar-SA"/>
                    </w:rPr>
                    <w:t>排放量</w:t>
                  </w:r>
                </w:p>
              </w:tc>
              <w:tc>
                <w:tcPr>
                  <w:tcW w:w="458" w:type="pct"/>
                  <w:tcBorders>
                    <w:tl2br w:val="nil"/>
                    <w:tr2bl w:val="nil"/>
                  </w:tcBorders>
                  <w:noWrap w:val="0"/>
                  <w:vAlign w:val="center"/>
                </w:tcPr>
                <w:p w14:paraId="67524F93">
                  <w:pPr>
                    <w:pStyle w:val="70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val="0"/>
                      <w:color w:val="auto"/>
                      <w:spacing w:val="0"/>
                      <w:kern w:val="0"/>
                      <w:sz w:val="18"/>
                      <w:szCs w:val="18"/>
                      <w:highlight w:val="none"/>
                    </w:rPr>
                  </w:pPr>
                  <w:r>
                    <w:rPr>
                      <w:rFonts w:hint="default" w:ascii="Times New Roman" w:hAnsi="Times New Roman" w:eastAsia="宋体" w:cs="Times New Roman"/>
                      <w:b/>
                      <w:bCs/>
                      <w:color w:val="auto"/>
                      <w:spacing w:val="0"/>
                      <w:kern w:val="0"/>
                      <w:sz w:val="18"/>
                      <w:szCs w:val="18"/>
                      <w:highlight w:val="none"/>
                    </w:rPr>
                    <w:t>以新带老削减量</w:t>
                  </w:r>
                </w:p>
              </w:tc>
              <w:tc>
                <w:tcPr>
                  <w:tcW w:w="495" w:type="pct"/>
                  <w:tcBorders>
                    <w:tl2br w:val="nil"/>
                    <w:tr2bl w:val="nil"/>
                  </w:tcBorders>
                  <w:noWrap w:val="0"/>
                  <w:vAlign w:val="center"/>
                </w:tcPr>
                <w:p w14:paraId="627853BE">
                  <w:pPr>
                    <w:pStyle w:val="70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val="0"/>
                      <w:color w:val="auto"/>
                      <w:spacing w:val="0"/>
                      <w:kern w:val="0"/>
                      <w:sz w:val="18"/>
                      <w:szCs w:val="18"/>
                      <w:highlight w:val="none"/>
                      <w:lang w:val="en-US" w:eastAsia="zh-CN" w:bidi="ar-SA"/>
                    </w:rPr>
                  </w:pPr>
                  <w:r>
                    <w:rPr>
                      <w:rFonts w:hint="default" w:ascii="Times New Roman" w:hAnsi="Times New Roman" w:eastAsia="宋体" w:cs="Times New Roman"/>
                      <w:b/>
                      <w:bCs w:val="0"/>
                      <w:color w:val="auto"/>
                      <w:spacing w:val="0"/>
                      <w:kern w:val="0"/>
                      <w:sz w:val="18"/>
                      <w:szCs w:val="18"/>
                      <w:highlight w:val="none"/>
                      <w:lang w:val="en-US" w:eastAsia="zh-CN" w:bidi="ar-SA"/>
                    </w:rPr>
                    <w:t>全厂排放总量</w:t>
                  </w:r>
                </w:p>
              </w:tc>
              <w:tc>
                <w:tcPr>
                  <w:tcW w:w="531" w:type="pct"/>
                  <w:tcBorders>
                    <w:tl2br w:val="nil"/>
                    <w:tr2bl w:val="nil"/>
                  </w:tcBorders>
                  <w:noWrap w:val="0"/>
                  <w:vAlign w:val="center"/>
                </w:tcPr>
                <w:p w14:paraId="279B8EE4">
                  <w:pPr>
                    <w:pStyle w:val="70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val="0"/>
                      <w:color w:val="auto"/>
                      <w:spacing w:val="0"/>
                      <w:kern w:val="0"/>
                      <w:sz w:val="18"/>
                      <w:szCs w:val="18"/>
                      <w:highlight w:val="none"/>
                      <w:lang w:val="en-US" w:eastAsia="zh-CN"/>
                    </w:rPr>
                  </w:pPr>
                  <w:r>
                    <w:rPr>
                      <w:rFonts w:hint="default" w:ascii="Times New Roman" w:hAnsi="Times New Roman" w:eastAsia="宋体" w:cs="Times New Roman"/>
                      <w:b/>
                      <w:bCs w:val="0"/>
                      <w:color w:val="auto"/>
                      <w:spacing w:val="0"/>
                      <w:kern w:val="0"/>
                      <w:sz w:val="18"/>
                      <w:szCs w:val="18"/>
                      <w:highlight w:val="none"/>
                      <w:lang w:val="en-US" w:eastAsia="zh-CN"/>
                    </w:rPr>
                    <w:t>排放增减量</w:t>
                  </w:r>
                </w:p>
              </w:tc>
              <w:tc>
                <w:tcPr>
                  <w:tcW w:w="460" w:type="pct"/>
                  <w:vMerge w:val="continue"/>
                  <w:tcBorders>
                    <w:tl2br w:val="nil"/>
                    <w:tr2bl w:val="nil"/>
                  </w:tcBorders>
                  <w:noWrap w:val="0"/>
                  <w:vAlign w:val="center"/>
                </w:tcPr>
                <w:p w14:paraId="22D77EBD">
                  <w:pPr>
                    <w:pStyle w:val="700"/>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val="0"/>
                      <w:color w:val="auto"/>
                      <w:spacing w:val="0"/>
                      <w:kern w:val="0"/>
                      <w:sz w:val="18"/>
                      <w:szCs w:val="18"/>
                      <w:highlight w:val="none"/>
                      <w:lang w:val="en-US" w:eastAsia="zh-CN"/>
                    </w:rPr>
                  </w:pPr>
                </w:p>
              </w:tc>
            </w:tr>
            <w:tr w14:paraId="5A1F162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349" w:type="pct"/>
                  <w:vMerge w:val="restart"/>
                  <w:tcBorders>
                    <w:tl2br w:val="nil"/>
                    <w:tr2bl w:val="nil"/>
                  </w:tcBorders>
                  <w:noWrap w:val="0"/>
                  <w:vAlign w:val="center"/>
                </w:tcPr>
                <w:p w14:paraId="41D4CFFC">
                  <w:pPr>
                    <w:pStyle w:val="698"/>
                    <w:keepNext w:val="0"/>
                    <w:keepLines w:val="0"/>
                    <w:pageBreakBefore w:val="0"/>
                    <w:kinsoku/>
                    <w:wordWrap/>
                    <w:overflowPunct/>
                    <w:topLinePunct w:val="0"/>
                    <w:autoSpaceDE/>
                    <w:autoSpaceDN/>
                    <w:bidi w:val="0"/>
                    <w:adjustRightInd w:val="0"/>
                    <w:snapToGrid w:val="0"/>
                    <w:spacing w:line="240" w:lineRule="auto"/>
                    <w:jc w:val="center"/>
                    <w:rPr>
                      <w:rFonts w:hint="eastAsia" w:eastAsia="宋体" w:cs="Times New Roman"/>
                      <w:b w:val="0"/>
                      <w:bCs/>
                      <w:color w:val="auto"/>
                      <w:spacing w:val="0"/>
                      <w:kern w:val="0"/>
                      <w:sz w:val="18"/>
                      <w:szCs w:val="18"/>
                      <w:highlight w:val="none"/>
                      <w:lang w:val="en-US" w:eastAsia="zh-CN"/>
                    </w:rPr>
                  </w:pPr>
                  <w:r>
                    <w:rPr>
                      <w:rFonts w:hint="eastAsia" w:eastAsia="宋体" w:cs="Times New Roman"/>
                      <w:b w:val="0"/>
                      <w:bCs/>
                      <w:color w:val="auto"/>
                      <w:spacing w:val="0"/>
                      <w:kern w:val="0"/>
                      <w:sz w:val="18"/>
                      <w:szCs w:val="18"/>
                      <w:highlight w:val="none"/>
                      <w:lang w:val="en-US" w:eastAsia="zh-CN"/>
                    </w:rPr>
                    <w:t>生活</w:t>
                  </w:r>
                </w:p>
                <w:p w14:paraId="4AD199BF">
                  <w:pPr>
                    <w:pStyle w:val="698"/>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color w:val="auto"/>
                      <w:spacing w:val="0"/>
                      <w:kern w:val="0"/>
                      <w:sz w:val="18"/>
                      <w:szCs w:val="18"/>
                      <w:highlight w:val="none"/>
                      <w:lang w:val="en-US" w:eastAsia="zh-CN"/>
                    </w:rPr>
                  </w:pPr>
                  <w:r>
                    <w:rPr>
                      <w:rFonts w:hint="eastAsia" w:eastAsia="宋体" w:cs="Times New Roman"/>
                      <w:b w:val="0"/>
                      <w:bCs/>
                      <w:color w:val="auto"/>
                      <w:spacing w:val="0"/>
                      <w:kern w:val="0"/>
                      <w:sz w:val="18"/>
                      <w:szCs w:val="18"/>
                      <w:highlight w:val="none"/>
                      <w:lang w:val="en-US" w:eastAsia="zh-CN"/>
                    </w:rPr>
                    <w:t>污水</w:t>
                  </w:r>
                </w:p>
              </w:tc>
              <w:tc>
                <w:tcPr>
                  <w:tcW w:w="615" w:type="pct"/>
                  <w:tcBorders>
                    <w:tl2br w:val="nil"/>
                    <w:tr2bl w:val="nil"/>
                  </w:tcBorders>
                  <w:noWrap w:val="0"/>
                  <w:vAlign w:val="center"/>
                </w:tcPr>
                <w:p w14:paraId="04AF59A1">
                  <w:pPr>
                    <w:keepNext w:val="0"/>
                    <w:keepLines w:val="0"/>
                    <w:pageBreakBefore w:val="0"/>
                    <w:widowControl/>
                    <w:kinsoku/>
                    <w:wordWrap/>
                    <w:overflowPunct/>
                    <w:topLinePunct w:val="0"/>
                    <w:autoSpaceDE/>
                    <w:autoSpaceDN/>
                    <w:bidi w:val="0"/>
                    <w:adjustRightInd w:val="0"/>
                    <w:snapToGrid w:val="0"/>
                    <w:jc w:val="center"/>
                    <w:rPr>
                      <w:rFonts w:hint="default"/>
                      <w:color w:val="auto"/>
                      <w:spacing w:val="0"/>
                      <w:kern w:val="0"/>
                      <w:sz w:val="18"/>
                      <w:szCs w:val="18"/>
                      <w:lang w:val="en-US" w:eastAsia="zh-CN"/>
                    </w:rPr>
                  </w:pPr>
                  <w:r>
                    <w:rPr>
                      <w:rFonts w:hint="eastAsia"/>
                      <w:color w:val="auto"/>
                      <w:spacing w:val="0"/>
                      <w:kern w:val="0"/>
                      <w:sz w:val="18"/>
                      <w:szCs w:val="18"/>
                      <w:lang w:val="en-US" w:eastAsia="zh-CN"/>
                    </w:rPr>
                    <w:t>废水量</w:t>
                  </w:r>
                </w:p>
              </w:tc>
              <w:tc>
                <w:tcPr>
                  <w:tcW w:w="407" w:type="pct"/>
                  <w:tcBorders>
                    <w:tl2br w:val="nil"/>
                    <w:tr2bl w:val="nil"/>
                  </w:tcBorders>
                  <w:shd w:val="clear" w:color="auto" w:fill="auto"/>
                  <w:noWrap w:val="0"/>
                  <w:vAlign w:val="center"/>
                </w:tcPr>
                <w:p w14:paraId="72CE6204">
                  <w:pPr>
                    <w:widowControl/>
                    <w:adjustRightInd w:val="0"/>
                    <w:snapToGrid w:val="0"/>
                    <w:jc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color w:val="auto"/>
                      <w:sz w:val="18"/>
                      <w:szCs w:val="18"/>
                      <w:lang w:val="en-US" w:eastAsia="zh-CN"/>
                    </w:rPr>
                    <w:t>420</w:t>
                  </w:r>
                </w:p>
              </w:tc>
              <w:tc>
                <w:tcPr>
                  <w:tcW w:w="408" w:type="pct"/>
                  <w:tcBorders>
                    <w:tl2br w:val="nil"/>
                    <w:tr2bl w:val="nil"/>
                  </w:tcBorders>
                  <w:shd w:val="clear" w:color="auto" w:fill="auto"/>
                  <w:noWrap w:val="0"/>
                  <w:vAlign w:val="center"/>
                </w:tcPr>
                <w:p w14:paraId="0A93D6ED">
                  <w:pPr>
                    <w:keepNext w:val="0"/>
                    <w:keepLines w:val="0"/>
                    <w:pageBreakBefore w:val="0"/>
                    <w:widowControl/>
                    <w:kinsoku/>
                    <w:wordWrap/>
                    <w:overflowPunct/>
                    <w:topLinePunct w:val="0"/>
                    <w:autoSpaceDE/>
                    <w:autoSpaceDN/>
                    <w:bidi w:val="0"/>
                    <w:adjustRightInd w:val="0"/>
                    <w:snapToGrid w:val="0"/>
                    <w:jc w:val="center"/>
                    <w:rPr>
                      <w:rFonts w:hint="eastAsia" w:cs="Times New Roman"/>
                      <w:i w:val="0"/>
                      <w:iCs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420</w:t>
                  </w:r>
                </w:p>
              </w:tc>
              <w:tc>
                <w:tcPr>
                  <w:tcW w:w="421" w:type="pct"/>
                  <w:tcBorders>
                    <w:tl2br w:val="nil"/>
                    <w:tr2bl w:val="nil"/>
                  </w:tcBorders>
                  <w:noWrap w:val="0"/>
                  <w:vAlign w:val="center"/>
                </w:tcPr>
                <w:p w14:paraId="4B02118E">
                  <w:pPr>
                    <w:keepNext w:val="0"/>
                    <w:keepLines w:val="0"/>
                    <w:pageBreakBefore w:val="0"/>
                    <w:widowControl/>
                    <w:kinsoku/>
                    <w:wordWrap/>
                    <w:overflowPunct/>
                    <w:topLinePunct w:val="0"/>
                    <w:autoSpaceDE/>
                    <w:autoSpaceDN/>
                    <w:bidi w:val="0"/>
                    <w:adjustRightInd w:val="0"/>
                    <w:snapToGrid w:val="0"/>
                    <w:jc w:val="center"/>
                    <w:textAlignment w:val="center"/>
                    <w:rPr>
                      <w:rFonts w:hint="default"/>
                      <w:color w:val="auto"/>
                      <w:spacing w:val="0"/>
                      <w:kern w:val="0"/>
                      <w:sz w:val="18"/>
                      <w:szCs w:val="18"/>
                      <w:lang w:val="en-US" w:eastAsia="zh-CN"/>
                    </w:rPr>
                  </w:pPr>
                  <w:r>
                    <w:rPr>
                      <w:rFonts w:hint="eastAsia"/>
                      <w:color w:val="auto"/>
                      <w:kern w:val="0"/>
                      <w:sz w:val="18"/>
                      <w:szCs w:val="18"/>
                      <w:lang w:val="en-US" w:eastAsia="zh-CN" w:bidi="ar"/>
                    </w:rPr>
                    <w:t>840</w:t>
                  </w:r>
                </w:p>
              </w:tc>
              <w:tc>
                <w:tcPr>
                  <w:tcW w:w="439" w:type="pct"/>
                  <w:tcBorders>
                    <w:tl2br w:val="nil"/>
                    <w:tr2bl w:val="nil"/>
                  </w:tcBorders>
                  <w:noWrap w:val="0"/>
                  <w:vAlign w:val="center"/>
                </w:tcPr>
                <w:p w14:paraId="4B3CD7CA">
                  <w:pPr>
                    <w:keepNext w:val="0"/>
                    <w:keepLines w:val="0"/>
                    <w:pageBreakBefore w:val="0"/>
                    <w:widowControl/>
                    <w:kinsoku/>
                    <w:wordWrap/>
                    <w:overflowPunct/>
                    <w:topLinePunct w:val="0"/>
                    <w:autoSpaceDE/>
                    <w:autoSpaceDN/>
                    <w:bidi w:val="0"/>
                    <w:adjustRightInd w:val="0"/>
                    <w:snapToGrid w:val="0"/>
                    <w:jc w:val="center"/>
                    <w:rPr>
                      <w:rFonts w:hint="default"/>
                      <w:color w:val="auto"/>
                      <w:spacing w:val="0"/>
                      <w:kern w:val="0"/>
                      <w:sz w:val="18"/>
                      <w:szCs w:val="18"/>
                      <w:lang w:val="en-US" w:eastAsia="zh-CN"/>
                    </w:rPr>
                  </w:pPr>
                  <w:r>
                    <w:rPr>
                      <w:rFonts w:hint="eastAsia"/>
                      <w:color w:val="auto"/>
                      <w:spacing w:val="0"/>
                      <w:kern w:val="0"/>
                      <w:sz w:val="18"/>
                      <w:szCs w:val="18"/>
                      <w:lang w:val="en-US" w:eastAsia="zh-CN"/>
                    </w:rPr>
                    <w:t>0</w:t>
                  </w:r>
                </w:p>
              </w:tc>
              <w:tc>
                <w:tcPr>
                  <w:tcW w:w="412" w:type="pct"/>
                  <w:tcBorders>
                    <w:tl2br w:val="nil"/>
                    <w:tr2bl w:val="nil"/>
                  </w:tcBorders>
                  <w:noWrap w:val="0"/>
                  <w:vAlign w:val="center"/>
                </w:tcPr>
                <w:p w14:paraId="5017672E">
                  <w:pPr>
                    <w:keepNext w:val="0"/>
                    <w:keepLines w:val="0"/>
                    <w:pageBreakBefore w:val="0"/>
                    <w:widowControl/>
                    <w:kinsoku/>
                    <w:wordWrap/>
                    <w:overflowPunct/>
                    <w:topLinePunct w:val="0"/>
                    <w:autoSpaceDE/>
                    <w:autoSpaceDN/>
                    <w:bidi w:val="0"/>
                    <w:adjustRightInd w:val="0"/>
                    <w:snapToGrid w:val="0"/>
                    <w:jc w:val="center"/>
                    <w:textAlignment w:val="center"/>
                    <w:rPr>
                      <w:rFonts w:hint="default"/>
                      <w:color w:val="auto"/>
                      <w:spacing w:val="0"/>
                      <w:kern w:val="0"/>
                      <w:sz w:val="18"/>
                      <w:szCs w:val="18"/>
                      <w:lang w:val="en-US" w:eastAsia="zh-CN"/>
                    </w:rPr>
                  </w:pPr>
                  <w:r>
                    <w:rPr>
                      <w:rFonts w:hint="eastAsia"/>
                      <w:color w:val="auto"/>
                      <w:kern w:val="0"/>
                      <w:sz w:val="18"/>
                      <w:szCs w:val="18"/>
                      <w:lang w:val="en-US" w:eastAsia="zh-CN" w:bidi="ar"/>
                    </w:rPr>
                    <w:t>840</w:t>
                  </w:r>
                </w:p>
              </w:tc>
              <w:tc>
                <w:tcPr>
                  <w:tcW w:w="458" w:type="pct"/>
                  <w:tcBorders>
                    <w:tl2br w:val="nil"/>
                    <w:tr2bl w:val="nil"/>
                  </w:tcBorders>
                  <w:noWrap w:val="0"/>
                  <w:vAlign w:val="center"/>
                </w:tcPr>
                <w:p w14:paraId="6FBD637D">
                  <w:pPr>
                    <w:widowControl/>
                    <w:adjustRightInd w:val="0"/>
                    <w:snapToGrid w:val="0"/>
                    <w:jc w:val="center"/>
                    <w:rPr>
                      <w:rFonts w:hint="eastAsia"/>
                      <w:color w:val="auto"/>
                      <w:spacing w:val="0"/>
                      <w:kern w:val="0"/>
                      <w:sz w:val="18"/>
                      <w:szCs w:val="18"/>
                      <w:lang w:val="en-US" w:eastAsia="zh-CN"/>
                    </w:rPr>
                  </w:pPr>
                  <w:r>
                    <w:rPr>
                      <w:rFonts w:hint="eastAsia"/>
                      <w:color w:val="auto"/>
                      <w:sz w:val="18"/>
                      <w:szCs w:val="18"/>
                      <w:lang w:val="en-US" w:eastAsia="zh-CN"/>
                    </w:rPr>
                    <w:t>420</w:t>
                  </w:r>
                </w:p>
              </w:tc>
              <w:tc>
                <w:tcPr>
                  <w:tcW w:w="495" w:type="pct"/>
                  <w:tcBorders>
                    <w:tl2br w:val="nil"/>
                    <w:tr2bl w:val="nil"/>
                  </w:tcBorders>
                  <w:shd w:val="clear" w:color="auto" w:fill="auto"/>
                  <w:noWrap w:val="0"/>
                  <w:vAlign w:val="center"/>
                </w:tcPr>
                <w:p w14:paraId="65B283F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snapToGrid w:val="0"/>
                      <w:color w:val="auto"/>
                      <w:spacing w:val="0"/>
                      <w:kern w:val="0"/>
                      <w:sz w:val="18"/>
                      <w:szCs w:val="18"/>
                      <w:lang w:val="en-US" w:eastAsia="zh-CN" w:bidi="ar-SA"/>
                    </w:rPr>
                  </w:pPr>
                  <w:r>
                    <w:rPr>
                      <w:rFonts w:hint="eastAsia"/>
                      <w:color w:val="auto"/>
                      <w:kern w:val="0"/>
                      <w:sz w:val="18"/>
                      <w:szCs w:val="18"/>
                      <w:lang w:val="en-US" w:eastAsia="zh-CN" w:bidi="ar"/>
                    </w:rPr>
                    <w:t>840</w:t>
                  </w:r>
                </w:p>
              </w:tc>
              <w:tc>
                <w:tcPr>
                  <w:tcW w:w="531" w:type="pct"/>
                  <w:tcBorders>
                    <w:tl2br w:val="nil"/>
                    <w:tr2bl w:val="nil"/>
                  </w:tcBorders>
                  <w:shd w:val="clear" w:color="auto" w:fill="auto"/>
                  <w:noWrap w:val="0"/>
                  <w:vAlign w:val="center"/>
                </w:tcPr>
                <w:p w14:paraId="4CB0D0F2">
                  <w:pPr>
                    <w:keepNext w:val="0"/>
                    <w:keepLines w:val="0"/>
                    <w:widowControl/>
                    <w:suppressLineNumbers w:val="0"/>
                    <w:jc w:val="center"/>
                    <w:textAlignment w:val="center"/>
                    <w:rPr>
                      <w:rFonts w:hint="eastAsia" w:ascii="Times New Roman" w:hAnsi="Times New Roman" w:eastAsia="宋体" w:cs="Times New Roman"/>
                      <w:i w:val="0"/>
                      <w:iCs w:val="0"/>
                      <w:snapToGrid w:val="0"/>
                      <w:color w:val="auto"/>
                      <w:kern w:val="0"/>
                      <w:sz w:val="18"/>
                      <w:szCs w:val="18"/>
                      <w:u w:val="none"/>
                      <w:lang w:val="en-US" w:eastAsia="zh-CN" w:bidi="ar"/>
                    </w:rPr>
                  </w:pPr>
                  <w:r>
                    <w:rPr>
                      <w:rFonts w:hint="eastAsia" w:ascii="Times New Roman" w:hAnsi="Times New Roman" w:eastAsia="宋体" w:cs="Times New Roman"/>
                      <w:i w:val="0"/>
                      <w:iCs w:val="0"/>
                      <w:snapToGrid w:val="0"/>
                      <w:color w:val="auto"/>
                      <w:kern w:val="0"/>
                      <w:sz w:val="18"/>
                      <w:szCs w:val="18"/>
                      <w:u w:val="none"/>
                      <w:lang w:val="en-US" w:eastAsia="zh-CN" w:bidi="ar"/>
                    </w:rPr>
                    <w:t>420</w:t>
                  </w:r>
                </w:p>
              </w:tc>
              <w:tc>
                <w:tcPr>
                  <w:tcW w:w="460" w:type="pct"/>
                  <w:tcBorders>
                    <w:tl2br w:val="nil"/>
                    <w:tr2bl w:val="nil"/>
                  </w:tcBorders>
                  <w:noWrap w:val="0"/>
                  <w:vAlign w:val="center"/>
                </w:tcPr>
                <w:p w14:paraId="56F1865B">
                  <w:pPr>
                    <w:keepNext w:val="0"/>
                    <w:keepLines w:val="0"/>
                    <w:widowControl/>
                    <w:suppressLineNumbers w:val="0"/>
                    <w:jc w:val="center"/>
                    <w:textAlignment w:val="center"/>
                    <w:rPr>
                      <w:rFonts w:hint="default"/>
                      <w:b/>
                      <w:bCs/>
                      <w:color w:val="auto"/>
                      <w:spacing w:val="0"/>
                      <w:kern w:val="0"/>
                      <w:sz w:val="18"/>
                      <w:szCs w:val="18"/>
                      <w:lang w:val="en-US" w:eastAsia="zh-CN"/>
                    </w:rPr>
                  </w:pPr>
                  <w:r>
                    <w:rPr>
                      <w:rFonts w:hint="eastAsia" w:ascii="Times New Roman" w:hAnsi="Times New Roman" w:eastAsia="宋体" w:cs="Times New Roman"/>
                      <w:b/>
                      <w:bCs/>
                      <w:i w:val="0"/>
                      <w:iCs w:val="0"/>
                      <w:snapToGrid w:val="0"/>
                      <w:color w:val="auto"/>
                      <w:kern w:val="0"/>
                      <w:sz w:val="18"/>
                      <w:szCs w:val="18"/>
                      <w:u w:val="none"/>
                      <w:lang w:val="en-US" w:eastAsia="zh-CN" w:bidi="ar"/>
                    </w:rPr>
                    <w:t>420</w:t>
                  </w:r>
                </w:p>
              </w:tc>
            </w:tr>
            <w:tr w14:paraId="5238B89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349" w:type="pct"/>
                  <w:vMerge w:val="continue"/>
                  <w:tcBorders>
                    <w:tl2br w:val="nil"/>
                    <w:tr2bl w:val="nil"/>
                  </w:tcBorders>
                  <w:noWrap w:val="0"/>
                  <w:vAlign w:val="center"/>
                </w:tcPr>
                <w:p w14:paraId="23D9F6BF">
                  <w:pPr>
                    <w:pStyle w:val="698"/>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spacing w:val="0"/>
                      <w:kern w:val="0"/>
                      <w:sz w:val="18"/>
                      <w:szCs w:val="18"/>
                      <w:highlight w:val="none"/>
                    </w:rPr>
                  </w:pPr>
                </w:p>
              </w:tc>
              <w:tc>
                <w:tcPr>
                  <w:tcW w:w="615" w:type="pct"/>
                  <w:tcBorders>
                    <w:tl2br w:val="nil"/>
                    <w:tr2bl w:val="nil"/>
                  </w:tcBorders>
                  <w:shd w:val="clear" w:color="auto" w:fill="auto"/>
                  <w:noWrap w:val="0"/>
                  <w:vAlign w:val="center"/>
                </w:tcPr>
                <w:p w14:paraId="4BE335A7">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b w:val="0"/>
                      <w:bCs/>
                      <w:snapToGrid w:val="0"/>
                      <w:color w:val="auto"/>
                      <w:spacing w:val="0"/>
                      <w:kern w:val="0"/>
                      <w:sz w:val="18"/>
                      <w:szCs w:val="18"/>
                      <w:highlight w:val="none"/>
                      <w:lang w:val="en-US" w:eastAsia="zh-CN" w:bidi="ar-SA"/>
                    </w:rPr>
                  </w:pPr>
                  <w:r>
                    <w:rPr>
                      <w:color w:val="auto"/>
                      <w:spacing w:val="0"/>
                      <w:kern w:val="0"/>
                      <w:sz w:val="18"/>
                      <w:szCs w:val="18"/>
                    </w:rPr>
                    <w:t>COD</w:t>
                  </w:r>
                </w:p>
              </w:tc>
              <w:tc>
                <w:tcPr>
                  <w:tcW w:w="407" w:type="pct"/>
                  <w:tcBorders>
                    <w:tl2br w:val="nil"/>
                    <w:tr2bl w:val="nil"/>
                  </w:tcBorders>
                  <w:shd w:val="clear" w:color="auto" w:fill="auto"/>
                  <w:noWrap w:val="0"/>
                  <w:vAlign w:val="center"/>
                </w:tcPr>
                <w:p w14:paraId="564A7FC9">
                  <w:pPr>
                    <w:widowControl/>
                    <w:adjustRightInd w:val="0"/>
                    <w:snapToGrid w:val="0"/>
                    <w:jc w:val="center"/>
                    <w:rPr>
                      <w:rFonts w:hint="default" w:ascii="Times New Roman" w:hAnsi="Times New Roman" w:eastAsia="宋体" w:cs="Times New Roman"/>
                      <w:snapToGrid w:val="0"/>
                      <w:color w:val="auto"/>
                      <w:kern w:val="2"/>
                      <w:sz w:val="18"/>
                      <w:szCs w:val="18"/>
                      <w:highlight w:val="none"/>
                      <w:lang w:val="en-US" w:eastAsia="zh-CN" w:bidi="ar-SA"/>
                    </w:rPr>
                  </w:pPr>
                  <w:r>
                    <w:rPr>
                      <w:rFonts w:hint="eastAsia"/>
                      <w:color w:val="auto"/>
                      <w:sz w:val="18"/>
                      <w:szCs w:val="18"/>
                      <w:lang w:val="en-US" w:eastAsia="zh-CN"/>
                    </w:rPr>
                    <w:t>0.1428</w:t>
                  </w:r>
                </w:p>
              </w:tc>
              <w:tc>
                <w:tcPr>
                  <w:tcW w:w="408" w:type="pct"/>
                  <w:tcBorders>
                    <w:tl2br w:val="nil"/>
                    <w:tr2bl w:val="nil"/>
                  </w:tcBorders>
                  <w:shd w:val="clear" w:color="auto" w:fill="auto"/>
                  <w:noWrap w:val="0"/>
                  <w:vAlign w:val="center"/>
                </w:tcPr>
                <w:p w14:paraId="2367AEB6">
                  <w:pPr>
                    <w:widowControl/>
                    <w:adjustRightInd w:val="0"/>
                    <w:snapToGrid w:val="0"/>
                    <w:jc w:val="center"/>
                    <w:rPr>
                      <w:rFonts w:hint="eastAsia"/>
                      <w:color w:val="auto"/>
                      <w:sz w:val="18"/>
                      <w:szCs w:val="18"/>
                      <w:highlight w:val="none"/>
                      <w:lang w:val="en-US" w:eastAsia="zh-CN"/>
                    </w:rPr>
                  </w:pPr>
                  <w:r>
                    <w:rPr>
                      <w:rFonts w:hint="eastAsia"/>
                      <w:color w:val="auto"/>
                      <w:sz w:val="18"/>
                      <w:szCs w:val="18"/>
                      <w:lang w:val="en-US" w:eastAsia="zh-CN"/>
                    </w:rPr>
                    <w:t>0.0827</w:t>
                  </w:r>
                </w:p>
              </w:tc>
              <w:tc>
                <w:tcPr>
                  <w:tcW w:w="735" w:type="dxa"/>
                  <w:tcBorders>
                    <w:tl2br w:val="nil"/>
                    <w:tr2bl w:val="nil"/>
                  </w:tcBorders>
                  <w:noWrap w:val="0"/>
                  <w:vAlign w:val="center"/>
                </w:tcPr>
                <w:p w14:paraId="5C8093BF">
                  <w:pPr>
                    <w:keepNext w:val="0"/>
                    <w:keepLines w:val="0"/>
                    <w:widowControl/>
                    <w:suppressLineNumbers w:val="0"/>
                    <w:jc w:val="center"/>
                    <w:textAlignment w:val="center"/>
                    <w:rPr>
                      <w:rFonts w:hint="eastAsia"/>
                      <w:color w:val="auto"/>
                      <w:spacing w:val="0"/>
                      <w:kern w:val="0"/>
                      <w:sz w:val="18"/>
                      <w:szCs w:val="18"/>
                      <w:lang w:val="en-US" w:eastAsia="zh-CN"/>
                    </w:rPr>
                  </w:pPr>
                  <w:r>
                    <w:rPr>
                      <w:rFonts w:hint="default" w:ascii="Times New Roman" w:hAnsi="Times New Roman" w:eastAsia="宋体" w:cs="Times New Roman"/>
                      <w:i w:val="0"/>
                      <w:iCs w:val="0"/>
                      <w:snapToGrid w:val="0"/>
                      <w:color w:val="auto"/>
                      <w:kern w:val="0"/>
                      <w:sz w:val="18"/>
                      <w:szCs w:val="18"/>
                      <w:u w:val="none"/>
                      <w:lang w:val="en-US" w:eastAsia="zh-CN" w:bidi="ar"/>
                    </w:rPr>
                    <w:t>0.336</w:t>
                  </w:r>
                </w:p>
              </w:tc>
              <w:tc>
                <w:tcPr>
                  <w:tcW w:w="439" w:type="pct"/>
                  <w:tcBorders>
                    <w:tl2br w:val="nil"/>
                    <w:tr2bl w:val="nil"/>
                  </w:tcBorders>
                  <w:noWrap w:val="0"/>
                  <w:vAlign w:val="center"/>
                </w:tcPr>
                <w:p w14:paraId="302DF328">
                  <w:pPr>
                    <w:keepNext w:val="0"/>
                    <w:keepLines w:val="0"/>
                    <w:pageBreakBefore w:val="0"/>
                    <w:widowControl/>
                    <w:kinsoku/>
                    <w:wordWrap/>
                    <w:overflowPunct/>
                    <w:topLinePunct w:val="0"/>
                    <w:autoSpaceDE/>
                    <w:autoSpaceDN/>
                    <w:bidi w:val="0"/>
                    <w:adjustRightInd w:val="0"/>
                    <w:snapToGrid w:val="0"/>
                    <w:jc w:val="center"/>
                    <w:rPr>
                      <w:rFonts w:hint="default"/>
                      <w:color w:val="auto"/>
                      <w:spacing w:val="0"/>
                      <w:kern w:val="0"/>
                      <w:sz w:val="18"/>
                      <w:szCs w:val="18"/>
                      <w:lang w:val="en-US" w:eastAsia="zh-CN"/>
                    </w:rPr>
                  </w:pPr>
                  <w:r>
                    <w:rPr>
                      <w:rFonts w:hint="eastAsia"/>
                      <w:color w:val="auto"/>
                      <w:spacing w:val="0"/>
                      <w:kern w:val="0"/>
                      <w:sz w:val="18"/>
                      <w:szCs w:val="18"/>
                      <w:lang w:val="en-US" w:eastAsia="zh-CN"/>
                    </w:rPr>
                    <w:t>0</w:t>
                  </w:r>
                </w:p>
              </w:tc>
              <w:tc>
                <w:tcPr>
                  <w:tcW w:w="720" w:type="dxa"/>
                  <w:tcBorders>
                    <w:tl2br w:val="nil"/>
                    <w:tr2bl w:val="nil"/>
                  </w:tcBorders>
                  <w:noWrap w:val="0"/>
                  <w:vAlign w:val="center"/>
                </w:tcPr>
                <w:p w14:paraId="5FC40CE0">
                  <w:pPr>
                    <w:keepNext w:val="0"/>
                    <w:keepLines w:val="0"/>
                    <w:widowControl/>
                    <w:suppressLineNumbers w:val="0"/>
                    <w:jc w:val="center"/>
                    <w:textAlignment w:val="center"/>
                    <w:rPr>
                      <w:rFonts w:hint="eastAsia"/>
                      <w:color w:val="auto"/>
                      <w:spacing w:val="0"/>
                      <w:kern w:val="0"/>
                      <w:sz w:val="18"/>
                      <w:szCs w:val="18"/>
                      <w:lang w:val="en-US" w:eastAsia="zh-CN"/>
                    </w:rPr>
                  </w:pPr>
                  <w:r>
                    <w:rPr>
                      <w:rFonts w:hint="default" w:ascii="Times New Roman" w:hAnsi="Times New Roman" w:eastAsia="宋体" w:cs="Times New Roman"/>
                      <w:i w:val="0"/>
                      <w:iCs w:val="0"/>
                      <w:snapToGrid w:val="0"/>
                      <w:color w:val="auto"/>
                      <w:kern w:val="0"/>
                      <w:sz w:val="18"/>
                      <w:szCs w:val="18"/>
                      <w:u w:val="none"/>
                      <w:lang w:val="en-US" w:eastAsia="zh-CN" w:bidi="ar"/>
                    </w:rPr>
                    <w:t>0.336</w:t>
                  </w:r>
                </w:p>
              </w:tc>
              <w:tc>
                <w:tcPr>
                  <w:tcW w:w="458" w:type="pct"/>
                  <w:tcBorders>
                    <w:tl2br w:val="nil"/>
                    <w:tr2bl w:val="nil"/>
                  </w:tcBorders>
                  <w:noWrap w:val="0"/>
                  <w:vAlign w:val="center"/>
                </w:tcPr>
                <w:p w14:paraId="5B429CD4">
                  <w:pPr>
                    <w:widowControl/>
                    <w:adjustRightInd w:val="0"/>
                    <w:snapToGrid w:val="0"/>
                    <w:jc w:val="center"/>
                    <w:rPr>
                      <w:rFonts w:hint="eastAsia"/>
                      <w:color w:val="auto"/>
                      <w:spacing w:val="0"/>
                      <w:kern w:val="0"/>
                      <w:sz w:val="18"/>
                      <w:szCs w:val="18"/>
                      <w:lang w:val="en-US" w:eastAsia="zh-CN"/>
                    </w:rPr>
                  </w:pPr>
                  <w:r>
                    <w:rPr>
                      <w:rFonts w:hint="eastAsia"/>
                      <w:color w:val="auto"/>
                      <w:sz w:val="18"/>
                      <w:szCs w:val="18"/>
                      <w:lang w:val="en-US" w:eastAsia="zh-CN"/>
                    </w:rPr>
                    <w:t>0.1428</w:t>
                  </w:r>
                </w:p>
              </w:tc>
              <w:tc>
                <w:tcPr>
                  <w:tcW w:w="865" w:type="dxa"/>
                  <w:tcBorders>
                    <w:tl2br w:val="nil"/>
                    <w:tr2bl w:val="nil"/>
                  </w:tcBorders>
                  <w:shd w:val="clear" w:color="auto" w:fill="auto"/>
                  <w:noWrap w:val="0"/>
                  <w:vAlign w:val="center"/>
                </w:tcPr>
                <w:p w14:paraId="6E804DE0">
                  <w:pPr>
                    <w:keepNext w:val="0"/>
                    <w:keepLines w:val="0"/>
                    <w:widowControl/>
                    <w:suppressLineNumbers w:val="0"/>
                    <w:jc w:val="center"/>
                    <w:textAlignment w:val="center"/>
                    <w:rPr>
                      <w:rFonts w:hint="eastAsia" w:ascii="Times New Roman" w:hAnsi="Times New Roman" w:eastAsia="宋体" w:cs="Times New Roman"/>
                      <w:snapToGrid w:val="0"/>
                      <w:color w:val="auto"/>
                      <w:spacing w:val="0"/>
                      <w:kern w:val="0"/>
                      <w:sz w:val="18"/>
                      <w:szCs w:val="18"/>
                      <w:lang w:val="en-US" w:eastAsia="zh-CN" w:bidi="ar-SA"/>
                    </w:rPr>
                  </w:pPr>
                  <w:r>
                    <w:rPr>
                      <w:rFonts w:hint="default" w:ascii="Times New Roman" w:hAnsi="Times New Roman" w:eastAsia="宋体" w:cs="Times New Roman"/>
                      <w:i w:val="0"/>
                      <w:iCs w:val="0"/>
                      <w:snapToGrid w:val="0"/>
                      <w:color w:val="auto"/>
                      <w:kern w:val="0"/>
                      <w:sz w:val="18"/>
                      <w:szCs w:val="18"/>
                      <w:u w:val="none"/>
                      <w:lang w:val="en-US" w:eastAsia="zh-CN" w:bidi="ar"/>
                    </w:rPr>
                    <w:t>0.336</w:t>
                  </w:r>
                </w:p>
              </w:tc>
              <w:tc>
                <w:tcPr>
                  <w:tcW w:w="928" w:type="dxa"/>
                  <w:tcBorders>
                    <w:tl2br w:val="nil"/>
                    <w:tr2bl w:val="nil"/>
                  </w:tcBorders>
                  <w:shd w:val="clear" w:color="auto" w:fill="auto"/>
                  <w:noWrap w:val="0"/>
                  <w:vAlign w:val="center"/>
                </w:tcPr>
                <w:p w14:paraId="089D26B1">
                  <w:pPr>
                    <w:keepNext w:val="0"/>
                    <w:keepLines w:val="0"/>
                    <w:widowControl/>
                    <w:suppressLineNumbers w:val="0"/>
                    <w:jc w:val="center"/>
                    <w:textAlignment w:val="center"/>
                    <w:rPr>
                      <w:rFonts w:hint="eastAsia" w:ascii="Times New Roman" w:hAnsi="Times New Roman" w:eastAsia="宋体" w:cs="Times New Roman"/>
                      <w:i w:val="0"/>
                      <w:iCs w:val="0"/>
                      <w:snapToGrid w:val="0"/>
                      <w:color w:val="auto"/>
                      <w:kern w:val="0"/>
                      <w:sz w:val="18"/>
                      <w:szCs w:val="18"/>
                      <w:u w:val="none"/>
                      <w:lang w:val="en-US" w:eastAsia="zh-CN" w:bidi="ar"/>
                    </w:rPr>
                  </w:pPr>
                  <w:r>
                    <w:rPr>
                      <w:rFonts w:hint="default" w:ascii="Times New Roman" w:hAnsi="Times New Roman" w:eastAsia="宋体" w:cs="Times New Roman"/>
                      <w:i w:val="0"/>
                      <w:iCs w:val="0"/>
                      <w:snapToGrid w:val="0"/>
                      <w:color w:val="auto"/>
                      <w:kern w:val="0"/>
                      <w:sz w:val="18"/>
                      <w:szCs w:val="18"/>
                      <w:u w:val="none"/>
                      <w:lang w:val="en-US" w:eastAsia="zh-CN" w:bidi="ar"/>
                    </w:rPr>
                    <w:t>0.1932</w:t>
                  </w:r>
                </w:p>
              </w:tc>
              <w:tc>
                <w:tcPr>
                  <w:tcW w:w="804" w:type="dxa"/>
                  <w:tcBorders>
                    <w:tl2br w:val="nil"/>
                    <w:tr2bl w:val="nil"/>
                  </w:tcBorders>
                  <w:noWrap w:val="0"/>
                  <w:vAlign w:val="center"/>
                </w:tcPr>
                <w:p w14:paraId="1DC808A9">
                  <w:pPr>
                    <w:keepNext w:val="0"/>
                    <w:keepLines w:val="0"/>
                    <w:widowControl/>
                    <w:suppressLineNumbers w:val="0"/>
                    <w:jc w:val="center"/>
                    <w:textAlignment w:val="center"/>
                    <w:rPr>
                      <w:rFonts w:hint="default"/>
                      <w:b/>
                      <w:bCs/>
                      <w:color w:val="auto"/>
                      <w:spacing w:val="0"/>
                      <w:kern w:val="0"/>
                      <w:sz w:val="18"/>
                      <w:szCs w:val="18"/>
                      <w:lang w:val="en-US" w:eastAsia="zh-CN"/>
                    </w:rPr>
                  </w:pPr>
                  <w:r>
                    <w:rPr>
                      <w:rFonts w:hint="default" w:ascii="Times New Roman" w:hAnsi="Times New Roman" w:eastAsia="宋体" w:cs="Times New Roman"/>
                      <w:b/>
                      <w:bCs/>
                      <w:i w:val="0"/>
                      <w:iCs w:val="0"/>
                      <w:snapToGrid w:val="0"/>
                      <w:color w:val="auto"/>
                      <w:kern w:val="0"/>
                      <w:sz w:val="18"/>
                      <w:szCs w:val="18"/>
                      <w:u w:val="none"/>
                      <w:lang w:val="en-US" w:eastAsia="zh-CN" w:bidi="ar"/>
                    </w:rPr>
                    <w:t>0.1932</w:t>
                  </w:r>
                </w:p>
              </w:tc>
            </w:tr>
            <w:tr w14:paraId="523F312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349" w:type="pct"/>
                  <w:vMerge w:val="continue"/>
                  <w:tcBorders>
                    <w:tl2br w:val="nil"/>
                    <w:tr2bl w:val="nil"/>
                  </w:tcBorders>
                  <w:noWrap w:val="0"/>
                  <w:vAlign w:val="center"/>
                </w:tcPr>
                <w:p w14:paraId="7691D732">
                  <w:pPr>
                    <w:pStyle w:val="698"/>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spacing w:val="0"/>
                      <w:kern w:val="0"/>
                      <w:sz w:val="18"/>
                      <w:szCs w:val="18"/>
                      <w:highlight w:val="none"/>
                    </w:rPr>
                  </w:pPr>
                </w:p>
              </w:tc>
              <w:tc>
                <w:tcPr>
                  <w:tcW w:w="615" w:type="pct"/>
                  <w:tcBorders>
                    <w:tl2br w:val="nil"/>
                    <w:tr2bl w:val="nil"/>
                  </w:tcBorders>
                  <w:shd w:val="clear" w:color="auto" w:fill="auto"/>
                  <w:noWrap w:val="0"/>
                  <w:vAlign w:val="center"/>
                </w:tcPr>
                <w:p w14:paraId="33143EC8">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b w:val="0"/>
                      <w:bCs/>
                      <w:snapToGrid w:val="0"/>
                      <w:color w:val="auto"/>
                      <w:spacing w:val="0"/>
                      <w:kern w:val="0"/>
                      <w:sz w:val="18"/>
                      <w:szCs w:val="18"/>
                      <w:highlight w:val="none"/>
                      <w:lang w:val="en-US" w:eastAsia="zh-CN" w:bidi="ar-SA"/>
                    </w:rPr>
                  </w:pPr>
                  <w:r>
                    <w:rPr>
                      <w:color w:val="auto"/>
                      <w:spacing w:val="0"/>
                      <w:kern w:val="0"/>
                      <w:sz w:val="18"/>
                      <w:szCs w:val="18"/>
                    </w:rPr>
                    <w:t>SS</w:t>
                  </w:r>
                </w:p>
              </w:tc>
              <w:tc>
                <w:tcPr>
                  <w:tcW w:w="407" w:type="pct"/>
                  <w:tcBorders>
                    <w:tl2br w:val="nil"/>
                    <w:tr2bl w:val="nil"/>
                  </w:tcBorders>
                  <w:shd w:val="clear" w:color="auto" w:fill="auto"/>
                  <w:noWrap w:val="0"/>
                  <w:vAlign w:val="center"/>
                </w:tcPr>
                <w:p w14:paraId="629C4F1D">
                  <w:pPr>
                    <w:widowControl/>
                    <w:adjustRightInd w:val="0"/>
                    <w:snapToGrid w:val="0"/>
                    <w:jc w:val="center"/>
                    <w:rPr>
                      <w:rFonts w:hint="eastAsia" w:ascii="Times New Roman" w:hAnsi="Times New Roman" w:eastAsia="宋体" w:cs="Times New Roman"/>
                      <w:snapToGrid w:val="0"/>
                      <w:color w:val="auto"/>
                      <w:kern w:val="2"/>
                      <w:sz w:val="18"/>
                      <w:szCs w:val="18"/>
                      <w:highlight w:val="none"/>
                      <w:lang w:val="en-US" w:eastAsia="zh-CN" w:bidi="ar-SA"/>
                    </w:rPr>
                  </w:pPr>
                  <w:r>
                    <w:rPr>
                      <w:rFonts w:hint="eastAsia"/>
                      <w:color w:val="auto"/>
                      <w:sz w:val="18"/>
                      <w:szCs w:val="18"/>
                      <w:lang w:val="en-US" w:eastAsia="zh-CN"/>
                    </w:rPr>
                    <w:t>0.0672</w:t>
                  </w:r>
                </w:p>
              </w:tc>
              <w:tc>
                <w:tcPr>
                  <w:tcW w:w="408" w:type="pct"/>
                  <w:tcBorders>
                    <w:tl2br w:val="nil"/>
                    <w:tr2bl w:val="nil"/>
                  </w:tcBorders>
                  <w:shd w:val="clear" w:color="auto" w:fill="auto"/>
                  <w:noWrap w:val="0"/>
                  <w:vAlign w:val="center"/>
                </w:tcPr>
                <w:p w14:paraId="57A9F923">
                  <w:pPr>
                    <w:widowControl/>
                    <w:adjustRightInd w:val="0"/>
                    <w:snapToGrid w:val="0"/>
                    <w:jc w:val="center"/>
                    <w:rPr>
                      <w:rFonts w:hint="eastAsia"/>
                      <w:color w:val="auto"/>
                      <w:sz w:val="18"/>
                      <w:szCs w:val="18"/>
                      <w:highlight w:val="none"/>
                      <w:lang w:val="en-US" w:eastAsia="zh-CN"/>
                    </w:rPr>
                  </w:pPr>
                  <w:r>
                    <w:rPr>
                      <w:rFonts w:hint="eastAsia"/>
                      <w:color w:val="auto"/>
                      <w:sz w:val="18"/>
                      <w:szCs w:val="18"/>
                      <w:lang w:val="en-US" w:eastAsia="zh-CN"/>
                    </w:rPr>
                    <w:t>0.037</w:t>
                  </w:r>
                </w:p>
              </w:tc>
              <w:tc>
                <w:tcPr>
                  <w:tcW w:w="735" w:type="dxa"/>
                  <w:tcBorders>
                    <w:tl2br w:val="nil"/>
                    <w:tr2bl w:val="nil"/>
                  </w:tcBorders>
                  <w:noWrap w:val="0"/>
                  <w:vAlign w:val="center"/>
                </w:tcPr>
                <w:p w14:paraId="64F8F7C5">
                  <w:pPr>
                    <w:keepNext w:val="0"/>
                    <w:keepLines w:val="0"/>
                    <w:widowControl/>
                    <w:suppressLineNumbers w:val="0"/>
                    <w:jc w:val="center"/>
                    <w:textAlignment w:val="center"/>
                    <w:rPr>
                      <w:rFonts w:hint="eastAsia"/>
                      <w:color w:val="auto"/>
                      <w:spacing w:val="0"/>
                      <w:kern w:val="0"/>
                      <w:sz w:val="18"/>
                      <w:szCs w:val="18"/>
                      <w:lang w:val="en-US" w:eastAsia="zh-CN"/>
                    </w:rPr>
                  </w:pPr>
                  <w:r>
                    <w:rPr>
                      <w:rFonts w:hint="default" w:ascii="Times New Roman" w:hAnsi="Times New Roman" w:eastAsia="宋体" w:cs="Times New Roman"/>
                      <w:i w:val="0"/>
                      <w:iCs w:val="0"/>
                      <w:snapToGrid w:val="0"/>
                      <w:color w:val="auto"/>
                      <w:kern w:val="0"/>
                      <w:sz w:val="18"/>
                      <w:szCs w:val="18"/>
                      <w:u w:val="none"/>
                      <w:lang w:val="en-US" w:eastAsia="zh-CN" w:bidi="ar"/>
                    </w:rPr>
                    <w:t>0.168</w:t>
                  </w:r>
                </w:p>
              </w:tc>
              <w:tc>
                <w:tcPr>
                  <w:tcW w:w="439" w:type="pct"/>
                  <w:tcBorders>
                    <w:tl2br w:val="nil"/>
                    <w:tr2bl w:val="nil"/>
                  </w:tcBorders>
                  <w:noWrap w:val="0"/>
                  <w:vAlign w:val="center"/>
                </w:tcPr>
                <w:p w14:paraId="543764E3">
                  <w:pPr>
                    <w:keepNext w:val="0"/>
                    <w:keepLines w:val="0"/>
                    <w:pageBreakBefore w:val="0"/>
                    <w:widowControl/>
                    <w:kinsoku/>
                    <w:wordWrap/>
                    <w:overflowPunct/>
                    <w:topLinePunct w:val="0"/>
                    <w:autoSpaceDE/>
                    <w:autoSpaceDN/>
                    <w:bidi w:val="0"/>
                    <w:adjustRightInd w:val="0"/>
                    <w:snapToGrid w:val="0"/>
                    <w:jc w:val="center"/>
                    <w:rPr>
                      <w:rFonts w:hint="default"/>
                      <w:color w:val="auto"/>
                      <w:spacing w:val="0"/>
                      <w:kern w:val="0"/>
                      <w:sz w:val="18"/>
                      <w:szCs w:val="18"/>
                      <w:lang w:val="en-US" w:eastAsia="zh-CN"/>
                    </w:rPr>
                  </w:pPr>
                  <w:r>
                    <w:rPr>
                      <w:rFonts w:hint="eastAsia"/>
                      <w:color w:val="auto"/>
                      <w:spacing w:val="0"/>
                      <w:kern w:val="0"/>
                      <w:sz w:val="18"/>
                      <w:szCs w:val="18"/>
                      <w:lang w:val="en-US" w:eastAsia="zh-CN"/>
                    </w:rPr>
                    <w:t>0</w:t>
                  </w:r>
                </w:p>
              </w:tc>
              <w:tc>
                <w:tcPr>
                  <w:tcW w:w="720" w:type="dxa"/>
                  <w:tcBorders>
                    <w:tl2br w:val="nil"/>
                    <w:tr2bl w:val="nil"/>
                  </w:tcBorders>
                  <w:noWrap w:val="0"/>
                  <w:vAlign w:val="center"/>
                </w:tcPr>
                <w:p w14:paraId="09BB0DC0">
                  <w:pPr>
                    <w:keepNext w:val="0"/>
                    <w:keepLines w:val="0"/>
                    <w:widowControl/>
                    <w:suppressLineNumbers w:val="0"/>
                    <w:jc w:val="center"/>
                    <w:textAlignment w:val="center"/>
                    <w:rPr>
                      <w:rFonts w:hint="eastAsia"/>
                      <w:color w:val="auto"/>
                      <w:spacing w:val="0"/>
                      <w:kern w:val="0"/>
                      <w:sz w:val="18"/>
                      <w:szCs w:val="18"/>
                      <w:lang w:val="en-US" w:eastAsia="zh-CN"/>
                    </w:rPr>
                  </w:pPr>
                  <w:r>
                    <w:rPr>
                      <w:rFonts w:hint="default" w:ascii="Times New Roman" w:hAnsi="Times New Roman" w:eastAsia="宋体" w:cs="Times New Roman"/>
                      <w:i w:val="0"/>
                      <w:iCs w:val="0"/>
                      <w:snapToGrid w:val="0"/>
                      <w:color w:val="auto"/>
                      <w:kern w:val="0"/>
                      <w:sz w:val="18"/>
                      <w:szCs w:val="18"/>
                      <w:u w:val="none"/>
                      <w:lang w:val="en-US" w:eastAsia="zh-CN" w:bidi="ar"/>
                    </w:rPr>
                    <w:t>0.168</w:t>
                  </w:r>
                </w:p>
              </w:tc>
              <w:tc>
                <w:tcPr>
                  <w:tcW w:w="458" w:type="pct"/>
                  <w:tcBorders>
                    <w:tl2br w:val="nil"/>
                    <w:tr2bl w:val="nil"/>
                  </w:tcBorders>
                  <w:noWrap w:val="0"/>
                  <w:vAlign w:val="center"/>
                </w:tcPr>
                <w:p w14:paraId="748B3D95">
                  <w:pPr>
                    <w:widowControl/>
                    <w:adjustRightInd w:val="0"/>
                    <w:snapToGrid w:val="0"/>
                    <w:jc w:val="center"/>
                    <w:rPr>
                      <w:rFonts w:hint="eastAsia"/>
                      <w:color w:val="auto"/>
                      <w:spacing w:val="0"/>
                      <w:kern w:val="0"/>
                      <w:sz w:val="18"/>
                      <w:szCs w:val="18"/>
                      <w:lang w:val="en-US" w:eastAsia="zh-CN"/>
                    </w:rPr>
                  </w:pPr>
                  <w:r>
                    <w:rPr>
                      <w:rFonts w:hint="eastAsia"/>
                      <w:color w:val="auto"/>
                      <w:sz w:val="18"/>
                      <w:szCs w:val="18"/>
                      <w:lang w:val="en-US" w:eastAsia="zh-CN"/>
                    </w:rPr>
                    <w:t>0.0672</w:t>
                  </w:r>
                </w:p>
              </w:tc>
              <w:tc>
                <w:tcPr>
                  <w:tcW w:w="865" w:type="dxa"/>
                  <w:tcBorders>
                    <w:tl2br w:val="nil"/>
                    <w:tr2bl w:val="nil"/>
                  </w:tcBorders>
                  <w:shd w:val="clear" w:color="auto" w:fill="auto"/>
                  <w:noWrap w:val="0"/>
                  <w:vAlign w:val="center"/>
                </w:tcPr>
                <w:p w14:paraId="26798F4C">
                  <w:pPr>
                    <w:keepNext w:val="0"/>
                    <w:keepLines w:val="0"/>
                    <w:widowControl/>
                    <w:suppressLineNumbers w:val="0"/>
                    <w:jc w:val="center"/>
                    <w:textAlignment w:val="center"/>
                    <w:rPr>
                      <w:rFonts w:hint="eastAsia" w:ascii="Times New Roman" w:hAnsi="Times New Roman" w:eastAsia="宋体" w:cs="Times New Roman"/>
                      <w:snapToGrid w:val="0"/>
                      <w:color w:val="auto"/>
                      <w:spacing w:val="0"/>
                      <w:kern w:val="0"/>
                      <w:sz w:val="18"/>
                      <w:szCs w:val="18"/>
                      <w:lang w:val="en-US" w:eastAsia="zh-CN" w:bidi="ar-SA"/>
                    </w:rPr>
                  </w:pPr>
                  <w:r>
                    <w:rPr>
                      <w:rFonts w:hint="default" w:ascii="Times New Roman" w:hAnsi="Times New Roman" w:eastAsia="宋体" w:cs="Times New Roman"/>
                      <w:i w:val="0"/>
                      <w:iCs w:val="0"/>
                      <w:snapToGrid w:val="0"/>
                      <w:color w:val="auto"/>
                      <w:kern w:val="0"/>
                      <w:sz w:val="18"/>
                      <w:szCs w:val="18"/>
                      <w:u w:val="none"/>
                      <w:lang w:val="en-US" w:eastAsia="zh-CN" w:bidi="ar"/>
                    </w:rPr>
                    <w:t>0.168</w:t>
                  </w:r>
                </w:p>
              </w:tc>
              <w:tc>
                <w:tcPr>
                  <w:tcW w:w="928" w:type="dxa"/>
                  <w:tcBorders>
                    <w:tl2br w:val="nil"/>
                    <w:tr2bl w:val="nil"/>
                  </w:tcBorders>
                  <w:shd w:val="clear" w:color="auto" w:fill="auto"/>
                  <w:noWrap w:val="0"/>
                  <w:vAlign w:val="center"/>
                </w:tcPr>
                <w:p w14:paraId="673274F4">
                  <w:pPr>
                    <w:keepNext w:val="0"/>
                    <w:keepLines w:val="0"/>
                    <w:widowControl/>
                    <w:suppressLineNumbers w:val="0"/>
                    <w:jc w:val="center"/>
                    <w:textAlignment w:val="center"/>
                    <w:rPr>
                      <w:rFonts w:hint="eastAsia" w:ascii="Times New Roman" w:hAnsi="Times New Roman" w:eastAsia="宋体" w:cs="Times New Roman"/>
                      <w:i w:val="0"/>
                      <w:iCs w:val="0"/>
                      <w:snapToGrid w:val="0"/>
                      <w:color w:val="auto"/>
                      <w:kern w:val="0"/>
                      <w:sz w:val="18"/>
                      <w:szCs w:val="18"/>
                      <w:u w:val="none"/>
                      <w:lang w:val="en-US" w:eastAsia="zh-CN" w:bidi="ar"/>
                    </w:rPr>
                  </w:pPr>
                  <w:r>
                    <w:rPr>
                      <w:rFonts w:hint="default" w:ascii="Times New Roman" w:hAnsi="Times New Roman" w:eastAsia="宋体" w:cs="Times New Roman"/>
                      <w:i w:val="0"/>
                      <w:iCs w:val="0"/>
                      <w:snapToGrid w:val="0"/>
                      <w:color w:val="auto"/>
                      <w:kern w:val="0"/>
                      <w:sz w:val="18"/>
                      <w:szCs w:val="18"/>
                      <w:u w:val="none"/>
                      <w:lang w:val="en-US" w:eastAsia="zh-CN" w:bidi="ar"/>
                    </w:rPr>
                    <w:t>0.1008</w:t>
                  </w:r>
                </w:p>
              </w:tc>
              <w:tc>
                <w:tcPr>
                  <w:tcW w:w="804" w:type="dxa"/>
                  <w:tcBorders>
                    <w:tl2br w:val="nil"/>
                    <w:tr2bl w:val="nil"/>
                  </w:tcBorders>
                  <w:noWrap w:val="0"/>
                  <w:vAlign w:val="center"/>
                </w:tcPr>
                <w:p w14:paraId="3D2D606C">
                  <w:pPr>
                    <w:keepNext w:val="0"/>
                    <w:keepLines w:val="0"/>
                    <w:widowControl/>
                    <w:suppressLineNumbers w:val="0"/>
                    <w:jc w:val="center"/>
                    <w:textAlignment w:val="center"/>
                    <w:rPr>
                      <w:rFonts w:hint="default"/>
                      <w:b/>
                      <w:bCs/>
                      <w:color w:val="auto"/>
                      <w:spacing w:val="0"/>
                      <w:kern w:val="0"/>
                      <w:sz w:val="18"/>
                      <w:szCs w:val="18"/>
                      <w:lang w:val="en-US" w:eastAsia="zh-CN"/>
                    </w:rPr>
                  </w:pPr>
                  <w:r>
                    <w:rPr>
                      <w:rFonts w:hint="default" w:ascii="Times New Roman" w:hAnsi="Times New Roman" w:eastAsia="宋体" w:cs="Times New Roman"/>
                      <w:b/>
                      <w:bCs/>
                      <w:i w:val="0"/>
                      <w:iCs w:val="0"/>
                      <w:snapToGrid w:val="0"/>
                      <w:color w:val="auto"/>
                      <w:kern w:val="0"/>
                      <w:sz w:val="18"/>
                      <w:szCs w:val="18"/>
                      <w:u w:val="none"/>
                      <w:lang w:val="en-US" w:eastAsia="zh-CN" w:bidi="ar"/>
                    </w:rPr>
                    <w:t>0.1008</w:t>
                  </w:r>
                </w:p>
              </w:tc>
            </w:tr>
            <w:tr w14:paraId="2B16C19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349" w:type="pct"/>
                  <w:vMerge w:val="continue"/>
                  <w:tcBorders>
                    <w:tl2br w:val="nil"/>
                    <w:tr2bl w:val="nil"/>
                  </w:tcBorders>
                  <w:noWrap w:val="0"/>
                  <w:vAlign w:val="center"/>
                </w:tcPr>
                <w:p w14:paraId="352ED1B1">
                  <w:pPr>
                    <w:pStyle w:val="698"/>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spacing w:val="0"/>
                      <w:kern w:val="0"/>
                      <w:sz w:val="18"/>
                      <w:szCs w:val="18"/>
                      <w:highlight w:val="none"/>
                    </w:rPr>
                  </w:pPr>
                </w:p>
              </w:tc>
              <w:tc>
                <w:tcPr>
                  <w:tcW w:w="615" w:type="pct"/>
                  <w:tcBorders>
                    <w:tl2br w:val="nil"/>
                    <w:tr2bl w:val="nil"/>
                  </w:tcBorders>
                  <w:shd w:val="clear" w:color="auto" w:fill="auto"/>
                  <w:noWrap w:val="0"/>
                  <w:vAlign w:val="center"/>
                </w:tcPr>
                <w:p w14:paraId="61D2156E">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b w:val="0"/>
                      <w:bCs/>
                      <w:snapToGrid w:val="0"/>
                      <w:color w:val="auto"/>
                      <w:spacing w:val="0"/>
                      <w:kern w:val="0"/>
                      <w:sz w:val="18"/>
                      <w:szCs w:val="18"/>
                      <w:highlight w:val="none"/>
                      <w:lang w:val="en-US" w:eastAsia="zh-CN" w:bidi="ar-SA"/>
                    </w:rPr>
                  </w:pPr>
                  <w:r>
                    <w:rPr>
                      <w:color w:val="auto"/>
                      <w:spacing w:val="0"/>
                      <w:kern w:val="0"/>
                      <w:sz w:val="18"/>
                      <w:szCs w:val="18"/>
                    </w:rPr>
                    <w:t>N</w:t>
                  </w:r>
                  <w:r>
                    <w:rPr>
                      <w:rFonts w:hint="eastAsia"/>
                      <w:color w:val="auto"/>
                      <w:spacing w:val="0"/>
                      <w:kern w:val="0"/>
                      <w:sz w:val="18"/>
                      <w:szCs w:val="18"/>
                      <w:lang w:val="en-US" w:eastAsia="zh-CN"/>
                    </w:rPr>
                    <w:t>H</w:t>
                  </w:r>
                  <w:r>
                    <w:rPr>
                      <w:rFonts w:hint="eastAsia"/>
                      <w:color w:val="auto"/>
                      <w:spacing w:val="0"/>
                      <w:kern w:val="0"/>
                      <w:sz w:val="18"/>
                      <w:szCs w:val="18"/>
                      <w:vertAlign w:val="subscript"/>
                      <w:lang w:eastAsia="zh-CN"/>
                    </w:rPr>
                    <w:t>3</w:t>
                  </w:r>
                  <w:r>
                    <w:rPr>
                      <w:color w:val="auto"/>
                      <w:spacing w:val="0"/>
                      <w:kern w:val="0"/>
                      <w:sz w:val="18"/>
                      <w:szCs w:val="18"/>
                    </w:rPr>
                    <w:t>-N</w:t>
                  </w:r>
                </w:p>
              </w:tc>
              <w:tc>
                <w:tcPr>
                  <w:tcW w:w="407" w:type="pct"/>
                  <w:tcBorders>
                    <w:tl2br w:val="nil"/>
                    <w:tr2bl w:val="nil"/>
                  </w:tcBorders>
                  <w:shd w:val="clear" w:color="auto" w:fill="auto"/>
                  <w:noWrap w:val="0"/>
                  <w:vAlign w:val="center"/>
                </w:tcPr>
                <w:p w14:paraId="39504ECC">
                  <w:pPr>
                    <w:widowControl/>
                    <w:adjustRightInd w:val="0"/>
                    <w:snapToGrid w:val="0"/>
                    <w:jc w:val="center"/>
                    <w:rPr>
                      <w:rFonts w:hint="eastAsia" w:ascii="Times New Roman" w:hAnsi="Times New Roman" w:eastAsia="宋体" w:cs="Times New Roman"/>
                      <w:snapToGrid w:val="0"/>
                      <w:color w:val="auto"/>
                      <w:kern w:val="2"/>
                      <w:sz w:val="18"/>
                      <w:szCs w:val="18"/>
                      <w:highlight w:val="none"/>
                      <w:lang w:val="en-US" w:eastAsia="zh-CN" w:bidi="ar-SA"/>
                    </w:rPr>
                  </w:pPr>
                  <w:r>
                    <w:rPr>
                      <w:rFonts w:hint="eastAsia"/>
                      <w:color w:val="auto"/>
                      <w:sz w:val="18"/>
                      <w:szCs w:val="18"/>
                      <w:lang w:val="en-US" w:eastAsia="zh-CN"/>
                    </w:rPr>
                    <w:t>0.0105</w:t>
                  </w:r>
                </w:p>
              </w:tc>
              <w:tc>
                <w:tcPr>
                  <w:tcW w:w="408" w:type="pct"/>
                  <w:tcBorders>
                    <w:tl2br w:val="nil"/>
                    <w:tr2bl w:val="nil"/>
                  </w:tcBorders>
                  <w:shd w:val="clear" w:color="auto" w:fill="auto"/>
                  <w:noWrap w:val="0"/>
                  <w:vAlign w:val="center"/>
                </w:tcPr>
                <w:p w14:paraId="39D609AD">
                  <w:pPr>
                    <w:widowControl/>
                    <w:adjustRightInd w:val="0"/>
                    <w:snapToGrid w:val="0"/>
                    <w:jc w:val="center"/>
                    <w:rPr>
                      <w:rFonts w:hint="eastAsia"/>
                      <w:color w:val="auto"/>
                      <w:sz w:val="18"/>
                      <w:szCs w:val="18"/>
                      <w:highlight w:val="none"/>
                      <w:lang w:val="en-US" w:eastAsia="zh-CN"/>
                    </w:rPr>
                  </w:pPr>
                  <w:r>
                    <w:rPr>
                      <w:rFonts w:hint="eastAsia"/>
                      <w:color w:val="auto"/>
                      <w:sz w:val="18"/>
                      <w:szCs w:val="18"/>
                      <w:lang w:val="en-US" w:eastAsia="zh-CN"/>
                    </w:rPr>
                    <w:t>0.0102</w:t>
                  </w:r>
                </w:p>
              </w:tc>
              <w:tc>
                <w:tcPr>
                  <w:tcW w:w="735" w:type="dxa"/>
                  <w:tcBorders>
                    <w:tl2br w:val="nil"/>
                    <w:tr2bl w:val="nil"/>
                  </w:tcBorders>
                  <w:noWrap w:val="0"/>
                  <w:vAlign w:val="center"/>
                </w:tcPr>
                <w:p w14:paraId="32AB8220">
                  <w:pPr>
                    <w:keepNext w:val="0"/>
                    <w:keepLines w:val="0"/>
                    <w:widowControl/>
                    <w:suppressLineNumbers w:val="0"/>
                    <w:jc w:val="center"/>
                    <w:textAlignment w:val="center"/>
                    <w:rPr>
                      <w:rFonts w:hint="eastAsia"/>
                      <w:color w:val="auto"/>
                      <w:spacing w:val="0"/>
                      <w:kern w:val="0"/>
                      <w:sz w:val="18"/>
                      <w:szCs w:val="18"/>
                      <w:lang w:val="en-US" w:eastAsia="zh-CN"/>
                    </w:rPr>
                  </w:pPr>
                  <w:r>
                    <w:rPr>
                      <w:rFonts w:hint="default" w:ascii="Times New Roman" w:hAnsi="Times New Roman" w:eastAsia="宋体" w:cs="Times New Roman"/>
                      <w:i w:val="0"/>
                      <w:iCs w:val="0"/>
                      <w:snapToGrid w:val="0"/>
                      <w:color w:val="auto"/>
                      <w:kern w:val="0"/>
                      <w:sz w:val="18"/>
                      <w:szCs w:val="18"/>
                      <w:u w:val="none"/>
                      <w:lang w:val="en-US" w:eastAsia="zh-CN" w:bidi="ar"/>
                    </w:rPr>
                    <w:t>0.021</w:t>
                  </w:r>
                </w:p>
              </w:tc>
              <w:tc>
                <w:tcPr>
                  <w:tcW w:w="439" w:type="pct"/>
                  <w:tcBorders>
                    <w:tl2br w:val="nil"/>
                    <w:tr2bl w:val="nil"/>
                  </w:tcBorders>
                  <w:noWrap w:val="0"/>
                  <w:vAlign w:val="center"/>
                </w:tcPr>
                <w:p w14:paraId="54A3687E">
                  <w:pPr>
                    <w:keepNext w:val="0"/>
                    <w:keepLines w:val="0"/>
                    <w:pageBreakBefore w:val="0"/>
                    <w:widowControl/>
                    <w:kinsoku/>
                    <w:wordWrap/>
                    <w:overflowPunct/>
                    <w:topLinePunct w:val="0"/>
                    <w:autoSpaceDE/>
                    <w:autoSpaceDN/>
                    <w:bidi w:val="0"/>
                    <w:adjustRightInd w:val="0"/>
                    <w:snapToGrid w:val="0"/>
                    <w:jc w:val="center"/>
                    <w:rPr>
                      <w:rFonts w:hint="default"/>
                      <w:color w:val="auto"/>
                      <w:spacing w:val="0"/>
                      <w:kern w:val="0"/>
                      <w:sz w:val="18"/>
                      <w:szCs w:val="18"/>
                      <w:lang w:val="en-US" w:eastAsia="zh-CN"/>
                    </w:rPr>
                  </w:pPr>
                  <w:r>
                    <w:rPr>
                      <w:rFonts w:hint="eastAsia"/>
                      <w:color w:val="auto"/>
                      <w:spacing w:val="0"/>
                      <w:kern w:val="0"/>
                      <w:sz w:val="18"/>
                      <w:szCs w:val="18"/>
                      <w:lang w:val="en-US" w:eastAsia="zh-CN"/>
                    </w:rPr>
                    <w:t>0</w:t>
                  </w:r>
                </w:p>
              </w:tc>
              <w:tc>
                <w:tcPr>
                  <w:tcW w:w="720" w:type="dxa"/>
                  <w:tcBorders>
                    <w:tl2br w:val="nil"/>
                    <w:tr2bl w:val="nil"/>
                  </w:tcBorders>
                  <w:noWrap w:val="0"/>
                  <w:vAlign w:val="center"/>
                </w:tcPr>
                <w:p w14:paraId="7AB2BB76">
                  <w:pPr>
                    <w:keepNext w:val="0"/>
                    <w:keepLines w:val="0"/>
                    <w:widowControl/>
                    <w:suppressLineNumbers w:val="0"/>
                    <w:jc w:val="center"/>
                    <w:textAlignment w:val="center"/>
                    <w:rPr>
                      <w:rFonts w:hint="eastAsia"/>
                      <w:color w:val="auto"/>
                      <w:spacing w:val="0"/>
                      <w:kern w:val="0"/>
                      <w:sz w:val="18"/>
                      <w:szCs w:val="18"/>
                      <w:lang w:val="en-US" w:eastAsia="zh-CN"/>
                    </w:rPr>
                  </w:pPr>
                  <w:r>
                    <w:rPr>
                      <w:rFonts w:hint="default" w:ascii="Times New Roman" w:hAnsi="Times New Roman" w:eastAsia="宋体" w:cs="Times New Roman"/>
                      <w:i w:val="0"/>
                      <w:iCs w:val="0"/>
                      <w:snapToGrid w:val="0"/>
                      <w:color w:val="auto"/>
                      <w:kern w:val="0"/>
                      <w:sz w:val="18"/>
                      <w:szCs w:val="18"/>
                      <w:u w:val="none"/>
                      <w:lang w:val="en-US" w:eastAsia="zh-CN" w:bidi="ar"/>
                    </w:rPr>
                    <w:t>0.021</w:t>
                  </w:r>
                </w:p>
              </w:tc>
              <w:tc>
                <w:tcPr>
                  <w:tcW w:w="458" w:type="pct"/>
                  <w:tcBorders>
                    <w:tl2br w:val="nil"/>
                    <w:tr2bl w:val="nil"/>
                  </w:tcBorders>
                  <w:noWrap w:val="0"/>
                  <w:vAlign w:val="center"/>
                </w:tcPr>
                <w:p w14:paraId="433C0026">
                  <w:pPr>
                    <w:widowControl/>
                    <w:adjustRightInd w:val="0"/>
                    <w:snapToGrid w:val="0"/>
                    <w:jc w:val="center"/>
                    <w:rPr>
                      <w:rFonts w:hint="eastAsia"/>
                      <w:color w:val="auto"/>
                      <w:spacing w:val="0"/>
                      <w:kern w:val="0"/>
                      <w:sz w:val="18"/>
                      <w:szCs w:val="18"/>
                      <w:lang w:val="en-US" w:eastAsia="zh-CN"/>
                    </w:rPr>
                  </w:pPr>
                  <w:r>
                    <w:rPr>
                      <w:rFonts w:hint="eastAsia"/>
                      <w:color w:val="auto"/>
                      <w:sz w:val="18"/>
                      <w:szCs w:val="18"/>
                      <w:lang w:val="en-US" w:eastAsia="zh-CN"/>
                    </w:rPr>
                    <w:t>0.0105</w:t>
                  </w:r>
                </w:p>
              </w:tc>
              <w:tc>
                <w:tcPr>
                  <w:tcW w:w="865" w:type="dxa"/>
                  <w:tcBorders>
                    <w:tl2br w:val="nil"/>
                    <w:tr2bl w:val="nil"/>
                  </w:tcBorders>
                  <w:shd w:val="clear" w:color="auto" w:fill="auto"/>
                  <w:noWrap w:val="0"/>
                  <w:vAlign w:val="center"/>
                </w:tcPr>
                <w:p w14:paraId="159D6FCF">
                  <w:pPr>
                    <w:keepNext w:val="0"/>
                    <w:keepLines w:val="0"/>
                    <w:widowControl/>
                    <w:suppressLineNumbers w:val="0"/>
                    <w:jc w:val="center"/>
                    <w:textAlignment w:val="center"/>
                    <w:rPr>
                      <w:rFonts w:hint="eastAsia" w:ascii="Times New Roman" w:hAnsi="Times New Roman" w:eastAsia="宋体" w:cs="Times New Roman"/>
                      <w:snapToGrid w:val="0"/>
                      <w:color w:val="auto"/>
                      <w:spacing w:val="0"/>
                      <w:kern w:val="0"/>
                      <w:sz w:val="18"/>
                      <w:szCs w:val="18"/>
                      <w:lang w:val="en-US" w:eastAsia="zh-CN" w:bidi="ar-SA"/>
                    </w:rPr>
                  </w:pPr>
                  <w:r>
                    <w:rPr>
                      <w:rFonts w:hint="default" w:ascii="Times New Roman" w:hAnsi="Times New Roman" w:eastAsia="宋体" w:cs="Times New Roman"/>
                      <w:i w:val="0"/>
                      <w:iCs w:val="0"/>
                      <w:snapToGrid w:val="0"/>
                      <w:color w:val="auto"/>
                      <w:kern w:val="0"/>
                      <w:sz w:val="18"/>
                      <w:szCs w:val="18"/>
                      <w:u w:val="none"/>
                      <w:lang w:val="en-US" w:eastAsia="zh-CN" w:bidi="ar"/>
                    </w:rPr>
                    <w:t>0.021</w:t>
                  </w:r>
                </w:p>
              </w:tc>
              <w:tc>
                <w:tcPr>
                  <w:tcW w:w="928" w:type="dxa"/>
                  <w:tcBorders>
                    <w:tl2br w:val="nil"/>
                    <w:tr2bl w:val="nil"/>
                  </w:tcBorders>
                  <w:shd w:val="clear" w:color="auto" w:fill="auto"/>
                  <w:noWrap w:val="0"/>
                  <w:vAlign w:val="center"/>
                </w:tcPr>
                <w:p w14:paraId="5453FB35">
                  <w:pPr>
                    <w:keepNext w:val="0"/>
                    <w:keepLines w:val="0"/>
                    <w:widowControl/>
                    <w:suppressLineNumbers w:val="0"/>
                    <w:jc w:val="center"/>
                    <w:textAlignment w:val="center"/>
                    <w:rPr>
                      <w:rFonts w:hint="eastAsia" w:ascii="Times New Roman" w:hAnsi="Times New Roman" w:eastAsia="宋体" w:cs="Times New Roman"/>
                      <w:i w:val="0"/>
                      <w:iCs w:val="0"/>
                      <w:snapToGrid w:val="0"/>
                      <w:color w:val="auto"/>
                      <w:kern w:val="0"/>
                      <w:sz w:val="18"/>
                      <w:szCs w:val="18"/>
                      <w:u w:val="none"/>
                      <w:lang w:val="en-US" w:eastAsia="zh-CN" w:bidi="ar"/>
                    </w:rPr>
                  </w:pPr>
                  <w:r>
                    <w:rPr>
                      <w:rFonts w:hint="default" w:ascii="Times New Roman" w:hAnsi="Times New Roman" w:eastAsia="宋体" w:cs="Times New Roman"/>
                      <w:i w:val="0"/>
                      <w:iCs w:val="0"/>
                      <w:snapToGrid w:val="0"/>
                      <w:color w:val="auto"/>
                      <w:kern w:val="0"/>
                      <w:sz w:val="18"/>
                      <w:szCs w:val="18"/>
                      <w:u w:val="none"/>
                      <w:lang w:val="en-US" w:eastAsia="zh-CN" w:bidi="ar"/>
                    </w:rPr>
                    <w:t>0.0105</w:t>
                  </w:r>
                </w:p>
              </w:tc>
              <w:tc>
                <w:tcPr>
                  <w:tcW w:w="804" w:type="dxa"/>
                  <w:tcBorders>
                    <w:tl2br w:val="nil"/>
                    <w:tr2bl w:val="nil"/>
                  </w:tcBorders>
                  <w:noWrap w:val="0"/>
                  <w:vAlign w:val="center"/>
                </w:tcPr>
                <w:p w14:paraId="7F6C719A">
                  <w:pPr>
                    <w:keepNext w:val="0"/>
                    <w:keepLines w:val="0"/>
                    <w:widowControl/>
                    <w:suppressLineNumbers w:val="0"/>
                    <w:jc w:val="center"/>
                    <w:textAlignment w:val="center"/>
                    <w:rPr>
                      <w:rFonts w:hint="default"/>
                      <w:b/>
                      <w:bCs/>
                      <w:color w:val="auto"/>
                      <w:spacing w:val="0"/>
                      <w:kern w:val="0"/>
                      <w:sz w:val="18"/>
                      <w:szCs w:val="18"/>
                      <w:lang w:val="en-US" w:eastAsia="zh-CN"/>
                    </w:rPr>
                  </w:pPr>
                  <w:r>
                    <w:rPr>
                      <w:rFonts w:hint="default" w:ascii="Times New Roman" w:hAnsi="Times New Roman" w:eastAsia="宋体" w:cs="Times New Roman"/>
                      <w:b/>
                      <w:bCs/>
                      <w:i w:val="0"/>
                      <w:iCs w:val="0"/>
                      <w:snapToGrid w:val="0"/>
                      <w:color w:val="auto"/>
                      <w:kern w:val="0"/>
                      <w:sz w:val="18"/>
                      <w:szCs w:val="18"/>
                      <w:u w:val="none"/>
                      <w:lang w:val="en-US" w:eastAsia="zh-CN" w:bidi="ar"/>
                    </w:rPr>
                    <w:t>0.0105</w:t>
                  </w:r>
                </w:p>
              </w:tc>
            </w:tr>
            <w:tr w14:paraId="5C4298C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349" w:type="pct"/>
                  <w:vMerge w:val="continue"/>
                  <w:tcBorders>
                    <w:tl2br w:val="nil"/>
                    <w:tr2bl w:val="nil"/>
                  </w:tcBorders>
                  <w:noWrap w:val="0"/>
                  <w:vAlign w:val="center"/>
                </w:tcPr>
                <w:p w14:paraId="7EA6712E">
                  <w:pPr>
                    <w:pStyle w:val="698"/>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spacing w:val="0"/>
                      <w:kern w:val="0"/>
                      <w:sz w:val="18"/>
                      <w:szCs w:val="18"/>
                      <w:highlight w:val="none"/>
                    </w:rPr>
                  </w:pPr>
                </w:p>
              </w:tc>
              <w:tc>
                <w:tcPr>
                  <w:tcW w:w="615" w:type="pct"/>
                  <w:tcBorders>
                    <w:tl2br w:val="nil"/>
                    <w:tr2bl w:val="nil"/>
                  </w:tcBorders>
                  <w:shd w:val="clear" w:color="auto" w:fill="auto"/>
                  <w:noWrap w:val="0"/>
                  <w:vAlign w:val="center"/>
                </w:tcPr>
                <w:p w14:paraId="7371BA3B">
                  <w:pPr>
                    <w:keepNext w:val="0"/>
                    <w:keepLines w:val="0"/>
                    <w:pageBreakBefore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snapToGrid w:val="0"/>
                      <w:color w:val="auto"/>
                      <w:spacing w:val="0"/>
                      <w:kern w:val="0"/>
                      <w:sz w:val="18"/>
                      <w:szCs w:val="18"/>
                      <w:highlight w:val="none"/>
                      <w:lang w:val="en-US" w:eastAsia="zh-CN" w:bidi="ar-SA"/>
                    </w:rPr>
                  </w:pPr>
                  <w:r>
                    <w:rPr>
                      <w:color w:val="auto"/>
                      <w:spacing w:val="0"/>
                      <w:kern w:val="0"/>
                      <w:sz w:val="18"/>
                      <w:szCs w:val="18"/>
                    </w:rPr>
                    <w:t>TP</w:t>
                  </w:r>
                </w:p>
              </w:tc>
              <w:tc>
                <w:tcPr>
                  <w:tcW w:w="407" w:type="pct"/>
                  <w:tcBorders>
                    <w:tl2br w:val="nil"/>
                    <w:tr2bl w:val="nil"/>
                  </w:tcBorders>
                  <w:shd w:val="clear" w:color="auto" w:fill="auto"/>
                  <w:noWrap w:val="0"/>
                  <w:vAlign w:val="center"/>
                </w:tcPr>
                <w:p w14:paraId="16E739C8">
                  <w:pPr>
                    <w:widowControl/>
                    <w:adjustRightInd w:val="0"/>
                    <w:snapToGrid w:val="0"/>
                    <w:jc w:val="center"/>
                    <w:rPr>
                      <w:rFonts w:hint="eastAsia" w:ascii="Times New Roman" w:hAnsi="Times New Roman" w:eastAsia="宋体" w:cs="Times New Roman"/>
                      <w:snapToGrid w:val="0"/>
                      <w:color w:val="auto"/>
                      <w:kern w:val="2"/>
                      <w:sz w:val="18"/>
                      <w:szCs w:val="18"/>
                      <w:highlight w:val="none"/>
                      <w:lang w:val="en-US" w:eastAsia="zh-CN" w:bidi="ar-SA"/>
                    </w:rPr>
                  </w:pPr>
                  <w:r>
                    <w:rPr>
                      <w:rFonts w:hint="eastAsia"/>
                      <w:color w:val="auto"/>
                      <w:sz w:val="18"/>
                      <w:szCs w:val="18"/>
                      <w:lang w:val="en-US" w:eastAsia="zh-CN"/>
                    </w:rPr>
                    <w:t>0.0013</w:t>
                  </w:r>
                </w:p>
              </w:tc>
              <w:tc>
                <w:tcPr>
                  <w:tcW w:w="408" w:type="pct"/>
                  <w:tcBorders>
                    <w:tl2br w:val="nil"/>
                    <w:tr2bl w:val="nil"/>
                  </w:tcBorders>
                  <w:shd w:val="clear" w:color="auto" w:fill="auto"/>
                  <w:noWrap w:val="0"/>
                  <w:vAlign w:val="center"/>
                </w:tcPr>
                <w:p w14:paraId="26B51EDC">
                  <w:pPr>
                    <w:widowControl/>
                    <w:adjustRightInd w:val="0"/>
                    <w:snapToGrid w:val="0"/>
                    <w:jc w:val="center"/>
                    <w:rPr>
                      <w:rFonts w:hint="eastAsia"/>
                      <w:color w:val="auto"/>
                      <w:sz w:val="18"/>
                      <w:szCs w:val="18"/>
                      <w:highlight w:val="none"/>
                      <w:lang w:val="en-US" w:eastAsia="zh-CN"/>
                    </w:rPr>
                  </w:pPr>
                  <w:r>
                    <w:rPr>
                      <w:rFonts w:hint="eastAsia"/>
                      <w:color w:val="auto"/>
                      <w:sz w:val="18"/>
                      <w:szCs w:val="18"/>
                      <w:lang w:val="en-US" w:eastAsia="zh-CN"/>
                    </w:rPr>
                    <w:t>0.0012</w:t>
                  </w:r>
                </w:p>
              </w:tc>
              <w:tc>
                <w:tcPr>
                  <w:tcW w:w="735" w:type="dxa"/>
                  <w:tcBorders>
                    <w:tl2br w:val="nil"/>
                    <w:tr2bl w:val="nil"/>
                  </w:tcBorders>
                  <w:noWrap w:val="0"/>
                  <w:vAlign w:val="center"/>
                </w:tcPr>
                <w:p w14:paraId="39167157">
                  <w:pPr>
                    <w:keepNext w:val="0"/>
                    <w:keepLines w:val="0"/>
                    <w:widowControl/>
                    <w:suppressLineNumbers w:val="0"/>
                    <w:jc w:val="center"/>
                    <w:textAlignment w:val="center"/>
                    <w:rPr>
                      <w:rFonts w:hint="eastAsia"/>
                      <w:color w:val="auto"/>
                      <w:spacing w:val="0"/>
                      <w:kern w:val="0"/>
                      <w:sz w:val="18"/>
                      <w:szCs w:val="18"/>
                      <w:lang w:val="en-US" w:eastAsia="zh-CN"/>
                    </w:rPr>
                  </w:pPr>
                  <w:r>
                    <w:rPr>
                      <w:rFonts w:hint="default" w:ascii="Times New Roman" w:hAnsi="Times New Roman" w:eastAsia="宋体" w:cs="Times New Roman"/>
                      <w:i w:val="0"/>
                      <w:iCs w:val="0"/>
                      <w:snapToGrid w:val="0"/>
                      <w:color w:val="auto"/>
                      <w:kern w:val="0"/>
                      <w:sz w:val="18"/>
                      <w:szCs w:val="18"/>
                      <w:u w:val="none"/>
                      <w:lang w:val="en-US" w:eastAsia="zh-CN" w:bidi="ar"/>
                    </w:rPr>
                    <w:t>0.00252</w:t>
                  </w:r>
                </w:p>
              </w:tc>
              <w:tc>
                <w:tcPr>
                  <w:tcW w:w="439" w:type="pct"/>
                  <w:tcBorders>
                    <w:tl2br w:val="nil"/>
                    <w:tr2bl w:val="nil"/>
                  </w:tcBorders>
                  <w:noWrap w:val="0"/>
                  <w:vAlign w:val="center"/>
                </w:tcPr>
                <w:p w14:paraId="02E90D97">
                  <w:pPr>
                    <w:keepNext w:val="0"/>
                    <w:keepLines w:val="0"/>
                    <w:pageBreakBefore w:val="0"/>
                    <w:widowControl/>
                    <w:kinsoku/>
                    <w:wordWrap/>
                    <w:overflowPunct/>
                    <w:topLinePunct w:val="0"/>
                    <w:autoSpaceDE/>
                    <w:autoSpaceDN/>
                    <w:bidi w:val="0"/>
                    <w:adjustRightInd w:val="0"/>
                    <w:snapToGrid w:val="0"/>
                    <w:jc w:val="center"/>
                    <w:rPr>
                      <w:rFonts w:hint="default"/>
                      <w:color w:val="auto"/>
                      <w:spacing w:val="0"/>
                      <w:kern w:val="0"/>
                      <w:sz w:val="18"/>
                      <w:szCs w:val="18"/>
                      <w:lang w:val="en-US" w:eastAsia="zh-CN"/>
                    </w:rPr>
                  </w:pPr>
                  <w:r>
                    <w:rPr>
                      <w:rFonts w:hint="eastAsia"/>
                      <w:color w:val="auto"/>
                      <w:spacing w:val="0"/>
                      <w:kern w:val="0"/>
                      <w:sz w:val="18"/>
                      <w:szCs w:val="18"/>
                      <w:lang w:val="en-US" w:eastAsia="zh-CN"/>
                    </w:rPr>
                    <w:t>0</w:t>
                  </w:r>
                </w:p>
              </w:tc>
              <w:tc>
                <w:tcPr>
                  <w:tcW w:w="720" w:type="dxa"/>
                  <w:tcBorders>
                    <w:tl2br w:val="nil"/>
                    <w:tr2bl w:val="nil"/>
                  </w:tcBorders>
                  <w:noWrap w:val="0"/>
                  <w:vAlign w:val="center"/>
                </w:tcPr>
                <w:p w14:paraId="3A7440D2">
                  <w:pPr>
                    <w:keepNext w:val="0"/>
                    <w:keepLines w:val="0"/>
                    <w:widowControl/>
                    <w:suppressLineNumbers w:val="0"/>
                    <w:jc w:val="center"/>
                    <w:textAlignment w:val="center"/>
                    <w:rPr>
                      <w:rFonts w:hint="eastAsia"/>
                      <w:color w:val="auto"/>
                      <w:spacing w:val="0"/>
                      <w:kern w:val="0"/>
                      <w:sz w:val="18"/>
                      <w:szCs w:val="18"/>
                      <w:lang w:val="en-US" w:eastAsia="zh-CN"/>
                    </w:rPr>
                  </w:pPr>
                  <w:r>
                    <w:rPr>
                      <w:rFonts w:hint="default" w:ascii="Times New Roman" w:hAnsi="Times New Roman" w:eastAsia="宋体" w:cs="Times New Roman"/>
                      <w:i w:val="0"/>
                      <w:iCs w:val="0"/>
                      <w:snapToGrid w:val="0"/>
                      <w:color w:val="auto"/>
                      <w:kern w:val="0"/>
                      <w:sz w:val="18"/>
                      <w:szCs w:val="18"/>
                      <w:u w:val="none"/>
                      <w:lang w:val="en-US" w:eastAsia="zh-CN" w:bidi="ar"/>
                    </w:rPr>
                    <w:t>0.00252</w:t>
                  </w:r>
                </w:p>
              </w:tc>
              <w:tc>
                <w:tcPr>
                  <w:tcW w:w="458" w:type="pct"/>
                  <w:tcBorders>
                    <w:tl2br w:val="nil"/>
                    <w:tr2bl w:val="nil"/>
                  </w:tcBorders>
                  <w:noWrap w:val="0"/>
                  <w:vAlign w:val="center"/>
                </w:tcPr>
                <w:p w14:paraId="7FCFFE69">
                  <w:pPr>
                    <w:widowControl/>
                    <w:adjustRightInd w:val="0"/>
                    <w:snapToGrid w:val="0"/>
                    <w:jc w:val="center"/>
                    <w:rPr>
                      <w:rFonts w:hint="eastAsia"/>
                      <w:color w:val="auto"/>
                      <w:spacing w:val="0"/>
                      <w:kern w:val="0"/>
                      <w:sz w:val="18"/>
                      <w:szCs w:val="18"/>
                      <w:lang w:val="en-US" w:eastAsia="zh-CN"/>
                    </w:rPr>
                  </w:pPr>
                  <w:r>
                    <w:rPr>
                      <w:rFonts w:hint="eastAsia"/>
                      <w:color w:val="auto"/>
                      <w:sz w:val="18"/>
                      <w:szCs w:val="18"/>
                      <w:lang w:val="en-US" w:eastAsia="zh-CN"/>
                    </w:rPr>
                    <w:t>0.0013</w:t>
                  </w:r>
                </w:p>
              </w:tc>
              <w:tc>
                <w:tcPr>
                  <w:tcW w:w="865" w:type="dxa"/>
                  <w:tcBorders>
                    <w:tl2br w:val="nil"/>
                    <w:tr2bl w:val="nil"/>
                  </w:tcBorders>
                  <w:shd w:val="clear" w:color="auto" w:fill="auto"/>
                  <w:noWrap w:val="0"/>
                  <w:vAlign w:val="center"/>
                </w:tcPr>
                <w:p w14:paraId="699BB3E0">
                  <w:pPr>
                    <w:keepNext w:val="0"/>
                    <w:keepLines w:val="0"/>
                    <w:widowControl/>
                    <w:suppressLineNumbers w:val="0"/>
                    <w:jc w:val="center"/>
                    <w:textAlignment w:val="center"/>
                    <w:rPr>
                      <w:rFonts w:hint="eastAsia" w:ascii="Times New Roman" w:hAnsi="Times New Roman" w:eastAsia="宋体" w:cs="Times New Roman"/>
                      <w:snapToGrid w:val="0"/>
                      <w:color w:val="auto"/>
                      <w:spacing w:val="0"/>
                      <w:kern w:val="0"/>
                      <w:sz w:val="18"/>
                      <w:szCs w:val="18"/>
                      <w:lang w:val="en-US" w:eastAsia="zh-CN" w:bidi="ar-SA"/>
                    </w:rPr>
                  </w:pPr>
                  <w:r>
                    <w:rPr>
                      <w:rFonts w:hint="default" w:ascii="Times New Roman" w:hAnsi="Times New Roman" w:eastAsia="宋体" w:cs="Times New Roman"/>
                      <w:i w:val="0"/>
                      <w:iCs w:val="0"/>
                      <w:snapToGrid w:val="0"/>
                      <w:color w:val="auto"/>
                      <w:kern w:val="0"/>
                      <w:sz w:val="18"/>
                      <w:szCs w:val="18"/>
                      <w:u w:val="none"/>
                      <w:lang w:val="en-US" w:eastAsia="zh-CN" w:bidi="ar"/>
                    </w:rPr>
                    <w:t>0.00252</w:t>
                  </w:r>
                </w:p>
              </w:tc>
              <w:tc>
                <w:tcPr>
                  <w:tcW w:w="928" w:type="dxa"/>
                  <w:tcBorders>
                    <w:tl2br w:val="nil"/>
                    <w:tr2bl w:val="nil"/>
                  </w:tcBorders>
                  <w:shd w:val="clear" w:color="auto" w:fill="auto"/>
                  <w:noWrap w:val="0"/>
                  <w:vAlign w:val="center"/>
                </w:tcPr>
                <w:p w14:paraId="2B22086D">
                  <w:pPr>
                    <w:keepNext w:val="0"/>
                    <w:keepLines w:val="0"/>
                    <w:widowControl/>
                    <w:suppressLineNumbers w:val="0"/>
                    <w:jc w:val="center"/>
                    <w:textAlignment w:val="center"/>
                    <w:rPr>
                      <w:rFonts w:hint="eastAsia" w:ascii="Times New Roman" w:hAnsi="Times New Roman" w:eastAsia="宋体" w:cs="Times New Roman"/>
                      <w:i w:val="0"/>
                      <w:iCs w:val="0"/>
                      <w:snapToGrid w:val="0"/>
                      <w:color w:val="auto"/>
                      <w:kern w:val="0"/>
                      <w:sz w:val="18"/>
                      <w:szCs w:val="18"/>
                      <w:u w:val="none"/>
                      <w:lang w:val="en-US" w:eastAsia="zh-CN" w:bidi="ar"/>
                    </w:rPr>
                  </w:pPr>
                  <w:r>
                    <w:rPr>
                      <w:rFonts w:hint="default" w:ascii="Times New Roman" w:hAnsi="Times New Roman" w:eastAsia="宋体" w:cs="Times New Roman"/>
                      <w:i w:val="0"/>
                      <w:iCs w:val="0"/>
                      <w:snapToGrid w:val="0"/>
                      <w:color w:val="auto"/>
                      <w:kern w:val="0"/>
                      <w:sz w:val="18"/>
                      <w:szCs w:val="18"/>
                      <w:u w:val="none"/>
                      <w:lang w:val="en-US" w:eastAsia="zh-CN" w:bidi="ar"/>
                    </w:rPr>
                    <w:t>0.00122</w:t>
                  </w:r>
                </w:p>
              </w:tc>
              <w:tc>
                <w:tcPr>
                  <w:tcW w:w="804" w:type="dxa"/>
                  <w:tcBorders>
                    <w:tl2br w:val="nil"/>
                    <w:tr2bl w:val="nil"/>
                  </w:tcBorders>
                  <w:noWrap w:val="0"/>
                  <w:vAlign w:val="center"/>
                </w:tcPr>
                <w:p w14:paraId="6574B97C">
                  <w:pPr>
                    <w:keepNext w:val="0"/>
                    <w:keepLines w:val="0"/>
                    <w:widowControl/>
                    <w:suppressLineNumbers w:val="0"/>
                    <w:jc w:val="center"/>
                    <w:textAlignment w:val="center"/>
                    <w:rPr>
                      <w:rFonts w:hint="default"/>
                      <w:b/>
                      <w:bCs/>
                      <w:color w:val="auto"/>
                      <w:spacing w:val="0"/>
                      <w:kern w:val="0"/>
                      <w:sz w:val="18"/>
                      <w:szCs w:val="18"/>
                      <w:lang w:val="en-US" w:eastAsia="zh-CN"/>
                    </w:rPr>
                  </w:pPr>
                  <w:r>
                    <w:rPr>
                      <w:rFonts w:hint="default" w:ascii="Times New Roman" w:hAnsi="Times New Roman" w:eastAsia="宋体" w:cs="Times New Roman"/>
                      <w:b/>
                      <w:bCs/>
                      <w:i w:val="0"/>
                      <w:iCs w:val="0"/>
                      <w:snapToGrid w:val="0"/>
                      <w:color w:val="auto"/>
                      <w:kern w:val="0"/>
                      <w:sz w:val="18"/>
                      <w:szCs w:val="18"/>
                      <w:u w:val="none"/>
                      <w:lang w:val="en-US" w:eastAsia="zh-CN" w:bidi="ar"/>
                    </w:rPr>
                    <w:t>0.00122</w:t>
                  </w:r>
                </w:p>
              </w:tc>
            </w:tr>
            <w:tr w14:paraId="67EE525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349" w:type="pct"/>
                  <w:vMerge w:val="continue"/>
                  <w:tcBorders>
                    <w:tl2br w:val="nil"/>
                    <w:tr2bl w:val="nil"/>
                  </w:tcBorders>
                  <w:noWrap w:val="0"/>
                  <w:vAlign w:val="center"/>
                </w:tcPr>
                <w:p w14:paraId="7DB739E2">
                  <w:pPr>
                    <w:pStyle w:val="698"/>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spacing w:val="0"/>
                      <w:kern w:val="0"/>
                      <w:sz w:val="18"/>
                      <w:szCs w:val="18"/>
                      <w:highlight w:val="none"/>
                    </w:rPr>
                  </w:pPr>
                </w:p>
              </w:tc>
              <w:tc>
                <w:tcPr>
                  <w:tcW w:w="615" w:type="pct"/>
                  <w:tcBorders>
                    <w:tl2br w:val="nil"/>
                    <w:tr2bl w:val="nil"/>
                  </w:tcBorders>
                  <w:shd w:val="clear" w:color="auto" w:fill="auto"/>
                  <w:noWrap w:val="0"/>
                  <w:vAlign w:val="center"/>
                </w:tcPr>
                <w:p w14:paraId="330E8A00">
                  <w:pPr>
                    <w:keepNext w:val="0"/>
                    <w:keepLines w:val="0"/>
                    <w:pageBreakBefore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snapToGrid w:val="0"/>
                      <w:color w:val="auto"/>
                      <w:spacing w:val="0"/>
                      <w:kern w:val="0"/>
                      <w:sz w:val="18"/>
                      <w:szCs w:val="18"/>
                      <w:highlight w:val="none"/>
                      <w:lang w:val="en-US" w:eastAsia="zh-CN" w:bidi="ar-SA"/>
                    </w:rPr>
                  </w:pPr>
                  <w:r>
                    <w:rPr>
                      <w:color w:val="auto"/>
                      <w:spacing w:val="0"/>
                      <w:kern w:val="0"/>
                      <w:sz w:val="18"/>
                      <w:szCs w:val="18"/>
                    </w:rPr>
                    <w:t>TN</w:t>
                  </w:r>
                </w:p>
              </w:tc>
              <w:tc>
                <w:tcPr>
                  <w:tcW w:w="407" w:type="pct"/>
                  <w:tcBorders>
                    <w:tl2br w:val="nil"/>
                    <w:tr2bl w:val="nil"/>
                  </w:tcBorders>
                  <w:noWrap w:val="0"/>
                  <w:vAlign w:val="center"/>
                </w:tcPr>
                <w:p w14:paraId="2D5091CA">
                  <w:pPr>
                    <w:widowControl/>
                    <w:adjustRightInd w:val="0"/>
                    <w:snapToGrid w:val="0"/>
                    <w:jc w:val="center"/>
                    <w:rPr>
                      <w:rFonts w:hint="default" w:ascii="Times New Roman" w:hAnsi="Times New Roman" w:eastAsia="宋体" w:cs="Times New Roman"/>
                      <w:color w:val="auto"/>
                      <w:spacing w:val="0"/>
                      <w:kern w:val="0"/>
                      <w:position w:val="0"/>
                      <w:sz w:val="18"/>
                      <w:szCs w:val="18"/>
                      <w:lang w:val="en-US" w:eastAsia="zh-CN"/>
                    </w:rPr>
                  </w:pPr>
                  <w:r>
                    <w:rPr>
                      <w:rFonts w:hint="eastAsia"/>
                      <w:color w:val="auto"/>
                      <w:sz w:val="18"/>
                      <w:szCs w:val="18"/>
                      <w:lang w:val="en-US" w:eastAsia="zh-CN"/>
                    </w:rPr>
                    <w:t>0.0147</w:t>
                  </w:r>
                </w:p>
              </w:tc>
              <w:tc>
                <w:tcPr>
                  <w:tcW w:w="408" w:type="pct"/>
                  <w:tcBorders>
                    <w:tl2br w:val="nil"/>
                    <w:tr2bl w:val="nil"/>
                  </w:tcBorders>
                  <w:noWrap w:val="0"/>
                  <w:vAlign w:val="center"/>
                </w:tcPr>
                <w:p w14:paraId="05BD1095">
                  <w:pPr>
                    <w:widowControl/>
                    <w:adjustRightInd w:val="0"/>
                    <w:snapToGrid w:val="0"/>
                    <w:jc w:val="center"/>
                    <w:rPr>
                      <w:rFonts w:hint="eastAsia" w:cs="Times New Roman"/>
                      <w:color w:val="auto"/>
                      <w:spacing w:val="0"/>
                      <w:kern w:val="0"/>
                      <w:position w:val="0"/>
                      <w:sz w:val="18"/>
                      <w:szCs w:val="18"/>
                      <w:lang w:val="en-US" w:eastAsia="zh-CN"/>
                    </w:rPr>
                  </w:pPr>
                  <w:r>
                    <w:rPr>
                      <w:rFonts w:hint="eastAsia"/>
                      <w:color w:val="auto"/>
                      <w:sz w:val="18"/>
                      <w:szCs w:val="18"/>
                      <w:lang w:val="en-US" w:eastAsia="zh-CN"/>
                    </w:rPr>
                    <w:t>0.0142</w:t>
                  </w:r>
                </w:p>
              </w:tc>
              <w:tc>
                <w:tcPr>
                  <w:tcW w:w="735" w:type="dxa"/>
                  <w:tcBorders>
                    <w:tl2br w:val="nil"/>
                    <w:tr2bl w:val="nil"/>
                  </w:tcBorders>
                  <w:noWrap w:val="0"/>
                  <w:vAlign w:val="center"/>
                </w:tcPr>
                <w:p w14:paraId="2F05098D">
                  <w:pPr>
                    <w:keepNext w:val="0"/>
                    <w:keepLines w:val="0"/>
                    <w:widowControl/>
                    <w:suppressLineNumbers w:val="0"/>
                    <w:jc w:val="center"/>
                    <w:textAlignment w:val="center"/>
                    <w:rPr>
                      <w:rFonts w:hint="eastAsia"/>
                      <w:color w:val="auto"/>
                      <w:spacing w:val="0"/>
                      <w:kern w:val="0"/>
                      <w:sz w:val="18"/>
                      <w:szCs w:val="18"/>
                      <w:lang w:val="en-US" w:eastAsia="zh-CN"/>
                    </w:rPr>
                  </w:pPr>
                  <w:r>
                    <w:rPr>
                      <w:rFonts w:hint="default" w:ascii="Times New Roman" w:hAnsi="Times New Roman" w:eastAsia="宋体" w:cs="Times New Roman"/>
                      <w:i w:val="0"/>
                      <w:iCs w:val="0"/>
                      <w:snapToGrid w:val="0"/>
                      <w:color w:val="auto"/>
                      <w:kern w:val="0"/>
                      <w:sz w:val="18"/>
                      <w:szCs w:val="18"/>
                      <w:u w:val="none"/>
                      <w:lang w:val="en-US" w:eastAsia="zh-CN" w:bidi="ar"/>
                    </w:rPr>
                    <w:t>0.0294</w:t>
                  </w:r>
                </w:p>
              </w:tc>
              <w:tc>
                <w:tcPr>
                  <w:tcW w:w="439" w:type="pct"/>
                  <w:tcBorders>
                    <w:tl2br w:val="nil"/>
                    <w:tr2bl w:val="nil"/>
                  </w:tcBorders>
                  <w:noWrap w:val="0"/>
                  <w:vAlign w:val="center"/>
                </w:tcPr>
                <w:p w14:paraId="5CA2E761">
                  <w:pPr>
                    <w:keepNext w:val="0"/>
                    <w:keepLines w:val="0"/>
                    <w:pageBreakBefore w:val="0"/>
                    <w:widowControl/>
                    <w:kinsoku/>
                    <w:wordWrap/>
                    <w:overflowPunct/>
                    <w:topLinePunct w:val="0"/>
                    <w:autoSpaceDE/>
                    <w:autoSpaceDN/>
                    <w:bidi w:val="0"/>
                    <w:adjustRightInd w:val="0"/>
                    <w:snapToGrid w:val="0"/>
                    <w:jc w:val="center"/>
                    <w:rPr>
                      <w:rFonts w:hint="default"/>
                      <w:color w:val="auto"/>
                      <w:spacing w:val="0"/>
                      <w:kern w:val="0"/>
                      <w:sz w:val="18"/>
                      <w:szCs w:val="18"/>
                      <w:lang w:val="en-US" w:eastAsia="zh-CN"/>
                    </w:rPr>
                  </w:pPr>
                  <w:r>
                    <w:rPr>
                      <w:rFonts w:hint="eastAsia"/>
                      <w:color w:val="auto"/>
                      <w:spacing w:val="0"/>
                      <w:kern w:val="0"/>
                      <w:sz w:val="18"/>
                      <w:szCs w:val="18"/>
                      <w:lang w:val="en-US" w:eastAsia="zh-CN"/>
                    </w:rPr>
                    <w:t>0</w:t>
                  </w:r>
                </w:p>
              </w:tc>
              <w:tc>
                <w:tcPr>
                  <w:tcW w:w="720" w:type="dxa"/>
                  <w:tcBorders>
                    <w:tl2br w:val="nil"/>
                    <w:tr2bl w:val="nil"/>
                  </w:tcBorders>
                  <w:noWrap w:val="0"/>
                  <w:vAlign w:val="center"/>
                </w:tcPr>
                <w:p w14:paraId="7B0926E6">
                  <w:pPr>
                    <w:keepNext w:val="0"/>
                    <w:keepLines w:val="0"/>
                    <w:widowControl/>
                    <w:suppressLineNumbers w:val="0"/>
                    <w:jc w:val="center"/>
                    <w:textAlignment w:val="center"/>
                    <w:rPr>
                      <w:rFonts w:hint="eastAsia"/>
                      <w:color w:val="auto"/>
                      <w:spacing w:val="0"/>
                      <w:kern w:val="0"/>
                      <w:sz w:val="18"/>
                      <w:szCs w:val="18"/>
                      <w:lang w:val="en-US" w:eastAsia="zh-CN"/>
                    </w:rPr>
                  </w:pPr>
                  <w:r>
                    <w:rPr>
                      <w:rFonts w:hint="default" w:ascii="Times New Roman" w:hAnsi="Times New Roman" w:eastAsia="宋体" w:cs="Times New Roman"/>
                      <w:i w:val="0"/>
                      <w:iCs w:val="0"/>
                      <w:snapToGrid w:val="0"/>
                      <w:color w:val="auto"/>
                      <w:kern w:val="0"/>
                      <w:sz w:val="18"/>
                      <w:szCs w:val="18"/>
                      <w:u w:val="none"/>
                      <w:lang w:val="en-US" w:eastAsia="zh-CN" w:bidi="ar"/>
                    </w:rPr>
                    <w:t>0.0294</w:t>
                  </w:r>
                </w:p>
              </w:tc>
              <w:tc>
                <w:tcPr>
                  <w:tcW w:w="458" w:type="pct"/>
                  <w:tcBorders>
                    <w:tl2br w:val="nil"/>
                    <w:tr2bl w:val="nil"/>
                  </w:tcBorders>
                  <w:noWrap w:val="0"/>
                  <w:vAlign w:val="center"/>
                </w:tcPr>
                <w:p w14:paraId="3629D2D3">
                  <w:pPr>
                    <w:widowControl/>
                    <w:adjustRightInd w:val="0"/>
                    <w:snapToGrid w:val="0"/>
                    <w:jc w:val="center"/>
                    <w:rPr>
                      <w:rFonts w:hint="default"/>
                      <w:color w:val="auto"/>
                      <w:spacing w:val="0"/>
                      <w:kern w:val="0"/>
                      <w:sz w:val="18"/>
                      <w:szCs w:val="18"/>
                      <w:lang w:val="en-US" w:eastAsia="zh-CN"/>
                    </w:rPr>
                  </w:pPr>
                  <w:r>
                    <w:rPr>
                      <w:rFonts w:hint="eastAsia"/>
                      <w:color w:val="auto"/>
                      <w:sz w:val="18"/>
                      <w:szCs w:val="18"/>
                      <w:lang w:val="en-US" w:eastAsia="zh-CN"/>
                    </w:rPr>
                    <w:t>0.0147</w:t>
                  </w:r>
                </w:p>
              </w:tc>
              <w:tc>
                <w:tcPr>
                  <w:tcW w:w="865" w:type="dxa"/>
                  <w:tcBorders>
                    <w:tl2br w:val="nil"/>
                    <w:tr2bl w:val="nil"/>
                  </w:tcBorders>
                  <w:shd w:val="clear" w:color="auto" w:fill="auto"/>
                  <w:noWrap w:val="0"/>
                  <w:vAlign w:val="center"/>
                </w:tcPr>
                <w:p w14:paraId="6840D8CD">
                  <w:pPr>
                    <w:keepNext w:val="0"/>
                    <w:keepLines w:val="0"/>
                    <w:widowControl/>
                    <w:suppressLineNumbers w:val="0"/>
                    <w:jc w:val="center"/>
                    <w:textAlignment w:val="center"/>
                    <w:rPr>
                      <w:rFonts w:hint="default" w:ascii="Times New Roman" w:hAnsi="Times New Roman" w:eastAsia="宋体" w:cs="Times New Roman"/>
                      <w:snapToGrid w:val="0"/>
                      <w:color w:val="auto"/>
                      <w:spacing w:val="0"/>
                      <w:kern w:val="0"/>
                      <w:sz w:val="18"/>
                      <w:szCs w:val="18"/>
                      <w:lang w:val="en-US" w:eastAsia="zh-CN" w:bidi="ar-SA"/>
                    </w:rPr>
                  </w:pPr>
                  <w:r>
                    <w:rPr>
                      <w:rFonts w:hint="default" w:ascii="Times New Roman" w:hAnsi="Times New Roman" w:eastAsia="宋体" w:cs="Times New Roman"/>
                      <w:i w:val="0"/>
                      <w:iCs w:val="0"/>
                      <w:snapToGrid w:val="0"/>
                      <w:color w:val="auto"/>
                      <w:kern w:val="0"/>
                      <w:sz w:val="18"/>
                      <w:szCs w:val="18"/>
                      <w:u w:val="none"/>
                      <w:lang w:val="en-US" w:eastAsia="zh-CN" w:bidi="ar"/>
                    </w:rPr>
                    <w:t>0.0294</w:t>
                  </w:r>
                </w:p>
              </w:tc>
              <w:tc>
                <w:tcPr>
                  <w:tcW w:w="928" w:type="dxa"/>
                  <w:tcBorders>
                    <w:tl2br w:val="nil"/>
                    <w:tr2bl w:val="nil"/>
                  </w:tcBorders>
                  <w:noWrap w:val="0"/>
                  <w:vAlign w:val="center"/>
                </w:tcPr>
                <w:p w14:paraId="67264A19">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u w:val="none"/>
                      <w:lang w:val="en-US" w:eastAsia="zh-CN" w:bidi="ar"/>
                    </w:rPr>
                  </w:pPr>
                  <w:r>
                    <w:rPr>
                      <w:rFonts w:hint="default" w:ascii="Times New Roman" w:hAnsi="Times New Roman" w:eastAsia="宋体" w:cs="Times New Roman"/>
                      <w:i w:val="0"/>
                      <w:iCs w:val="0"/>
                      <w:snapToGrid w:val="0"/>
                      <w:color w:val="auto"/>
                      <w:kern w:val="0"/>
                      <w:sz w:val="18"/>
                      <w:szCs w:val="18"/>
                      <w:u w:val="none"/>
                      <w:lang w:val="en-US" w:eastAsia="zh-CN" w:bidi="ar"/>
                    </w:rPr>
                    <w:t>0.0147</w:t>
                  </w:r>
                </w:p>
              </w:tc>
              <w:tc>
                <w:tcPr>
                  <w:tcW w:w="804" w:type="dxa"/>
                  <w:tcBorders>
                    <w:tl2br w:val="nil"/>
                    <w:tr2bl w:val="nil"/>
                  </w:tcBorders>
                  <w:noWrap w:val="0"/>
                  <w:vAlign w:val="center"/>
                </w:tcPr>
                <w:p w14:paraId="1C8D1FAD">
                  <w:pPr>
                    <w:keepNext w:val="0"/>
                    <w:keepLines w:val="0"/>
                    <w:widowControl/>
                    <w:suppressLineNumbers w:val="0"/>
                    <w:jc w:val="center"/>
                    <w:textAlignment w:val="center"/>
                    <w:rPr>
                      <w:rFonts w:hint="default"/>
                      <w:b/>
                      <w:bCs/>
                      <w:color w:val="auto"/>
                      <w:spacing w:val="0"/>
                      <w:kern w:val="0"/>
                      <w:sz w:val="18"/>
                      <w:szCs w:val="18"/>
                      <w:lang w:val="en-US" w:eastAsia="zh-CN"/>
                    </w:rPr>
                  </w:pPr>
                  <w:r>
                    <w:rPr>
                      <w:rFonts w:hint="default" w:ascii="Times New Roman" w:hAnsi="Times New Roman" w:eastAsia="宋体" w:cs="Times New Roman"/>
                      <w:b/>
                      <w:bCs/>
                      <w:i w:val="0"/>
                      <w:iCs w:val="0"/>
                      <w:snapToGrid w:val="0"/>
                      <w:color w:val="auto"/>
                      <w:kern w:val="0"/>
                      <w:sz w:val="18"/>
                      <w:szCs w:val="18"/>
                      <w:u w:val="none"/>
                      <w:lang w:val="en-US" w:eastAsia="zh-CN" w:bidi="ar"/>
                    </w:rPr>
                    <w:t>0.0147</w:t>
                  </w:r>
                </w:p>
              </w:tc>
            </w:tr>
            <w:tr w14:paraId="50305CF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349" w:type="pct"/>
                  <w:vMerge w:val="restart"/>
                  <w:tcBorders>
                    <w:tl2br w:val="nil"/>
                    <w:tr2bl w:val="nil"/>
                  </w:tcBorders>
                  <w:noWrap w:val="0"/>
                  <w:vAlign w:val="center"/>
                </w:tcPr>
                <w:p w14:paraId="29FBB09A">
                  <w:pPr>
                    <w:pStyle w:val="698"/>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spacing w:val="0"/>
                      <w:kern w:val="0"/>
                      <w:sz w:val="18"/>
                      <w:szCs w:val="18"/>
                      <w:highlight w:val="none"/>
                    </w:rPr>
                  </w:pPr>
                  <w:r>
                    <w:rPr>
                      <w:rFonts w:hint="default" w:ascii="Times New Roman" w:hAnsi="Times New Roman" w:eastAsia="宋体" w:cs="Times New Roman"/>
                      <w:b w:val="0"/>
                      <w:bCs/>
                      <w:color w:val="auto"/>
                      <w:spacing w:val="0"/>
                      <w:kern w:val="0"/>
                      <w:sz w:val="18"/>
                      <w:szCs w:val="18"/>
                      <w:highlight w:val="none"/>
                    </w:rPr>
                    <w:t>有组织废气</w:t>
                  </w:r>
                </w:p>
              </w:tc>
              <w:tc>
                <w:tcPr>
                  <w:tcW w:w="615" w:type="pct"/>
                  <w:tcBorders>
                    <w:tl2br w:val="nil"/>
                    <w:tr2bl w:val="nil"/>
                  </w:tcBorders>
                  <w:noWrap w:val="0"/>
                  <w:vAlign w:val="center"/>
                </w:tcPr>
                <w:p w14:paraId="65F315FD">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b w:val="0"/>
                      <w:bCs/>
                      <w:color w:val="auto"/>
                      <w:spacing w:val="0"/>
                      <w:kern w:val="0"/>
                      <w:sz w:val="18"/>
                      <w:szCs w:val="18"/>
                      <w:highlight w:val="none"/>
                      <w:lang w:val="en-US" w:eastAsia="zh-CN" w:bidi="ar-SA"/>
                    </w:rPr>
                  </w:pPr>
                  <w:r>
                    <w:rPr>
                      <w:color w:val="auto"/>
                      <w:sz w:val="18"/>
                      <w:szCs w:val="18"/>
                    </w:rPr>
                    <w:t>非甲烷总烃</w:t>
                  </w:r>
                  <w:r>
                    <w:rPr>
                      <w:rFonts w:hint="eastAsia"/>
                      <w:color w:val="auto"/>
                      <w:sz w:val="18"/>
                      <w:szCs w:val="18"/>
                      <w:lang w:val="en-US" w:eastAsia="zh-CN"/>
                    </w:rPr>
                    <w:t>*</w:t>
                  </w:r>
                </w:p>
              </w:tc>
              <w:tc>
                <w:tcPr>
                  <w:tcW w:w="407" w:type="pct"/>
                  <w:tcBorders>
                    <w:tl2br w:val="nil"/>
                    <w:tr2bl w:val="nil"/>
                  </w:tcBorders>
                  <w:noWrap w:val="0"/>
                  <w:vAlign w:val="center"/>
                </w:tcPr>
                <w:p w14:paraId="1A4B9811">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val="0"/>
                      <w:color w:val="auto"/>
                      <w:spacing w:val="0"/>
                      <w:kern w:val="0"/>
                      <w:sz w:val="18"/>
                      <w:szCs w:val="18"/>
                      <w:highlight w:val="none"/>
                      <w:lang w:val="en-US" w:eastAsia="zh-CN" w:bidi="ar-SA"/>
                    </w:rPr>
                  </w:pPr>
                  <w:r>
                    <w:rPr>
                      <w:rFonts w:hint="eastAsia" w:cs="Times New Roman"/>
                      <w:b w:val="0"/>
                      <w:bCs w:val="0"/>
                      <w:color w:val="auto"/>
                      <w:spacing w:val="0"/>
                      <w:kern w:val="0"/>
                      <w:sz w:val="18"/>
                      <w:szCs w:val="18"/>
                      <w:highlight w:val="none"/>
                      <w:lang w:val="en-US" w:eastAsia="zh-CN" w:bidi="ar-SA"/>
                    </w:rPr>
                    <w:t>0.147</w:t>
                  </w:r>
                </w:p>
              </w:tc>
              <w:tc>
                <w:tcPr>
                  <w:tcW w:w="408" w:type="pct"/>
                  <w:tcBorders>
                    <w:tl2br w:val="nil"/>
                    <w:tr2bl w:val="nil"/>
                  </w:tcBorders>
                  <w:noWrap w:val="0"/>
                  <w:vAlign w:val="center"/>
                </w:tcPr>
                <w:p w14:paraId="5ECD66CA">
                  <w:pPr>
                    <w:keepNext w:val="0"/>
                    <w:keepLines w:val="0"/>
                    <w:pageBreakBefore w:val="0"/>
                    <w:widowControl/>
                    <w:kinsoku/>
                    <w:wordWrap/>
                    <w:overflowPunct/>
                    <w:topLinePunct w:val="0"/>
                    <w:autoSpaceDE/>
                    <w:autoSpaceDN/>
                    <w:bidi w:val="0"/>
                    <w:adjustRightInd w:val="0"/>
                    <w:snapToGrid w:val="0"/>
                    <w:jc w:val="center"/>
                    <w:rPr>
                      <w:rFonts w:hint="default" w:cs="Times New Roman"/>
                      <w:b w:val="0"/>
                      <w:bCs w:val="0"/>
                      <w:color w:val="auto"/>
                      <w:spacing w:val="0"/>
                      <w:kern w:val="0"/>
                      <w:sz w:val="18"/>
                      <w:szCs w:val="18"/>
                      <w:highlight w:val="none"/>
                      <w:lang w:val="en-US" w:eastAsia="zh-CN" w:bidi="ar-SA"/>
                    </w:rPr>
                  </w:pPr>
                  <w:r>
                    <w:rPr>
                      <w:rFonts w:hint="eastAsia" w:cs="Times New Roman"/>
                      <w:b w:val="0"/>
                      <w:bCs w:val="0"/>
                      <w:color w:val="auto"/>
                      <w:spacing w:val="0"/>
                      <w:kern w:val="0"/>
                      <w:sz w:val="18"/>
                      <w:szCs w:val="18"/>
                      <w:highlight w:val="none"/>
                      <w:lang w:val="en-US" w:eastAsia="zh-CN" w:bidi="ar-SA"/>
                    </w:rPr>
                    <w:t>0.0408</w:t>
                  </w:r>
                </w:p>
              </w:tc>
              <w:tc>
                <w:tcPr>
                  <w:tcW w:w="421" w:type="pct"/>
                  <w:tcBorders>
                    <w:tl2br w:val="nil"/>
                    <w:tr2bl w:val="nil"/>
                  </w:tcBorders>
                  <w:shd w:val="clear" w:color="auto" w:fill="auto"/>
                  <w:noWrap w:val="0"/>
                  <w:vAlign w:val="center"/>
                </w:tcPr>
                <w:p w14:paraId="48711F4D">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snapToGrid w:val="0"/>
                      <w:color w:val="auto"/>
                      <w:kern w:val="2"/>
                      <w:sz w:val="18"/>
                      <w:szCs w:val="18"/>
                      <w:lang w:val="en-US" w:eastAsia="zh-CN" w:bidi="ar-SA"/>
                    </w:rPr>
                  </w:pPr>
                  <w:r>
                    <w:rPr>
                      <w:rFonts w:hint="eastAsia" w:eastAsia="宋体" w:cs="Times New Roman"/>
                      <w:snapToGrid w:val="0"/>
                      <w:color w:val="auto"/>
                      <w:kern w:val="2"/>
                      <w:sz w:val="18"/>
                      <w:szCs w:val="18"/>
                      <w:lang w:val="en-US" w:eastAsia="zh-CN" w:bidi="ar-SA"/>
                    </w:rPr>
                    <w:t>1.9</w:t>
                  </w:r>
                  <w:r>
                    <w:rPr>
                      <w:rFonts w:hint="eastAsia" w:cs="Times New Roman"/>
                      <w:snapToGrid w:val="0"/>
                      <w:color w:val="auto"/>
                      <w:kern w:val="2"/>
                      <w:sz w:val="18"/>
                      <w:szCs w:val="18"/>
                      <w:lang w:val="en-US" w:eastAsia="zh-CN" w:bidi="ar-SA"/>
                    </w:rPr>
                    <w:t>386</w:t>
                  </w:r>
                </w:p>
              </w:tc>
              <w:tc>
                <w:tcPr>
                  <w:tcW w:w="439" w:type="pct"/>
                  <w:tcBorders>
                    <w:tl2br w:val="nil"/>
                    <w:tr2bl w:val="nil"/>
                  </w:tcBorders>
                  <w:noWrap w:val="0"/>
                  <w:vAlign w:val="center"/>
                </w:tcPr>
                <w:p w14:paraId="4A43C659">
                  <w:pPr>
                    <w:keepNext w:val="0"/>
                    <w:keepLines w:val="0"/>
                    <w:widowControl/>
                    <w:suppressLineNumbers w:val="0"/>
                    <w:jc w:val="center"/>
                    <w:textAlignment w:val="center"/>
                    <w:rPr>
                      <w:rFonts w:hint="default" w:ascii="Times New Roman" w:hAnsi="Times New Roman" w:eastAsia="宋体" w:cs="Times New Roman"/>
                      <w:b w:val="0"/>
                      <w:bCs/>
                      <w:snapToGrid w:val="0"/>
                      <w:color w:val="auto"/>
                      <w:spacing w:val="0"/>
                      <w:kern w:val="0"/>
                      <w:sz w:val="18"/>
                      <w:szCs w:val="18"/>
                      <w:highlight w:val="none"/>
                      <w:lang w:val="en-US" w:eastAsia="zh-CN" w:bidi="ar-SA"/>
                    </w:rPr>
                  </w:pPr>
                  <w:r>
                    <w:rPr>
                      <w:rFonts w:hint="eastAsia" w:cs="Times New Roman"/>
                      <w:b w:val="0"/>
                      <w:bCs/>
                      <w:snapToGrid w:val="0"/>
                      <w:color w:val="auto"/>
                      <w:spacing w:val="0"/>
                      <w:kern w:val="0"/>
                      <w:sz w:val="18"/>
                      <w:szCs w:val="18"/>
                      <w:highlight w:val="none"/>
                      <w:lang w:val="en-US" w:eastAsia="zh-CN" w:bidi="ar-SA"/>
                    </w:rPr>
                    <w:t>1.74474</w:t>
                  </w:r>
                </w:p>
              </w:tc>
              <w:tc>
                <w:tcPr>
                  <w:tcW w:w="412" w:type="pct"/>
                  <w:tcBorders>
                    <w:tl2br w:val="nil"/>
                    <w:tr2bl w:val="nil"/>
                  </w:tcBorders>
                  <w:noWrap w:val="0"/>
                  <w:vAlign w:val="center"/>
                </w:tcPr>
                <w:p w14:paraId="7B62454D">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pacing w:val="0"/>
                      <w:kern w:val="0"/>
                      <w:sz w:val="18"/>
                      <w:szCs w:val="18"/>
                      <w:highlight w:val="none"/>
                      <w:lang w:val="en-US" w:eastAsia="zh-CN"/>
                    </w:rPr>
                  </w:pPr>
                  <w:r>
                    <w:rPr>
                      <w:rFonts w:hint="eastAsia" w:eastAsia="宋体" w:cs="Times New Roman"/>
                      <w:b w:val="0"/>
                      <w:bCs/>
                      <w:color w:val="auto"/>
                      <w:spacing w:val="0"/>
                      <w:kern w:val="0"/>
                      <w:sz w:val="18"/>
                      <w:szCs w:val="18"/>
                      <w:highlight w:val="none"/>
                      <w:lang w:val="en-US" w:eastAsia="zh-CN"/>
                    </w:rPr>
                    <w:t>0.19</w:t>
                  </w:r>
                  <w:r>
                    <w:rPr>
                      <w:rFonts w:hint="eastAsia" w:cs="Times New Roman"/>
                      <w:b w:val="0"/>
                      <w:bCs/>
                      <w:color w:val="auto"/>
                      <w:spacing w:val="0"/>
                      <w:kern w:val="0"/>
                      <w:sz w:val="18"/>
                      <w:szCs w:val="18"/>
                      <w:highlight w:val="none"/>
                      <w:lang w:val="en-US" w:eastAsia="zh-CN"/>
                    </w:rPr>
                    <w:t>386</w:t>
                  </w:r>
                </w:p>
              </w:tc>
              <w:tc>
                <w:tcPr>
                  <w:tcW w:w="458" w:type="pct"/>
                  <w:tcBorders>
                    <w:tl2br w:val="nil"/>
                    <w:tr2bl w:val="nil"/>
                  </w:tcBorders>
                  <w:shd w:val="clear" w:color="auto" w:fill="auto"/>
                  <w:noWrap w:val="0"/>
                  <w:vAlign w:val="center"/>
                </w:tcPr>
                <w:p w14:paraId="304D3DA2">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val="0"/>
                      <w:snapToGrid w:val="0"/>
                      <w:color w:val="auto"/>
                      <w:spacing w:val="0"/>
                      <w:kern w:val="0"/>
                      <w:sz w:val="18"/>
                      <w:szCs w:val="18"/>
                      <w:highlight w:val="none"/>
                      <w:lang w:val="en-US" w:eastAsia="zh-CN" w:bidi="ar-SA"/>
                    </w:rPr>
                  </w:pPr>
                  <w:r>
                    <w:rPr>
                      <w:rFonts w:hint="eastAsia" w:cs="Times New Roman"/>
                      <w:b w:val="0"/>
                      <w:bCs w:val="0"/>
                      <w:color w:val="auto"/>
                      <w:spacing w:val="0"/>
                      <w:kern w:val="0"/>
                      <w:sz w:val="18"/>
                      <w:szCs w:val="18"/>
                      <w:highlight w:val="none"/>
                      <w:lang w:val="en-US" w:eastAsia="zh-CN" w:bidi="ar-SA"/>
                    </w:rPr>
                    <w:t>0.147</w:t>
                  </w:r>
                </w:p>
              </w:tc>
              <w:tc>
                <w:tcPr>
                  <w:tcW w:w="495" w:type="pct"/>
                  <w:tcBorders>
                    <w:tl2br w:val="nil"/>
                    <w:tr2bl w:val="nil"/>
                  </w:tcBorders>
                  <w:shd w:val="clear" w:color="auto" w:fill="auto"/>
                  <w:noWrap w:val="0"/>
                  <w:vAlign w:val="center"/>
                </w:tcPr>
                <w:p w14:paraId="0988570F">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snapToGrid w:val="0"/>
                      <w:color w:val="auto"/>
                      <w:spacing w:val="0"/>
                      <w:kern w:val="0"/>
                      <w:sz w:val="18"/>
                      <w:szCs w:val="18"/>
                      <w:highlight w:val="none"/>
                      <w:lang w:val="en-US" w:eastAsia="zh-CN" w:bidi="ar-SA"/>
                    </w:rPr>
                  </w:pPr>
                  <w:r>
                    <w:rPr>
                      <w:rFonts w:hint="eastAsia" w:eastAsia="宋体" w:cs="Times New Roman"/>
                      <w:b w:val="0"/>
                      <w:bCs/>
                      <w:color w:val="auto"/>
                      <w:spacing w:val="0"/>
                      <w:kern w:val="0"/>
                      <w:sz w:val="18"/>
                      <w:szCs w:val="18"/>
                      <w:highlight w:val="none"/>
                      <w:lang w:val="en-US" w:eastAsia="zh-CN"/>
                    </w:rPr>
                    <w:t>0.19</w:t>
                  </w:r>
                  <w:r>
                    <w:rPr>
                      <w:rFonts w:hint="eastAsia" w:cs="Times New Roman"/>
                      <w:b w:val="0"/>
                      <w:bCs/>
                      <w:color w:val="auto"/>
                      <w:spacing w:val="0"/>
                      <w:kern w:val="0"/>
                      <w:sz w:val="18"/>
                      <w:szCs w:val="18"/>
                      <w:highlight w:val="none"/>
                      <w:lang w:val="en-US" w:eastAsia="zh-CN"/>
                    </w:rPr>
                    <w:t>386</w:t>
                  </w:r>
                </w:p>
              </w:tc>
              <w:tc>
                <w:tcPr>
                  <w:tcW w:w="531" w:type="pct"/>
                  <w:tcBorders>
                    <w:tl2br w:val="nil"/>
                    <w:tr2bl w:val="nil"/>
                  </w:tcBorders>
                  <w:noWrap w:val="0"/>
                  <w:vAlign w:val="center"/>
                </w:tcPr>
                <w:p w14:paraId="39186EC3">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u w:val="none"/>
                      <w:lang w:val="en-US" w:eastAsia="zh-CN" w:bidi="ar"/>
                    </w:rPr>
                  </w:pPr>
                  <w:r>
                    <w:rPr>
                      <w:rFonts w:hint="eastAsia" w:ascii="Times New Roman" w:hAnsi="Times New Roman" w:eastAsia="宋体" w:cs="Times New Roman"/>
                      <w:i w:val="0"/>
                      <w:iCs w:val="0"/>
                      <w:snapToGrid w:val="0"/>
                      <w:color w:val="auto"/>
                      <w:kern w:val="0"/>
                      <w:sz w:val="18"/>
                      <w:szCs w:val="18"/>
                      <w:u w:val="none"/>
                      <w:lang w:val="en-US" w:eastAsia="zh-CN" w:bidi="ar"/>
                    </w:rPr>
                    <w:t>0.04</w:t>
                  </w:r>
                  <w:r>
                    <w:rPr>
                      <w:rFonts w:hint="eastAsia" w:cs="Times New Roman"/>
                      <w:i w:val="0"/>
                      <w:iCs w:val="0"/>
                      <w:snapToGrid w:val="0"/>
                      <w:color w:val="auto"/>
                      <w:kern w:val="0"/>
                      <w:sz w:val="18"/>
                      <w:szCs w:val="18"/>
                      <w:u w:val="none"/>
                      <w:lang w:val="en-US" w:eastAsia="zh-CN" w:bidi="ar"/>
                    </w:rPr>
                    <w:t>686</w:t>
                  </w:r>
                </w:p>
              </w:tc>
              <w:tc>
                <w:tcPr>
                  <w:tcW w:w="460" w:type="pct"/>
                  <w:tcBorders>
                    <w:tl2br w:val="nil"/>
                    <w:tr2bl w:val="nil"/>
                  </w:tcBorders>
                  <w:noWrap w:val="0"/>
                  <w:vAlign w:val="center"/>
                </w:tcPr>
                <w:p w14:paraId="6C79FCFF">
                  <w:pPr>
                    <w:keepNext w:val="0"/>
                    <w:keepLines w:val="0"/>
                    <w:widowControl/>
                    <w:suppressLineNumbers w:val="0"/>
                    <w:jc w:val="center"/>
                    <w:textAlignment w:val="center"/>
                    <w:rPr>
                      <w:rFonts w:hint="default" w:ascii="Times New Roman" w:hAnsi="Times New Roman" w:eastAsia="宋体" w:cs="Times New Roman"/>
                      <w:b/>
                      <w:bCs/>
                      <w:snapToGrid w:val="0"/>
                      <w:color w:val="auto"/>
                      <w:spacing w:val="0"/>
                      <w:kern w:val="0"/>
                      <w:sz w:val="18"/>
                      <w:szCs w:val="18"/>
                      <w:lang w:val="en-US" w:eastAsia="zh-CN" w:bidi="ar-SA"/>
                    </w:rPr>
                  </w:pPr>
                  <w:r>
                    <w:rPr>
                      <w:rFonts w:hint="eastAsia" w:ascii="Times New Roman" w:hAnsi="Times New Roman" w:eastAsia="宋体" w:cs="Times New Roman"/>
                      <w:b/>
                      <w:bCs/>
                      <w:i w:val="0"/>
                      <w:iCs w:val="0"/>
                      <w:snapToGrid w:val="0"/>
                      <w:color w:val="auto"/>
                      <w:kern w:val="0"/>
                      <w:sz w:val="18"/>
                      <w:szCs w:val="18"/>
                      <w:u w:val="none"/>
                      <w:lang w:val="en-US" w:eastAsia="zh-CN" w:bidi="ar"/>
                    </w:rPr>
                    <w:t>0.04</w:t>
                  </w:r>
                  <w:r>
                    <w:rPr>
                      <w:rFonts w:hint="eastAsia" w:cs="Times New Roman"/>
                      <w:b/>
                      <w:bCs/>
                      <w:i w:val="0"/>
                      <w:iCs w:val="0"/>
                      <w:snapToGrid w:val="0"/>
                      <w:color w:val="auto"/>
                      <w:kern w:val="0"/>
                      <w:sz w:val="18"/>
                      <w:szCs w:val="18"/>
                      <w:u w:val="none"/>
                      <w:lang w:val="en-US" w:eastAsia="zh-CN" w:bidi="ar"/>
                    </w:rPr>
                    <w:t>686</w:t>
                  </w:r>
                </w:p>
              </w:tc>
            </w:tr>
            <w:tr w14:paraId="43A3C51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349" w:type="pct"/>
                  <w:vMerge w:val="continue"/>
                  <w:tcBorders>
                    <w:tl2br w:val="nil"/>
                    <w:tr2bl w:val="nil"/>
                  </w:tcBorders>
                  <w:noWrap w:val="0"/>
                  <w:vAlign w:val="center"/>
                </w:tcPr>
                <w:p w14:paraId="26D44058">
                  <w:pPr>
                    <w:pStyle w:val="698"/>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spacing w:val="0"/>
                      <w:kern w:val="0"/>
                      <w:sz w:val="18"/>
                      <w:szCs w:val="18"/>
                      <w:highlight w:val="none"/>
                    </w:rPr>
                  </w:pPr>
                </w:p>
              </w:tc>
              <w:tc>
                <w:tcPr>
                  <w:tcW w:w="615" w:type="pct"/>
                  <w:tcBorders>
                    <w:tl2br w:val="nil"/>
                    <w:tr2bl w:val="nil"/>
                  </w:tcBorders>
                  <w:noWrap w:val="0"/>
                  <w:vAlign w:val="center"/>
                </w:tcPr>
                <w:p w14:paraId="2C8D92FA">
                  <w:pPr>
                    <w:pStyle w:val="656"/>
                    <w:keepNext w:val="0"/>
                    <w:keepLines w:val="0"/>
                    <w:pageBreakBefore w:val="0"/>
                    <w:kinsoku/>
                    <w:wordWrap/>
                    <w:overflowPunct/>
                    <w:topLinePunct w:val="0"/>
                    <w:autoSpaceDE/>
                    <w:autoSpaceDN/>
                    <w:bidi w:val="0"/>
                    <w:adjustRightInd w:val="0"/>
                    <w:snapToGrid w:val="0"/>
                    <w:rPr>
                      <w:rFonts w:hint="eastAsia" w:eastAsia="仿宋_GB2312"/>
                      <w:color w:val="auto"/>
                      <w:spacing w:val="0"/>
                      <w:kern w:val="0"/>
                      <w:sz w:val="18"/>
                      <w:szCs w:val="18"/>
                      <w:lang w:val="en-US" w:eastAsia="zh-CN"/>
                    </w:rPr>
                  </w:pPr>
                  <w:r>
                    <w:rPr>
                      <w:rFonts w:hint="eastAsia" w:eastAsia="宋体"/>
                      <w:color w:val="auto"/>
                      <w:sz w:val="18"/>
                      <w:szCs w:val="18"/>
                      <w:lang w:val="en-US" w:eastAsia="zh-CN"/>
                    </w:rPr>
                    <w:t>苯系物</w:t>
                  </w:r>
                  <w:r>
                    <w:rPr>
                      <w:rFonts w:hint="eastAsia"/>
                      <w:color w:val="auto"/>
                      <w:sz w:val="18"/>
                      <w:szCs w:val="18"/>
                      <w:lang w:val="en-US" w:eastAsia="zh-CN"/>
                    </w:rPr>
                    <w:t>*</w:t>
                  </w:r>
                </w:p>
              </w:tc>
              <w:tc>
                <w:tcPr>
                  <w:tcW w:w="407" w:type="pct"/>
                  <w:tcBorders>
                    <w:tl2br w:val="nil"/>
                    <w:tr2bl w:val="nil"/>
                  </w:tcBorders>
                  <w:noWrap w:val="0"/>
                  <w:vAlign w:val="center"/>
                </w:tcPr>
                <w:p w14:paraId="66BA2A08">
                  <w:pPr>
                    <w:keepNext w:val="0"/>
                    <w:keepLines w:val="0"/>
                    <w:pageBreakBefore w:val="0"/>
                    <w:widowControl/>
                    <w:kinsoku/>
                    <w:wordWrap/>
                    <w:overflowPunct/>
                    <w:topLinePunct w:val="0"/>
                    <w:autoSpaceDE/>
                    <w:autoSpaceDN/>
                    <w:bidi w:val="0"/>
                    <w:adjustRightInd w:val="0"/>
                    <w:snapToGrid w:val="0"/>
                    <w:jc w:val="center"/>
                    <w:rPr>
                      <w:rFonts w:hint="default" w:cs="Times New Roman"/>
                      <w:b w:val="0"/>
                      <w:bCs w:val="0"/>
                      <w:color w:val="auto"/>
                      <w:spacing w:val="0"/>
                      <w:kern w:val="0"/>
                      <w:sz w:val="18"/>
                      <w:szCs w:val="18"/>
                      <w:highlight w:val="none"/>
                      <w:lang w:val="en-US" w:eastAsia="zh-CN" w:bidi="ar-SA"/>
                    </w:rPr>
                  </w:pPr>
                  <w:r>
                    <w:rPr>
                      <w:rFonts w:hint="eastAsia" w:cs="Times New Roman"/>
                      <w:b w:val="0"/>
                      <w:bCs w:val="0"/>
                      <w:color w:val="auto"/>
                      <w:spacing w:val="0"/>
                      <w:kern w:val="0"/>
                      <w:sz w:val="18"/>
                      <w:szCs w:val="18"/>
                      <w:highlight w:val="none"/>
                      <w:lang w:val="en-US" w:eastAsia="zh-CN" w:bidi="ar-SA"/>
                    </w:rPr>
                    <w:t>0</w:t>
                  </w:r>
                </w:p>
              </w:tc>
              <w:tc>
                <w:tcPr>
                  <w:tcW w:w="408" w:type="pct"/>
                  <w:tcBorders>
                    <w:tl2br w:val="nil"/>
                    <w:tr2bl w:val="nil"/>
                  </w:tcBorders>
                  <w:noWrap w:val="0"/>
                  <w:vAlign w:val="center"/>
                </w:tcPr>
                <w:p w14:paraId="4F93E4CB">
                  <w:pPr>
                    <w:keepNext w:val="0"/>
                    <w:keepLines w:val="0"/>
                    <w:pageBreakBefore w:val="0"/>
                    <w:widowControl/>
                    <w:kinsoku/>
                    <w:wordWrap/>
                    <w:overflowPunct/>
                    <w:topLinePunct w:val="0"/>
                    <w:autoSpaceDE/>
                    <w:autoSpaceDN/>
                    <w:bidi w:val="0"/>
                    <w:adjustRightInd w:val="0"/>
                    <w:snapToGrid w:val="0"/>
                    <w:jc w:val="center"/>
                    <w:rPr>
                      <w:rFonts w:hint="default" w:cs="Times New Roman"/>
                      <w:b w:val="0"/>
                      <w:bCs w:val="0"/>
                      <w:color w:val="auto"/>
                      <w:spacing w:val="0"/>
                      <w:kern w:val="0"/>
                      <w:sz w:val="18"/>
                      <w:szCs w:val="18"/>
                      <w:highlight w:val="none"/>
                      <w:lang w:val="en-US" w:eastAsia="zh-CN" w:bidi="ar-SA"/>
                    </w:rPr>
                  </w:pPr>
                  <w:r>
                    <w:rPr>
                      <w:rFonts w:hint="eastAsia" w:cs="Times New Roman"/>
                      <w:b w:val="0"/>
                      <w:bCs w:val="0"/>
                      <w:color w:val="auto"/>
                      <w:spacing w:val="0"/>
                      <w:kern w:val="0"/>
                      <w:sz w:val="18"/>
                      <w:szCs w:val="18"/>
                      <w:highlight w:val="none"/>
                      <w:lang w:val="en-US" w:eastAsia="zh-CN" w:bidi="ar-SA"/>
                    </w:rPr>
                    <w:t>0</w:t>
                  </w:r>
                </w:p>
              </w:tc>
              <w:tc>
                <w:tcPr>
                  <w:tcW w:w="421" w:type="pct"/>
                  <w:tcBorders>
                    <w:tl2br w:val="nil"/>
                    <w:tr2bl w:val="nil"/>
                  </w:tcBorders>
                  <w:shd w:val="clear" w:color="auto" w:fill="auto"/>
                  <w:noWrap w:val="0"/>
                  <w:vAlign w:val="center"/>
                </w:tcPr>
                <w:p w14:paraId="169A8D75">
                  <w:pPr>
                    <w:pStyle w:val="656"/>
                    <w:snapToGrid w:val="0"/>
                    <w:rPr>
                      <w:rFonts w:hint="default"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0.5954</w:t>
                  </w:r>
                </w:p>
              </w:tc>
              <w:tc>
                <w:tcPr>
                  <w:tcW w:w="439" w:type="pct"/>
                  <w:tcBorders>
                    <w:tl2br w:val="nil"/>
                    <w:tr2bl w:val="nil"/>
                  </w:tcBorders>
                  <w:noWrap w:val="0"/>
                  <w:vAlign w:val="center"/>
                </w:tcPr>
                <w:p w14:paraId="6C2682C4">
                  <w:pPr>
                    <w:keepNext w:val="0"/>
                    <w:keepLines w:val="0"/>
                    <w:widowControl/>
                    <w:suppressLineNumbers w:val="0"/>
                    <w:jc w:val="center"/>
                    <w:textAlignment w:val="center"/>
                    <w:rPr>
                      <w:rFonts w:hint="default" w:cs="Times New Roman"/>
                      <w:i w:val="0"/>
                      <w:iCs w:val="0"/>
                      <w:snapToGrid w:val="0"/>
                      <w:color w:val="auto"/>
                      <w:kern w:val="0"/>
                      <w:sz w:val="18"/>
                      <w:szCs w:val="18"/>
                      <w:u w:val="none"/>
                      <w:lang w:val="en-US" w:eastAsia="zh-CN" w:bidi="ar"/>
                    </w:rPr>
                  </w:pPr>
                  <w:r>
                    <w:rPr>
                      <w:rFonts w:hint="default" w:ascii="Times New Roman" w:hAnsi="Times New Roman" w:eastAsia="宋体" w:cs="Times New Roman"/>
                      <w:i w:val="0"/>
                      <w:iCs w:val="0"/>
                      <w:snapToGrid w:val="0"/>
                      <w:color w:val="auto"/>
                      <w:kern w:val="0"/>
                      <w:sz w:val="18"/>
                      <w:szCs w:val="18"/>
                      <w:u w:val="none"/>
                      <w:lang w:val="en-US" w:eastAsia="zh-CN" w:bidi="ar"/>
                    </w:rPr>
                    <w:t>0.53586</w:t>
                  </w:r>
                </w:p>
              </w:tc>
              <w:tc>
                <w:tcPr>
                  <w:tcW w:w="412" w:type="pct"/>
                  <w:tcBorders>
                    <w:tl2br w:val="nil"/>
                    <w:tr2bl w:val="nil"/>
                  </w:tcBorders>
                  <w:shd w:val="clear" w:color="auto" w:fill="auto"/>
                  <w:noWrap w:val="0"/>
                  <w:vAlign w:val="center"/>
                </w:tcPr>
                <w:p w14:paraId="2EFF4EF1">
                  <w:pPr>
                    <w:pStyle w:val="656"/>
                    <w:snapToGrid w:val="0"/>
                    <w:rPr>
                      <w:rFonts w:hint="default"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0.05954</w:t>
                  </w:r>
                </w:p>
              </w:tc>
              <w:tc>
                <w:tcPr>
                  <w:tcW w:w="458" w:type="pct"/>
                  <w:tcBorders>
                    <w:tl2br w:val="nil"/>
                    <w:tr2bl w:val="nil"/>
                  </w:tcBorders>
                  <w:shd w:val="clear" w:color="auto" w:fill="auto"/>
                  <w:noWrap w:val="0"/>
                  <w:vAlign w:val="center"/>
                </w:tcPr>
                <w:p w14:paraId="0DB62F2B">
                  <w:pPr>
                    <w:keepNext w:val="0"/>
                    <w:keepLines w:val="0"/>
                    <w:pageBreakBefore w:val="0"/>
                    <w:widowControl/>
                    <w:kinsoku/>
                    <w:wordWrap/>
                    <w:overflowPunct/>
                    <w:topLinePunct w:val="0"/>
                    <w:autoSpaceDE/>
                    <w:autoSpaceDN/>
                    <w:bidi w:val="0"/>
                    <w:adjustRightInd w:val="0"/>
                    <w:snapToGrid w:val="0"/>
                    <w:jc w:val="center"/>
                    <w:rPr>
                      <w:rFonts w:hint="default" w:cs="Times New Roman"/>
                      <w:b w:val="0"/>
                      <w:bCs w:val="0"/>
                      <w:color w:val="auto"/>
                      <w:spacing w:val="0"/>
                      <w:kern w:val="0"/>
                      <w:sz w:val="18"/>
                      <w:szCs w:val="18"/>
                      <w:highlight w:val="none"/>
                      <w:lang w:val="en-US" w:eastAsia="zh-CN" w:bidi="ar-SA"/>
                    </w:rPr>
                  </w:pPr>
                  <w:r>
                    <w:rPr>
                      <w:rFonts w:hint="eastAsia" w:cs="Times New Roman"/>
                      <w:b w:val="0"/>
                      <w:bCs w:val="0"/>
                      <w:color w:val="auto"/>
                      <w:spacing w:val="0"/>
                      <w:kern w:val="0"/>
                      <w:sz w:val="18"/>
                      <w:szCs w:val="18"/>
                      <w:highlight w:val="none"/>
                      <w:lang w:val="en-US" w:eastAsia="zh-CN" w:bidi="ar-SA"/>
                    </w:rPr>
                    <w:t>0</w:t>
                  </w:r>
                </w:p>
              </w:tc>
              <w:tc>
                <w:tcPr>
                  <w:tcW w:w="495" w:type="pct"/>
                  <w:tcBorders>
                    <w:tl2br w:val="nil"/>
                    <w:tr2bl w:val="nil"/>
                  </w:tcBorders>
                  <w:shd w:val="clear" w:color="auto" w:fill="auto"/>
                  <w:noWrap w:val="0"/>
                  <w:vAlign w:val="center"/>
                </w:tcPr>
                <w:p w14:paraId="2F120612">
                  <w:pPr>
                    <w:pStyle w:val="656"/>
                    <w:snapToGrid w:val="0"/>
                    <w:rPr>
                      <w:rFonts w:hint="default"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0.05954</w:t>
                  </w:r>
                </w:p>
              </w:tc>
              <w:tc>
                <w:tcPr>
                  <w:tcW w:w="531" w:type="pct"/>
                  <w:tcBorders>
                    <w:tl2br w:val="nil"/>
                    <w:tr2bl w:val="nil"/>
                  </w:tcBorders>
                  <w:noWrap w:val="0"/>
                  <w:vAlign w:val="center"/>
                </w:tcPr>
                <w:p w14:paraId="73CE783E">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u w:val="none"/>
                      <w:lang w:val="en-US" w:eastAsia="zh-CN" w:bidi="ar"/>
                    </w:rPr>
                  </w:pPr>
                  <w:r>
                    <w:rPr>
                      <w:rFonts w:hint="eastAsia" w:ascii="Times New Roman" w:hAnsi="Times New Roman" w:eastAsia="宋体" w:cs="Times New Roman"/>
                      <w:i w:val="0"/>
                      <w:iCs w:val="0"/>
                      <w:snapToGrid w:val="0"/>
                      <w:color w:val="auto"/>
                      <w:kern w:val="0"/>
                      <w:sz w:val="18"/>
                      <w:szCs w:val="18"/>
                      <w:u w:val="none"/>
                      <w:lang w:val="en-US" w:eastAsia="zh-CN" w:bidi="ar"/>
                    </w:rPr>
                    <w:t>0.05954</w:t>
                  </w:r>
                </w:p>
              </w:tc>
              <w:tc>
                <w:tcPr>
                  <w:tcW w:w="460" w:type="pct"/>
                  <w:tcBorders>
                    <w:tl2br w:val="nil"/>
                    <w:tr2bl w:val="nil"/>
                  </w:tcBorders>
                  <w:noWrap w:val="0"/>
                  <w:vAlign w:val="center"/>
                </w:tcPr>
                <w:p w14:paraId="57109033">
                  <w:pPr>
                    <w:keepNext w:val="0"/>
                    <w:keepLines w:val="0"/>
                    <w:widowControl/>
                    <w:suppressLineNumbers w:val="0"/>
                    <w:jc w:val="center"/>
                    <w:textAlignment w:val="center"/>
                    <w:rPr>
                      <w:rFonts w:hint="default" w:cs="Times New Roman"/>
                      <w:b/>
                      <w:bCs/>
                      <w:snapToGrid w:val="0"/>
                      <w:color w:val="auto"/>
                      <w:spacing w:val="0"/>
                      <w:kern w:val="0"/>
                      <w:sz w:val="18"/>
                      <w:szCs w:val="18"/>
                      <w:lang w:val="en-US" w:eastAsia="zh-CN" w:bidi="ar-SA"/>
                    </w:rPr>
                  </w:pPr>
                  <w:r>
                    <w:rPr>
                      <w:rFonts w:hint="eastAsia" w:ascii="Times New Roman" w:hAnsi="Times New Roman" w:eastAsia="宋体" w:cs="Times New Roman"/>
                      <w:b/>
                      <w:bCs/>
                      <w:i w:val="0"/>
                      <w:iCs w:val="0"/>
                      <w:snapToGrid w:val="0"/>
                      <w:color w:val="auto"/>
                      <w:kern w:val="0"/>
                      <w:sz w:val="18"/>
                      <w:szCs w:val="18"/>
                      <w:u w:val="none"/>
                      <w:lang w:val="en-US" w:eastAsia="zh-CN" w:bidi="ar"/>
                    </w:rPr>
                    <w:t>0.05954</w:t>
                  </w:r>
                </w:p>
              </w:tc>
            </w:tr>
            <w:tr w14:paraId="575C1A8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349" w:type="pct"/>
                  <w:vMerge w:val="continue"/>
                  <w:tcBorders>
                    <w:tl2br w:val="nil"/>
                    <w:tr2bl w:val="nil"/>
                  </w:tcBorders>
                  <w:noWrap w:val="0"/>
                  <w:vAlign w:val="center"/>
                </w:tcPr>
                <w:p w14:paraId="3DF91E1E">
                  <w:pPr>
                    <w:pStyle w:val="698"/>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spacing w:val="0"/>
                      <w:kern w:val="0"/>
                      <w:sz w:val="18"/>
                      <w:szCs w:val="18"/>
                      <w:highlight w:val="none"/>
                    </w:rPr>
                  </w:pPr>
                </w:p>
              </w:tc>
              <w:tc>
                <w:tcPr>
                  <w:tcW w:w="615" w:type="pct"/>
                  <w:tcBorders>
                    <w:tl2br w:val="nil"/>
                    <w:tr2bl w:val="nil"/>
                  </w:tcBorders>
                  <w:noWrap w:val="0"/>
                  <w:vAlign w:val="center"/>
                </w:tcPr>
                <w:p w14:paraId="083F428B">
                  <w:pPr>
                    <w:pStyle w:val="656"/>
                    <w:keepNext w:val="0"/>
                    <w:keepLines w:val="0"/>
                    <w:pageBreakBefore w:val="0"/>
                    <w:kinsoku/>
                    <w:wordWrap/>
                    <w:overflowPunct/>
                    <w:topLinePunct w:val="0"/>
                    <w:autoSpaceDE/>
                    <w:autoSpaceDN/>
                    <w:bidi w:val="0"/>
                    <w:adjustRightInd w:val="0"/>
                    <w:snapToGrid w:val="0"/>
                    <w:rPr>
                      <w:rFonts w:hint="default" w:ascii="Times New Roman" w:hAnsi="Times New Roman" w:eastAsia="宋体" w:cs="Times New Roman"/>
                      <w:b w:val="0"/>
                      <w:bCs/>
                      <w:color w:val="auto"/>
                      <w:spacing w:val="0"/>
                      <w:kern w:val="0"/>
                      <w:sz w:val="18"/>
                      <w:szCs w:val="18"/>
                      <w:highlight w:val="none"/>
                      <w:lang w:val="en-US" w:eastAsia="zh-CN"/>
                    </w:rPr>
                  </w:pPr>
                  <w:r>
                    <w:rPr>
                      <w:rFonts w:hint="eastAsia" w:eastAsia="宋体"/>
                      <w:color w:val="auto"/>
                      <w:sz w:val="18"/>
                      <w:szCs w:val="18"/>
                      <w:lang w:val="en-US" w:eastAsia="zh-CN"/>
                    </w:rPr>
                    <w:t>二甲苯</w:t>
                  </w:r>
                </w:p>
              </w:tc>
              <w:tc>
                <w:tcPr>
                  <w:tcW w:w="407" w:type="pct"/>
                  <w:tcBorders>
                    <w:tl2br w:val="nil"/>
                    <w:tr2bl w:val="nil"/>
                  </w:tcBorders>
                  <w:noWrap w:val="0"/>
                  <w:vAlign w:val="center"/>
                </w:tcPr>
                <w:p w14:paraId="516A5075">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val="0"/>
                      <w:color w:val="auto"/>
                      <w:spacing w:val="0"/>
                      <w:kern w:val="0"/>
                      <w:sz w:val="18"/>
                      <w:szCs w:val="18"/>
                      <w:highlight w:val="none"/>
                      <w:lang w:val="en-US" w:eastAsia="zh-CN"/>
                    </w:rPr>
                  </w:pPr>
                  <w:r>
                    <w:rPr>
                      <w:rFonts w:hint="eastAsia" w:cs="Times New Roman"/>
                      <w:b w:val="0"/>
                      <w:bCs w:val="0"/>
                      <w:color w:val="auto"/>
                      <w:spacing w:val="0"/>
                      <w:kern w:val="0"/>
                      <w:sz w:val="18"/>
                      <w:szCs w:val="18"/>
                      <w:highlight w:val="none"/>
                      <w:lang w:val="en-US" w:eastAsia="zh-CN" w:bidi="ar-SA"/>
                    </w:rPr>
                    <w:t>0</w:t>
                  </w:r>
                </w:p>
              </w:tc>
              <w:tc>
                <w:tcPr>
                  <w:tcW w:w="408" w:type="pct"/>
                  <w:tcBorders>
                    <w:tl2br w:val="nil"/>
                    <w:tr2bl w:val="nil"/>
                  </w:tcBorders>
                  <w:noWrap w:val="0"/>
                  <w:vAlign w:val="center"/>
                </w:tcPr>
                <w:p w14:paraId="4A026396">
                  <w:pPr>
                    <w:keepNext w:val="0"/>
                    <w:keepLines w:val="0"/>
                    <w:pageBreakBefore w:val="0"/>
                    <w:widowControl/>
                    <w:kinsoku/>
                    <w:wordWrap/>
                    <w:overflowPunct/>
                    <w:topLinePunct w:val="0"/>
                    <w:autoSpaceDE/>
                    <w:autoSpaceDN/>
                    <w:bidi w:val="0"/>
                    <w:adjustRightInd w:val="0"/>
                    <w:snapToGrid w:val="0"/>
                    <w:jc w:val="center"/>
                    <w:rPr>
                      <w:rFonts w:hint="default" w:cs="Times New Roman"/>
                      <w:b w:val="0"/>
                      <w:bCs w:val="0"/>
                      <w:color w:val="auto"/>
                      <w:spacing w:val="0"/>
                      <w:kern w:val="0"/>
                      <w:sz w:val="18"/>
                      <w:szCs w:val="18"/>
                      <w:highlight w:val="none"/>
                      <w:lang w:val="en-US" w:eastAsia="zh-CN"/>
                    </w:rPr>
                  </w:pPr>
                  <w:r>
                    <w:rPr>
                      <w:rFonts w:hint="eastAsia" w:cs="Times New Roman"/>
                      <w:b w:val="0"/>
                      <w:bCs w:val="0"/>
                      <w:color w:val="auto"/>
                      <w:spacing w:val="0"/>
                      <w:kern w:val="0"/>
                      <w:sz w:val="18"/>
                      <w:szCs w:val="18"/>
                      <w:highlight w:val="none"/>
                      <w:lang w:val="en-US" w:eastAsia="zh-CN" w:bidi="ar-SA"/>
                    </w:rPr>
                    <w:t>0</w:t>
                  </w:r>
                </w:p>
              </w:tc>
              <w:tc>
                <w:tcPr>
                  <w:tcW w:w="421" w:type="pct"/>
                  <w:tcBorders>
                    <w:tl2br w:val="nil"/>
                    <w:tr2bl w:val="nil"/>
                  </w:tcBorders>
                  <w:shd w:val="clear" w:color="auto" w:fill="auto"/>
                  <w:noWrap w:val="0"/>
                  <w:vAlign w:val="center"/>
                </w:tcPr>
                <w:p w14:paraId="40E343F6">
                  <w:pPr>
                    <w:pStyle w:val="656"/>
                    <w:snapToGrid w:val="0"/>
                    <w:rPr>
                      <w:rFonts w:hint="default"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0.573</w:t>
                  </w:r>
                </w:p>
              </w:tc>
              <w:tc>
                <w:tcPr>
                  <w:tcW w:w="439" w:type="pct"/>
                  <w:tcBorders>
                    <w:tl2br w:val="nil"/>
                    <w:tr2bl w:val="nil"/>
                  </w:tcBorders>
                  <w:noWrap w:val="0"/>
                  <w:vAlign w:val="center"/>
                </w:tcPr>
                <w:p w14:paraId="7AAF8BCB">
                  <w:pPr>
                    <w:keepNext w:val="0"/>
                    <w:keepLines w:val="0"/>
                    <w:widowControl/>
                    <w:suppressLineNumbers w:val="0"/>
                    <w:jc w:val="center"/>
                    <w:textAlignment w:val="center"/>
                    <w:rPr>
                      <w:rFonts w:hint="default" w:ascii="Times New Roman" w:hAnsi="Times New Roman" w:eastAsia="宋体" w:cs="Times New Roman"/>
                      <w:b w:val="0"/>
                      <w:bCs/>
                      <w:snapToGrid w:val="0"/>
                      <w:color w:val="auto"/>
                      <w:spacing w:val="0"/>
                      <w:kern w:val="0"/>
                      <w:sz w:val="18"/>
                      <w:szCs w:val="18"/>
                      <w:highlight w:val="none"/>
                      <w:lang w:val="en-US" w:eastAsia="zh-CN" w:bidi="ar-SA"/>
                    </w:rPr>
                  </w:pPr>
                  <w:r>
                    <w:rPr>
                      <w:rFonts w:hint="default" w:ascii="Times New Roman" w:hAnsi="Times New Roman" w:eastAsia="宋体" w:cs="Times New Roman"/>
                      <w:i w:val="0"/>
                      <w:iCs w:val="0"/>
                      <w:snapToGrid w:val="0"/>
                      <w:color w:val="auto"/>
                      <w:kern w:val="0"/>
                      <w:sz w:val="18"/>
                      <w:szCs w:val="18"/>
                      <w:u w:val="none"/>
                      <w:lang w:val="en-US" w:eastAsia="zh-CN" w:bidi="ar"/>
                    </w:rPr>
                    <w:t>0.5157</w:t>
                  </w:r>
                </w:p>
              </w:tc>
              <w:tc>
                <w:tcPr>
                  <w:tcW w:w="412" w:type="pct"/>
                  <w:tcBorders>
                    <w:tl2br w:val="nil"/>
                    <w:tr2bl w:val="nil"/>
                  </w:tcBorders>
                  <w:shd w:val="clear" w:color="auto" w:fill="auto"/>
                  <w:noWrap w:val="0"/>
                  <w:vAlign w:val="center"/>
                </w:tcPr>
                <w:p w14:paraId="5E9A788D">
                  <w:pPr>
                    <w:pStyle w:val="656"/>
                    <w:snapToGrid w:val="0"/>
                    <w:rPr>
                      <w:rFonts w:hint="default"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0.0573</w:t>
                  </w:r>
                </w:p>
              </w:tc>
              <w:tc>
                <w:tcPr>
                  <w:tcW w:w="458" w:type="pct"/>
                  <w:tcBorders>
                    <w:tl2br w:val="nil"/>
                    <w:tr2bl w:val="nil"/>
                  </w:tcBorders>
                  <w:shd w:val="clear" w:color="auto" w:fill="auto"/>
                  <w:noWrap w:val="0"/>
                  <w:vAlign w:val="center"/>
                </w:tcPr>
                <w:p w14:paraId="76306C73">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val="0"/>
                      <w:snapToGrid w:val="0"/>
                      <w:color w:val="auto"/>
                      <w:spacing w:val="0"/>
                      <w:kern w:val="0"/>
                      <w:sz w:val="18"/>
                      <w:szCs w:val="18"/>
                      <w:highlight w:val="none"/>
                      <w:lang w:val="en-US" w:eastAsia="zh-CN" w:bidi="ar-SA"/>
                    </w:rPr>
                  </w:pPr>
                  <w:r>
                    <w:rPr>
                      <w:rFonts w:hint="eastAsia" w:cs="Times New Roman"/>
                      <w:b w:val="0"/>
                      <w:bCs w:val="0"/>
                      <w:color w:val="auto"/>
                      <w:spacing w:val="0"/>
                      <w:kern w:val="0"/>
                      <w:sz w:val="18"/>
                      <w:szCs w:val="18"/>
                      <w:highlight w:val="none"/>
                      <w:lang w:val="en-US" w:eastAsia="zh-CN" w:bidi="ar-SA"/>
                    </w:rPr>
                    <w:t>0</w:t>
                  </w:r>
                </w:p>
              </w:tc>
              <w:tc>
                <w:tcPr>
                  <w:tcW w:w="495" w:type="pct"/>
                  <w:tcBorders>
                    <w:tl2br w:val="nil"/>
                    <w:tr2bl w:val="nil"/>
                  </w:tcBorders>
                  <w:shd w:val="clear" w:color="auto" w:fill="auto"/>
                  <w:noWrap w:val="0"/>
                  <w:vAlign w:val="center"/>
                </w:tcPr>
                <w:p w14:paraId="4A50E0AF">
                  <w:pPr>
                    <w:pStyle w:val="656"/>
                    <w:snapToGrid w:val="0"/>
                    <w:rPr>
                      <w:rFonts w:hint="default"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0.0573</w:t>
                  </w:r>
                </w:p>
              </w:tc>
              <w:tc>
                <w:tcPr>
                  <w:tcW w:w="531" w:type="pct"/>
                  <w:tcBorders>
                    <w:tl2br w:val="nil"/>
                    <w:tr2bl w:val="nil"/>
                  </w:tcBorders>
                  <w:noWrap w:val="0"/>
                  <w:vAlign w:val="center"/>
                </w:tcPr>
                <w:p w14:paraId="6F6E5477">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u w:val="none"/>
                      <w:lang w:val="en-US" w:eastAsia="zh-CN" w:bidi="ar"/>
                    </w:rPr>
                  </w:pPr>
                  <w:r>
                    <w:rPr>
                      <w:rFonts w:hint="eastAsia" w:ascii="Times New Roman" w:hAnsi="Times New Roman" w:eastAsia="宋体" w:cs="Times New Roman"/>
                      <w:i w:val="0"/>
                      <w:iCs w:val="0"/>
                      <w:snapToGrid w:val="0"/>
                      <w:color w:val="auto"/>
                      <w:kern w:val="0"/>
                      <w:sz w:val="18"/>
                      <w:szCs w:val="18"/>
                      <w:u w:val="none"/>
                      <w:lang w:val="en-US" w:eastAsia="zh-CN" w:bidi="ar"/>
                    </w:rPr>
                    <w:t>0.0573</w:t>
                  </w:r>
                </w:p>
              </w:tc>
              <w:tc>
                <w:tcPr>
                  <w:tcW w:w="460" w:type="pct"/>
                  <w:tcBorders>
                    <w:tl2br w:val="nil"/>
                    <w:tr2bl w:val="nil"/>
                  </w:tcBorders>
                  <w:noWrap w:val="0"/>
                  <w:vAlign w:val="center"/>
                </w:tcPr>
                <w:p w14:paraId="72F62641">
                  <w:pPr>
                    <w:keepNext w:val="0"/>
                    <w:keepLines w:val="0"/>
                    <w:widowControl/>
                    <w:suppressLineNumbers w:val="0"/>
                    <w:jc w:val="center"/>
                    <w:textAlignment w:val="center"/>
                    <w:rPr>
                      <w:rFonts w:hint="default" w:ascii="Times New Roman" w:hAnsi="Times New Roman" w:eastAsia="宋体" w:cs="Times New Roman"/>
                      <w:b/>
                      <w:bCs/>
                      <w:snapToGrid w:val="0"/>
                      <w:color w:val="auto"/>
                      <w:spacing w:val="0"/>
                      <w:kern w:val="0"/>
                      <w:sz w:val="18"/>
                      <w:szCs w:val="18"/>
                      <w:lang w:val="en-US" w:eastAsia="zh-CN" w:bidi="ar-SA"/>
                    </w:rPr>
                  </w:pPr>
                  <w:r>
                    <w:rPr>
                      <w:rFonts w:hint="eastAsia" w:ascii="Times New Roman" w:hAnsi="Times New Roman" w:eastAsia="宋体" w:cs="Times New Roman"/>
                      <w:b/>
                      <w:bCs/>
                      <w:i w:val="0"/>
                      <w:iCs w:val="0"/>
                      <w:snapToGrid w:val="0"/>
                      <w:color w:val="auto"/>
                      <w:kern w:val="0"/>
                      <w:sz w:val="18"/>
                      <w:szCs w:val="18"/>
                      <w:u w:val="none"/>
                      <w:lang w:val="en-US" w:eastAsia="zh-CN" w:bidi="ar"/>
                    </w:rPr>
                    <w:t>0.0573</w:t>
                  </w:r>
                </w:p>
              </w:tc>
            </w:tr>
            <w:tr w14:paraId="6929CB3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349" w:type="pct"/>
                  <w:vMerge w:val="continue"/>
                  <w:tcBorders>
                    <w:tl2br w:val="nil"/>
                    <w:tr2bl w:val="nil"/>
                  </w:tcBorders>
                  <w:noWrap w:val="0"/>
                  <w:vAlign w:val="center"/>
                </w:tcPr>
                <w:p w14:paraId="133153A1">
                  <w:pPr>
                    <w:pStyle w:val="698"/>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spacing w:val="0"/>
                      <w:kern w:val="0"/>
                      <w:sz w:val="18"/>
                      <w:szCs w:val="18"/>
                      <w:highlight w:val="none"/>
                    </w:rPr>
                  </w:pPr>
                </w:p>
              </w:tc>
              <w:tc>
                <w:tcPr>
                  <w:tcW w:w="615" w:type="pct"/>
                  <w:tcBorders>
                    <w:tl2br w:val="nil"/>
                    <w:tr2bl w:val="nil"/>
                  </w:tcBorders>
                  <w:noWrap w:val="0"/>
                  <w:vAlign w:val="center"/>
                </w:tcPr>
                <w:p w14:paraId="04CE10E1">
                  <w:pPr>
                    <w:pStyle w:val="656"/>
                    <w:keepNext w:val="0"/>
                    <w:keepLines w:val="0"/>
                    <w:pageBreakBefore w:val="0"/>
                    <w:kinsoku/>
                    <w:wordWrap/>
                    <w:overflowPunct/>
                    <w:topLinePunct w:val="0"/>
                    <w:autoSpaceDE/>
                    <w:autoSpaceDN/>
                    <w:bidi w:val="0"/>
                    <w:adjustRightInd w:val="0"/>
                    <w:snapToGrid w:val="0"/>
                    <w:rPr>
                      <w:rFonts w:hint="default"/>
                      <w:color w:val="auto"/>
                      <w:spacing w:val="0"/>
                      <w:kern w:val="0"/>
                      <w:sz w:val="18"/>
                      <w:szCs w:val="18"/>
                      <w:lang w:val="en-US" w:eastAsia="zh-CN"/>
                    </w:rPr>
                  </w:pPr>
                  <w:r>
                    <w:rPr>
                      <w:rFonts w:hint="eastAsia" w:eastAsia="宋体"/>
                      <w:color w:val="auto"/>
                      <w:sz w:val="18"/>
                      <w:szCs w:val="18"/>
                      <w:lang w:val="en-US" w:eastAsia="zh-CN"/>
                    </w:rPr>
                    <w:t>三甲苯</w:t>
                  </w:r>
                </w:p>
              </w:tc>
              <w:tc>
                <w:tcPr>
                  <w:tcW w:w="407" w:type="pct"/>
                  <w:tcBorders>
                    <w:tl2br w:val="nil"/>
                    <w:tr2bl w:val="nil"/>
                  </w:tcBorders>
                  <w:noWrap w:val="0"/>
                  <w:vAlign w:val="center"/>
                </w:tcPr>
                <w:p w14:paraId="0CAF8B28">
                  <w:pPr>
                    <w:keepNext w:val="0"/>
                    <w:keepLines w:val="0"/>
                    <w:pageBreakBefore w:val="0"/>
                    <w:widowControl/>
                    <w:kinsoku/>
                    <w:wordWrap/>
                    <w:overflowPunct/>
                    <w:topLinePunct w:val="0"/>
                    <w:autoSpaceDE/>
                    <w:autoSpaceDN/>
                    <w:bidi w:val="0"/>
                    <w:adjustRightInd w:val="0"/>
                    <w:snapToGrid w:val="0"/>
                    <w:jc w:val="center"/>
                    <w:rPr>
                      <w:rFonts w:hint="default" w:cs="Times New Roman"/>
                      <w:b w:val="0"/>
                      <w:bCs w:val="0"/>
                      <w:color w:val="auto"/>
                      <w:spacing w:val="0"/>
                      <w:kern w:val="0"/>
                      <w:sz w:val="18"/>
                      <w:szCs w:val="18"/>
                      <w:highlight w:val="none"/>
                      <w:lang w:val="en-US" w:eastAsia="zh-CN"/>
                    </w:rPr>
                  </w:pPr>
                  <w:r>
                    <w:rPr>
                      <w:rFonts w:hint="eastAsia" w:cs="Times New Roman"/>
                      <w:b w:val="0"/>
                      <w:bCs w:val="0"/>
                      <w:color w:val="auto"/>
                      <w:spacing w:val="0"/>
                      <w:kern w:val="0"/>
                      <w:sz w:val="18"/>
                      <w:szCs w:val="18"/>
                      <w:highlight w:val="none"/>
                      <w:lang w:val="en-US" w:eastAsia="zh-CN" w:bidi="ar-SA"/>
                    </w:rPr>
                    <w:t>0</w:t>
                  </w:r>
                </w:p>
              </w:tc>
              <w:tc>
                <w:tcPr>
                  <w:tcW w:w="408" w:type="pct"/>
                  <w:tcBorders>
                    <w:tl2br w:val="nil"/>
                    <w:tr2bl w:val="nil"/>
                  </w:tcBorders>
                  <w:noWrap w:val="0"/>
                  <w:vAlign w:val="center"/>
                </w:tcPr>
                <w:p w14:paraId="0AEDD4F1">
                  <w:pPr>
                    <w:keepNext w:val="0"/>
                    <w:keepLines w:val="0"/>
                    <w:pageBreakBefore w:val="0"/>
                    <w:widowControl/>
                    <w:kinsoku/>
                    <w:wordWrap/>
                    <w:overflowPunct/>
                    <w:topLinePunct w:val="0"/>
                    <w:autoSpaceDE/>
                    <w:autoSpaceDN/>
                    <w:bidi w:val="0"/>
                    <w:adjustRightInd w:val="0"/>
                    <w:snapToGrid w:val="0"/>
                    <w:jc w:val="center"/>
                    <w:rPr>
                      <w:rFonts w:hint="default" w:cs="Times New Roman"/>
                      <w:b w:val="0"/>
                      <w:bCs w:val="0"/>
                      <w:color w:val="auto"/>
                      <w:spacing w:val="0"/>
                      <w:kern w:val="0"/>
                      <w:sz w:val="18"/>
                      <w:szCs w:val="18"/>
                      <w:highlight w:val="none"/>
                      <w:lang w:val="en-US" w:eastAsia="zh-CN"/>
                    </w:rPr>
                  </w:pPr>
                  <w:r>
                    <w:rPr>
                      <w:rFonts w:hint="eastAsia" w:cs="Times New Roman"/>
                      <w:b w:val="0"/>
                      <w:bCs w:val="0"/>
                      <w:color w:val="auto"/>
                      <w:spacing w:val="0"/>
                      <w:kern w:val="0"/>
                      <w:sz w:val="18"/>
                      <w:szCs w:val="18"/>
                      <w:highlight w:val="none"/>
                      <w:lang w:val="en-US" w:eastAsia="zh-CN" w:bidi="ar-SA"/>
                    </w:rPr>
                    <w:t>0</w:t>
                  </w:r>
                </w:p>
              </w:tc>
              <w:tc>
                <w:tcPr>
                  <w:tcW w:w="421" w:type="pct"/>
                  <w:tcBorders>
                    <w:tl2br w:val="nil"/>
                    <w:tr2bl w:val="nil"/>
                  </w:tcBorders>
                  <w:shd w:val="clear" w:color="auto" w:fill="auto"/>
                  <w:noWrap w:val="0"/>
                  <w:vAlign w:val="center"/>
                </w:tcPr>
                <w:p w14:paraId="1E9996EF">
                  <w:pPr>
                    <w:pStyle w:val="656"/>
                    <w:snapToGrid w:val="0"/>
                    <w:rPr>
                      <w:rFonts w:hint="default"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0.02205</w:t>
                  </w:r>
                </w:p>
              </w:tc>
              <w:tc>
                <w:tcPr>
                  <w:tcW w:w="439" w:type="pct"/>
                  <w:tcBorders>
                    <w:tl2br w:val="nil"/>
                    <w:tr2bl w:val="nil"/>
                  </w:tcBorders>
                  <w:noWrap w:val="0"/>
                  <w:vAlign w:val="center"/>
                </w:tcPr>
                <w:p w14:paraId="3F206E56">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u w:val="none"/>
                      <w:lang w:val="en-US" w:eastAsia="zh-CN" w:bidi="ar"/>
                    </w:rPr>
                  </w:pPr>
                  <w:r>
                    <w:rPr>
                      <w:rFonts w:hint="default" w:ascii="Times New Roman" w:hAnsi="Times New Roman" w:eastAsia="宋体" w:cs="Times New Roman"/>
                      <w:i w:val="0"/>
                      <w:iCs w:val="0"/>
                      <w:snapToGrid w:val="0"/>
                      <w:color w:val="auto"/>
                      <w:kern w:val="0"/>
                      <w:sz w:val="18"/>
                      <w:szCs w:val="18"/>
                      <w:u w:val="none"/>
                      <w:lang w:val="en-US" w:eastAsia="zh-CN" w:bidi="ar"/>
                    </w:rPr>
                    <w:t>0.019845</w:t>
                  </w:r>
                </w:p>
              </w:tc>
              <w:tc>
                <w:tcPr>
                  <w:tcW w:w="412" w:type="pct"/>
                  <w:tcBorders>
                    <w:tl2br w:val="nil"/>
                    <w:tr2bl w:val="nil"/>
                  </w:tcBorders>
                  <w:shd w:val="clear" w:color="auto" w:fill="auto"/>
                  <w:noWrap w:val="0"/>
                  <w:vAlign w:val="center"/>
                </w:tcPr>
                <w:p w14:paraId="5A73C3C8">
                  <w:pPr>
                    <w:pStyle w:val="656"/>
                    <w:snapToGrid w:val="0"/>
                    <w:rPr>
                      <w:rFonts w:hint="default"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0.002205</w:t>
                  </w:r>
                </w:p>
              </w:tc>
              <w:tc>
                <w:tcPr>
                  <w:tcW w:w="458" w:type="pct"/>
                  <w:tcBorders>
                    <w:tl2br w:val="nil"/>
                    <w:tr2bl w:val="nil"/>
                  </w:tcBorders>
                  <w:shd w:val="clear" w:color="auto" w:fill="auto"/>
                  <w:noWrap w:val="0"/>
                  <w:vAlign w:val="center"/>
                </w:tcPr>
                <w:p w14:paraId="7CC1D46D">
                  <w:pPr>
                    <w:keepNext w:val="0"/>
                    <w:keepLines w:val="0"/>
                    <w:pageBreakBefore w:val="0"/>
                    <w:widowControl/>
                    <w:kinsoku/>
                    <w:wordWrap/>
                    <w:overflowPunct/>
                    <w:topLinePunct w:val="0"/>
                    <w:autoSpaceDE/>
                    <w:autoSpaceDN/>
                    <w:bidi w:val="0"/>
                    <w:adjustRightInd w:val="0"/>
                    <w:snapToGrid w:val="0"/>
                    <w:jc w:val="center"/>
                    <w:rPr>
                      <w:rFonts w:hint="default" w:cs="Times New Roman"/>
                      <w:b w:val="0"/>
                      <w:bCs w:val="0"/>
                      <w:color w:val="auto"/>
                      <w:spacing w:val="0"/>
                      <w:kern w:val="0"/>
                      <w:sz w:val="18"/>
                      <w:szCs w:val="18"/>
                      <w:highlight w:val="none"/>
                      <w:lang w:val="en-US" w:eastAsia="zh-CN"/>
                    </w:rPr>
                  </w:pPr>
                  <w:r>
                    <w:rPr>
                      <w:rFonts w:hint="eastAsia" w:cs="Times New Roman"/>
                      <w:b w:val="0"/>
                      <w:bCs w:val="0"/>
                      <w:color w:val="auto"/>
                      <w:spacing w:val="0"/>
                      <w:kern w:val="0"/>
                      <w:sz w:val="18"/>
                      <w:szCs w:val="18"/>
                      <w:highlight w:val="none"/>
                      <w:lang w:val="en-US" w:eastAsia="zh-CN" w:bidi="ar-SA"/>
                    </w:rPr>
                    <w:t>0</w:t>
                  </w:r>
                </w:p>
              </w:tc>
              <w:tc>
                <w:tcPr>
                  <w:tcW w:w="495" w:type="pct"/>
                  <w:tcBorders>
                    <w:tl2br w:val="nil"/>
                    <w:tr2bl w:val="nil"/>
                  </w:tcBorders>
                  <w:shd w:val="clear" w:color="auto" w:fill="auto"/>
                  <w:noWrap w:val="0"/>
                  <w:vAlign w:val="center"/>
                </w:tcPr>
                <w:p w14:paraId="6A27E0E3">
                  <w:pPr>
                    <w:pStyle w:val="656"/>
                    <w:snapToGrid w:val="0"/>
                    <w:rPr>
                      <w:rFonts w:hint="default"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0.002205</w:t>
                  </w:r>
                </w:p>
              </w:tc>
              <w:tc>
                <w:tcPr>
                  <w:tcW w:w="531" w:type="pct"/>
                  <w:tcBorders>
                    <w:tl2br w:val="nil"/>
                    <w:tr2bl w:val="nil"/>
                  </w:tcBorders>
                  <w:noWrap w:val="0"/>
                  <w:vAlign w:val="center"/>
                </w:tcPr>
                <w:p w14:paraId="7643AD23">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u w:val="none"/>
                      <w:lang w:val="en-US" w:eastAsia="zh-CN" w:bidi="ar"/>
                    </w:rPr>
                  </w:pPr>
                  <w:r>
                    <w:rPr>
                      <w:rFonts w:hint="eastAsia" w:ascii="Times New Roman" w:hAnsi="Times New Roman" w:eastAsia="宋体" w:cs="Times New Roman"/>
                      <w:i w:val="0"/>
                      <w:iCs w:val="0"/>
                      <w:snapToGrid w:val="0"/>
                      <w:color w:val="auto"/>
                      <w:kern w:val="0"/>
                      <w:sz w:val="18"/>
                      <w:szCs w:val="18"/>
                      <w:u w:val="none"/>
                      <w:lang w:val="en-US" w:eastAsia="zh-CN" w:bidi="ar"/>
                    </w:rPr>
                    <w:t>0.002205</w:t>
                  </w:r>
                </w:p>
              </w:tc>
              <w:tc>
                <w:tcPr>
                  <w:tcW w:w="460" w:type="pct"/>
                  <w:tcBorders>
                    <w:tl2br w:val="nil"/>
                    <w:tr2bl w:val="nil"/>
                  </w:tcBorders>
                  <w:noWrap w:val="0"/>
                  <w:vAlign w:val="center"/>
                </w:tcPr>
                <w:p w14:paraId="0F5F73FE">
                  <w:pPr>
                    <w:keepNext w:val="0"/>
                    <w:keepLines w:val="0"/>
                    <w:widowControl/>
                    <w:suppressLineNumbers w:val="0"/>
                    <w:jc w:val="center"/>
                    <w:textAlignment w:val="center"/>
                    <w:rPr>
                      <w:rFonts w:hint="default" w:cs="Times New Roman"/>
                      <w:b/>
                      <w:bCs/>
                      <w:snapToGrid w:val="0"/>
                      <w:color w:val="auto"/>
                      <w:spacing w:val="0"/>
                      <w:kern w:val="0"/>
                      <w:sz w:val="18"/>
                      <w:szCs w:val="18"/>
                      <w:lang w:val="en-US" w:eastAsia="zh-CN" w:bidi="ar-SA"/>
                    </w:rPr>
                  </w:pPr>
                  <w:r>
                    <w:rPr>
                      <w:rFonts w:hint="eastAsia" w:ascii="Times New Roman" w:hAnsi="Times New Roman" w:eastAsia="宋体" w:cs="Times New Roman"/>
                      <w:b/>
                      <w:bCs/>
                      <w:i w:val="0"/>
                      <w:iCs w:val="0"/>
                      <w:snapToGrid w:val="0"/>
                      <w:color w:val="auto"/>
                      <w:kern w:val="0"/>
                      <w:sz w:val="18"/>
                      <w:szCs w:val="18"/>
                      <w:u w:val="none"/>
                      <w:lang w:val="en-US" w:eastAsia="zh-CN" w:bidi="ar"/>
                    </w:rPr>
                    <w:t>0.002205</w:t>
                  </w:r>
                </w:p>
              </w:tc>
            </w:tr>
            <w:tr w14:paraId="4694EA6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90" w:hRule="atLeast"/>
                <w:jc w:val="center"/>
              </w:trPr>
              <w:tc>
                <w:tcPr>
                  <w:tcW w:w="349" w:type="pct"/>
                  <w:vMerge w:val="continue"/>
                  <w:tcBorders>
                    <w:tl2br w:val="nil"/>
                    <w:tr2bl w:val="nil"/>
                  </w:tcBorders>
                  <w:noWrap w:val="0"/>
                  <w:vAlign w:val="center"/>
                </w:tcPr>
                <w:p w14:paraId="6AA8D11B">
                  <w:pPr>
                    <w:pStyle w:val="698"/>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spacing w:val="0"/>
                      <w:kern w:val="0"/>
                      <w:sz w:val="18"/>
                      <w:szCs w:val="18"/>
                      <w:highlight w:val="none"/>
                    </w:rPr>
                  </w:pPr>
                </w:p>
              </w:tc>
              <w:tc>
                <w:tcPr>
                  <w:tcW w:w="615" w:type="pct"/>
                  <w:tcBorders>
                    <w:tl2br w:val="nil"/>
                    <w:tr2bl w:val="nil"/>
                  </w:tcBorders>
                  <w:noWrap w:val="0"/>
                  <w:vAlign w:val="center"/>
                </w:tcPr>
                <w:p w14:paraId="172DA5AC">
                  <w:pPr>
                    <w:pStyle w:val="656"/>
                    <w:keepNext w:val="0"/>
                    <w:keepLines w:val="0"/>
                    <w:pageBreakBefore w:val="0"/>
                    <w:kinsoku/>
                    <w:wordWrap/>
                    <w:overflowPunct/>
                    <w:topLinePunct w:val="0"/>
                    <w:autoSpaceDE/>
                    <w:autoSpaceDN/>
                    <w:bidi w:val="0"/>
                    <w:adjustRightInd w:val="0"/>
                    <w:snapToGrid w:val="0"/>
                    <w:rPr>
                      <w:rFonts w:hint="default" w:ascii="Times New Roman" w:hAnsi="Times New Roman" w:eastAsia="宋体" w:cs="Times New Roman"/>
                      <w:b w:val="0"/>
                      <w:bCs/>
                      <w:color w:val="auto"/>
                      <w:spacing w:val="0"/>
                      <w:kern w:val="0"/>
                      <w:sz w:val="18"/>
                      <w:szCs w:val="18"/>
                      <w:highlight w:val="none"/>
                      <w:lang w:val="en-US" w:eastAsia="zh-CN"/>
                    </w:rPr>
                  </w:pPr>
                  <w:r>
                    <w:rPr>
                      <w:rFonts w:hint="eastAsia" w:eastAsia="宋体"/>
                      <w:color w:val="auto"/>
                      <w:sz w:val="18"/>
                      <w:szCs w:val="18"/>
                      <w:lang w:val="en-US" w:eastAsia="zh-CN"/>
                    </w:rPr>
                    <w:t>颗粒物</w:t>
                  </w:r>
                </w:p>
              </w:tc>
              <w:tc>
                <w:tcPr>
                  <w:tcW w:w="407" w:type="pct"/>
                  <w:tcBorders>
                    <w:tl2br w:val="nil"/>
                    <w:tr2bl w:val="nil"/>
                  </w:tcBorders>
                  <w:noWrap w:val="0"/>
                  <w:vAlign w:val="center"/>
                </w:tcPr>
                <w:p w14:paraId="26F812BE">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val="0"/>
                      <w:color w:val="auto"/>
                      <w:spacing w:val="0"/>
                      <w:kern w:val="0"/>
                      <w:sz w:val="18"/>
                      <w:szCs w:val="18"/>
                      <w:highlight w:val="none"/>
                      <w:lang w:val="en-US" w:eastAsia="zh-CN"/>
                    </w:rPr>
                  </w:pPr>
                  <w:r>
                    <w:rPr>
                      <w:rFonts w:hint="eastAsia" w:cs="Times New Roman"/>
                      <w:b w:val="0"/>
                      <w:bCs w:val="0"/>
                      <w:color w:val="auto"/>
                      <w:spacing w:val="0"/>
                      <w:kern w:val="0"/>
                      <w:sz w:val="18"/>
                      <w:szCs w:val="18"/>
                      <w:highlight w:val="none"/>
                      <w:lang w:val="en-US" w:eastAsia="zh-CN"/>
                    </w:rPr>
                    <w:t>0.106</w:t>
                  </w:r>
                </w:p>
              </w:tc>
              <w:tc>
                <w:tcPr>
                  <w:tcW w:w="408" w:type="pct"/>
                  <w:tcBorders>
                    <w:tl2br w:val="nil"/>
                    <w:tr2bl w:val="nil"/>
                  </w:tcBorders>
                  <w:noWrap w:val="0"/>
                  <w:vAlign w:val="center"/>
                </w:tcPr>
                <w:p w14:paraId="397A218A">
                  <w:pPr>
                    <w:keepNext w:val="0"/>
                    <w:keepLines w:val="0"/>
                    <w:pageBreakBefore w:val="0"/>
                    <w:widowControl/>
                    <w:kinsoku/>
                    <w:wordWrap/>
                    <w:overflowPunct/>
                    <w:topLinePunct w:val="0"/>
                    <w:autoSpaceDE/>
                    <w:autoSpaceDN/>
                    <w:bidi w:val="0"/>
                    <w:adjustRightInd w:val="0"/>
                    <w:snapToGrid w:val="0"/>
                    <w:jc w:val="center"/>
                    <w:rPr>
                      <w:rFonts w:hint="default" w:cs="Times New Roman"/>
                      <w:b w:val="0"/>
                      <w:bCs w:val="0"/>
                      <w:color w:val="auto"/>
                      <w:spacing w:val="0"/>
                      <w:kern w:val="0"/>
                      <w:sz w:val="18"/>
                      <w:szCs w:val="18"/>
                      <w:highlight w:val="none"/>
                      <w:lang w:val="en-US" w:eastAsia="zh-CN"/>
                    </w:rPr>
                  </w:pPr>
                  <w:r>
                    <w:rPr>
                      <w:rFonts w:hint="eastAsia" w:cs="Times New Roman"/>
                      <w:b w:val="0"/>
                      <w:bCs w:val="0"/>
                      <w:color w:val="auto"/>
                      <w:spacing w:val="0"/>
                      <w:kern w:val="0"/>
                      <w:sz w:val="18"/>
                      <w:szCs w:val="18"/>
                      <w:highlight w:val="none"/>
                      <w:lang w:val="en-US" w:eastAsia="zh-CN"/>
                    </w:rPr>
                    <w:t>0.102</w:t>
                  </w:r>
                </w:p>
              </w:tc>
              <w:tc>
                <w:tcPr>
                  <w:tcW w:w="421" w:type="pct"/>
                  <w:tcBorders>
                    <w:tl2br w:val="nil"/>
                    <w:tr2bl w:val="nil"/>
                  </w:tcBorders>
                  <w:shd w:val="clear" w:color="auto" w:fill="auto"/>
                  <w:noWrap w:val="0"/>
                  <w:vAlign w:val="center"/>
                </w:tcPr>
                <w:p w14:paraId="7BC04CA2">
                  <w:pPr>
                    <w:pStyle w:val="656"/>
                    <w:snapToGrid w:val="0"/>
                    <w:rPr>
                      <w:rFonts w:hint="default"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0.19655</w:t>
                  </w:r>
                </w:p>
              </w:tc>
              <w:tc>
                <w:tcPr>
                  <w:tcW w:w="439" w:type="pct"/>
                  <w:tcBorders>
                    <w:tl2br w:val="nil"/>
                    <w:tr2bl w:val="nil"/>
                  </w:tcBorders>
                  <w:noWrap w:val="0"/>
                  <w:vAlign w:val="center"/>
                </w:tcPr>
                <w:p w14:paraId="408AB5FB">
                  <w:pPr>
                    <w:keepNext w:val="0"/>
                    <w:keepLines w:val="0"/>
                    <w:widowControl/>
                    <w:suppressLineNumbers w:val="0"/>
                    <w:jc w:val="center"/>
                    <w:textAlignment w:val="center"/>
                    <w:rPr>
                      <w:rFonts w:hint="default" w:ascii="Times New Roman" w:hAnsi="Times New Roman" w:eastAsia="宋体" w:cs="Times New Roman"/>
                      <w:b w:val="0"/>
                      <w:bCs/>
                      <w:snapToGrid w:val="0"/>
                      <w:color w:val="auto"/>
                      <w:spacing w:val="0"/>
                      <w:kern w:val="0"/>
                      <w:sz w:val="18"/>
                      <w:szCs w:val="18"/>
                      <w:highlight w:val="none"/>
                      <w:lang w:val="en-US" w:eastAsia="zh-CN" w:bidi="ar-SA"/>
                    </w:rPr>
                  </w:pPr>
                  <w:r>
                    <w:rPr>
                      <w:rFonts w:hint="eastAsia" w:cs="Times New Roman"/>
                      <w:b w:val="0"/>
                      <w:bCs/>
                      <w:snapToGrid w:val="0"/>
                      <w:color w:val="auto"/>
                      <w:spacing w:val="0"/>
                      <w:kern w:val="0"/>
                      <w:sz w:val="18"/>
                      <w:szCs w:val="18"/>
                      <w:highlight w:val="none"/>
                      <w:lang w:val="en-US" w:eastAsia="zh-CN" w:bidi="ar-SA"/>
                    </w:rPr>
                    <w:t>0.176895</w:t>
                  </w:r>
                </w:p>
              </w:tc>
              <w:tc>
                <w:tcPr>
                  <w:tcW w:w="412" w:type="pct"/>
                  <w:tcBorders>
                    <w:tl2br w:val="nil"/>
                    <w:tr2bl w:val="nil"/>
                  </w:tcBorders>
                  <w:shd w:val="clear" w:color="auto" w:fill="auto"/>
                  <w:noWrap w:val="0"/>
                  <w:vAlign w:val="center"/>
                </w:tcPr>
                <w:p w14:paraId="7B0AA22B">
                  <w:pPr>
                    <w:pStyle w:val="656"/>
                    <w:snapToGrid w:val="0"/>
                    <w:rPr>
                      <w:rFonts w:hint="default"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0.019655</w:t>
                  </w:r>
                </w:p>
              </w:tc>
              <w:tc>
                <w:tcPr>
                  <w:tcW w:w="458" w:type="pct"/>
                  <w:tcBorders>
                    <w:tl2br w:val="nil"/>
                    <w:tr2bl w:val="nil"/>
                  </w:tcBorders>
                  <w:noWrap w:val="0"/>
                  <w:vAlign w:val="center"/>
                </w:tcPr>
                <w:p w14:paraId="705FC1E4">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Times New Roman" w:cs="Times New Roman"/>
                      <w:b w:val="0"/>
                      <w:bCs w:val="0"/>
                      <w:snapToGrid w:val="0"/>
                      <w:color w:val="auto"/>
                      <w:spacing w:val="0"/>
                      <w:kern w:val="0"/>
                      <w:sz w:val="18"/>
                      <w:szCs w:val="18"/>
                      <w:highlight w:val="none"/>
                      <w:lang w:val="en-US" w:eastAsia="zh-CN" w:bidi="ar-SA"/>
                    </w:rPr>
                  </w:pPr>
                  <w:r>
                    <w:rPr>
                      <w:rFonts w:hint="eastAsia" w:cs="Times New Roman"/>
                      <w:b w:val="0"/>
                      <w:bCs w:val="0"/>
                      <w:color w:val="auto"/>
                      <w:spacing w:val="0"/>
                      <w:kern w:val="0"/>
                      <w:sz w:val="18"/>
                      <w:szCs w:val="18"/>
                      <w:highlight w:val="none"/>
                      <w:lang w:val="en-US" w:eastAsia="zh-CN"/>
                    </w:rPr>
                    <w:t>0.106</w:t>
                  </w:r>
                </w:p>
              </w:tc>
              <w:tc>
                <w:tcPr>
                  <w:tcW w:w="495" w:type="pct"/>
                  <w:tcBorders>
                    <w:tl2br w:val="nil"/>
                    <w:tr2bl w:val="nil"/>
                  </w:tcBorders>
                  <w:shd w:val="clear" w:color="auto" w:fill="auto"/>
                  <w:noWrap w:val="0"/>
                  <w:vAlign w:val="center"/>
                </w:tcPr>
                <w:p w14:paraId="4E5FB920">
                  <w:pPr>
                    <w:pStyle w:val="656"/>
                    <w:snapToGrid w:val="0"/>
                    <w:rPr>
                      <w:rFonts w:hint="default"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0.019655</w:t>
                  </w:r>
                </w:p>
              </w:tc>
              <w:tc>
                <w:tcPr>
                  <w:tcW w:w="531" w:type="pct"/>
                  <w:tcBorders>
                    <w:tl2br w:val="nil"/>
                    <w:tr2bl w:val="nil"/>
                  </w:tcBorders>
                  <w:noWrap w:val="0"/>
                  <w:vAlign w:val="center"/>
                </w:tcPr>
                <w:p w14:paraId="259F1A0F">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u w:val="none"/>
                      <w:lang w:val="en-US" w:eastAsia="zh-CN" w:bidi="ar"/>
                    </w:rPr>
                  </w:pPr>
                  <w:r>
                    <w:rPr>
                      <w:rFonts w:hint="eastAsia" w:ascii="Times New Roman" w:hAnsi="Times New Roman" w:eastAsia="宋体" w:cs="Times New Roman"/>
                      <w:i w:val="0"/>
                      <w:iCs w:val="0"/>
                      <w:snapToGrid w:val="0"/>
                      <w:color w:val="auto"/>
                      <w:kern w:val="0"/>
                      <w:sz w:val="18"/>
                      <w:szCs w:val="18"/>
                      <w:u w:val="none"/>
                      <w:lang w:val="en-US" w:eastAsia="zh-CN" w:bidi="ar"/>
                    </w:rPr>
                    <w:t>-0.0</w:t>
                  </w:r>
                  <w:r>
                    <w:rPr>
                      <w:rFonts w:hint="eastAsia" w:cs="Times New Roman"/>
                      <w:i w:val="0"/>
                      <w:iCs w:val="0"/>
                      <w:snapToGrid w:val="0"/>
                      <w:color w:val="auto"/>
                      <w:kern w:val="0"/>
                      <w:sz w:val="18"/>
                      <w:szCs w:val="18"/>
                      <w:u w:val="none"/>
                      <w:lang w:val="en-US" w:eastAsia="zh-CN" w:bidi="ar"/>
                    </w:rPr>
                    <w:t>86345</w:t>
                  </w:r>
                </w:p>
              </w:tc>
              <w:tc>
                <w:tcPr>
                  <w:tcW w:w="460" w:type="pct"/>
                  <w:tcBorders>
                    <w:tl2br w:val="nil"/>
                    <w:tr2bl w:val="nil"/>
                  </w:tcBorders>
                  <w:noWrap w:val="0"/>
                  <w:vAlign w:val="center"/>
                </w:tcPr>
                <w:p w14:paraId="5835FB89">
                  <w:pPr>
                    <w:keepNext w:val="0"/>
                    <w:keepLines w:val="0"/>
                    <w:widowControl/>
                    <w:suppressLineNumbers w:val="0"/>
                    <w:jc w:val="center"/>
                    <w:textAlignment w:val="center"/>
                    <w:rPr>
                      <w:rFonts w:hint="default" w:ascii="Times New Roman" w:hAnsi="Times New Roman" w:eastAsia="宋体" w:cs="Times New Roman"/>
                      <w:b/>
                      <w:bCs/>
                      <w:snapToGrid w:val="0"/>
                      <w:color w:val="auto"/>
                      <w:spacing w:val="0"/>
                      <w:kern w:val="0"/>
                      <w:sz w:val="18"/>
                      <w:szCs w:val="18"/>
                      <w:lang w:val="en-US" w:eastAsia="zh-CN" w:bidi="ar-SA"/>
                    </w:rPr>
                  </w:pPr>
                  <w:r>
                    <w:rPr>
                      <w:rFonts w:hint="eastAsia" w:ascii="Times New Roman" w:hAnsi="Times New Roman" w:cs="Times New Roman"/>
                      <w:b/>
                      <w:bCs/>
                      <w:i w:val="0"/>
                      <w:iCs w:val="0"/>
                      <w:snapToGrid w:val="0"/>
                      <w:color w:val="auto"/>
                      <w:kern w:val="0"/>
                      <w:sz w:val="18"/>
                      <w:szCs w:val="18"/>
                      <w:u w:val="none"/>
                      <w:lang w:val="en-US" w:eastAsia="zh-CN" w:bidi="ar"/>
                    </w:rPr>
                    <w:t>0</w:t>
                  </w:r>
                </w:p>
              </w:tc>
            </w:tr>
            <w:tr w14:paraId="3BDE39A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349" w:type="pct"/>
                  <w:vMerge w:val="restart"/>
                  <w:tcBorders>
                    <w:tl2br w:val="nil"/>
                    <w:tr2bl w:val="nil"/>
                  </w:tcBorders>
                  <w:noWrap w:val="0"/>
                  <w:vAlign w:val="center"/>
                </w:tcPr>
                <w:p w14:paraId="73F6B170">
                  <w:pPr>
                    <w:pStyle w:val="698"/>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spacing w:val="0"/>
                      <w:kern w:val="0"/>
                      <w:sz w:val="18"/>
                      <w:szCs w:val="18"/>
                      <w:highlight w:val="none"/>
                      <w:lang w:val="en-US" w:eastAsia="zh-CN"/>
                    </w:rPr>
                  </w:pPr>
                  <w:r>
                    <w:rPr>
                      <w:rFonts w:hint="default" w:ascii="Times New Roman" w:hAnsi="Times New Roman" w:eastAsia="宋体" w:cs="Times New Roman"/>
                      <w:b w:val="0"/>
                      <w:bCs/>
                      <w:color w:val="auto"/>
                      <w:spacing w:val="0"/>
                      <w:kern w:val="0"/>
                      <w:sz w:val="18"/>
                      <w:szCs w:val="18"/>
                      <w:highlight w:val="none"/>
                      <w:lang w:val="en-US" w:eastAsia="zh-CN"/>
                    </w:rPr>
                    <w:t>无组织废气</w:t>
                  </w:r>
                </w:p>
              </w:tc>
              <w:tc>
                <w:tcPr>
                  <w:tcW w:w="615" w:type="pct"/>
                  <w:tcBorders>
                    <w:tl2br w:val="nil"/>
                    <w:tr2bl w:val="nil"/>
                  </w:tcBorders>
                  <w:noWrap w:val="0"/>
                  <w:vAlign w:val="center"/>
                </w:tcPr>
                <w:p w14:paraId="69EDE879">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b w:val="0"/>
                      <w:bCs/>
                      <w:color w:val="auto"/>
                      <w:spacing w:val="0"/>
                      <w:kern w:val="0"/>
                      <w:sz w:val="18"/>
                      <w:szCs w:val="18"/>
                      <w:highlight w:val="none"/>
                      <w:lang w:val="en-US" w:eastAsia="zh-CN" w:bidi="ar-SA"/>
                    </w:rPr>
                  </w:pPr>
                  <w:r>
                    <w:rPr>
                      <w:color w:val="auto"/>
                      <w:sz w:val="18"/>
                      <w:szCs w:val="18"/>
                    </w:rPr>
                    <w:t>非甲烷总烃</w:t>
                  </w:r>
                  <w:r>
                    <w:rPr>
                      <w:rFonts w:hint="eastAsia"/>
                      <w:color w:val="auto"/>
                      <w:sz w:val="18"/>
                      <w:szCs w:val="18"/>
                      <w:lang w:val="en-US" w:eastAsia="zh-CN"/>
                    </w:rPr>
                    <w:t>*</w:t>
                  </w:r>
                </w:p>
              </w:tc>
              <w:tc>
                <w:tcPr>
                  <w:tcW w:w="407" w:type="pct"/>
                  <w:tcBorders>
                    <w:tl2br w:val="nil"/>
                    <w:tr2bl w:val="nil"/>
                  </w:tcBorders>
                  <w:noWrap w:val="0"/>
                  <w:vAlign w:val="center"/>
                </w:tcPr>
                <w:p w14:paraId="28FA601D">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val="0"/>
                      <w:color w:val="auto"/>
                      <w:spacing w:val="0"/>
                      <w:kern w:val="0"/>
                      <w:sz w:val="18"/>
                      <w:szCs w:val="18"/>
                      <w:highlight w:val="none"/>
                      <w:lang w:val="en-US" w:eastAsia="zh-CN"/>
                    </w:rPr>
                  </w:pPr>
                  <w:r>
                    <w:rPr>
                      <w:rFonts w:hint="eastAsia" w:cs="Times New Roman"/>
                      <w:b w:val="0"/>
                      <w:bCs w:val="0"/>
                      <w:color w:val="auto"/>
                      <w:spacing w:val="0"/>
                      <w:kern w:val="0"/>
                      <w:sz w:val="18"/>
                      <w:szCs w:val="18"/>
                      <w:highlight w:val="none"/>
                      <w:lang w:val="en-US" w:eastAsia="zh-CN"/>
                    </w:rPr>
                    <w:t>0.044</w:t>
                  </w:r>
                </w:p>
              </w:tc>
              <w:tc>
                <w:tcPr>
                  <w:tcW w:w="408" w:type="pct"/>
                  <w:tcBorders>
                    <w:tl2br w:val="nil"/>
                    <w:tr2bl w:val="nil"/>
                  </w:tcBorders>
                  <w:noWrap w:val="0"/>
                  <w:vAlign w:val="center"/>
                </w:tcPr>
                <w:p w14:paraId="16BE9155">
                  <w:pPr>
                    <w:keepNext w:val="0"/>
                    <w:keepLines w:val="0"/>
                    <w:pageBreakBefore w:val="0"/>
                    <w:widowControl/>
                    <w:kinsoku/>
                    <w:wordWrap/>
                    <w:overflowPunct/>
                    <w:topLinePunct w:val="0"/>
                    <w:autoSpaceDE/>
                    <w:autoSpaceDN/>
                    <w:bidi w:val="0"/>
                    <w:adjustRightInd w:val="0"/>
                    <w:snapToGrid w:val="0"/>
                    <w:jc w:val="center"/>
                    <w:rPr>
                      <w:rFonts w:hint="default" w:cs="Times New Roman"/>
                      <w:b w:val="0"/>
                      <w:bCs w:val="0"/>
                      <w:color w:val="auto"/>
                      <w:spacing w:val="0"/>
                      <w:kern w:val="0"/>
                      <w:sz w:val="18"/>
                      <w:szCs w:val="18"/>
                      <w:highlight w:val="none"/>
                      <w:lang w:val="en-US" w:eastAsia="zh-CN"/>
                    </w:rPr>
                  </w:pPr>
                  <w:r>
                    <w:rPr>
                      <w:rFonts w:hint="eastAsia" w:cs="Times New Roman"/>
                      <w:b w:val="0"/>
                      <w:bCs w:val="0"/>
                      <w:color w:val="auto"/>
                      <w:spacing w:val="0"/>
                      <w:kern w:val="0"/>
                      <w:sz w:val="18"/>
                      <w:szCs w:val="18"/>
                      <w:highlight w:val="none"/>
                      <w:lang w:val="en-US" w:eastAsia="zh-CN"/>
                    </w:rPr>
                    <w:t>--</w:t>
                  </w:r>
                </w:p>
              </w:tc>
              <w:tc>
                <w:tcPr>
                  <w:tcW w:w="421" w:type="pct"/>
                  <w:tcBorders>
                    <w:tl2br w:val="nil"/>
                    <w:tr2bl w:val="nil"/>
                  </w:tcBorders>
                  <w:noWrap w:val="0"/>
                  <w:vAlign w:val="center"/>
                </w:tcPr>
                <w:p w14:paraId="5D4F9CF4">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pacing w:val="0"/>
                      <w:kern w:val="0"/>
                      <w:sz w:val="18"/>
                      <w:szCs w:val="18"/>
                      <w:highlight w:val="none"/>
                      <w:lang w:val="en-US" w:eastAsia="zh-CN" w:bidi="ar-SA"/>
                    </w:rPr>
                  </w:pPr>
                  <w:r>
                    <w:rPr>
                      <w:rFonts w:hint="eastAsia" w:eastAsia="宋体" w:cs="Times New Roman"/>
                      <w:b w:val="0"/>
                      <w:bCs/>
                      <w:color w:val="auto"/>
                      <w:spacing w:val="0"/>
                      <w:kern w:val="0"/>
                      <w:sz w:val="18"/>
                      <w:szCs w:val="18"/>
                      <w:highlight w:val="none"/>
                      <w:lang w:val="en-US" w:eastAsia="zh-CN" w:bidi="ar-SA"/>
                    </w:rPr>
                    <w:t>0.0</w:t>
                  </w:r>
                  <w:r>
                    <w:rPr>
                      <w:rFonts w:hint="eastAsia" w:cs="Times New Roman"/>
                      <w:b w:val="0"/>
                      <w:bCs/>
                      <w:color w:val="auto"/>
                      <w:spacing w:val="0"/>
                      <w:kern w:val="0"/>
                      <w:sz w:val="18"/>
                      <w:szCs w:val="18"/>
                      <w:highlight w:val="none"/>
                      <w:lang w:val="en-US" w:eastAsia="zh-CN" w:bidi="ar-SA"/>
                    </w:rPr>
                    <w:t>518</w:t>
                  </w:r>
                </w:p>
              </w:tc>
              <w:tc>
                <w:tcPr>
                  <w:tcW w:w="439" w:type="pct"/>
                  <w:tcBorders>
                    <w:tl2br w:val="nil"/>
                    <w:tr2bl w:val="nil"/>
                  </w:tcBorders>
                  <w:noWrap w:val="0"/>
                  <w:vAlign w:val="center"/>
                </w:tcPr>
                <w:p w14:paraId="0042ECAC">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0"/>
                      <w:sz w:val="18"/>
                      <w:szCs w:val="18"/>
                      <w:highlight w:val="none"/>
                      <w:lang w:val="en-US" w:eastAsia="zh-CN" w:bidi="ar-SA"/>
                    </w:rPr>
                  </w:pPr>
                  <w:r>
                    <w:rPr>
                      <w:rFonts w:hint="default" w:ascii="Times New Roman" w:hAnsi="Times New Roman" w:eastAsia="宋体" w:cs="Times New Roman"/>
                      <w:i w:val="0"/>
                      <w:iCs w:val="0"/>
                      <w:snapToGrid w:val="0"/>
                      <w:color w:val="auto"/>
                      <w:kern w:val="0"/>
                      <w:sz w:val="18"/>
                      <w:szCs w:val="18"/>
                      <w:u w:val="none"/>
                      <w:lang w:val="en-US" w:eastAsia="zh-CN" w:bidi="ar"/>
                    </w:rPr>
                    <w:t>0</w:t>
                  </w:r>
                </w:p>
              </w:tc>
              <w:tc>
                <w:tcPr>
                  <w:tcW w:w="412" w:type="pct"/>
                  <w:tcBorders>
                    <w:tl2br w:val="nil"/>
                    <w:tr2bl w:val="nil"/>
                  </w:tcBorders>
                  <w:shd w:val="clear" w:color="auto" w:fill="auto"/>
                  <w:noWrap w:val="0"/>
                  <w:vAlign w:val="center"/>
                </w:tcPr>
                <w:p w14:paraId="290CF845">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snapToGrid w:val="0"/>
                      <w:color w:val="auto"/>
                      <w:spacing w:val="0"/>
                      <w:kern w:val="0"/>
                      <w:sz w:val="18"/>
                      <w:szCs w:val="18"/>
                      <w:highlight w:val="none"/>
                      <w:lang w:val="en-US" w:eastAsia="zh-CN" w:bidi="ar-SA"/>
                    </w:rPr>
                  </w:pPr>
                  <w:r>
                    <w:rPr>
                      <w:rFonts w:hint="eastAsia" w:eastAsia="宋体" w:cs="Times New Roman"/>
                      <w:b w:val="0"/>
                      <w:bCs/>
                      <w:color w:val="auto"/>
                      <w:spacing w:val="0"/>
                      <w:kern w:val="0"/>
                      <w:sz w:val="18"/>
                      <w:szCs w:val="18"/>
                      <w:highlight w:val="none"/>
                      <w:lang w:val="en-US" w:eastAsia="zh-CN" w:bidi="ar-SA"/>
                    </w:rPr>
                    <w:t>0.0</w:t>
                  </w:r>
                  <w:r>
                    <w:rPr>
                      <w:rFonts w:hint="eastAsia" w:cs="Times New Roman"/>
                      <w:b w:val="0"/>
                      <w:bCs/>
                      <w:color w:val="auto"/>
                      <w:spacing w:val="0"/>
                      <w:kern w:val="0"/>
                      <w:sz w:val="18"/>
                      <w:szCs w:val="18"/>
                      <w:highlight w:val="none"/>
                      <w:lang w:val="en-US" w:eastAsia="zh-CN" w:bidi="ar-SA"/>
                    </w:rPr>
                    <w:t>518</w:t>
                  </w:r>
                </w:p>
              </w:tc>
              <w:tc>
                <w:tcPr>
                  <w:tcW w:w="458" w:type="pct"/>
                  <w:tcBorders>
                    <w:tl2br w:val="nil"/>
                    <w:tr2bl w:val="nil"/>
                  </w:tcBorders>
                  <w:shd w:val="clear" w:color="auto" w:fill="auto"/>
                  <w:noWrap w:val="0"/>
                  <w:vAlign w:val="center"/>
                </w:tcPr>
                <w:p w14:paraId="7EDE681E">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val="0"/>
                      <w:snapToGrid w:val="0"/>
                      <w:color w:val="auto"/>
                      <w:spacing w:val="0"/>
                      <w:kern w:val="0"/>
                      <w:sz w:val="18"/>
                      <w:szCs w:val="18"/>
                      <w:highlight w:val="none"/>
                      <w:lang w:val="en-US" w:eastAsia="zh-CN" w:bidi="ar-SA"/>
                    </w:rPr>
                  </w:pPr>
                  <w:r>
                    <w:rPr>
                      <w:rFonts w:hint="eastAsia" w:cs="Times New Roman"/>
                      <w:b w:val="0"/>
                      <w:bCs w:val="0"/>
                      <w:color w:val="auto"/>
                      <w:spacing w:val="0"/>
                      <w:kern w:val="0"/>
                      <w:sz w:val="18"/>
                      <w:szCs w:val="18"/>
                      <w:highlight w:val="none"/>
                      <w:lang w:val="en-US" w:eastAsia="zh-CN"/>
                    </w:rPr>
                    <w:t>0.044</w:t>
                  </w:r>
                </w:p>
              </w:tc>
              <w:tc>
                <w:tcPr>
                  <w:tcW w:w="495" w:type="pct"/>
                  <w:tcBorders>
                    <w:tl2br w:val="nil"/>
                    <w:tr2bl w:val="nil"/>
                  </w:tcBorders>
                  <w:shd w:val="clear" w:color="auto" w:fill="auto"/>
                  <w:noWrap w:val="0"/>
                  <w:vAlign w:val="center"/>
                </w:tcPr>
                <w:p w14:paraId="553A772E">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snapToGrid w:val="0"/>
                      <w:color w:val="auto"/>
                      <w:spacing w:val="0"/>
                      <w:kern w:val="0"/>
                      <w:sz w:val="18"/>
                      <w:szCs w:val="18"/>
                      <w:highlight w:val="none"/>
                      <w:lang w:val="en-US" w:eastAsia="zh-CN" w:bidi="ar-SA"/>
                    </w:rPr>
                  </w:pPr>
                  <w:r>
                    <w:rPr>
                      <w:rFonts w:hint="eastAsia" w:eastAsia="宋体" w:cs="Times New Roman"/>
                      <w:b w:val="0"/>
                      <w:bCs/>
                      <w:color w:val="auto"/>
                      <w:spacing w:val="0"/>
                      <w:kern w:val="0"/>
                      <w:sz w:val="18"/>
                      <w:szCs w:val="18"/>
                      <w:highlight w:val="none"/>
                      <w:lang w:val="en-US" w:eastAsia="zh-CN" w:bidi="ar-SA"/>
                    </w:rPr>
                    <w:t>0.0</w:t>
                  </w:r>
                  <w:r>
                    <w:rPr>
                      <w:rFonts w:hint="eastAsia" w:cs="Times New Roman"/>
                      <w:b w:val="0"/>
                      <w:bCs/>
                      <w:color w:val="auto"/>
                      <w:spacing w:val="0"/>
                      <w:kern w:val="0"/>
                      <w:sz w:val="18"/>
                      <w:szCs w:val="18"/>
                      <w:highlight w:val="none"/>
                      <w:lang w:val="en-US" w:eastAsia="zh-CN" w:bidi="ar-SA"/>
                    </w:rPr>
                    <w:t>518</w:t>
                  </w:r>
                </w:p>
              </w:tc>
              <w:tc>
                <w:tcPr>
                  <w:tcW w:w="531" w:type="pct"/>
                  <w:tcBorders>
                    <w:tl2br w:val="nil"/>
                    <w:tr2bl w:val="nil"/>
                  </w:tcBorders>
                  <w:noWrap w:val="0"/>
                  <w:vAlign w:val="center"/>
                </w:tcPr>
                <w:p w14:paraId="2414B72D">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u w:val="none"/>
                      <w:lang w:val="en-US" w:eastAsia="zh-CN" w:bidi="ar"/>
                    </w:rPr>
                  </w:pPr>
                  <w:r>
                    <w:rPr>
                      <w:rFonts w:hint="eastAsia" w:ascii="Times New Roman" w:hAnsi="Times New Roman" w:eastAsia="宋体" w:cs="Times New Roman"/>
                      <w:i w:val="0"/>
                      <w:iCs w:val="0"/>
                      <w:snapToGrid w:val="0"/>
                      <w:color w:val="auto"/>
                      <w:kern w:val="0"/>
                      <w:sz w:val="18"/>
                      <w:szCs w:val="18"/>
                      <w:u w:val="none"/>
                      <w:lang w:val="en-US" w:eastAsia="zh-CN" w:bidi="ar"/>
                    </w:rPr>
                    <w:t>0.00</w:t>
                  </w:r>
                  <w:r>
                    <w:rPr>
                      <w:rFonts w:hint="eastAsia" w:cs="Times New Roman"/>
                      <w:i w:val="0"/>
                      <w:iCs w:val="0"/>
                      <w:snapToGrid w:val="0"/>
                      <w:color w:val="auto"/>
                      <w:kern w:val="0"/>
                      <w:sz w:val="18"/>
                      <w:szCs w:val="18"/>
                      <w:u w:val="none"/>
                      <w:lang w:val="en-US" w:eastAsia="zh-CN" w:bidi="ar"/>
                    </w:rPr>
                    <w:t>78</w:t>
                  </w:r>
                </w:p>
              </w:tc>
              <w:tc>
                <w:tcPr>
                  <w:tcW w:w="460" w:type="pct"/>
                  <w:tcBorders>
                    <w:tl2br w:val="nil"/>
                    <w:tr2bl w:val="nil"/>
                  </w:tcBorders>
                  <w:noWrap w:val="0"/>
                  <w:vAlign w:val="center"/>
                </w:tcPr>
                <w:p w14:paraId="24709C55">
                  <w:pPr>
                    <w:keepNext w:val="0"/>
                    <w:keepLines w:val="0"/>
                    <w:widowControl/>
                    <w:suppressLineNumbers w:val="0"/>
                    <w:jc w:val="center"/>
                    <w:textAlignment w:val="center"/>
                    <w:rPr>
                      <w:rFonts w:hint="default" w:ascii="Times New Roman" w:hAnsi="Times New Roman" w:eastAsia="宋体" w:cs="Times New Roman"/>
                      <w:b/>
                      <w:bCs/>
                      <w:snapToGrid w:val="0"/>
                      <w:color w:val="auto"/>
                      <w:spacing w:val="0"/>
                      <w:kern w:val="0"/>
                      <w:sz w:val="18"/>
                      <w:szCs w:val="18"/>
                      <w:lang w:val="en-US" w:eastAsia="zh-CN" w:bidi="ar-SA"/>
                    </w:rPr>
                  </w:pPr>
                  <w:r>
                    <w:rPr>
                      <w:rFonts w:hint="eastAsia" w:ascii="Times New Roman" w:hAnsi="Times New Roman" w:eastAsia="宋体" w:cs="Times New Roman"/>
                      <w:b/>
                      <w:bCs/>
                      <w:i w:val="0"/>
                      <w:iCs w:val="0"/>
                      <w:snapToGrid w:val="0"/>
                      <w:color w:val="auto"/>
                      <w:kern w:val="0"/>
                      <w:sz w:val="18"/>
                      <w:szCs w:val="18"/>
                      <w:u w:val="none"/>
                      <w:lang w:val="en-US" w:eastAsia="zh-CN" w:bidi="ar"/>
                    </w:rPr>
                    <w:t>0.00</w:t>
                  </w:r>
                  <w:r>
                    <w:rPr>
                      <w:rFonts w:hint="eastAsia" w:cs="Times New Roman"/>
                      <w:b/>
                      <w:bCs/>
                      <w:i w:val="0"/>
                      <w:iCs w:val="0"/>
                      <w:snapToGrid w:val="0"/>
                      <w:color w:val="auto"/>
                      <w:kern w:val="0"/>
                      <w:sz w:val="18"/>
                      <w:szCs w:val="18"/>
                      <w:u w:val="none"/>
                      <w:lang w:val="en-US" w:eastAsia="zh-CN" w:bidi="ar"/>
                    </w:rPr>
                    <w:t>78</w:t>
                  </w:r>
                </w:p>
              </w:tc>
            </w:tr>
            <w:tr w14:paraId="6E15441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90" w:hRule="atLeast"/>
                <w:jc w:val="center"/>
              </w:trPr>
              <w:tc>
                <w:tcPr>
                  <w:tcW w:w="349" w:type="pct"/>
                  <w:vMerge w:val="continue"/>
                  <w:tcBorders>
                    <w:tl2br w:val="nil"/>
                    <w:tr2bl w:val="nil"/>
                  </w:tcBorders>
                  <w:noWrap w:val="0"/>
                  <w:vAlign w:val="center"/>
                </w:tcPr>
                <w:p w14:paraId="7DCC45D9">
                  <w:pPr>
                    <w:pStyle w:val="698"/>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spacing w:val="0"/>
                      <w:kern w:val="0"/>
                      <w:sz w:val="18"/>
                      <w:szCs w:val="18"/>
                      <w:highlight w:val="none"/>
                      <w:lang w:val="en-US" w:eastAsia="zh-CN"/>
                    </w:rPr>
                  </w:pPr>
                </w:p>
              </w:tc>
              <w:tc>
                <w:tcPr>
                  <w:tcW w:w="615" w:type="pct"/>
                  <w:tcBorders>
                    <w:tl2br w:val="nil"/>
                    <w:tr2bl w:val="nil"/>
                  </w:tcBorders>
                  <w:noWrap w:val="0"/>
                  <w:vAlign w:val="center"/>
                </w:tcPr>
                <w:p w14:paraId="1E36562F">
                  <w:pPr>
                    <w:pStyle w:val="656"/>
                    <w:keepNext w:val="0"/>
                    <w:keepLines w:val="0"/>
                    <w:pageBreakBefore w:val="0"/>
                    <w:kinsoku/>
                    <w:wordWrap/>
                    <w:overflowPunct/>
                    <w:topLinePunct w:val="0"/>
                    <w:autoSpaceDE/>
                    <w:autoSpaceDN/>
                    <w:bidi w:val="0"/>
                    <w:adjustRightInd w:val="0"/>
                    <w:snapToGrid w:val="0"/>
                    <w:rPr>
                      <w:rFonts w:hint="default"/>
                      <w:color w:val="auto"/>
                      <w:spacing w:val="0"/>
                      <w:kern w:val="0"/>
                      <w:sz w:val="18"/>
                      <w:szCs w:val="18"/>
                      <w:lang w:val="en-US" w:eastAsia="zh-CN"/>
                    </w:rPr>
                  </w:pPr>
                  <w:r>
                    <w:rPr>
                      <w:rFonts w:hint="eastAsia" w:eastAsia="宋体"/>
                      <w:color w:val="auto"/>
                      <w:sz w:val="18"/>
                      <w:szCs w:val="18"/>
                      <w:lang w:val="en-US" w:eastAsia="zh-CN"/>
                    </w:rPr>
                    <w:t>苯系物</w:t>
                  </w:r>
                </w:p>
              </w:tc>
              <w:tc>
                <w:tcPr>
                  <w:tcW w:w="407" w:type="pct"/>
                  <w:tcBorders>
                    <w:tl2br w:val="nil"/>
                    <w:tr2bl w:val="nil"/>
                  </w:tcBorders>
                  <w:noWrap w:val="0"/>
                  <w:vAlign w:val="center"/>
                </w:tcPr>
                <w:p w14:paraId="1942BCAA">
                  <w:pPr>
                    <w:keepNext w:val="0"/>
                    <w:keepLines w:val="0"/>
                    <w:pageBreakBefore w:val="0"/>
                    <w:widowControl/>
                    <w:kinsoku/>
                    <w:wordWrap/>
                    <w:overflowPunct/>
                    <w:topLinePunct w:val="0"/>
                    <w:autoSpaceDE/>
                    <w:autoSpaceDN/>
                    <w:bidi w:val="0"/>
                    <w:adjustRightInd w:val="0"/>
                    <w:snapToGrid w:val="0"/>
                    <w:jc w:val="center"/>
                    <w:rPr>
                      <w:rFonts w:hint="default" w:cs="Times New Roman"/>
                      <w:b w:val="0"/>
                      <w:bCs w:val="0"/>
                      <w:color w:val="auto"/>
                      <w:spacing w:val="0"/>
                      <w:kern w:val="0"/>
                      <w:sz w:val="18"/>
                      <w:szCs w:val="18"/>
                      <w:highlight w:val="none"/>
                      <w:lang w:val="en-US" w:eastAsia="zh-CN"/>
                    </w:rPr>
                  </w:pPr>
                  <w:r>
                    <w:rPr>
                      <w:rFonts w:hint="eastAsia" w:cs="Times New Roman"/>
                      <w:b w:val="0"/>
                      <w:bCs w:val="0"/>
                      <w:color w:val="auto"/>
                      <w:spacing w:val="0"/>
                      <w:kern w:val="0"/>
                      <w:sz w:val="18"/>
                      <w:szCs w:val="18"/>
                      <w:highlight w:val="none"/>
                      <w:lang w:val="en-US" w:eastAsia="zh-CN" w:bidi="ar-SA"/>
                    </w:rPr>
                    <w:t>0</w:t>
                  </w:r>
                </w:p>
              </w:tc>
              <w:tc>
                <w:tcPr>
                  <w:tcW w:w="408" w:type="pct"/>
                  <w:tcBorders>
                    <w:tl2br w:val="nil"/>
                    <w:tr2bl w:val="nil"/>
                  </w:tcBorders>
                  <w:noWrap w:val="0"/>
                  <w:vAlign w:val="center"/>
                </w:tcPr>
                <w:p w14:paraId="4C4CA1C1">
                  <w:pPr>
                    <w:keepNext w:val="0"/>
                    <w:keepLines w:val="0"/>
                    <w:pageBreakBefore w:val="0"/>
                    <w:widowControl/>
                    <w:kinsoku/>
                    <w:wordWrap/>
                    <w:overflowPunct/>
                    <w:topLinePunct w:val="0"/>
                    <w:autoSpaceDE/>
                    <w:autoSpaceDN/>
                    <w:bidi w:val="0"/>
                    <w:adjustRightInd w:val="0"/>
                    <w:snapToGrid w:val="0"/>
                    <w:jc w:val="center"/>
                    <w:rPr>
                      <w:rFonts w:hint="default" w:cs="Times New Roman"/>
                      <w:b w:val="0"/>
                      <w:bCs w:val="0"/>
                      <w:color w:val="auto"/>
                      <w:spacing w:val="0"/>
                      <w:kern w:val="0"/>
                      <w:sz w:val="18"/>
                      <w:szCs w:val="18"/>
                      <w:highlight w:val="none"/>
                      <w:lang w:val="en-US" w:eastAsia="zh-CN"/>
                    </w:rPr>
                  </w:pPr>
                  <w:r>
                    <w:rPr>
                      <w:rFonts w:hint="eastAsia" w:cs="Times New Roman"/>
                      <w:b w:val="0"/>
                      <w:bCs w:val="0"/>
                      <w:color w:val="auto"/>
                      <w:spacing w:val="0"/>
                      <w:kern w:val="0"/>
                      <w:sz w:val="18"/>
                      <w:szCs w:val="18"/>
                      <w:highlight w:val="none"/>
                      <w:lang w:val="en-US" w:eastAsia="zh-CN" w:bidi="ar-SA"/>
                    </w:rPr>
                    <w:t>0</w:t>
                  </w:r>
                </w:p>
              </w:tc>
              <w:tc>
                <w:tcPr>
                  <w:tcW w:w="421" w:type="pct"/>
                  <w:tcBorders>
                    <w:tl2br w:val="nil"/>
                    <w:tr2bl w:val="nil"/>
                  </w:tcBorders>
                  <w:shd w:val="clear" w:color="auto" w:fill="auto"/>
                  <w:noWrap w:val="0"/>
                  <w:vAlign w:val="center"/>
                </w:tcPr>
                <w:p w14:paraId="719A25E3">
                  <w:pPr>
                    <w:pStyle w:val="656"/>
                    <w:snapToGrid w:val="0"/>
                    <w:rPr>
                      <w:rFonts w:hint="default"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0.0121</w:t>
                  </w:r>
                </w:p>
              </w:tc>
              <w:tc>
                <w:tcPr>
                  <w:tcW w:w="439" w:type="pct"/>
                  <w:tcBorders>
                    <w:tl2br w:val="nil"/>
                    <w:tr2bl w:val="nil"/>
                  </w:tcBorders>
                  <w:noWrap w:val="0"/>
                  <w:vAlign w:val="center"/>
                </w:tcPr>
                <w:p w14:paraId="239B03BD">
                  <w:pPr>
                    <w:keepNext w:val="0"/>
                    <w:keepLines w:val="0"/>
                    <w:widowControl/>
                    <w:suppressLineNumbers w:val="0"/>
                    <w:jc w:val="center"/>
                    <w:textAlignment w:val="center"/>
                    <w:rPr>
                      <w:rFonts w:hint="default"/>
                      <w:color w:val="auto"/>
                      <w:spacing w:val="0"/>
                      <w:kern w:val="0"/>
                      <w:sz w:val="18"/>
                      <w:szCs w:val="18"/>
                      <w:lang w:val="en-US" w:eastAsia="zh-CN"/>
                    </w:rPr>
                  </w:pPr>
                  <w:r>
                    <w:rPr>
                      <w:rFonts w:hint="default" w:ascii="Times New Roman" w:hAnsi="Times New Roman" w:eastAsia="宋体" w:cs="Times New Roman"/>
                      <w:i w:val="0"/>
                      <w:iCs w:val="0"/>
                      <w:snapToGrid w:val="0"/>
                      <w:color w:val="auto"/>
                      <w:kern w:val="0"/>
                      <w:sz w:val="18"/>
                      <w:szCs w:val="18"/>
                      <w:u w:val="none"/>
                      <w:lang w:val="en-US" w:eastAsia="zh-CN" w:bidi="ar"/>
                    </w:rPr>
                    <w:t>0</w:t>
                  </w:r>
                </w:p>
              </w:tc>
              <w:tc>
                <w:tcPr>
                  <w:tcW w:w="412" w:type="pct"/>
                  <w:tcBorders>
                    <w:tl2br w:val="nil"/>
                    <w:tr2bl w:val="nil"/>
                  </w:tcBorders>
                  <w:shd w:val="clear" w:color="auto" w:fill="auto"/>
                  <w:noWrap w:val="0"/>
                  <w:vAlign w:val="center"/>
                </w:tcPr>
                <w:p w14:paraId="717E56E4">
                  <w:pPr>
                    <w:pStyle w:val="656"/>
                    <w:snapToGrid w:val="0"/>
                    <w:rPr>
                      <w:rFonts w:hint="default"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0.0121</w:t>
                  </w:r>
                </w:p>
              </w:tc>
              <w:tc>
                <w:tcPr>
                  <w:tcW w:w="458" w:type="pct"/>
                  <w:tcBorders>
                    <w:tl2br w:val="nil"/>
                    <w:tr2bl w:val="nil"/>
                  </w:tcBorders>
                  <w:shd w:val="clear" w:color="auto" w:fill="auto"/>
                  <w:noWrap w:val="0"/>
                  <w:vAlign w:val="center"/>
                </w:tcPr>
                <w:p w14:paraId="7BC6320F">
                  <w:pPr>
                    <w:keepNext w:val="0"/>
                    <w:keepLines w:val="0"/>
                    <w:pageBreakBefore w:val="0"/>
                    <w:widowControl/>
                    <w:kinsoku/>
                    <w:wordWrap/>
                    <w:overflowPunct/>
                    <w:topLinePunct w:val="0"/>
                    <w:autoSpaceDE/>
                    <w:autoSpaceDN/>
                    <w:bidi w:val="0"/>
                    <w:adjustRightInd w:val="0"/>
                    <w:snapToGrid w:val="0"/>
                    <w:jc w:val="center"/>
                    <w:rPr>
                      <w:rFonts w:hint="default" w:cs="Times New Roman"/>
                      <w:b w:val="0"/>
                      <w:bCs w:val="0"/>
                      <w:color w:val="auto"/>
                      <w:spacing w:val="0"/>
                      <w:kern w:val="0"/>
                      <w:sz w:val="18"/>
                      <w:szCs w:val="18"/>
                      <w:highlight w:val="none"/>
                      <w:lang w:val="en-US" w:eastAsia="zh-CN"/>
                    </w:rPr>
                  </w:pPr>
                  <w:r>
                    <w:rPr>
                      <w:rFonts w:hint="eastAsia" w:cs="Times New Roman"/>
                      <w:b w:val="0"/>
                      <w:bCs w:val="0"/>
                      <w:color w:val="auto"/>
                      <w:spacing w:val="0"/>
                      <w:kern w:val="0"/>
                      <w:sz w:val="18"/>
                      <w:szCs w:val="18"/>
                      <w:highlight w:val="none"/>
                      <w:lang w:val="en-US" w:eastAsia="zh-CN" w:bidi="ar-SA"/>
                    </w:rPr>
                    <w:t>0</w:t>
                  </w:r>
                </w:p>
              </w:tc>
              <w:tc>
                <w:tcPr>
                  <w:tcW w:w="495" w:type="pct"/>
                  <w:tcBorders>
                    <w:tl2br w:val="nil"/>
                    <w:tr2bl w:val="nil"/>
                  </w:tcBorders>
                  <w:shd w:val="clear" w:color="auto" w:fill="auto"/>
                  <w:noWrap w:val="0"/>
                  <w:vAlign w:val="center"/>
                </w:tcPr>
                <w:p w14:paraId="15B181E7">
                  <w:pPr>
                    <w:pStyle w:val="656"/>
                    <w:snapToGrid w:val="0"/>
                    <w:rPr>
                      <w:rFonts w:hint="default"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0.0121</w:t>
                  </w:r>
                </w:p>
              </w:tc>
              <w:tc>
                <w:tcPr>
                  <w:tcW w:w="531" w:type="pct"/>
                  <w:tcBorders>
                    <w:tl2br w:val="nil"/>
                    <w:tr2bl w:val="nil"/>
                  </w:tcBorders>
                  <w:noWrap w:val="0"/>
                  <w:vAlign w:val="center"/>
                </w:tcPr>
                <w:p w14:paraId="42F321D3">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u w:val="none"/>
                      <w:lang w:val="en-US" w:eastAsia="zh-CN" w:bidi="ar"/>
                    </w:rPr>
                  </w:pPr>
                  <w:r>
                    <w:rPr>
                      <w:rFonts w:hint="eastAsia" w:ascii="Times New Roman" w:hAnsi="Times New Roman" w:eastAsia="宋体" w:cs="Times New Roman"/>
                      <w:i w:val="0"/>
                      <w:iCs w:val="0"/>
                      <w:snapToGrid w:val="0"/>
                      <w:color w:val="auto"/>
                      <w:kern w:val="0"/>
                      <w:sz w:val="18"/>
                      <w:szCs w:val="18"/>
                      <w:u w:val="none"/>
                      <w:lang w:val="en-US" w:eastAsia="zh-CN" w:bidi="ar"/>
                    </w:rPr>
                    <w:t>0.0121</w:t>
                  </w:r>
                </w:p>
              </w:tc>
              <w:tc>
                <w:tcPr>
                  <w:tcW w:w="460" w:type="pct"/>
                  <w:tcBorders>
                    <w:tl2br w:val="nil"/>
                    <w:tr2bl w:val="nil"/>
                  </w:tcBorders>
                  <w:noWrap w:val="0"/>
                  <w:vAlign w:val="center"/>
                </w:tcPr>
                <w:p w14:paraId="25796889">
                  <w:pPr>
                    <w:keepNext w:val="0"/>
                    <w:keepLines w:val="0"/>
                    <w:widowControl/>
                    <w:suppressLineNumbers w:val="0"/>
                    <w:jc w:val="center"/>
                    <w:textAlignment w:val="center"/>
                    <w:rPr>
                      <w:rFonts w:hint="default" w:cs="Times New Roman"/>
                      <w:b/>
                      <w:bCs/>
                      <w:snapToGrid w:val="0"/>
                      <w:color w:val="auto"/>
                      <w:spacing w:val="0"/>
                      <w:kern w:val="0"/>
                      <w:sz w:val="18"/>
                      <w:szCs w:val="18"/>
                      <w:lang w:val="en-US" w:eastAsia="zh-CN" w:bidi="ar-SA"/>
                    </w:rPr>
                  </w:pPr>
                  <w:r>
                    <w:rPr>
                      <w:rFonts w:hint="eastAsia" w:ascii="Times New Roman" w:hAnsi="Times New Roman" w:eastAsia="宋体" w:cs="Times New Roman"/>
                      <w:b/>
                      <w:bCs/>
                      <w:i w:val="0"/>
                      <w:iCs w:val="0"/>
                      <w:snapToGrid w:val="0"/>
                      <w:color w:val="auto"/>
                      <w:kern w:val="0"/>
                      <w:sz w:val="18"/>
                      <w:szCs w:val="18"/>
                      <w:u w:val="none"/>
                      <w:lang w:val="en-US" w:eastAsia="zh-CN" w:bidi="ar"/>
                    </w:rPr>
                    <w:t>0.0121</w:t>
                  </w:r>
                </w:p>
              </w:tc>
            </w:tr>
            <w:tr w14:paraId="7DAE2F1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349" w:type="pct"/>
                  <w:vMerge w:val="continue"/>
                  <w:tcBorders>
                    <w:tl2br w:val="nil"/>
                    <w:tr2bl w:val="nil"/>
                  </w:tcBorders>
                  <w:noWrap w:val="0"/>
                  <w:vAlign w:val="center"/>
                </w:tcPr>
                <w:p w14:paraId="301F1B2D">
                  <w:pPr>
                    <w:pStyle w:val="698"/>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spacing w:val="0"/>
                      <w:kern w:val="0"/>
                      <w:sz w:val="18"/>
                      <w:szCs w:val="18"/>
                      <w:highlight w:val="none"/>
                      <w:lang w:val="en-US" w:eastAsia="zh-CN"/>
                    </w:rPr>
                  </w:pPr>
                </w:p>
              </w:tc>
              <w:tc>
                <w:tcPr>
                  <w:tcW w:w="615" w:type="pct"/>
                  <w:tcBorders>
                    <w:tl2br w:val="nil"/>
                    <w:tr2bl w:val="nil"/>
                  </w:tcBorders>
                  <w:noWrap w:val="0"/>
                  <w:vAlign w:val="center"/>
                </w:tcPr>
                <w:p w14:paraId="7A11B1F9">
                  <w:pPr>
                    <w:pStyle w:val="656"/>
                    <w:keepNext w:val="0"/>
                    <w:keepLines w:val="0"/>
                    <w:pageBreakBefore w:val="0"/>
                    <w:kinsoku/>
                    <w:wordWrap/>
                    <w:overflowPunct/>
                    <w:topLinePunct w:val="0"/>
                    <w:autoSpaceDE/>
                    <w:autoSpaceDN/>
                    <w:bidi w:val="0"/>
                    <w:adjustRightInd w:val="0"/>
                    <w:snapToGrid w:val="0"/>
                    <w:rPr>
                      <w:rFonts w:hint="default"/>
                      <w:color w:val="auto"/>
                      <w:spacing w:val="0"/>
                      <w:kern w:val="0"/>
                      <w:sz w:val="18"/>
                      <w:szCs w:val="18"/>
                      <w:lang w:val="en-US" w:eastAsia="zh-CN"/>
                    </w:rPr>
                  </w:pPr>
                  <w:r>
                    <w:rPr>
                      <w:rFonts w:hint="eastAsia" w:eastAsia="宋体"/>
                      <w:color w:val="auto"/>
                      <w:sz w:val="18"/>
                      <w:szCs w:val="18"/>
                      <w:lang w:val="en-US" w:eastAsia="zh-CN"/>
                    </w:rPr>
                    <w:t>二甲苯</w:t>
                  </w:r>
                </w:p>
              </w:tc>
              <w:tc>
                <w:tcPr>
                  <w:tcW w:w="407" w:type="pct"/>
                  <w:tcBorders>
                    <w:tl2br w:val="nil"/>
                    <w:tr2bl w:val="nil"/>
                  </w:tcBorders>
                  <w:noWrap w:val="0"/>
                  <w:vAlign w:val="center"/>
                </w:tcPr>
                <w:p w14:paraId="3F69B309">
                  <w:pPr>
                    <w:keepNext w:val="0"/>
                    <w:keepLines w:val="0"/>
                    <w:pageBreakBefore w:val="0"/>
                    <w:widowControl/>
                    <w:kinsoku/>
                    <w:wordWrap/>
                    <w:overflowPunct/>
                    <w:topLinePunct w:val="0"/>
                    <w:autoSpaceDE/>
                    <w:autoSpaceDN/>
                    <w:bidi w:val="0"/>
                    <w:adjustRightInd w:val="0"/>
                    <w:snapToGrid w:val="0"/>
                    <w:jc w:val="center"/>
                    <w:rPr>
                      <w:rFonts w:hint="default"/>
                      <w:b w:val="0"/>
                      <w:bCs w:val="0"/>
                      <w:color w:val="auto"/>
                      <w:spacing w:val="0"/>
                      <w:kern w:val="0"/>
                      <w:sz w:val="18"/>
                      <w:szCs w:val="18"/>
                      <w:lang w:val="en-US" w:eastAsia="zh-CN"/>
                    </w:rPr>
                  </w:pPr>
                  <w:r>
                    <w:rPr>
                      <w:rFonts w:hint="eastAsia" w:cs="Times New Roman"/>
                      <w:b w:val="0"/>
                      <w:bCs w:val="0"/>
                      <w:color w:val="auto"/>
                      <w:spacing w:val="0"/>
                      <w:kern w:val="0"/>
                      <w:sz w:val="18"/>
                      <w:szCs w:val="18"/>
                      <w:highlight w:val="none"/>
                      <w:lang w:val="en-US" w:eastAsia="zh-CN" w:bidi="ar-SA"/>
                    </w:rPr>
                    <w:t>0</w:t>
                  </w:r>
                </w:p>
              </w:tc>
              <w:tc>
                <w:tcPr>
                  <w:tcW w:w="408" w:type="pct"/>
                  <w:tcBorders>
                    <w:tl2br w:val="nil"/>
                    <w:tr2bl w:val="nil"/>
                  </w:tcBorders>
                  <w:noWrap w:val="0"/>
                  <w:vAlign w:val="center"/>
                </w:tcPr>
                <w:p w14:paraId="0A4DD426">
                  <w:pPr>
                    <w:keepNext w:val="0"/>
                    <w:keepLines w:val="0"/>
                    <w:pageBreakBefore w:val="0"/>
                    <w:widowControl/>
                    <w:kinsoku/>
                    <w:wordWrap/>
                    <w:overflowPunct/>
                    <w:topLinePunct w:val="0"/>
                    <w:autoSpaceDE/>
                    <w:autoSpaceDN/>
                    <w:bidi w:val="0"/>
                    <w:adjustRightInd w:val="0"/>
                    <w:snapToGrid w:val="0"/>
                    <w:jc w:val="center"/>
                    <w:rPr>
                      <w:rFonts w:hint="default"/>
                      <w:b w:val="0"/>
                      <w:bCs w:val="0"/>
                      <w:color w:val="auto"/>
                      <w:spacing w:val="0"/>
                      <w:kern w:val="0"/>
                      <w:sz w:val="18"/>
                      <w:szCs w:val="18"/>
                      <w:lang w:val="en-US" w:eastAsia="zh-CN"/>
                    </w:rPr>
                  </w:pPr>
                  <w:r>
                    <w:rPr>
                      <w:rFonts w:hint="eastAsia" w:cs="Times New Roman"/>
                      <w:b w:val="0"/>
                      <w:bCs w:val="0"/>
                      <w:color w:val="auto"/>
                      <w:spacing w:val="0"/>
                      <w:kern w:val="0"/>
                      <w:sz w:val="18"/>
                      <w:szCs w:val="18"/>
                      <w:highlight w:val="none"/>
                      <w:lang w:val="en-US" w:eastAsia="zh-CN" w:bidi="ar-SA"/>
                    </w:rPr>
                    <w:t>0</w:t>
                  </w:r>
                </w:p>
              </w:tc>
              <w:tc>
                <w:tcPr>
                  <w:tcW w:w="421" w:type="pct"/>
                  <w:tcBorders>
                    <w:tl2br w:val="nil"/>
                    <w:tr2bl w:val="nil"/>
                  </w:tcBorders>
                  <w:shd w:val="clear" w:color="auto" w:fill="auto"/>
                  <w:noWrap w:val="0"/>
                  <w:vAlign w:val="center"/>
                </w:tcPr>
                <w:p w14:paraId="1A7F3D07">
                  <w:pPr>
                    <w:pStyle w:val="656"/>
                    <w:snapToGrid w:val="0"/>
                    <w:rPr>
                      <w:rFonts w:hint="default"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0.012</w:t>
                  </w:r>
                </w:p>
              </w:tc>
              <w:tc>
                <w:tcPr>
                  <w:tcW w:w="439" w:type="pct"/>
                  <w:tcBorders>
                    <w:tl2br w:val="nil"/>
                    <w:tr2bl w:val="nil"/>
                  </w:tcBorders>
                  <w:noWrap w:val="0"/>
                  <w:vAlign w:val="center"/>
                </w:tcPr>
                <w:p w14:paraId="0E1793D2">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0"/>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u w:val="none"/>
                      <w:lang w:val="en-US" w:eastAsia="zh-CN" w:bidi="ar"/>
                    </w:rPr>
                    <w:t>0</w:t>
                  </w:r>
                </w:p>
              </w:tc>
              <w:tc>
                <w:tcPr>
                  <w:tcW w:w="412" w:type="pct"/>
                  <w:tcBorders>
                    <w:tl2br w:val="nil"/>
                    <w:tr2bl w:val="nil"/>
                  </w:tcBorders>
                  <w:shd w:val="clear" w:color="auto" w:fill="auto"/>
                  <w:noWrap w:val="0"/>
                  <w:vAlign w:val="center"/>
                </w:tcPr>
                <w:p w14:paraId="73151C9B">
                  <w:pPr>
                    <w:pStyle w:val="656"/>
                    <w:snapToGrid w:val="0"/>
                    <w:rPr>
                      <w:rFonts w:hint="default"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0.012</w:t>
                  </w:r>
                </w:p>
              </w:tc>
              <w:tc>
                <w:tcPr>
                  <w:tcW w:w="458" w:type="pct"/>
                  <w:tcBorders>
                    <w:tl2br w:val="nil"/>
                    <w:tr2bl w:val="nil"/>
                  </w:tcBorders>
                  <w:shd w:val="clear" w:color="auto" w:fill="auto"/>
                  <w:noWrap w:val="0"/>
                  <w:vAlign w:val="center"/>
                </w:tcPr>
                <w:p w14:paraId="62761E62">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val="0"/>
                      <w:snapToGrid w:val="0"/>
                      <w:color w:val="auto"/>
                      <w:spacing w:val="0"/>
                      <w:kern w:val="0"/>
                      <w:sz w:val="18"/>
                      <w:szCs w:val="18"/>
                      <w:highlight w:val="none"/>
                      <w:lang w:val="en-US" w:eastAsia="zh-CN" w:bidi="ar-SA"/>
                    </w:rPr>
                  </w:pPr>
                  <w:r>
                    <w:rPr>
                      <w:rFonts w:hint="eastAsia" w:cs="Times New Roman"/>
                      <w:b w:val="0"/>
                      <w:bCs w:val="0"/>
                      <w:color w:val="auto"/>
                      <w:spacing w:val="0"/>
                      <w:kern w:val="0"/>
                      <w:sz w:val="18"/>
                      <w:szCs w:val="18"/>
                      <w:highlight w:val="none"/>
                      <w:lang w:val="en-US" w:eastAsia="zh-CN" w:bidi="ar-SA"/>
                    </w:rPr>
                    <w:t>0</w:t>
                  </w:r>
                </w:p>
              </w:tc>
              <w:tc>
                <w:tcPr>
                  <w:tcW w:w="495" w:type="pct"/>
                  <w:tcBorders>
                    <w:tl2br w:val="nil"/>
                    <w:tr2bl w:val="nil"/>
                  </w:tcBorders>
                  <w:shd w:val="clear" w:color="auto" w:fill="auto"/>
                  <w:noWrap w:val="0"/>
                  <w:vAlign w:val="center"/>
                </w:tcPr>
                <w:p w14:paraId="08766F93">
                  <w:pPr>
                    <w:pStyle w:val="656"/>
                    <w:snapToGrid w:val="0"/>
                    <w:rPr>
                      <w:rFonts w:hint="default"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0.012</w:t>
                  </w:r>
                </w:p>
              </w:tc>
              <w:tc>
                <w:tcPr>
                  <w:tcW w:w="531" w:type="pct"/>
                  <w:tcBorders>
                    <w:tl2br w:val="nil"/>
                    <w:tr2bl w:val="nil"/>
                  </w:tcBorders>
                  <w:noWrap w:val="0"/>
                  <w:vAlign w:val="center"/>
                </w:tcPr>
                <w:p w14:paraId="2F5F7C02">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u w:val="none"/>
                      <w:lang w:val="en-US" w:eastAsia="zh-CN" w:bidi="ar"/>
                    </w:rPr>
                  </w:pPr>
                  <w:r>
                    <w:rPr>
                      <w:rFonts w:hint="eastAsia" w:ascii="Times New Roman" w:hAnsi="Times New Roman" w:eastAsia="宋体" w:cs="Times New Roman"/>
                      <w:i w:val="0"/>
                      <w:iCs w:val="0"/>
                      <w:snapToGrid w:val="0"/>
                      <w:color w:val="auto"/>
                      <w:kern w:val="0"/>
                      <w:sz w:val="18"/>
                      <w:szCs w:val="18"/>
                      <w:u w:val="none"/>
                      <w:lang w:val="en-US" w:eastAsia="zh-CN" w:bidi="ar"/>
                    </w:rPr>
                    <w:t>0.012</w:t>
                  </w:r>
                </w:p>
              </w:tc>
              <w:tc>
                <w:tcPr>
                  <w:tcW w:w="460" w:type="pct"/>
                  <w:tcBorders>
                    <w:tl2br w:val="nil"/>
                    <w:tr2bl w:val="nil"/>
                  </w:tcBorders>
                  <w:noWrap w:val="0"/>
                  <w:vAlign w:val="center"/>
                </w:tcPr>
                <w:p w14:paraId="4F9E52CE">
                  <w:pPr>
                    <w:keepNext w:val="0"/>
                    <w:keepLines w:val="0"/>
                    <w:widowControl/>
                    <w:suppressLineNumbers w:val="0"/>
                    <w:jc w:val="center"/>
                    <w:textAlignment w:val="center"/>
                    <w:rPr>
                      <w:rFonts w:hint="default" w:ascii="Times New Roman" w:hAnsi="Times New Roman" w:eastAsia="宋体" w:cs="Times New Roman"/>
                      <w:b/>
                      <w:bCs/>
                      <w:color w:val="auto"/>
                      <w:spacing w:val="0"/>
                      <w:kern w:val="0"/>
                      <w:sz w:val="18"/>
                      <w:szCs w:val="18"/>
                      <w:highlight w:val="none"/>
                      <w:lang w:val="en-US" w:eastAsia="zh-CN"/>
                    </w:rPr>
                  </w:pPr>
                  <w:r>
                    <w:rPr>
                      <w:rFonts w:hint="eastAsia" w:ascii="Times New Roman" w:hAnsi="Times New Roman" w:eastAsia="宋体" w:cs="Times New Roman"/>
                      <w:b/>
                      <w:bCs/>
                      <w:i w:val="0"/>
                      <w:iCs w:val="0"/>
                      <w:snapToGrid w:val="0"/>
                      <w:color w:val="auto"/>
                      <w:kern w:val="0"/>
                      <w:sz w:val="18"/>
                      <w:szCs w:val="18"/>
                      <w:u w:val="none"/>
                      <w:lang w:val="en-US" w:eastAsia="zh-CN" w:bidi="ar"/>
                    </w:rPr>
                    <w:t>0.012</w:t>
                  </w:r>
                </w:p>
              </w:tc>
            </w:tr>
            <w:tr w14:paraId="6CF56B1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349" w:type="pct"/>
                  <w:vMerge w:val="continue"/>
                  <w:tcBorders>
                    <w:tl2br w:val="nil"/>
                    <w:tr2bl w:val="nil"/>
                  </w:tcBorders>
                  <w:noWrap w:val="0"/>
                  <w:vAlign w:val="center"/>
                </w:tcPr>
                <w:p w14:paraId="1011BE1F">
                  <w:pPr>
                    <w:pStyle w:val="698"/>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spacing w:val="0"/>
                      <w:kern w:val="0"/>
                      <w:sz w:val="18"/>
                      <w:szCs w:val="18"/>
                      <w:highlight w:val="none"/>
                      <w:lang w:val="en-US" w:eastAsia="zh-CN"/>
                    </w:rPr>
                  </w:pPr>
                </w:p>
              </w:tc>
              <w:tc>
                <w:tcPr>
                  <w:tcW w:w="615" w:type="pct"/>
                  <w:tcBorders>
                    <w:tl2br w:val="nil"/>
                    <w:tr2bl w:val="nil"/>
                  </w:tcBorders>
                  <w:noWrap w:val="0"/>
                  <w:vAlign w:val="center"/>
                </w:tcPr>
                <w:p w14:paraId="201FF1D7">
                  <w:pPr>
                    <w:pStyle w:val="656"/>
                    <w:keepNext w:val="0"/>
                    <w:keepLines w:val="0"/>
                    <w:pageBreakBefore w:val="0"/>
                    <w:kinsoku/>
                    <w:wordWrap/>
                    <w:overflowPunct/>
                    <w:topLinePunct w:val="0"/>
                    <w:autoSpaceDE/>
                    <w:autoSpaceDN/>
                    <w:bidi w:val="0"/>
                    <w:adjustRightInd w:val="0"/>
                    <w:snapToGrid w:val="0"/>
                    <w:rPr>
                      <w:rFonts w:hint="default"/>
                      <w:color w:val="auto"/>
                      <w:spacing w:val="0"/>
                      <w:kern w:val="0"/>
                      <w:sz w:val="18"/>
                      <w:szCs w:val="18"/>
                      <w:lang w:val="en-US" w:eastAsia="zh-CN"/>
                    </w:rPr>
                  </w:pPr>
                  <w:r>
                    <w:rPr>
                      <w:rFonts w:hint="eastAsia" w:eastAsia="宋体"/>
                      <w:color w:val="auto"/>
                      <w:sz w:val="18"/>
                      <w:szCs w:val="18"/>
                      <w:lang w:val="en-US" w:eastAsia="zh-CN"/>
                    </w:rPr>
                    <w:t>三甲苯</w:t>
                  </w:r>
                </w:p>
              </w:tc>
              <w:tc>
                <w:tcPr>
                  <w:tcW w:w="407" w:type="pct"/>
                  <w:tcBorders>
                    <w:tl2br w:val="nil"/>
                    <w:tr2bl w:val="nil"/>
                  </w:tcBorders>
                  <w:noWrap w:val="0"/>
                  <w:vAlign w:val="center"/>
                </w:tcPr>
                <w:p w14:paraId="2D9FDDD9">
                  <w:pPr>
                    <w:keepNext w:val="0"/>
                    <w:keepLines w:val="0"/>
                    <w:pageBreakBefore w:val="0"/>
                    <w:widowControl/>
                    <w:kinsoku/>
                    <w:wordWrap/>
                    <w:overflowPunct/>
                    <w:topLinePunct w:val="0"/>
                    <w:autoSpaceDE/>
                    <w:autoSpaceDN/>
                    <w:bidi w:val="0"/>
                    <w:adjustRightInd w:val="0"/>
                    <w:snapToGrid w:val="0"/>
                    <w:jc w:val="center"/>
                    <w:rPr>
                      <w:rFonts w:hint="default"/>
                      <w:b w:val="0"/>
                      <w:bCs w:val="0"/>
                      <w:color w:val="auto"/>
                      <w:spacing w:val="0"/>
                      <w:kern w:val="0"/>
                      <w:sz w:val="18"/>
                      <w:szCs w:val="18"/>
                      <w:lang w:val="en-US" w:eastAsia="zh-CN"/>
                    </w:rPr>
                  </w:pPr>
                  <w:r>
                    <w:rPr>
                      <w:rFonts w:hint="eastAsia" w:cs="Times New Roman"/>
                      <w:b w:val="0"/>
                      <w:bCs w:val="0"/>
                      <w:color w:val="auto"/>
                      <w:spacing w:val="0"/>
                      <w:kern w:val="0"/>
                      <w:sz w:val="18"/>
                      <w:szCs w:val="18"/>
                      <w:highlight w:val="none"/>
                      <w:lang w:val="en-US" w:eastAsia="zh-CN" w:bidi="ar-SA"/>
                    </w:rPr>
                    <w:t>0</w:t>
                  </w:r>
                </w:p>
              </w:tc>
              <w:tc>
                <w:tcPr>
                  <w:tcW w:w="408" w:type="pct"/>
                  <w:tcBorders>
                    <w:tl2br w:val="nil"/>
                    <w:tr2bl w:val="nil"/>
                  </w:tcBorders>
                  <w:noWrap w:val="0"/>
                  <w:vAlign w:val="center"/>
                </w:tcPr>
                <w:p w14:paraId="4F9DB4FD">
                  <w:pPr>
                    <w:keepNext w:val="0"/>
                    <w:keepLines w:val="0"/>
                    <w:pageBreakBefore w:val="0"/>
                    <w:widowControl/>
                    <w:kinsoku/>
                    <w:wordWrap/>
                    <w:overflowPunct/>
                    <w:topLinePunct w:val="0"/>
                    <w:autoSpaceDE/>
                    <w:autoSpaceDN/>
                    <w:bidi w:val="0"/>
                    <w:adjustRightInd w:val="0"/>
                    <w:snapToGrid w:val="0"/>
                    <w:jc w:val="center"/>
                    <w:rPr>
                      <w:rFonts w:hint="default"/>
                      <w:b w:val="0"/>
                      <w:bCs w:val="0"/>
                      <w:color w:val="auto"/>
                      <w:spacing w:val="0"/>
                      <w:kern w:val="0"/>
                      <w:sz w:val="18"/>
                      <w:szCs w:val="18"/>
                      <w:lang w:val="en-US" w:eastAsia="zh-CN"/>
                    </w:rPr>
                  </w:pPr>
                  <w:r>
                    <w:rPr>
                      <w:rFonts w:hint="eastAsia" w:cs="Times New Roman"/>
                      <w:b w:val="0"/>
                      <w:bCs w:val="0"/>
                      <w:color w:val="auto"/>
                      <w:spacing w:val="0"/>
                      <w:kern w:val="0"/>
                      <w:sz w:val="18"/>
                      <w:szCs w:val="18"/>
                      <w:highlight w:val="none"/>
                      <w:lang w:val="en-US" w:eastAsia="zh-CN" w:bidi="ar-SA"/>
                    </w:rPr>
                    <w:t>0</w:t>
                  </w:r>
                </w:p>
              </w:tc>
              <w:tc>
                <w:tcPr>
                  <w:tcW w:w="421" w:type="pct"/>
                  <w:tcBorders>
                    <w:tl2br w:val="nil"/>
                    <w:tr2bl w:val="nil"/>
                  </w:tcBorders>
                  <w:shd w:val="clear" w:color="auto" w:fill="auto"/>
                  <w:noWrap w:val="0"/>
                  <w:vAlign w:val="center"/>
                </w:tcPr>
                <w:p w14:paraId="2CA8418A">
                  <w:pPr>
                    <w:pStyle w:val="656"/>
                    <w:snapToGrid w:val="0"/>
                    <w:rPr>
                      <w:rFonts w:hint="default"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0.00045</w:t>
                  </w:r>
                </w:p>
              </w:tc>
              <w:tc>
                <w:tcPr>
                  <w:tcW w:w="439" w:type="pct"/>
                  <w:tcBorders>
                    <w:tl2br w:val="nil"/>
                    <w:tr2bl w:val="nil"/>
                  </w:tcBorders>
                  <w:noWrap w:val="0"/>
                  <w:vAlign w:val="center"/>
                </w:tcPr>
                <w:p w14:paraId="41E0D3BB">
                  <w:pPr>
                    <w:keepNext w:val="0"/>
                    <w:keepLines w:val="0"/>
                    <w:widowControl/>
                    <w:suppressLineNumbers w:val="0"/>
                    <w:jc w:val="center"/>
                    <w:textAlignment w:val="center"/>
                    <w:rPr>
                      <w:rFonts w:hint="default"/>
                      <w:color w:val="auto"/>
                      <w:spacing w:val="0"/>
                      <w:kern w:val="0"/>
                      <w:sz w:val="18"/>
                      <w:szCs w:val="18"/>
                      <w:lang w:val="en-US" w:eastAsia="zh-CN"/>
                    </w:rPr>
                  </w:pPr>
                  <w:r>
                    <w:rPr>
                      <w:rFonts w:hint="default" w:ascii="Times New Roman" w:hAnsi="Times New Roman" w:eastAsia="宋体" w:cs="Times New Roman"/>
                      <w:i w:val="0"/>
                      <w:iCs w:val="0"/>
                      <w:snapToGrid w:val="0"/>
                      <w:color w:val="auto"/>
                      <w:kern w:val="0"/>
                      <w:sz w:val="18"/>
                      <w:szCs w:val="18"/>
                      <w:u w:val="none"/>
                      <w:lang w:val="en-US" w:eastAsia="zh-CN" w:bidi="ar"/>
                    </w:rPr>
                    <w:t>0</w:t>
                  </w:r>
                </w:p>
              </w:tc>
              <w:tc>
                <w:tcPr>
                  <w:tcW w:w="412" w:type="pct"/>
                  <w:tcBorders>
                    <w:tl2br w:val="nil"/>
                    <w:tr2bl w:val="nil"/>
                  </w:tcBorders>
                  <w:shd w:val="clear" w:color="auto" w:fill="auto"/>
                  <w:noWrap w:val="0"/>
                  <w:vAlign w:val="center"/>
                </w:tcPr>
                <w:p w14:paraId="14E32905">
                  <w:pPr>
                    <w:pStyle w:val="656"/>
                    <w:snapToGrid w:val="0"/>
                    <w:rPr>
                      <w:rFonts w:hint="default"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0.00045</w:t>
                  </w:r>
                </w:p>
              </w:tc>
              <w:tc>
                <w:tcPr>
                  <w:tcW w:w="458" w:type="pct"/>
                  <w:tcBorders>
                    <w:tl2br w:val="nil"/>
                    <w:tr2bl w:val="nil"/>
                  </w:tcBorders>
                  <w:shd w:val="clear" w:color="auto" w:fill="auto"/>
                  <w:noWrap w:val="0"/>
                  <w:vAlign w:val="center"/>
                </w:tcPr>
                <w:p w14:paraId="66813955">
                  <w:pPr>
                    <w:keepNext w:val="0"/>
                    <w:keepLines w:val="0"/>
                    <w:pageBreakBefore w:val="0"/>
                    <w:widowControl/>
                    <w:kinsoku/>
                    <w:wordWrap/>
                    <w:overflowPunct/>
                    <w:topLinePunct w:val="0"/>
                    <w:autoSpaceDE/>
                    <w:autoSpaceDN/>
                    <w:bidi w:val="0"/>
                    <w:adjustRightInd w:val="0"/>
                    <w:snapToGrid w:val="0"/>
                    <w:jc w:val="center"/>
                    <w:rPr>
                      <w:rFonts w:hint="default" w:cs="Times New Roman"/>
                      <w:b w:val="0"/>
                      <w:bCs w:val="0"/>
                      <w:color w:val="auto"/>
                      <w:spacing w:val="0"/>
                      <w:kern w:val="0"/>
                      <w:sz w:val="18"/>
                      <w:szCs w:val="18"/>
                      <w:highlight w:val="none"/>
                      <w:lang w:val="en-US" w:eastAsia="zh-CN"/>
                    </w:rPr>
                  </w:pPr>
                  <w:r>
                    <w:rPr>
                      <w:rFonts w:hint="eastAsia" w:cs="Times New Roman"/>
                      <w:b w:val="0"/>
                      <w:bCs w:val="0"/>
                      <w:color w:val="auto"/>
                      <w:spacing w:val="0"/>
                      <w:kern w:val="0"/>
                      <w:sz w:val="18"/>
                      <w:szCs w:val="18"/>
                      <w:highlight w:val="none"/>
                      <w:lang w:val="en-US" w:eastAsia="zh-CN" w:bidi="ar-SA"/>
                    </w:rPr>
                    <w:t>0</w:t>
                  </w:r>
                </w:p>
              </w:tc>
              <w:tc>
                <w:tcPr>
                  <w:tcW w:w="495" w:type="pct"/>
                  <w:tcBorders>
                    <w:tl2br w:val="nil"/>
                    <w:tr2bl w:val="nil"/>
                  </w:tcBorders>
                  <w:shd w:val="clear" w:color="auto" w:fill="auto"/>
                  <w:noWrap w:val="0"/>
                  <w:vAlign w:val="center"/>
                </w:tcPr>
                <w:p w14:paraId="2B04E08E">
                  <w:pPr>
                    <w:pStyle w:val="656"/>
                    <w:snapToGrid w:val="0"/>
                    <w:rPr>
                      <w:rFonts w:hint="default"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0.00045</w:t>
                  </w:r>
                </w:p>
              </w:tc>
              <w:tc>
                <w:tcPr>
                  <w:tcW w:w="531" w:type="pct"/>
                  <w:tcBorders>
                    <w:tl2br w:val="nil"/>
                    <w:tr2bl w:val="nil"/>
                  </w:tcBorders>
                  <w:noWrap w:val="0"/>
                  <w:vAlign w:val="center"/>
                </w:tcPr>
                <w:p w14:paraId="563907FF">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u w:val="none"/>
                      <w:lang w:val="en-US" w:eastAsia="zh-CN" w:bidi="ar"/>
                    </w:rPr>
                  </w:pPr>
                  <w:r>
                    <w:rPr>
                      <w:rFonts w:hint="eastAsia" w:ascii="Times New Roman" w:hAnsi="Times New Roman" w:eastAsia="宋体" w:cs="Times New Roman"/>
                      <w:i w:val="0"/>
                      <w:iCs w:val="0"/>
                      <w:snapToGrid w:val="0"/>
                      <w:color w:val="auto"/>
                      <w:kern w:val="0"/>
                      <w:sz w:val="18"/>
                      <w:szCs w:val="18"/>
                      <w:u w:val="none"/>
                      <w:lang w:val="en-US" w:eastAsia="zh-CN" w:bidi="ar"/>
                    </w:rPr>
                    <w:t>0.00045</w:t>
                  </w:r>
                </w:p>
              </w:tc>
              <w:tc>
                <w:tcPr>
                  <w:tcW w:w="460" w:type="pct"/>
                  <w:tcBorders>
                    <w:tl2br w:val="nil"/>
                    <w:tr2bl w:val="nil"/>
                  </w:tcBorders>
                  <w:noWrap w:val="0"/>
                  <w:vAlign w:val="center"/>
                </w:tcPr>
                <w:p w14:paraId="6CC37D87">
                  <w:pPr>
                    <w:keepNext w:val="0"/>
                    <w:keepLines w:val="0"/>
                    <w:widowControl/>
                    <w:suppressLineNumbers w:val="0"/>
                    <w:jc w:val="center"/>
                    <w:textAlignment w:val="center"/>
                    <w:rPr>
                      <w:rFonts w:hint="default" w:cs="Times New Roman"/>
                      <w:b/>
                      <w:bCs/>
                      <w:color w:val="auto"/>
                      <w:spacing w:val="0"/>
                      <w:kern w:val="0"/>
                      <w:sz w:val="18"/>
                      <w:szCs w:val="18"/>
                      <w:highlight w:val="none"/>
                      <w:lang w:val="en-US" w:eastAsia="zh-CN"/>
                    </w:rPr>
                  </w:pPr>
                  <w:r>
                    <w:rPr>
                      <w:rFonts w:hint="eastAsia" w:ascii="Times New Roman" w:hAnsi="Times New Roman" w:eastAsia="宋体" w:cs="Times New Roman"/>
                      <w:b/>
                      <w:bCs/>
                      <w:i w:val="0"/>
                      <w:iCs w:val="0"/>
                      <w:snapToGrid w:val="0"/>
                      <w:color w:val="auto"/>
                      <w:kern w:val="0"/>
                      <w:sz w:val="18"/>
                      <w:szCs w:val="18"/>
                      <w:u w:val="none"/>
                      <w:lang w:val="en-US" w:eastAsia="zh-CN" w:bidi="ar"/>
                    </w:rPr>
                    <w:t>0.00045</w:t>
                  </w:r>
                </w:p>
              </w:tc>
            </w:tr>
            <w:tr w14:paraId="48CF4FE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349" w:type="pct"/>
                  <w:vMerge w:val="continue"/>
                  <w:tcBorders>
                    <w:tl2br w:val="nil"/>
                    <w:tr2bl w:val="nil"/>
                  </w:tcBorders>
                  <w:noWrap w:val="0"/>
                  <w:vAlign w:val="center"/>
                </w:tcPr>
                <w:p w14:paraId="7436A13F">
                  <w:pPr>
                    <w:pStyle w:val="698"/>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spacing w:val="0"/>
                      <w:kern w:val="0"/>
                      <w:sz w:val="18"/>
                      <w:szCs w:val="18"/>
                      <w:highlight w:val="none"/>
                      <w:lang w:val="en-US" w:eastAsia="zh-CN"/>
                    </w:rPr>
                  </w:pPr>
                </w:p>
              </w:tc>
              <w:tc>
                <w:tcPr>
                  <w:tcW w:w="615" w:type="pct"/>
                  <w:tcBorders>
                    <w:tl2br w:val="nil"/>
                    <w:tr2bl w:val="nil"/>
                  </w:tcBorders>
                  <w:noWrap w:val="0"/>
                  <w:vAlign w:val="center"/>
                </w:tcPr>
                <w:p w14:paraId="274C0F61">
                  <w:pPr>
                    <w:keepNext w:val="0"/>
                    <w:keepLines w:val="0"/>
                    <w:pageBreakBefore w:val="0"/>
                    <w:kinsoku/>
                    <w:wordWrap/>
                    <w:overflowPunct/>
                    <w:topLinePunct w:val="0"/>
                    <w:autoSpaceDE/>
                    <w:autoSpaceDN/>
                    <w:bidi w:val="0"/>
                    <w:adjustRightInd w:val="0"/>
                    <w:snapToGrid w:val="0"/>
                    <w:jc w:val="center"/>
                    <w:rPr>
                      <w:rFonts w:hint="default"/>
                      <w:color w:val="auto"/>
                      <w:spacing w:val="0"/>
                      <w:kern w:val="0"/>
                      <w:sz w:val="18"/>
                      <w:szCs w:val="18"/>
                      <w:lang w:val="en-US" w:eastAsia="zh-CN"/>
                    </w:rPr>
                  </w:pPr>
                  <w:r>
                    <w:rPr>
                      <w:rFonts w:hint="eastAsia"/>
                      <w:color w:val="auto"/>
                      <w:sz w:val="18"/>
                      <w:szCs w:val="18"/>
                    </w:rPr>
                    <w:t>颗粒物</w:t>
                  </w:r>
                </w:p>
              </w:tc>
              <w:tc>
                <w:tcPr>
                  <w:tcW w:w="407" w:type="pct"/>
                  <w:tcBorders>
                    <w:tl2br w:val="nil"/>
                    <w:tr2bl w:val="nil"/>
                  </w:tcBorders>
                  <w:noWrap w:val="0"/>
                  <w:vAlign w:val="center"/>
                </w:tcPr>
                <w:p w14:paraId="0211C47F">
                  <w:pPr>
                    <w:keepNext w:val="0"/>
                    <w:keepLines w:val="0"/>
                    <w:pageBreakBefore w:val="0"/>
                    <w:widowControl/>
                    <w:kinsoku/>
                    <w:wordWrap/>
                    <w:overflowPunct/>
                    <w:topLinePunct w:val="0"/>
                    <w:autoSpaceDE/>
                    <w:autoSpaceDN/>
                    <w:bidi w:val="0"/>
                    <w:adjustRightInd w:val="0"/>
                    <w:snapToGrid w:val="0"/>
                    <w:jc w:val="center"/>
                    <w:rPr>
                      <w:rFonts w:hint="default"/>
                      <w:b w:val="0"/>
                      <w:bCs w:val="0"/>
                      <w:color w:val="auto"/>
                      <w:spacing w:val="0"/>
                      <w:kern w:val="0"/>
                      <w:sz w:val="18"/>
                      <w:szCs w:val="18"/>
                      <w:lang w:val="en-US" w:eastAsia="zh-CN"/>
                    </w:rPr>
                  </w:pPr>
                  <w:r>
                    <w:rPr>
                      <w:rFonts w:hint="eastAsia"/>
                      <w:b w:val="0"/>
                      <w:bCs w:val="0"/>
                      <w:color w:val="auto"/>
                      <w:spacing w:val="0"/>
                      <w:kern w:val="0"/>
                      <w:sz w:val="18"/>
                      <w:szCs w:val="18"/>
                      <w:lang w:val="en-US" w:eastAsia="zh-CN"/>
                    </w:rPr>
                    <w:t>0.099</w:t>
                  </w:r>
                </w:p>
              </w:tc>
              <w:tc>
                <w:tcPr>
                  <w:tcW w:w="408" w:type="pct"/>
                  <w:tcBorders>
                    <w:tl2br w:val="nil"/>
                    <w:tr2bl w:val="nil"/>
                  </w:tcBorders>
                  <w:noWrap w:val="0"/>
                  <w:vAlign w:val="center"/>
                </w:tcPr>
                <w:p w14:paraId="66E08A09">
                  <w:pPr>
                    <w:keepNext w:val="0"/>
                    <w:keepLines w:val="0"/>
                    <w:pageBreakBefore w:val="0"/>
                    <w:widowControl/>
                    <w:kinsoku/>
                    <w:wordWrap/>
                    <w:overflowPunct/>
                    <w:topLinePunct w:val="0"/>
                    <w:autoSpaceDE/>
                    <w:autoSpaceDN/>
                    <w:bidi w:val="0"/>
                    <w:adjustRightInd w:val="0"/>
                    <w:snapToGrid w:val="0"/>
                    <w:jc w:val="center"/>
                    <w:rPr>
                      <w:rFonts w:hint="default"/>
                      <w:b w:val="0"/>
                      <w:bCs w:val="0"/>
                      <w:color w:val="auto"/>
                      <w:spacing w:val="0"/>
                      <w:kern w:val="0"/>
                      <w:sz w:val="18"/>
                      <w:szCs w:val="18"/>
                      <w:lang w:val="en-US" w:eastAsia="zh-CN"/>
                    </w:rPr>
                  </w:pPr>
                  <w:r>
                    <w:rPr>
                      <w:rFonts w:hint="eastAsia"/>
                      <w:b w:val="0"/>
                      <w:bCs w:val="0"/>
                      <w:color w:val="auto"/>
                      <w:spacing w:val="0"/>
                      <w:kern w:val="0"/>
                      <w:sz w:val="18"/>
                      <w:szCs w:val="18"/>
                      <w:lang w:val="en-US" w:eastAsia="zh-CN"/>
                    </w:rPr>
                    <w:t>--</w:t>
                  </w:r>
                </w:p>
              </w:tc>
              <w:tc>
                <w:tcPr>
                  <w:tcW w:w="421" w:type="pct"/>
                  <w:tcBorders>
                    <w:tl2br w:val="nil"/>
                    <w:tr2bl w:val="nil"/>
                  </w:tcBorders>
                  <w:noWrap w:val="0"/>
                  <w:vAlign w:val="center"/>
                </w:tcPr>
                <w:p w14:paraId="285ACC30">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pacing w:val="0"/>
                      <w:kern w:val="0"/>
                      <w:sz w:val="18"/>
                      <w:szCs w:val="18"/>
                      <w:highlight w:val="none"/>
                      <w:lang w:val="en-US" w:eastAsia="zh-CN"/>
                    </w:rPr>
                  </w:pPr>
                  <w:r>
                    <w:rPr>
                      <w:rFonts w:hint="eastAsia" w:eastAsia="宋体" w:cs="Times New Roman"/>
                      <w:b w:val="0"/>
                      <w:bCs/>
                      <w:color w:val="auto"/>
                      <w:spacing w:val="0"/>
                      <w:kern w:val="0"/>
                      <w:sz w:val="18"/>
                      <w:szCs w:val="18"/>
                      <w:highlight w:val="none"/>
                      <w:lang w:val="en-US" w:eastAsia="zh-CN"/>
                    </w:rPr>
                    <w:t>0.2</w:t>
                  </w:r>
                  <w:r>
                    <w:rPr>
                      <w:rFonts w:hint="eastAsia" w:cs="Times New Roman"/>
                      <w:b w:val="0"/>
                      <w:bCs/>
                      <w:color w:val="auto"/>
                      <w:spacing w:val="0"/>
                      <w:kern w:val="0"/>
                      <w:sz w:val="18"/>
                      <w:szCs w:val="18"/>
                      <w:highlight w:val="none"/>
                      <w:lang w:val="en-US" w:eastAsia="zh-CN"/>
                    </w:rPr>
                    <w:t>0091</w:t>
                  </w:r>
                </w:p>
              </w:tc>
              <w:tc>
                <w:tcPr>
                  <w:tcW w:w="439" w:type="pct"/>
                  <w:tcBorders>
                    <w:tl2br w:val="nil"/>
                    <w:tr2bl w:val="nil"/>
                  </w:tcBorders>
                  <w:noWrap w:val="0"/>
                  <w:vAlign w:val="center"/>
                </w:tcPr>
                <w:p w14:paraId="06CBA032">
                  <w:pPr>
                    <w:keepNext w:val="0"/>
                    <w:keepLines w:val="0"/>
                    <w:widowControl/>
                    <w:suppressLineNumbers w:val="0"/>
                    <w:jc w:val="center"/>
                    <w:textAlignment w:val="center"/>
                    <w:rPr>
                      <w:rFonts w:hint="default" w:ascii="Times New Roman" w:hAnsi="Times New Roman" w:eastAsia="宋体" w:cs="Times New Roman"/>
                      <w:b w:val="0"/>
                      <w:bCs/>
                      <w:color w:val="auto"/>
                      <w:spacing w:val="0"/>
                      <w:kern w:val="0"/>
                      <w:sz w:val="18"/>
                      <w:szCs w:val="18"/>
                      <w:highlight w:val="none"/>
                      <w:lang w:val="en-US" w:eastAsia="zh-CN"/>
                    </w:rPr>
                  </w:pPr>
                  <w:r>
                    <w:rPr>
                      <w:rFonts w:hint="eastAsia" w:cs="Times New Roman"/>
                      <w:b w:val="0"/>
                      <w:bCs/>
                      <w:color w:val="auto"/>
                      <w:spacing w:val="0"/>
                      <w:kern w:val="0"/>
                      <w:sz w:val="18"/>
                      <w:szCs w:val="18"/>
                      <w:highlight w:val="none"/>
                      <w:lang w:val="en-US" w:eastAsia="zh-CN"/>
                    </w:rPr>
                    <w:t>0.168</w:t>
                  </w:r>
                </w:p>
              </w:tc>
              <w:tc>
                <w:tcPr>
                  <w:tcW w:w="412" w:type="pct"/>
                  <w:tcBorders>
                    <w:tl2br w:val="nil"/>
                    <w:tr2bl w:val="nil"/>
                  </w:tcBorders>
                  <w:noWrap w:val="0"/>
                  <w:vAlign w:val="center"/>
                </w:tcPr>
                <w:p w14:paraId="65CE03C3">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pacing w:val="0"/>
                      <w:kern w:val="0"/>
                      <w:sz w:val="18"/>
                      <w:szCs w:val="18"/>
                      <w:highlight w:val="none"/>
                      <w:lang w:val="en-US" w:eastAsia="zh-CN"/>
                    </w:rPr>
                  </w:pPr>
                  <w:r>
                    <w:rPr>
                      <w:rFonts w:hint="eastAsia" w:eastAsia="宋体" w:cs="Times New Roman"/>
                      <w:b w:val="0"/>
                      <w:bCs/>
                      <w:color w:val="auto"/>
                      <w:spacing w:val="0"/>
                      <w:kern w:val="0"/>
                      <w:sz w:val="18"/>
                      <w:szCs w:val="18"/>
                      <w:highlight w:val="none"/>
                      <w:lang w:val="en-US" w:eastAsia="zh-CN"/>
                    </w:rPr>
                    <w:t>0.03</w:t>
                  </w:r>
                  <w:r>
                    <w:rPr>
                      <w:rFonts w:hint="eastAsia" w:cs="Times New Roman"/>
                      <w:b w:val="0"/>
                      <w:bCs/>
                      <w:color w:val="auto"/>
                      <w:spacing w:val="0"/>
                      <w:kern w:val="0"/>
                      <w:sz w:val="18"/>
                      <w:szCs w:val="18"/>
                      <w:highlight w:val="none"/>
                      <w:lang w:val="en-US" w:eastAsia="zh-CN"/>
                    </w:rPr>
                    <w:t>291</w:t>
                  </w:r>
                </w:p>
              </w:tc>
              <w:tc>
                <w:tcPr>
                  <w:tcW w:w="458" w:type="pct"/>
                  <w:tcBorders>
                    <w:tl2br w:val="nil"/>
                    <w:tr2bl w:val="nil"/>
                  </w:tcBorders>
                  <w:noWrap w:val="0"/>
                  <w:vAlign w:val="center"/>
                </w:tcPr>
                <w:p w14:paraId="371A828D">
                  <w:pPr>
                    <w:keepNext w:val="0"/>
                    <w:keepLines w:val="0"/>
                    <w:pageBreakBefore w:val="0"/>
                    <w:widowControl/>
                    <w:kinsoku/>
                    <w:wordWrap/>
                    <w:overflowPunct/>
                    <w:topLinePunct w:val="0"/>
                    <w:autoSpaceDE/>
                    <w:autoSpaceDN/>
                    <w:bidi w:val="0"/>
                    <w:adjustRightInd w:val="0"/>
                    <w:snapToGrid w:val="0"/>
                    <w:jc w:val="center"/>
                    <w:rPr>
                      <w:rFonts w:hint="default"/>
                      <w:color w:val="auto"/>
                      <w:spacing w:val="0"/>
                      <w:kern w:val="0"/>
                      <w:sz w:val="18"/>
                      <w:szCs w:val="18"/>
                      <w:lang w:val="en-US" w:eastAsia="zh-CN"/>
                    </w:rPr>
                  </w:pPr>
                  <w:r>
                    <w:rPr>
                      <w:rFonts w:hint="eastAsia"/>
                      <w:b w:val="0"/>
                      <w:bCs w:val="0"/>
                      <w:color w:val="auto"/>
                      <w:spacing w:val="0"/>
                      <w:kern w:val="0"/>
                      <w:sz w:val="18"/>
                      <w:szCs w:val="18"/>
                      <w:lang w:val="en-US" w:eastAsia="zh-CN"/>
                    </w:rPr>
                    <w:t>0.099</w:t>
                  </w:r>
                </w:p>
              </w:tc>
              <w:tc>
                <w:tcPr>
                  <w:tcW w:w="495" w:type="pct"/>
                  <w:tcBorders>
                    <w:tl2br w:val="nil"/>
                    <w:tr2bl w:val="nil"/>
                  </w:tcBorders>
                  <w:shd w:val="clear" w:color="auto" w:fill="auto"/>
                  <w:noWrap w:val="0"/>
                  <w:vAlign w:val="center"/>
                </w:tcPr>
                <w:p w14:paraId="375B2A02">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snapToGrid w:val="0"/>
                      <w:color w:val="auto"/>
                      <w:spacing w:val="0"/>
                      <w:kern w:val="0"/>
                      <w:sz w:val="18"/>
                      <w:szCs w:val="18"/>
                      <w:highlight w:val="none"/>
                      <w:lang w:val="en-US" w:eastAsia="zh-CN" w:bidi="ar-SA"/>
                    </w:rPr>
                  </w:pPr>
                  <w:r>
                    <w:rPr>
                      <w:rFonts w:hint="eastAsia" w:eastAsia="宋体" w:cs="Times New Roman"/>
                      <w:b w:val="0"/>
                      <w:bCs/>
                      <w:color w:val="auto"/>
                      <w:spacing w:val="0"/>
                      <w:kern w:val="0"/>
                      <w:sz w:val="18"/>
                      <w:szCs w:val="18"/>
                      <w:highlight w:val="none"/>
                      <w:lang w:val="en-US" w:eastAsia="zh-CN"/>
                    </w:rPr>
                    <w:t>0.03</w:t>
                  </w:r>
                  <w:r>
                    <w:rPr>
                      <w:rFonts w:hint="eastAsia" w:cs="Times New Roman"/>
                      <w:b w:val="0"/>
                      <w:bCs/>
                      <w:color w:val="auto"/>
                      <w:spacing w:val="0"/>
                      <w:kern w:val="0"/>
                      <w:sz w:val="18"/>
                      <w:szCs w:val="18"/>
                      <w:highlight w:val="none"/>
                      <w:lang w:val="en-US" w:eastAsia="zh-CN"/>
                    </w:rPr>
                    <w:t>291</w:t>
                  </w:r>
                </w:p>
              </w:tc>
              <w:tc>
                <w:tcPr>
                  <w:tcW w:w="531" w:type="pct"/>
                  <w:tcBorders>
                    <w:tl2br w:val="nil"/>
                    <w:tr2bl w:val="nil"/>
                  </w:tcBorders>
                  <w:noWrap w:val="0"/>
                  <w:vAlign w:val="center"/>
                </w:tcPr>
                <w:p w14:paraId="490BC858">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u w:val="none"/>
                      <w:lang w:val="en-US" w:eastAsia="zh-CN" w:bidi="ar"/>
                    </w:rPr>
                  </w:pPr>
                  <w:r>
                    <w:rPr>
                      <w:rFonts w:hint="eastAsia" w:ascii="Times New Roman" w:hAnsi="Times New Roman" w:eastAsia="宋体" w:cs="Times New Roman"/>
                      <w:i w:val="0"/>
                      <w:iCs w:val="0"/>
                      <w:snapToGrid w:val="0"/>
                      <w:color w:val="auto"/>
                      <w:kern w:val="0"/>
                      <w:sz w:val="18"/>
                      <w:szCs w:val="18"/>
                      <w:u w:val="none"/>
                      <w:lang w:val="en-US" w:eastAsia="zh-CN" w:bidi="ar"/>
                    </w:rPr>
                    <w:t>-0.06</w:t>
                  </w:r>
                  <w:r>
                    <w:rPr>
                      <w:rFonts w:hint="eastAsia" w:cs="Times New Roman"/>
                      <w:i w:val="0"/>
                      <w:iCs w:val="0"/>
                      <w:snapToGrid w:val="0"/>
                      <w:color w:val="auto"/>
                      <w:kern w:val="0"/>
                      <w:sz w:val="18"/>
                      <w:szCs w:val="18"/>
                      <w:u w:val="none"/>
                      <w:lang w:val="en-US" w:eastAsia="zh-CN" w:bidi="ar"/>
                    </w:rPr>
                    <w:t>609</w:t>
                  </w:r>
                </w:p>
              </w:tc>
              <w:tc>
                <w:tcPr>
                  <w:tcW w:w="460" w:type="pct"/>
                  <w:tcBorders>
                    <w:tl2br w:val="nil"/>
                    <w:tr2bl w:val="nil"/>
                  </w:tcBorders>
                  <w:noWrap w:val="0"/>
                  <w:vAlign w:val="center"/>
                </w:tcPr>
                <w:p w14:paraId="7F127CE0">
                  <w:pPr>
                    <w:keepNext w:val="0"/>
                    <w:keepLines w:val="0"/>
                    <w:widowControl/>
                    <w:suppressLineNumbers w:val="0"/>
                    <w:jc w:val="center"/>
                    <w:textAlignment w:val="center"/>
                    <w:rPr>
                      <w:rFonts w:hint="default" w:ascii="Times New Roman" w:hAnsi="Times New Roman" w:eastAsia="宋体" w:cs="Times New Roman"/>
                      <w:b/>
                      <w:bCs/>
                      <w:color w:val="auto"/>
                      <w:spacing w:val="0"/>
                      <w:kern w:val="0"/>
                      <w:sz w:val="18"/>
                      <w:szCs w:val="18"/>
                      <w:highlight w:val="none"/>
                      <w:lang w:val="en-US" w:eastAsia="zh-CN"/>
                    </w:rPr>
                  </w:pPr>
                  <w:r>
                    <w:rPr>
                      <w:rFonts w:hint="eastAsia" w:ascii="Times New Roman" w:hAnsi="Times New Roman" w:cs="Times New Roman"/>
                      <w:b/>
                      <w:bCs/>
                      <w:i w:val="0"/>
                      <w:iCs w:val="0"/>
                      <w:snapToGrid w:val="0"/>
                      <w:color w:val="auto"/>
                      <w:kern w:val="0"/>
                      <w:sz w:val="18"/>
                      <w:szCs w:val="18"/>
                      <w:u w:val="none"/>
                      <w:lang w:val="en-US" w:eastAsia="zh-CN" w:bidi="ar"/>
                    </w:rPr>
                    <w:t>0</w:t>
                  </w:r>
                </w:p>
              </w:tc>
            </w:tr>
            <w:tr w14:paraId="50121B9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349" w:type="pct"/>
                  <w:vMerge w:val="restart"/>
                  <w:tcBorders>
                    <w:tl2br w:val="nil"/>
                    <w:tr2bl w:val="nil"/>
                  </w:tcBorders>
                  <w:noWrap w:val="0"/>
                  <w:vAlign w:val="center"/>
                </w:tcPr>
                <w:p w14:paraId="67F01962">
                  <w:pPr>
                    <w:pStyle w:val="698"/>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spacing w:val="0"/>
                      <w:kern w:val="0"/>
                      <w:sz w:val="18"/>
                      <w:szCs w:val="18"/>
                      <w:highlight w:val="none"/>
                    </w:rPr>
                  </w:pPr>
                  <w:r>
                    <w:rPr>
                      <w:rFonts w:hint="default" w:ascii="Times New Roman" w:hAnsi="Times New Roman" w:eastAsia="宋体" w:cs="Times New Roman"/>
                      <w:b w:val="0"/>
                      <w:bCs/>
                      <w:color w:val="auto"/>
                      <w:spacing w:val="0"/>
                      <w:kern w:val="0"/>
                      <w:sz w:val="18"/>
                      <w:szCs w:val="18"/>
                      <w:highlight w:val="none"/>
                    </w:rPr>
                    <w:t>固废</w:t>
                  </w:r>
                </w:p>
              </w:tc>
              <w:tc>
                <w:tcPr>
                  <w:tcW w:w="615" w:type="pct"/>
                  <w:tcBorders>
                    <w:tl2br w:val="nil"/>
                    <w:tr2bl w:val="nil"/>
                  </w:tcBorders>
                  <w:noWrap w:val="0"/>
                  <w:vAlign w:val="center"/>
                </w:tcPr>
                <w:p w14:paraId="7AB7C29A">
                  <w:pPr>
                    <w:pStyle w:val="698"/>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spacing w:val="0"/>
                      <w:kern w:val="0"/>
                      <w:sz w:val="18"/>
                      <w:szCs w:val="18"/>
                      <w:highlight w:val="none"/>
                      <w:lang w:val="en-US" w:eastAsia="zh-CN" w:bidi="ar-SA"/>
                    </w:rPr>
                  </w:pPr>
                  <w:r>
                    <w:rPr>
                      <w:rFonts w:hint="default" w:ascii="Times New Roman" w:hAnsi="Times New Roman" w:eastAsia="宋体" w:cs="Times New Roman"/>
                      <w:b w:val="0"/>
                      <w:bCs/>
                      <w:color w:val="auto"/>
                      <w:spacing w:val="0"/>
                      <w:kern w:val="0"/>
                      <w:sz w:val="18"/>
                      <w:szCs w:val="18"/>
                      <w:highlight w:val="none"/>
                    </w:rPr>
                    <w:t>一般固废</w:t>
                  </w:r>
                </w:p>
              </w:tc>
              <w:tc>
                <w:tcPr>
                  <w:tcW w:w="407" w:type="pct"/>
                  <w:tcBorders>
                    <w:tl2br w:val="nil"/>
                    <w:tr2bl w:val="nil"/>
                  </w:tcBorders>
                  <w:noWrap w:val="0"/>
                  <w:vAlign w:val="center"/>
                </w:tcPr>
                <w:p w14:paraId="5A357DFD">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val="0"/>
                      <w:color w:val="auto"/>
                      <w:spacing w:val="0"/>
                      <w:kern w:val="0"/>
                      <w:sz w:val="18"/>
                      <w:szCs w:val="18"/>
                      <w:highlight w:val="none"/>
                      <w:lang w:val="en-US" w:eastAsia="zh-CN"/>
                    </w:rPr>
                  </w:pPr>
                  <w:r>
                    <w:rPr>
                      <w:rFonts w:hint="eastAsia" w:eastAsia="宋体" w:cs="Times New Roman"/>
                      <w:b w:val="0"/>
                      <w:bCs w:val="0"/>
                      <w:color w:val="auto"/>
                      <w:spacing w:val="0"/>
                      <w:kern w:val="0"/>
                      <w:sz w:val="18"/>
                      <w:szCs w:val="18"/>
                      <w:highlight w:val="none"/>
                      <w:lang w:val="en-US" w:eastAsia="zh-CN"/>
                    </w:rPr>
                    <w:t>0</w:t>
                  </w:r>
                </w:p>
              </w:tc>
              <w:tc>
                <w:tcPr>
                  <w:tcW w:w="408" w:type="pct"/>
                  <w:tcBorders>
                    <w:tl2br w:val="nil"/>
                    <w:tr2bl w:val="nil"/>
                  </w:tcBorders>
                  <w:noWrap w:val="0"/>
                  <w:vAlign w:val="center"/>
                </w:tcPr>
                <w:p w14:paraId="602C2487">
                  <w:pPr>
                    <w:keepNext w:val="0"/>
                    <w:keepLines w:val="0"/>
                    <w:pageBreakBefore w:val="0"/>
                    <w:widowControl/>
                    <w:kinsoku/>
                    <w:wordWrap/>
                    <w:overflowPunct/>
                    <w:topLinePunct w:val="0"/>
                    <w:autoSpaceDE/>
                    <w:autoSpaceDN/>
                    <w:bidi w:val="0"/>
                    <w:adjustRightInd w:val="0"/>
                    <w:snapToGrid w:val="0"/>
                    <w:jc w:val="center"/>
                    <w:rPr>
                      <w:rFonts w:hint="default" w:cs="Times New Roman"/>
                      <w:b w:val="0"/>
                      <w:bCs w:val="0"/>
                      <w:color w:val="auto"/>
                      <w:spacing w:val="0"/>
                      <w:kern w:val="0"/>
                      <w:sz w:val="18"/>
                      <w:szCs w:val="18"/>
                      <w:highlight w:val="none"/>
                      <w:lang w:val="en-US" w:eastAsia="zh-CN"/>
                    </w:rPr>
                  </w:pPr>
                  <w:r>
                    <w:rPr>
                      <w:rFonts w:hint="eastAsia" w:cs="Times New Roman"/>
                      <w:b w:val="0"/>
                      <w:bCs w:val="0"/>
                      <w:color w:val="auto"/>
                      <w:spacing w:val="0"/>
                      <w:kern w:val="0"/>
                      <w:sz w:val="18"/>
                      <w:szCs w:val="18"/>
                      <w:highlight w:val="none"/>
                      <w:lang w:val="en-US" w:eastAsia="zh-CN"/>
                    </w:rPr>
                    <w:t>0</w:t>
                  </w:r>
                </w:p>
              </w:tc>
              <w:tc>
                <w:tcPr>
                  <w:tcW w:w="421" w:type="pct"/>
                  <w:tcBorders>
                    <w:tl2br w:val="nil"/>
                    <w:tr2bl w:val="nil"/>
                  </w:tcBorders>
                  <w:noWrap w:val="0"/>
                  <w:vAlign w:val="center"/>
                </w:tcPr>
                <w:p w14:paraId="798E5479">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pacing w:val="0"/>
                      <w:kern w:val="0"/>
                      <w:sz w:val="18"/>
                      <w:szCs w:val="18"/>
                      <w:highlight w:val="none"/>
                      <w:lang w:val="en-US" w:eastAsia="zh-CN"/>
                    </w:rPr>
                  </w:pPr>
                  <w:r>
                    <w:rPr>
                      <w:rFonts w:hint="eastAsia" w:eastAsia="宋体" w:cs="Times New Roman"/>
                      <w:b w:val="0"/>
                      <w:bCs/>
                      <w:color w:val="auto"/>
                      <w:spacing w:val="0"/>
                      <w:kern w:val="0"/>
                      <w:sz w:val="18"/>
                      <w:szCs w:val="18"/>
                      <w:highlight w:val="none"/>
                      <w:lang w:val="en-US" w:eastAsia="zh-CN"/>
                    </w:rPr>
                    <w:t>10.068</w:t>
                  </w:r>
                </w:p>
              </w:tc>
              <w:tc>
                <w:tcPr>
                  <w:tcW w:w="439" w:type="pct"/>
                  <w:tcBorders>
                    <w:tl2br w:val="nil"/>
                    <w:tr2bl w:val="nil"/>
                  </w:tcBorders>
                  <w:noWrap w:val="0"/>
                  <w:vAlign w:val="center"/>
                </w:tcPr>
                <w:p w14:paraId="6CA67728">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pacing w:val="0"/>
                      <w:kern w:val="0"/>
                      <w:sz w:val="18"/>
                      <w:szCs w:val="18"/>
                      <w:highlight w:val="none"/>
                      <w:lang w:val="en-US" w:eastAsia="zh-CN"/>
                    </w:rPr>
                  </w:pPr>
                  <w:r>
                    <w:rPr>
                      <w:rFonts w:hint="eastAsia" w:eastAsia="宋体" w:cs="Times New Roman"/>
                      <w:b w:val="0"/>
                      <w:bCs/>
                      <w:color w:val="auto"/>
                      <w:spacing w:val="0"/>
                      <w:kern w:val="0"/>
                      <w:sz w:val="18"/>
                      <w:szCs w:val="18"/>
                      <w:highlight w:val="none"/>
                      <w:lang w:val="en-US" w:eastAsia="zh-CN"/>
                    </w:rPr>
                    <w:t>10.068</w:t>
                  </w:r>
                </w:p>
              </w:tc>
              <w:tc>
                <w:tcPr>
                  <w:tcW w:w="412" w:type="pct"/>
                  <w:tcBorders>
                    <w:tl2br w:val="nil"/>
                    <w:tr2bl w:val="nil"/>
                  </w:tcBorders>
                  <w:noWrap w:val="0"/>
                  <w:vAlign w:val="center"/>
                </w:tcPr>
                <w:p w14:paraId="640258B7">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pacing w:val="0"/>
                      <w:kern w:val="0"/>
                      <w:sz w:val="18"/>
                      <w:szCs w:val="18"/>
                      <w:highlight w:val="none"/>
                      <w:lang w:val="en-US" w:eastAsia="zh-CN"/>
                    </w:rPr>
                  </w:pPr>
                  <w:r>
                    <w:rPr>
                      <w:rFonts w:hint="eastAsia" w:eastAsia="宋体" w:cs="Times New Roman"/>
                      <w:b w:val="0"/>
                      <w:bCs/>
                      <w:color w:val="auto"/>
                      <w:spacing w:val="0"/>
                      <w:kern w:val="0"/>
                      <w:sz w:val="18"/>
                      <w:szCs w:val="18"/>
                      <w:highlight w:val="none"/>
                      <w:lang w:val="en-US" w:eastAsia="zh-CN"/>
                    </w:rPr>
                    <w:t>0</w:t>
                  </w:r>
                </w:p>
              </w:tc>
              <w:tc>
                <w:tcPr>
                  <w:tcW w:w="458" w:type="pct"/>
                  <w:tcBorders>
                    <w:tl2br w:val="nil"/>
                    <w:tr2bl w:val="nil"/>
                  </w:tcBorders>
                  <w:noWrap w:val="0"/>
                  <w:vAlign w:val="center"/>
                </w:tcPr>
                <w:p w14:paraId="7A0441A8">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pacing w:val="0"/>
                      <w:kern w:val="0"/>
                      <w:sz w:val="18"/>
                      <w:szCs w:val="18"/>
                      <w:highlight w:val="none"/>
                      <w:lang w:val="en-US" w:eastAsia="zh-CN"/>
                    </w:rPr>
                  </w:pPr>
                  <w:r>
                    <w:rPr>
                      <w:rFonts w:hint="eastAsia" w:eastAsia="宋体" w:cs="Times New Roman"/>
                      <w:b w:val="0"/>
                      <w:bCs/>
                      <w:color w:val="auto"/>
                      <w:spacing w:val="0"/>
                      <w:kern w:val="0"/>
                      <w:sz w:val="18"/>
                      <w:szCs w:val="18"/>
                      <w:highlight w:val="none"/>
                      <w:lang w:val="en-US" w:eastAsia="zh-CN"/>
                    </w:rPr>
                    <w:t>0</w:t>
                  </w:r>
                </w:p>
              </w:tc>
              <w:tc>
                <w:tcPr>
                  <w:tcW w:w="495" w:type="pct"/>
                  <w:tcBorders>
                    <w:tl2br w:val="nil"/>
                    <w:tr2bl w:val="nil"/>
                  </w:tcBorders>
                  <w:noWrap w:val="0"/>
                  <w:vAlign w:val="center"/>
                </w:tcPr>
                <w:p w14:paraId="7C7D63BA">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pacing w:val="0"/>
                      <w:kern w:val="0"/>
                      <w:sz w:val="18"/>
                      <w:szCs w:val="18"/>
                      <w:highlight w:val="none"/>
                      <w:lang w:val="en-US" w:eastAsia="zh-CN" w:bidi="ar-SA"/>
                    </w:rPr>
                  </w:pPr>
                  <w:r>
                    <w:rPr>
                      <w:rFonts w:hint="eastAsia" w:eastAsia="宋体" w:cs="Times New Roman"/>
                      <w:b w:val="0"/>
                      <w:bCs/>
                      <w:color w:val="auto"/>
                      <w:spacing w:val="0"/>
                      <w:kern w:val="0"/>
                      <w:sz w:val="18"/>
                      <w:szCs w:val="18"/>
                      <w:highlight w:val="none"/>
                      <w:lang w:val="en-US" w:eastAsia="zh-CN" w:bidi="ar-SA"/>
                    </w:rPr>
                    <w:t>0</w:t>
                  </w:r>
                </w:p>
              </w:tc>
              <w:tc>
                <w:tcPr>
                  <w:tcW w:w="531" w:type="pct"/>
                  <w:tcBorders>
                    <w:tl2br w:val="nil"/>
                    <w:tr2bl w:val="nil"/>
                  </w:tcBorders>
                  <w:noWrap w:val="0"/>
                  <w:vAlign w:val="center"/>
                </w:tcPr>
                <w:p w14:paraId="7F4C4BC6">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pacing w:val="0"/>
                      <w:kern w:val="0"/>
                      <w:sz w:val="18"/>
                      <w:szCs w:val="18"/>
                      <w:highlight w:val="none"/>
                      <w:lang w:val="en-US" w:eastAsia="zh-CN" w:bidi="ar-SA"/>
                    </w:rPr>
                  </w:pPr>
                  <w:r>
                    <w:rPr>
                      <w:rFonts w:hint="eastAsia" w:eastAsia="宋体" w:cs="Times New Roman"/>
                      <w:b w:val="0"/>
                      <w:bCs/>
                      <w:color w:val="auto"/>
                      <w:spacing w:val="0"/>
                      <w:kern w:val="0"/>
                      <w:sz w:val="18"/>
                      <w:szCs w:val="18"/>
                      <w:highlight w:val="none"/>
                      <w:lang w:val="en-US" w:eastAsia="zh-CN" w:bidi="ar-SA"/>
                    </w:rPr>
                    <w:t>0</w:t>
                  </w:r>
                </w:p>
              </w:tc>
              <w:tc>
                <w:tcPr>
                  <w:tcW w:w="460" w:type="pct"/>
                  <w:tcBorders>
                    <w:tl2br w:val="nil"/>
                    <w:tr2bl w:val="nil"/>
                  </w:tcBorders>
                  <w:noWrap w:val="0"/>
                  <w:vAlign w:val="center"/>
                </w:tcPr>
                <w:p w14:paraId="03B1ABEE">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bCs/>
                      <w:color w:val="auto"/>
                      <w:spacing w:val="0"/>
                      <w:kern w:val="0"/>
                      <w:sz w:val="18"/>
                      <w:szCs w:val="18"/>
                      <w:highlight w:val="none"/>
                      <w:lang w:val="en-US" w:eastAsia="zh-CN" w:bidi="ar-SA"/>
                    </w:rPr>
                  </w:pPr>
                  <w:r>
                    <w:rPr>
                      <w:rFonts w:hint="eastAsia"/>
                      <w:b/>
                      <w:bCs/>
                      <w:color w:val="auto"/>
                      <w:spacing w:val="0"/>
                      <w:kern w:val="0"/>
                      <w:sz w:val="18"/>
                      <w:szCs w:val="18"/>
                      <w:lang w:val="en-US" w:eastAsia="zh-CN"/>
                    </w:rPr>
                    <w:t>0</w:t>
                  </w:r>
                </w:p>
              </w:tc>
            </w:tr>
            <w:tr w14:paraId="6D8D586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349" w:type="pct"/>
                  <w:vMerge w:val="continue"/>
                  <w:tcBorders>
                    <w:tl2br w:val="nil"/>
                    <w:tr2bl w:val="nil"/>
                  </w:tcBorders>
                  <w:noWrap w:val="0"/>
                  <w:vAlign w:val="center"/>
                </w:tcPr>
                <w:p w14:paraId="1F966838">
                  <w:pPr>
                    <w:pStyle w:val="698"/>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spacing w:val="0"/>
                      <w:kern w:val="0"/>
                      <w:sz w:val="18"/>
                      <w:szCs w:val="18"/>
                      <w:highlight w:val="none"/>
                    </w:rPr>
                  </w:pPr>
                </w:p>
              </w:tc>
              <w:tc>
                <w:tcPr>
                  <w:tcW w:w="615" w:type="pct"/>
                  <w:tcBorders>
                    <w:tl2br w:val="nil"/>
                    <w:tr2bl w:val="nil"/>
                  </w:tcBorders>
                  <w:noWrap w:val="0"/>
                  <w:vAlign w:val="center"/>
                </w:tcPr>
                <w:p w14:paraId="24743862">
                  <w:pPr>
                    <w:pStyle w:val="698"/>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spacing w:val="0"/>
                      <w:kern w:val="0"/>
                      <w:sz w:val="18"/>
                      <w:szCs w:val="18"/>
                      <w:highlight w:val="none"/>
                      <w:lang w:val="en-US" w:eastAsia="zh-CN" w:bidi="ar-SA"/>
                    </w:rPr>
                  </w:pPr>
                  <w:r>
                    <w:rPr>
                      <w:rFonts w:hint="default" w:ascii="Times New Roman" w:hAnsi="Times New Roman" w:eastAsia="宋体" w:cs="Times New Roman"/>
                      <w:b w:val="0"/>
                      <w:bCs/>
                      <w:color w:val="auto"/>
                      <w:spacing w:val="0"/>
                      <w:kern w:val="0"/>
                      <w:sz w:val="18"/>
                      <w:szCs w:val="18"/>
                      <w:highlight w:val="none"/>
                    </w:rPr>
                    <w:t>危险固废</w:t>
                  </w:r>
                </w:p>
              </w:tc>
              <w:tc>
                <w:tcPr>
                  <w:tcW w:w="407" w:type="pct"/>
                  <w:tcBorders>
                    <w:tl2br w:val="nil"/>
                    <w:tr2bl w:val="nil"/>
                  </w:tcBorders>
                  <w:noWrap w:val="0"/>
                  <w:vAlign w:val="center"/>
                </w:tcPr>
                <w:p w14:paraId="26912BD7">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val="0"/>
                      <w:color w:val="auto"/>
                      <w:spacing w:val="0"/>
                      <w:kern w:val="0"/>
                      <w:sz w:val="18"/>
                      <w:szCs w:val="18"/>
                      <w:highlight w:val="none"/>
                      <w:lang w:val="en-US" w:eastAsia="zh-CN"/>
                    </w:rPr>
                  </w:pPr>
                  <w:r>
                    <w:rPr>
                      <w:rFonts w:hint="eastAsia" w:eastAsia="宋体" w:cs="Times New Roman"/>
                      <w:b w:val="0"/>
                      <w:bCs w:val="0"/>
                      <w:color w:val="auto"/>
                      <w:spacing w:val="0"/>
                      <w:kern w:val="0"/>
                      <w:sz w:val="18"/>
                      <w:szCs w:val="18"/>
                      <w:highlight w:val="none"/>
                      <w:lang w:val="en-US" w:eastAsia="zh-CN"/>
                    </w:rPr>
                    <w:t>0</w:t>
                  </w:r>
                </w:p>
              </w:tc>
              <w:tc>
                <w:tcPr>
                  <w:tcW w:w="408" w:type="pct"/>
                  <w:tcBorders>
                    <w:tl2br w:val="nil"/>
                    <w:tr2bl w:val="nil"/>
                  </w:tcBorders>
                  <w:noWrap w:val="0"/>
                  <w:vAlign w:val="center"/>
                </w:tcPr>
                <w:p w14:paraId="6940CC81">
                  <w:pPr>
                    <w:keepNext w:val="0"/>
                    <w:keepLines w:val="0"/>
                    <w:pageBreakBefore w:val="0"/>
                    <w:widowControl/>
                    <w:kinsoku/>
                    <w:wordWrap/>
                    <w:overflowPunct/>
                    <w:topLinePunct w:val="0"/>
                    <w:autoSpaceDE/>
                    <w:autoSpaceDN/>
                    <w:bidi w:val="0"/>
                    <w:adjustRightInd w:val="0"/>
                    <w:snapToGrid w:val="0"/>
                    <w:jc w:val="center"/>
                    <w:rPr>
                      <w:rFonts w:hint="default" w:cs="Times New Roman"/>
                      <w:b w:val="0"/>
                      <w:bCs w:val="0"/>
                      <w:color w:val="auto"/>
                      <w:spacing w:val="0"/>
                      <w:kern w:val="0"/>
                      <w:sz w:val="18"/>
                      <w:szCs w:val="18"/>
                      <w:highlight w:val="none"/>
                      <w:lang w:val="en-US" w:eastAsia="zh-CN"/>
                    </w:rPr>
                  </w:pPr>
                  <w:r>
                    <w:rPr>
                      <w:rFonts w:hint="eastAsia" w:cs="Times New Roman"/>
                      <w:b w:val="0"/>
                      <w:bCs w:val="0"/>
                      <w:color w:val="auto"/>
                      <w:spacing w:val="0"/>
                      <w:kern w:val="0"/>
                      <w:sz w:val="18"/>
                      <w:szCs w:val="18"/>
                      <w:highlight w:val="none"/>
                      <w:lang w:val="en-US" w:eastAsia="zh-CN"/>
                    </w:rPr>
                    <w:t>0</w:t>
                  </w:r>
                </w:p>
              </w:tc>
              <w:tc>
                <w:tcPr>
                  <w:tcW w:w="421" w:type="pct"/>
                  <w:tcBorders>
                    <w:tl2br w:val="nil"/>
                    <w:tr2bl w:val="nil"/>
                  </w:tcBorders>
                  <w:noWrap w:val="0"/>
                  <w:vAlign w:val="center"/>
                </w:tcPr>
                <w:p w14:paraId="7D5BBC09">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pacing w:val="0"/>
                      <w:kern w:val="0"/>
                      <w:sz w:val="18"/>
                      <w:szCs w:val="18"/>
                      <w:highlight w:val="none"/>
                      <w:lang w:val="en-US" w:eastAsia="zh-CN"/>
                    </w:rPr>
                  </w:pPr>
                  <w:r>
                    <w:rPr>
                      <w:rFonts w:hint="eastAsia" w:eastAsia="宋体" w:cs="Times New Roman"/>
                      <w:b w:val="0"/>
                      <w:bCs/>
                      <w:color w:val="auto"/>
                      <w:spacing w:val="0"/>
                      <w:kern w:val="0"/>
                      <w:sz w:val="18"/>
                      <w:szCs w:val="18"/>
                      <w:highlight w:val="none"/>
                      <w:lang w:val="en-US" w:eastAsia="zh-CN"/>
                    </w:rPr>
                    <w:t>14.8428</w:t>
                  </w:r>
                </w:p>
              </w:tc>
              <w:tc>
                <w:tcPr>
                  <w:tcW w:w="439" w:type="pct"/>
                  <w:tcBorders>
                    <w:tl2br w:val="nil"/>
                    <w:tr2bl w:val="nil"/>
                  </w:tcBorders>
                  <w:noWrap w:val="0"/>
                  <w:vAlign w:val="center"/>
                </w:tcPr>
                <w:p w14:paraId="411FAE2B">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pacing w:val="0"/>
                      <w:kern w:val="0"/>
                      <w:sz w:val="18"/>
                      <w:szCs w:val="18"/>
                      <w:highlight w:val="none"/>
                      <w:lang w:val="en-US" w:eastAsia="zh-CN"/>
                    </w:rPr>
                  </w:pPr>
                  <w:r>
                    <w:rPr>
                      <w:rFonts w:hint="eastAsia" w:eastAsia="宋体" w:cs="Times New Roman"/>
                      <w:b w:val="0"/>
                      <w:bCs/>
                      <w:color w:val="auto"/>
                      <w:spacing w:val="0"/>
                      <w:kern w:val="0"/>
                      <w:sz w:val="18"/>
                      <w:szCs w:val="18"/>
                      <w:highlight w:val="none"/>
                      <w:lang w:val="en-US" w:eastAsia="zh-CN"/>
                    </w:rPr>
                    <w:t>14.8428</w:t>
                  </w:r>
                </w:p>
              </w:tc>
              <w:tc>
                <w:tcPr>
                  <w:tcW w:w="412" w:type="pct"/>
                  <w:tcBorders>
                    <w:tl2br w:val="nil"/>
                    <w:tr2bl w:val="nil"/>
                  </w:tcBorders>
                  <w:noWrap w:val="0"/>
                  <w:vAlign w:val="center"/>
                </w:tcPr>
                <w:p w14:paraId="7A341BC3">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pacing w:val="0"/>
                      <w:kern w:val="0"/>
                      <w:sz w:val="18"/>
                      <w:szCs w:val="18"/>
                      <w:highlight w:val="none"/>
                      <w:lang w:val="en-US" w:eastAsia="zh-CN"/>
                    </w:rPr>
                  </w:pPr>
                  <w:r>
                    <w:rPr>
                      <w:rFonts w:hint="eastAsia" w:eastAsia="宋体" w:cs="Times New Roman"/>
                      <w:b w:val="0"/>
                      <w:bCs/>
                      <w:color w:val="auto"/>
                      <w:spacing w:val="0"/>
                      <w:kern w:val="0"/>
                      <w:sz w:val="18"/>
                      <w:szCs w:val="18"/>
                      <w:highlight w:val="none"/>
                      <w:lang w:val="en-US" w:eastAsia="zh-CN"/>
                    </w:rPr>
                    <w:t>0</w:t>
                  </w:r>
                </w:p>
              </w:tc>
              <w:tc>
                <w:tcPr>
                  <w:tcW w:w="458" w:type="pct"/>
                  <w:tcBorders>
                    <w:tl2br w:val="nil"/>
                    <w:tr2bl w:val="nil"/>
                  </w:tcBorders>
                  <w:noWrap w:val="0"/>
                  <w:vAlign w:val="center"/>
                </w:tcPr>
                <w:p w14:paraId="71A3B973">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pacing w:val="0"/>
                      <w:kern w:val="0"/>
                      <w:sz w:val="18"/>
                      <w:szCs w:val="18"/>
                      <w:highlight w:val="none"/>
                      <w:lang w:val="en-US" w:eastAsia="zh-CN"/>
                    </w:rPr>
                  </w:pPr>
                  <w:r>
                    <w:rPr>
                      <w:rFonts w:hint="eastAsia" w:eastAsia="宋体" w:cs="Times New Roman"/>
                      <w:b w:val="0"/>
                      <w:bCs/>
                      <w:color w:val="auto"/>
                      <w:spacing w:val="0"/>
                      <w:kern w:val="0"/>
                      <w:sz w:val="18"/>
                      <w:szCs w:val="18"/>
                      <w:highlight w:val="none"/>
                      <w:lang w:val="en-US" w:eastAsia="zh-CN"/>
                    </w:rPr>
                    <w:t>0</w:t>
                  </w:r>
                </w:p>
              </w:tc>
              <w:tc>
                <w:tcPr>
                  <w:tcW w:w="495" w:type="pct"/>
                  <w:tcBorders>
                    <w:tl2br w:val="nil"/>
                    <w:tr2bl w:val="nil"/>
                  </w:tcBorders>
                  <w:noWrap w:val="0"/>
                  <w:vAlign w:val="center"/>
                </w:tcPr>
                <w:p w14:paraId="6BB480EC">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pacing w:val="0"/>
                      <w:kern w:val="0"/>
                      <w:sz w:val="18"/>
                      <w:szCs w:val="18"/>
                      <w:highlight w:val="none"/>
                      <w:lang w:val="en-US" w:eastAsia="zh-CN" w:bidi="ar-SA"/>
                    </w:rPr>
                  </w:pPr>
                  <w:r>
                    <w:rPr>
                      <w:rFonts w:hint="eastAsia" w:eastAsia="宋体" w:cs="Times New Roman"/>
                      <w:b w:val="0"/>
                      <w:bCs/>
                      <w:color w:val="auto"/>
                      <w:spacing w:val="0"/>
                      <w:kern w:val="0"/>
                      <w:sz w:val="18"/>
                      <w:szCs w:val="18"/>
                      <w:highlight w:val="none"/>
                      <w:lang w:val="en-US" w:eastAsia="zh-CN" w:bidi="ar-SA"/>
                    </w:rPr>
                    <w:t>0</w:t>
                  </w:r>
                </w:p>
              </w:tc>
              <w:tc>
                <w:tcPr>
                  <w:tcW w:w="531" w:type="pct"/>
                  <w:tcBorders>
                    <w:tl2br w:val="nil"/>
                    <w:tr2bl w:val="nil"/>
                  </w:tcBorders>
                  <w:noWrap w:val="0"/>
                  <w:vAlign w:val="center"/>
                </w:tcPr>
                <w:p w14:paraId="56A81475">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spacing w:val="0"/>
                      <w:kern w:val="0"/>
                      <w:sz w:val="18"/>
                      <w:szCs w:val="18"/>
                      <w:highlight w:val="none"/>
                      <w:lang w:val="en-US" w:eastAsia="zh-CN" w:bidi="ar-SA"/>
                    </w:rPr>
                  </w:pPr>
                  <w:r>
                    <w:rPr>
                      <w:rFonts w:hint="eastAsia" w:eastAsia="宋体" w:cs="Times New Roman"/>
                      <w:b w:val="0"/>
                      <w:bCs/>
                      <w:color w:val="auto"/>
                      <w:spacing w:val="0"/>
                      <w:kern w:val="0"/>
                      <w:sz w:val="18"/>
                      <w:szCs w:val="18"/>
                      <w:highlight w:val="none"/>
                      <w:lang w:val="en-US" w:eastAsia="zh-CN" w:bidi="ar-SA"/>
                    </w:rPr>
                    <w:t>0</w:t>
                  </w:r>
                </w:p>
              </w:tc>
              <w:tc>
                <w:tcPr>
                  <w:tcW w:w="460" w:type="pct"/>
                  <w:tcBorders>
                    <w:tl2br w:val="nil"/>
                    <w:tr2bl w:val="nil"/>
                  </w:tcBorders>
                  <w:noWrap w:val="0"/>
                  <w:vAlign w:val="center"/>
                </w:tcPr>
                <w:p w14:paraId="12A11238">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bCs/>
                      <w:color w:val="auto"/>
                      <w:spacing w:val="0"/>
                      <w:kern w:val="0"/>
                      <w:sz w:val="18"/>
                      <w:szCs w:val="18"/>
                      <w:highlight w:val="none"/>
                      <w:lang w:val="en-US" w:eastAsia="zh-CN" w:bidi="ar-SA"/>
                    </w:rPr>
                  </w:pPr>
                  <w:r>
                    <w:rPr>
                      <w:rFonts w:hint="eastAsia"/>
                      <w:b/>
                      <w:bCs/>
                      <w:color w:val="auto"/>
                      <w:spacing w:val="0"/>
                      <w:kern w:val="0"/>
                      <w:sz w:val="18"/>
                      <w:szCs w:val="18"/>
                      <w:lang w:val="en-US" w:eastAsia="zh-CN"/>
                    </w:rPr>
                    <w:t>0</w:t>
                  </w:r>
                </w:p>
              </w:tc>
            </w:tr>
            <w:tr w14:paraId="765B526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349" w:type="pct"/>
                  <w:vMerge w:val="continue"/>
                  <w:tcBorders>
                    <w:tl2br w:val="nil"/>
                    <w:tr2bl w:val="nil"/>
                  </w:tcBorders>
                  <w:noWrap w:val="0"/>
                  <w:vAlign w:val="center"/>
                </w:tcPr>
                <w:p w14:paraId="78AFC234">
                  <w:pPr>
                    <w:pStyle w:val="698"/>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spacing w:val="0"/>
                      <w:kern w:val="0"/>
                      <w:sz w:val="18"/>
                      <w:szCs w:val="18"/>
                      <w:highlight w:val="none"/>
                    </w:rPr>
                  </w:pPr>
                </w:p>
              </w:tc>
              <w:tc>
                <w:tcPr>
                  <w:tcW w:w="615" w:type="pct"/>
                  <w:tcBorders>
                    <w:tl2br w:val="nil"/>
                    <w:tr2bl w:val="nil"/>
                  </w:tcBorders>
                  <w:noWrap w:val="0"/>
                  <w:vAlign w:val="center"/>
                </w:tcPr>
                <w:p w14:paraId="3584B493">
                  <w:pPr>
                    <w:pStyle w:val="698"/>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auto"/>
                      <w:spacing w:val="0"/>
                      <w:kern w:val="0"/>
                      <w:sz w:val="18"/>
                      <w:szCs w:val="18"/>
                      <w:highlight w:val="none"/>
                      <w:lang w:val="en-US" w:eastAsia="zh-CN"/>
                    </w:rPr>
                  </w:pPr>
                  <w:r>
                    <w:rPr>
                      <w:rFonts w:hint="eastAsia" w:eastAsia="宋体" w:cs="Times New Roman"/>
                      <w:b w:val="0"/>
                      <w:bCs/>
                      <w:color w:val="auto"/>
                      <w:spacing w:val="0"/>
                      <w:kern w:val="0"/>
                      <w:sz w:val="18"/>
                      <w:szCs w:val="18"/>
                      <w:highlight w:val="none"/>
                      <w:lang w:val="en-US" w:eastAsia="zh-CN"/>
                    </w:rPr>
                    <w:t>生活垃圾</w:t>
                  </w:r>
                </w:p>
              </w:tc>
              <w:tc>
                <w:tcPr>
                  <w:tcW w:w="407" w:type="pct"/>
                  <w:tcBorders>
                    <w:tl2br w:val="nil"/>
                    <w:tr2bl w:val="nil"/>
                  </w:tcBorders>
                  <w:noWrap w:val="0"/>
                  <w:vAlign w:val="center"/>
                </w:tcPr>
                <w:p w14:paraId="0916180F">
                  <w:pPr>
                    <w:keepNext w:val="0"/>
                    <w:keepLines w:val="0"/>
                    <w:pageBreakBefore w:val="0"/>
                    <w:widowControl/>
                    <w:kinsoku/>
                    <w:wordWrap/>
                    <w:overflowPunct/>
                    <w:topLinePunct w:val="0"/>
                    <w:autoSpaceDE/>
                    <w:autoSpaceDN/>
                    <w:bidi w:val="0"/>
                    <w:adjustRightInd w:val="0"/>
                    <w:snapToGrid w:val="0"/>
                    <w:jc w:val="center"/>
                    <w:rPr>
                      <w:rFonts w:hint="default" w:eastAsia="宋体" w:cs="Times New Roman"/>
                      <w:b w:val="0"/>
                      <w:bCs w:val="0"/>
                      <w:color w:val="auto"/>
                      <w:spacing w:val="0"/>
                      <w:kern w:val="0"/>
                      <w:sz w:val="18"/>
                      <w:szCs w:val="18"/>
                      <w:highlight w:val="none"/>
                      <w:lang w:val="en-US" w:eastAsia="zh-CN"/>
                    </w:rPr>
                  </w:pPr>
                  <w:r>
                    <w:rPr>
                      <w:rFonts w:hint="eastAsia" w:eastAsia="宋体" w:cs="Times New Roman"/>
                      <w:b w:val="0"/>
                      <w:bCs w:val="0"/>
                      <w:color w:val="auto"/>
                      <w:spacing w:val="0"/>
                      <w:kern w:val="0"/>
                      <w:sz w:val="18"/>
                      <w:szCs w:val="18"/>
                      <w:highlight w:val="none"/>
                      <w:lang w:val="en-US" w:eastAsia="zh-CN"/>
                    </w:rPr>
                    <w:t>0</w:t>
                  </w:r>
                </w:p>
              </w:tc>
              <w:tc>
                <w:tcPr>
                  <w:tcW w:w="408" w:type="pct"/>
                  <w:tcBorders>
                    <w:tl2br w:val="nil"/>
                    <w:tr2bl w:val="nil"/>
                  </w:tcBorders>
                  <w:noWrap w:val="0"/>
                  <w:vAlign w:val="center"/>
                </w:tcPr>
                <w:p w14:paraId="5485CBD3">
                  <w:pPr>
                    <w:keepNext w:val="0"/>
                    <w:keepLines w:val="0"/>
                    <w:pageBreakBefore w:val="0"/>
                    <w:widowControl/>
                    <w:kinsoku/>
                    <w:wordWrap/>
                    <w:overflowPunct/>
                    <w:topLinePunct w:val="0"/>
                    <w:autoSpaceDE/>
                    <w:autoSpaceDN/>
                    <w:bidi w:val="0"/>
                    <w:adjustRightInd w:val="0"/>
                    <w:snapToGrid w:val="0"/>
                    <w:jc w:val="center"/>
                    <w:rPr>
                      <w:rFonts w:hint="default" w:cs="Times New Roman"/>
                      <w:b w:val="0"/>
                      <w:bCs w:val="0"/>
                      <w:color w:val="auto"/>
                      <w:spacing w:val="0"/>
                      <w:kern w:val="0"/>
                      <w:sz w:val="18"/>
                      <w:szCs w:val="18"/>
                      <w:highlight w:val="none"/>
                      <w:lang w:val="en-US" w:eastAsia="zh-CN"/>
                    </w:rPr>
                  </w:pPr>
                  <w:r>
                    <w:rPr>
                      <w:rFonts w:hint="eastAsia" w:cs="Times New Roman"/>
                      <w:b w:val="0"/>
                      <w:bCs w:val="0"/>
                      <w:color w:val="auto"/>
                      <w:spacing w:val="0"/>
                      <w:kern w:val="0"/>
                      <w:sz w:val="18"/>
                      <w:szCs w:val="18"/>
                      <w:highlight w:val="none"/>
                      <w:lang w:val="en-US" w:eastAsia="zh-CN"/>
                    </w:rPr>
                    <w:t>0</w:t>
                  </w:r>
                </w:p>
              </w:tc>
              <w:tc>
                <w:tcPr>
                  <w:tcW w:w="421" w:type="pct"/>
                  <w:tcBorders>
                    <w:tl2br w:val="nil"/>
                    <w:tr2bl w:val="nil"/>
                  </w:tcBorders>
                  <w:noWrap w:val="0"/>
                  <w:vAlign w:val="center"/>
                </w:tcPr>
                <w:p w14:paraId="20DC5FBD">
                  <w:pPr>
                    <w:keepNext w:val="0"/>
                    <w:keepLines w:val="0"/>
                    <w:pageBreakBefore w:val="0"/>
                    <w:widowControl/>
                    <w:kinsoku/>
                    <w:wordWrap/>
                    <w:overflowPunct/>
                    <w:topLinePunct w:val="0"/>
                    <w:autoSpaceDE/>
                    <w:autoSpaceDN/>
                    <w:bidi w:val="0"/>
                    <w:adjustRightInd w:val="0"/>
                    <w:snapToGrid w:val="0"/>
                    <w:jc w:val="center"/>
                    <w:rPr>
                      <w:rFonts w:hint="default" w:eastAsia="宋体" w:cs="Times New Roman"/>
                      <w:b w:val="0"/>
                      <w:bCs/>
                      <w:color w:val="auto"/>
                      <w:spacing w:val="0"/>
                      <w:kern w:val="0"/>
                      <w:sz w:val="18"/>
                      <w:szCs w:val="18"/>
                      <w:highlight w:val="none"/>
                      <w:lang w:val="en-US" w:eastAsia="zh-CN"/>
                    </w:rPr>
                  </w:pPr>
                  <w:r>
                    <w:rPr>
                      <w:rFonts w:hint="eastAsia" w:eastAsia="宋体" w:cs="Times New Roman"/>
                      <w:b w:val="0"/>
                      <w:bCs/>
                      <w:color w:val="auto"/>
                      <w:spacing w:val="0"/>
                      <w:kern w:val="0"/>
                      <w:sz w:val="18"/>
                      <w:szCs w:val="18"/>
                      <w:highlight w:val="none"/>
                      <w:lang w:val="en-US" w:eastAsia="zh-CN"/>
                    </w:rPr>
                    <w:t>9</w:t>
                  </w:r>
                </w:p>
              </w:tc>
              <w:tc>
                <w:tcPr>
                  <w:tcW w:w="439" w:type="pct"/>
                  <w:tcBorders>
                    <w:tl2br w:val="nil"/>
                    <w:tr2bl w:val="nil"/>
                  </w:tcBorders>
                  <w:noWrap w:val="0"/>
                  <w:vAlign w:val="center"/>
                </w:tcPr>
                <w:p w14:paraId="032F0E28">
                  <w:pPr>
                    <w:keepNext w:val="0"/>
                    <w:keepLines w:val="0"/>
                    <w:pageBreakBefore w:val="0"/>
                    <w:widowControl/>
                    <w:kinsoku/>
                    <w:wordWrap/>
                    <w:overflowPunct/>
                    <w:topLinePunct w:val="0"/>
                    <w:autoSpaceDE/>
                    <w:autoSpaceDN/>
                    <w:bidi w:val="0"/>
                    <w:adjustRightInd w:val="0"/>
                    <w:snapToGrid w:val="0"/>
                    <w:jc w:val="center"/>
                    <w:rPr>
                      <w:rFonts w:hint="default" w:eastAsia="宋体" w:cs="Times New Roman"/>
                      <w:b w:val="0"/>
                      <w:bCs/>
                      <w:color w:val="auto"/>
                      <w:spacing w:val="0"/>
                      <w:kern w:val="0"/>
                      <w:sz w:val="18"/>
                      <w:szCs w:val="18"/>
                      <w:highlight w:val="none"/>
                      <w:lang w:val="en-US" w:eastAsia="zh-CN"/>
                    </w:rPr>
                  </w:pPr>
                  <w:r>
                    <w:rPr>
                      <w:rFonts w:hint="eastAsia" w:eastAsia="宋体" w:cs="Times New Roman"/>
                      <w:b w:val="0"/>
                      <w:bCs/>
                      <w:color w:val="auto"/>
                      <w:spacing w:val="0"/>
                      <w:kern w:val="0"/>
                      <w:sz w:val="18"/>
                      <w:szCs w:val="18"/>
                      <w:highlight w:val="none"/>
                      <w:lang w:val="en-US" w:eastAsia="zh-CN"/>
                    </w:rPr>
                    <w:t>9</w:t>
                  </w:r>
                </w:p>
              </w:tc>
              <w:tc>
                <w:tcPr>
                  <w:tcW w:w="412" w:type="pct"/>
                  <w:tcBorders>
                    <w:tl2br w:val="nil"/>
                    <w:tr2bl w:val="nil"/>
                  </w:tcBorders>
                  <w:noWrap w:val="0"/>
                  <w:vAlign w:val="center"/>
                </w:tcPr>
                <w:p w14:paraId="3DA13F98">
                  <w:pPr>
                    <w:keepNext w:val="0"/>
                    <w:keepLines w:val="0"/>
                    <w:pageBreakBefore w:val="0"/>
                    <w:widowControl/>
                    <w:kinsoku/>
                    <w:wordWrap/>
                    <w:overflowPunct/>
                    <w:topLinePunct w:val="0"/>
                    <w:autoSpaceDE/>
                    <w:autoSpaceDN/>
                    <w:bidi w:val="0"/>
                    <w:adjustRightInd w:val="0"/>
                    <w:snapToGrid w:val="0"/>
                    <w:jc w:val="center"/>
                    <w:rPr>
                      <w:rFonts w:hint="default" w:eastAsia="宋体" w:cs="Times New Roman"/>
                      <w:b w:val="0"/>
                      <w:bCs/>
                      <w:color w:val="auto"/>
                      <w:spacing w:val="0"/>
                      <w:kern w:val="0"/>
                      <w:sz w:val="18"/>
                      <w:szCs w:val="18"/>
                      <w:highlight w:val="none"/>
                      <w:lang w:val="en-US" w:eastAsia="zh-CN"/>
                    </w:rPr>
                  </w:pPr>
                  <w:r>
                    <w:rPr>
                      <w:rFonts w:hint="eastAsia" w:eastAsia="宋体" w:cs="Times New Roman"/>
                      <w:b w:val="0"/>
                      <w:bCs/>
                      <w:color w:val="auto"/>
                      <w:spacing w:val="0"/>
                      <w:kern w:val="0"/>
                      <w:sz w:val="18"/>
                      <w:szCs w:val="18"/>
                      <w:highlight w:val="none"/>
                      <w:lang w:val="en-US" w:eastAsia="zh-CN"/>
                    </w:rPr>
                    <w:t>0</w:t>
                  </w:r>
                </w:p>
              </w:tc>
              <w:tc>
                <w:tcPr>
                  <w:tcW w:w="458" w:type="pct"/>
                  <w:tcBorders>
                    <w:tl2br w:val="nil"/>
                    <w:tr2bl w:val="nil"/>
                  </w:tcBorders>
                  <w:noWrap w:val="0"/>
                  <w:vAlign w:val="center"/>
                </w:tcPr>
                <w:p w14:paraId="5BAE110D">
                  <w:pPr>
                    <w:keepNext w:val="0"/>
                    <w:keepLines w:val="0"/>
                    <w:pageBreakBefore w:val="0"/>
                    <w:widowControl/>
                    <w:kinsoku/>
                    <w:wordWrap/>
                    <w:overflowPunct/>
                    <w:topLinePunct w:val="0"/>
                    <w:autoSpaceDE/>
                    <w:autoSpaceDN/>
                    <w:bidi w:val="0"/>
                    <w:adjustRightInd w:val="0"/>
                    <w:snapToGrid w:val="0"/>
                    <w:jc w:val="center"/>
                    <w:rPr>
                      <w:rFonts w:hint="default" w:eastAsia="宋体" w:cs="Times New Roman"/>
                      <w:b w:val="0"/>
                      <w:bCs/>
                      <w:color w:val="auto"/>
                      <w:spacing w:val="0"/>
                      <w:kern w:val="0"/>
                      <w:sz w:val="18"/>
                      <w:szCs w:val="18"/>
                      <w:highlight w:val="none"/>
                      <w:lang w:val="en-US" w:eastAsia="zh-CN"/>
                    </w:rPr>
                  </w:pPr>
                  <w:r>
                    <w:rPr>
                      <w:rFonts w:hint="eastAsia" w:eastAsia="宋体" w:cs="Times New Roman"/>
                      <w:b w:val="0"/>
                      <w:bCs/>
                      <w:color w:val="auto"/>
                      <w:spacing w:val="0"/>
                      <w:kern w:val="0"/>
                      <w:sz w:val="18"/>
                      <w:szCs w:val="18"/>
                      <w:highlight w:val="none"/>
                      <w:lang w:val="en-US" w:eastAsia="zh-CN"/>
                    </w:rPr>
                    <w:t>0</w:t>
                  </w:r>
                </w:p>
              </w:tc>
              <w:tc>
                <w:tcPr>
                  <w:tcW w:w="495" w:type="pct"/>
                  <w:tcBorders>
                    <w:tl2br w:val="nil"/>
                    <w:tr2bl w:val="nil"/>
                  </w:tcBorders>
                  <w:noWrap w:val="0"/>
                  <w:vAlign w:val="center"/>
                </w:tcPr>
                <w:p w14:paraId="6B99FE48">
                  <w:pPr>
                    <w:keepNext w:val="0"/>
                    <w:keepLines w:val="0"/>
                    <w:pageBreakBefore w:val="0"/>
                    <w:widowControl/>
                    <w:kinsoku/>
                    <w:wordWrap/>
                    <w:overflowPunct/>
                    <w:topLinePunct w:val="0"/>
                    <w:autoSpaceDE/>
                    <w:autoSpaceDN/>
                    <w:bidi w:val="0"/>
                    <w:adjustRightInd w:val="0"/>
                    <w:snapToGrid w:val="0"/>
                    <w:jc w:val="center"/>
                    <w:rPr>
                      <w:rFonts w:hint="default" w:eastAsia="宋体" w:cs="Times New Roman"/>
                      <w:b w:val="0"/>
                      <w:bCs/>
                      <w:color w:val="auto"/>
                      <w:spacing w:val="0"/>
                      <w:kern w:val="0"/>
                      <w:sz w:val="18"/>
                      <w:szCs w:val="18"/>
                      <w:highlight w:val="none"/>
                      <w:lang w:val="en-US" w:eastAsia="zh-CN" w:bidi="ar-SA"/>
                    </w:rPr>
                  </w:pPr>
                  <w:r>
                    <w:rPr>
                      <w:rFonts w:hint="eastAsia" w:eastAsia="宋体" w:cs="Times New Roman"/>
                      <w:b w:val="0"/>
                      <w:bCs/>
                      <w:color w:val="auto"/>
                      <w:spacing w:val="0"/>
                      <w:kern w:val="0"/>
                      <w:sz w:val="18"/>
                      <w:szCs w:val="18"/>
                      <w:highlight w:val="none"/>
                      <w:lang w:val="en-US" w:eastAsia="zh-CN" w:bidi="ar-SA"/>
                    </w:rPr>
                    <w:t>0</w:t>
                  </w:r>
                </w:p>
              </w:tc>
              <w:tc>
                <w:tcPr>
                  <w:tcW w:w="531" w:type="pct"/>
                  <w:tcBorders>
                    <w:tl2br w:val="nil"/>
                    <w:tr2bl w:val="nil"/>
                  </w:tcBorders>
                  <w:noWrap w:val="0"/>
                  <w:vAlign w:val="center"/>
                </w:tcPr>
                <w:p w14:paraId="78D33294">
                  <w:pPr>
                    <w:keepNext w:val="0"/>
                    <w:keepLines w:val="0"/>
                    <w:pageBreakBefore w:val="0"/>
                    <w:widowControl/>
                    <w:kinsoku/>
                    <w:wordWrap/>
                    <w:overflowPunct/>
                    <w:topLinePunct w:val="0"/>
                    <w:autoSpaceDE/>
                    <w:autoSpaceDN/>
                    <w:bidi w:val="0"/>
                    <w:adjustRightInd w:val="0"/>
                    <w:snapToGrid w:val="0"/>
                    <w:jc w:val="center"/>
                    <w:rPr>
                      <w:rFonts w:hint="default" w:eastAsia="宋体" w:cs="Times New Roman"/>
                      <w:b w:val="0"/>
                      <w:bCs/>
                      <w:color w:val="auto"/>
                      <w:spacing w:val="0"/>
                      <w:kern w:val="0"/>
                      <w:sz w:val="18"/>
                      <w:szCs w:val="18"/>
                      <w:highlight w:val="none"/>
                      <w:lang w:val="en-US" w:eastAsia="zh-CN" w:bidi="ar-SA"/>
                    </w:rPr>
                  </w:pPr>
                  <w:r>
                    <w:rPr>
                      <w:rFonts w:hint="eastAsia" w:eastAsia="宋体" w:cs="Times New Roman"/>
                      <w:b w:val="0"/>
                      <w:bCs/>
                      <w:color w:val="auto"/>
                      <w:spacing w:val="0"/>
                      <w:kern w:val="0"/>
                      <w:sz w:val="18"/>
                      <w:szCs w:val="18"/>
                      <w:highlight w:val="none"/>
                      <w:lang w:val="en-US" w:eastAsia="zh-CN" w:bidi="ar-SA"/>
                    </w:rPr>
                    <w:t>0</w:t>
                  </w:r>
                </w:p>
              </w:tc>
              <w:tc>
                <w:tcPr>
                  <w:tcW w:w="460" w:type="pct"/>
                  <w:tcBorders>
                    <w:tl2br w:val="nil"/>
                    <w:tr2bl w:val="nil"/>
                  </w:tcBorders>
                  <w:noWrap w:val="0"/>
                  <w:vAlign w:val="center"/>
                </w:tcPr>
                <w:p w14:paraId="18334301">
                  <w:pPr>
                    <w:keepNext w:val="0"/>
                    <w:keepLines w:val="0"/>
                    <w:pageBreakBefore w:val="0"/>
                    <w:widowControl/>
                    <w:kinsoku/>
                    <w:wordWrap/>
                    <w:overflowPunct/>
                    <w:topLinePunct w:val="0"/>
                    <w:autoSpaceDE/>
                    <w:autoSpaceDN/>
                    <w:bidi w:val="0"/>
                    <w:adjustRightInd w:val="0"/>
                    <w:snapToGrid w:val="0"/>
                    <w:jc w:val="center"/>
                    <w:rPr>
                      <w:rFonts w:hint="default"/>
                      <w:b/>
                      <w:bCs/>
                      <w:color w:val="auto"/>
                      <w:spacing w:val="0"/>
                      <w:kern w:val="0"/>
                      <w:sz w:val="18"/>
                      <w:szCs w:val="18"/>
                      <w:lang w:val="en-US" w:eastAsia="zh-CN"/>
                    </w:rPr>
                  </w:pPr>
                  <w:r>
                    <w:rPr>
                      <w:rFonts w:hint="eastAsia"/>
                      <w:b/>
                      <w:bCs/>
                      <w:color w:val="auto"/>
                      <w:spacing w:val="0"/>
                      <w:kern w:val="0"/>
                      <w:sz w:val="18"/>
                      <w:szCs w:val="18"/>
                      <w:lang w:val="en-US" w:eastAsia="zh-CN"/>
                    </w:rPr>
                    <w:t>0</w:t>
                  </w:r>
                </w:p>
              </w:tc>
            </w:tr>
            <w:tr w14:paraId="2C9E588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0" w:hRule="atLeast"/>
                <w:jc w:val="center"/>
              </w:trPr>
              <w:tc>
                <w:tcPr>
                  <w:tcW w:w="5000" w:type="pct"/>
                  <w:gridSpan w:val="11"/>
                  <w:tcBorders>
                    <w:tl2br w:val="nil"/>
                    <w:tr2bl w:val="nil"/>
                  </w:tcBorders>
                  <w:noWrap w:val="0"/>
                  <w:vAlign w:val="center"/>
                </w:tcPr>
                <w:p w14:paraId="18E15A27">
                  <w:pPr>
                    <w:keepNext w:val="0"/>
                    <w:keepLines w:val="0"/>
                    <w:pageBreakBefore w:val="0"/>
                    <w:widowControl/>
                    <w:kinsoku/>
                    <w:wordWrap/>
                    <w:overflowPunct/>
                    <w:topLinePunct w:val="0"/>
                    <w:autoSpaceDE/>
                    <w:autoSpaceDN/>
                    <w:bidi w:val="0"/>
                    <w:adjustRightInd w:val="0"/>
                    <w:snapToGrid w:val="0"/>
                    <w:jc w:val="left"/>
                    <w:rPr>
                      <w:rFonts w:hint="default"/>
                      <w:b/>
                      <w:bCs/>
                      <w:color w:val="auto"/>
                      <w:spacing w:val="0"/>
                      <w:kern w:val="0"/>
                      <w:sz w:val="18"/>
                      <w:szCs w:val="18"/>
                      <w:lang w:val="en-US" w:eastAsia="zh-CN"/>
                    </w:rPr>
                  </w:pPr>
                  <w:r>
                    <w:rPr>
                      <w:rFonts w:hint="eastAsia"/>
                      <w:b/>
                      <w:bCs/>
                      <w:color w:val="auto"/>
                      <w:spacing w:val="0"/>
                      <w:kern w:val="0"/>
                      <w:sz w:val="18"/>
                      <w:szCs w:val="18"/>
                      <w:lang w:val="en-US" w:eastAsia="zh-CN"/>
                    </w:rPr>
                    <w:t>注：*非甲烷总烃包含苯系物、二甲苯、三甲苯；苯系物包含二甲苯、三甲苯。</w:t>
                  </w:r>
                </w:p>
              </w:tc>
            </w:tr>
          </w:tbl>
          <w:p w14:paraId="202E4961">
            <w:pPr>
              <w:adjustRightInd w:val="0"/>
              <w:snapToGrid w:val="0"/>
              <w:spacing w:line="360" w:lineRule="auto"/>
              <w:ind w:firstLine="422" w:firstLineChars="200"/>
              <w:rPr>
                <w:b/>
                <w:bCs/>
                <w:color w:val="auto"/>
              </w:rPr>
            </w:pPr>
            <w:r>
              <w:rPr>
                <w:rFonts w:hint="eastAsia"/>
                <w:b/>
                <w:bCs/>
                <w:color w:val="auto"/>
              </w:rPr>
              <w:t>2、污染物总量平衡方案</w:t>
            </w:r>
          </w:p>
          <w:p w14:paraId="2C656B68">
            <w:pPr>
              <w:spacing w:line="360" w:lineRule="auto"/>
              <w:ind w:firstLine="420" w:firstLineChars="200"/>
              <w:rPr>
                <w:color w:val="auto"/>
              </w:rPr>
            </w:pPr>
            <w:r>
              <w:rPr>
                <w:color w:val="auto"/>
              </w:rPr>
              <w:t>建设单位向常州市金坛生态环境局申请总量，大气污染物排放量应在</w:t>
            </w:r>
            <w:r>
              <w:rPr>
                <w:rFonts w:hint="eastAsia"/>
                <w:color w:val="auto"/>
              </w:rPr>
              <w:t>金坛区</w:t>
            </w:r>
            <w:r>
              <w:rPr>
                <w:color w:val="auto"/>
              </w:rPr>
              <w:t>内平衡；项目废水排放总量已纳入</w:t>
            </w:r>
            <w:r>
              <w:rPr>
                <w:rFonts w:hint="eastAsia"/>
                <w:color w:val="auto"/>
              </w:rPr>
              <w:t>常州金坛区第二污水处理有限公司</w:t>
            </w:r>
            <w:r>
              <w:rPr>
                <w:color w:val="auto"/>
              </w:rPr>
              <w:t>排污总量中，在</w:t>
            </w:r>
            <w:r>
              <w:rPr>
                <w:rFonts w:hint="eastAsia"/>
                <w:color w:val="auto"/>
              </w:rPr>
              <w:t>常州金坛区第二污水处理有限公司</w:t>
            </w:r>
            <w:r>
              <w:rPr>
                <w:color w:val="auto"/>
              </w:rPr>
              <w:t>的污染物排放总量控制指标内进行平衡。</w:t>
            </w:r>
          </w:p>
        </w:tc>
      </w:tr>
    </w:tbl>
    <w:p w14:paraId="5E16F626">
      <w:pPr>
        <w:pStyle w:val="55"/>
        <w:rPr>
          <w:color w:val="auto"/>
        </w:rPr>
      </w:pPr>
      <w:r>
        <w:rPr>
          <w:color w:val="auto"/>
          <w:szCs w:val="24"/>
        </w:rPr>
        <w:br w:type="page"/>
      </w:r>
      <w:bookmarkStart w:id="15" w:name="_Toc9736"/>
      <w:bookmarkStart w:id="16" w:name="_Toc7882"/>
      <w:bookmarkStart w:id="17" w:name="_Toc137559022"/>
      <w:r>
        <w:rPr>
          <w:color w:val="auto"/>
        </w:rPr>
        <w:t>四、主要环境影响和保护措施</w:t>
      </w:r>
      <w:bookmarkEnd w:id="15"/>
      <w:bookmarkEnd w:id="16"/>
      <w:bookmarkEnd w:id="17"/>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8579"/>
      </w:tblGrid>
      <w:tr w14:paraId="24E09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82" w:hRule="atLeast"/>
        </w:trPr>
        <w:tc>
          <w:tcPr>
            <w:tcW w:w="822" w:type="dxa"/>
            <w:shd w:val="clear" w:color="auto" w:fill="auto"/>
            <w:vAlign w:val="center"/>
          </w:tcPr>
          <w:p w14:paraId="6E7F0B19">
            <w:pPr>
              <w:pStyle w:val="55"/>
              <w:rPr>
                <w:color w:val="auto"/>
                <w:sz w:val="21"/>
                <w:szCs w:val="21"/>
              </w:rPr>
            </w:pPr>
            <w:r>
              <w:rPr>
                <w:color w:val="auto"/>
                <w:sz w:val="21"/>
                <w:szCs w:val="21"/>
              </w:rPr>
              <w:t>施工期环境保护措施</w:t>
            </w:r>
          </w:p>
        </w:tc>
        <w:tc>
          <w:tcPr>
            <w:tcW w:w="8579" w:type="dxa"/>
            <w:shd w:val="clear" w:color="auto" w:fill="auto"/>
            <w:vAlign w:val="center"/>
          </w:tcPr>
          <w:p w14:paraId="3AEEA05F">
            <w:pPr>
              <w:adjustRightInd w:val="0"/>
              <w:snapToGrid w:val="0"/>
              <w:spacing w:line="360" w:lineRule="auto"/>
              <w:ind w:firstLine="420" w:firstLineChars="200"/>
              <w:rPr>
                <w:b/>
                <w:color w:val="auto"/>
              </w:rPr>
            </w:pPr>
            <w:r>
              <w:rPr>
                <w:rFonts w:hint="eastAsia"/>
                <w:bCs/>
                <w:color w:val="auto"/>
                <w:spacing w:val="0"/>
                <w:kern w:val="0"/>
                <w:sz w:val="21"/>
              </w:rPr>
              <w:t>本项目利用现有空置厂房进行生产，</w:t>
            </w:r>
            <w:r>
              <w:rPr>
                <w:color w:val="auto"/>
                <w:spacing w:val="0"/>
                <w:kern w:val="0"/>
                <w:sz w:val="21"/>
              </w:rPr>
              <w:t>施工期仅涉及车间内部装修及设备安装，其影响范围小、程度轻、时间短。施工期产污环节主要是设备安装产生的噪声、施工人员生活污水、生活垃圾以及装修过程产生的装修垃圾。考虑施工期环境影响微弱，本评价主要针对营运期影响进行分析。</w:t>
            </w:r>
          </w:p>
        </w:tc>
      </w:tr>
      <w:tr w14:paraId="0DE5B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2" w:hRule="atLeast"/>
        </w:trPr>
        <w:tc>
          <w:tcPr>
            <w:tcW w:w="822" w:type="dxa"/>
            <w:shd w:val="clear" w:color="auto" w:fill="auto"/>
            <w:vAlign w:val="center"/>
          </w:tcPr>
          <w:p w14:paraId="3E1136B6">
            <w:pPr>
              <w:pStyle w:val="55"/>
              <w:rPr>
                <w:color w:val="auto"/>
                <w:sz w:val="21"/>
                <w:szCs w:val="21"/>
              </w:rPr>
            </w:pPr>
            <w:r>
              <w:rPr>
                <w:color w:val="auto"/>
                <w:sz w:val="21"/>
                <w:szCs w:val="21"/>
              </w:rPr>
              <w:t>运营期环境影响和保护措施</w:t>
            </w:r>
          </w:p>
        </w:tc>
        <w:tc>
          <w:tcPr>
            <w:tcW w:w="8579" w:type="dxa"/>
            <w:shd w:val="clear" w:color="auto" w:fill="auto"/>
          </w:tcPr>
          <w:p w14:paraId="2691F534">
            <w:pPr>
              <w:adjustRightInd w:val="0"/>
              <w:snapToGrid w:val="0"/>
              <w:spacing w:line="360" w:lineRule="auto"/>
              <w:rPr>
                <w:b/>
                <w:bCs/>
                <w:color w:val="auto"/>
              </w:rPr>
            </w:pPr>
            <w:r>
              <w:rPr>
                <w:b/>
                <w:bCs/>
                <w:color w:val="auto"/>
              </w:rPr>
              <w:t>1、大气环境影响分析</w:t>
            </w:r>
          </w:p>
          <w:p w14:paraId="6DCBC3B8">
            <w:pPr>
              <w:pStyle w:val="5"/>
              <w:adjustRightInd w:val="0"/>
              <w:snapToGrid w:val="0"/>
              <w:spacing w:line="360" w:lineRule="auto"/>
              <w:ind w:firstLine="422" w:firstLineChars="200"/>
              <w:rPr>
                <w:b/>
                <w:bCs/>
                <w:color w:val="auto"/>
                <w:szCs w:val="21"/>
              </w:rPr>
            </w:pPr>
            <w:r>
              <w:rPr>
                <w:rFonts w:hint="eastAsia"/>
                <w:b/>
                <w:bCs/>
                <w:color w:val="auto"/>
                <w:szCs w:val="21"/>
              </w:rPr>
              <w:t>（1）正常工况</w:t>
            </w:r>
          </w:p>
          <w:p w14:paraId="276199D2">
            <w:pPr>
              <w:pStyle w:val="5"/>
              <w:adjustRightInd w:val="0"/>
              <w:snapToGrid w:val="0"/>
              <w:spacing w:line="360" w:lineRule="auto"/>
              <w:ind w:firstLineChars="200"/>
              <w:rPr>
                <w:rFonts w:hint="default"/>
                <w:color w:val="auto"/>
                <w:kern w:val="0"/>
                <w:sz w:val="21"/>
                <w:lang w:val="en-US" w:eastAsia="zh-CN"/>
              </w:rPr>
            </w:pPr>
            <w:r>
              <w:rPr>
                <w:color w:val="auto"/>
                <w:kern w:val="0"/>
                <w:sz w:val="21"/>
              </w:rPr>
              <w:t>本项目产生的大气污染物主要</w:t>
            </w:r>
            <w:r>
              <w:rPr>
                <w:rFonts w:hint="eastAsia"/>
                <w:color w:val="auto"/>
                <w:kern w:val="0"/>
                <w:sz w:val="21"/>
                <w:lang w:val="en-US" w:eastAsia="zh-CN"/>
              </w:rPr>
              <w:t>包括开料、刨平、铣型粉尘（G1-1、G2-1）、砂磨粉尘（G1-2、G2-3）、白乳胶挥发废气（G1-3）、齐边精裁粉尘（G1-4）、热熔胶挥发废气（G1-5）、钻孔粉尘（G1-6、G2-2）、擦色废气（G2-4）、调漆废气（G2-5、G2-15）、喷漆废气（G2-6、G2-11、G2-16）、刷漆废气（G2-7、G2-12）、晾干废气（G2-8、G2-13、G2-17）、磨光粉尘（G2-14）。</w:t>
            </w:r>
          </w:p>
          <w:p w14:paraId="0F13FB3C">
            <w:pPr>
              <w:pStyle w:val="5"/>
              <w:adjustRightInd w:val="0"/>
              <w:snapToGrid w:val="0"/>
              <w:spacing w:line="360" w:lineRule="auto"/>
              <w:ind w:firstLineChars="200"/>
              <w:rPr>
                <w:color w:val="auto"/>
                <w:kern w:val="0"/>
                <w:sz w:val="21"/>
                <w:szCs w:val="21"/>
              </w:rPr>
            </w:pPr>
            <w:r>
              <w:rPr>
                <w:rFonts w:hint="eastAsia"/>
                <w:color w:val="auto"/>
                <w:kern w:val="0"/>
                <w:sz w:val="21"/>
                <w:szCs w:val="21"/>
              </w:rPr>
              <w:t>项目</w:t>
            </w:r>
            <w:r>
              <w:rPr>
                <w:color w:val="auto"/>
                <w:kern w:val="0"/>
                <w:sz w:val="21"/>
                <w:szCs w:val="21"/>
              </w:rPr>
              <w:t>有组织废气源强产生及排放</w:t>
            </w:r>
            <w:r>
              <w:rPr>
                <w:rFonts w:hint="eastAsia"/>
                <w:color w:val="auto"/>
                <w:kern w:val="0"/>
                <w:sz w:val="21"/>
                <w:szCs w:val="21"/>
              </w:rPr>
              <w:t>情况</w:t>
            </w:r>
            <w:r>
              <w:rPr>
                <w:color w:val="auto"/>
                <w:kern w:val="0"/>
                <w:sz w:val="21"/>
                <w:szCs w:val="21"/>
              </w:rPr>
              <w:t>详见表4-1</w:t>
            </w:r>
            <w:r>
              <w:rPr>
                <w:rFonts w:hint="eastAsia"/>
                <w:color w:val="auto"/>
                <w:kern w:val="0"/>
                <w:sz w:val="21"/>
                <w:szCs w:val="21"/>
              </w:rPr>
              <w:t>，无组织废气源强产生及排放情况详见表4-2</w:t>
            </w:r>
            <w:r>
              <w:rPr>
                <w:color w:val="auto"/>
                <w:kern w:val="0"/>
                <w:sz w:val="21"/>
                <w:szCs w:val="21"/>
              </w:rPr>
              <w:t>。</w:t>
            </w:r>
          </w:p>
          <w:p w14:paraId="7277E20A">
            <w:pPr>
              <w:adjustRightInd w:val="0"/>
              <w:snapToGrid w:val="0"/>
              <w:spacing w:line="360" w:lineRule="auto"/>
              <w:rPr>
                <w:bCs/>
                <w:color w:val="auto"/>
                <w:kern w:val="0"/>
              </w:rPr>
            </w:pPr>
          </w:p>
        </w:tc>
      </w:tr>
    </w:tbl>
    <w:p w14:paraId="7D56FA7E">
      <w:pPr>
        <w:pStyle w:val="55"/>
        <w:rPr>
          <w:color w:val="auto"/>
        </w:rPr>
        <w:sectPr>
          <w:pgSz w:w="11907" w:h="16840"/>
          <w:pgMar w:top="1418" w:right="1361" w:bottom="1418" w:left="1361" w:header="851" w:footer="851" w:gutter="0"/>
          <w:pgBorders>
            <w:top w:val="none" w:sz="0" w:space="0"/>
            <w:left w:val="none" w:sz="0" w:space="0"/>
            <w:bottom w:val="none" w:sz="0" w:space="0"/>
            <w:right w:val="none" w:sz="0" w:space="0"/>
          </w:pgBorders>
          <w:cols w:space="720" w:num="1"/>
          <w:docGrid w:linePitch="312" w:charSpace="0"/>
        </w:sectPr>
      </w:pP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3493"/>
      </w:tblGrid>
      <w:tr w14:paraId="6FEA3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9" w:hRule="atLeast"/>
        </w:trPr>
        <w:tc>
          <w:tcPr>
            <w:tcW w:w="727" w:type="dxa"/>
            <w:shd w:val="clear" w:color="auto" w:fill="auto"/>
            <w:vAlign w:val="center"/>
          </w:tcPr>
          <w:p w14:paraId="50F3ED1C">
            <w:pPr>
              <w:pStyle w:val="55"/>
              <w:rPr>
                <w:color w:val="auto"/>
                <w:sz w:val="28"/>
                <w:szCs w:val="28"/>
              </w:rPr>
            </w:pPr>
            <w:r>
              <w:rPr>
                <w:color w:val="auto"/>
              </w:rPr>
              <w:t>运营期环境影响和保护措施</w:t>
            </w:r>
          </w:p>
        </w:tc>
        <w:tc>
          <w:tcPr>
            <w:tcW w:w="13493" w:type="dxa"/>
            <w:shd w:val="clear" w:color="auto" w:fill="auto"/>
          </w:tcPr>
          <w:p w14:paraId="1D16C42C">
            <w:pPr>
              <w:pStyle w:val="2"/>
              <w:widowControl w:val="0"/>
              <w:snapToGrid/>
              <w:spacing w:line="240" w:lineRule="auto"/>
              <w:jc w:val="center"/>
              <w:rPr>
                <w:b/>
                <w:color w:val="auto"/>
                <w:spacing w:val="6"/>
                <w:kern w:val="18"/>
                <w:sz w:val="21"/>
                <w:szCs w:val="21"/>
              </w:rPr>
            </w:pPr>
            <w:r>
              <w:rPr>
                <w:b/>
                <w:color w:val="auto"/>
                <w:spacing w:val="6"/>
                <w:kern w:val="18"/>
                <w:sz w:val="21"/>
                <w:szCs w:val="21"/>
              </w:rPr>
              <w:t xml:space="preserve">表4-1  </w:t>
            </w:r>
            <w:r>
              <w:rPr>
                <w:rFonts w:hint="eastAsia"/>
                <w:b/>
                <w:color w:val="auto"/>
                <w:spacing w:val="6"/>
                <w:kern w:val="18"/>
                <w:sz w:val="21"/>
                <w:szCs w:val="21"/>
              </w:rPr>
              <w:t xml:space="preserve"> 本</w:t>
            </w:r>
            <w:r>
              <w:rPr>
                <w:rFonts w:hint="eastAsia"/>
                <w:b/>
                <w:color w:val="auto"/>
                <w:sz w:val="21"/>
                <w:szCs w:val="21"/>
              </w:rPr>
              <w:t>项目有组织废气产生及排放情况</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56"/>
              <w:gridCol w:w="808"/>
              <w:gridCol w:w="1061"/>
              <w:gridCol w:w="1155"/>
              <w:gridCol w:w="1063"/>
              <w:gridCol w:w="1100"/>
              <w:gridCol w:w="1103"/>
              <w:gridCol w:w="1001"/>
              <w:gridCol w:w="597"/>
              <w:gridCol w:w="703"/>
              <w:gridCol w:w="1005"/>
              <w:gridCol w:w="1092"/>
              <w:gridCol w:w="1048"/>
              <w:gridCol w:w="680"/>
            </w:tblGrid>
            <w:tr w14:paraId="3E11C2B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22" w:type="pct"/>
                  <w:vMerge w:val="restart"/>
                  <w:vAlign w:val="center"/>
                </w:tcPr>
                <w:p w14:paraId="4804372F">
                  <w:pPr>
                    <w:pStyle w:val="656"/>
                    <w:snapToGrid w:val="0"/>
                    <w:rPr>
                      <w:rFonts w:eastAsia="宋体"/>
                      <w:b/>
                      <w:bCs/>
                      <w:color w:val="auto"/>
                      <w:sz w:val="18"/>
                      <w:szCs w:val="18"/>
                    </w:rPr>
                  </w:pPr>
                  <w:r>
                    <w:rPr>
                      <w:rFonts w:hint="eastAsia" w:eastAsia="宋体"/>
                      <w:b/>
                      <w:bCs/>
                      <w:color w:val="auto"/>
                      <w:sz w:val="18"/>
                      <w:szCs w:val="18"/>
                    </w:rPr>
                    <w:t>排放口</w:t>
                  </w:r>
                </w:p>
              </w:tc>
              <w:tc>
                <w:tcPr>
                  <w:tcW w:w="304" w:type="pct"/>
                  <w:vMerge w:val="restart"/>
                  <w:vAlign w:val="center"/>
                </w:tcPr>
                <w:p w14:paraId="1B3AEF68">
                  <w:pPr>
                    <w:pStyle w:val="656"/>
                    <w:snapToGrid w:val="0"/>
                    <w:rPr>
                      <w:rFonts w:eastAsia="宋体"/>
                      <w:b/>
                      <w:bCs/>
                      <w:color w:val="auto"/>
                      <w:sz w:val="18"/>
                      <w:szCs w:val="18"/>
                    </w:rPr>
                  </w:pPr>
                  <w:r>
                    <w:rPr>
                      <w:rFonts w:hint="eastAsia" w:eastAsia="宋体"/>
                      <w:b/>
                      <w:bCs/>
                      <w:color w:val="auto"/>
                      <w:sz w:val="18"/>
                      <w:szCs w:val="18"/>
                    </w:rPr>
                    <w:t>排气量m</w:t>
                  </w:r>
                  <w:r>
                    <w:rPr>
                      <w:rFonts w:eastAsia="宋体"/>
                      <w:b/>
                      <w:bCs/>
                      <w:color w:val="auto"/>
                      <w:sz w:val="18"/>
                      <w:szCs w:val="18"/>
                    </w:rPr>
                    <w:t>³</w:t>
                  </w:r>
                  <w:r>
                    <w:rPr>
                      <w:rFonts w:hint="eastAsia" w:eastAsia="宋体"/>
                      <w:b/>
                      <w:bCs/>
                      <w:color w:val="auto"/>
                      <w:sz w:val="18"/>
                      <w:szCs w:val="18"/>
                    </w:rPr>
                    <w:t>/h</w:t>
                  </w:r>
                </w:p>
              </w:tc>
              <w:tc>
                <w:tcPr>
                  <w:tcW w:w="399" w:type="pct"/>
                  <w:vMerge w:val="restart"/>
                  <w:vAlign w:val="center"/>
                </w:tcPr>
                <w:p w14:paraId="5CC7DA11">
                  <w:pPr>
                    <w:pStyle w:val="656"/>
                    <w:snapToGrid w:val="0"/>
                    <w:rPr>
                      <w:rFonts w:eastAsia="宋体"/>
                      <w:b/>
                      <w:bCs/>
                      <w:color w:val="auto"/>
                      <w:sz w:val="18"/>
                      <w:szCs w:val="18"/>
                    </w:rPr>
                  </w:pPr>
                  <w:r>
                    <w:rPr>
                      <w:rFonts w:hint="eastAsia" w:eastAsia="宋体"/>
                      <w:b/>
                      <w:bCs/>
                      <w:color w:val="auto"/>
                      <w:sz w:val="18"/>
                      <w:szCs w:val="18"/>
                    </w:rPr>
                    <w:t>产污</w:t>
                  </w:r>
                </w:p>
                <w:p w14:paraId="32E63C7F">
                  <w:pPr>
                    <w:pStyle w:val="656"/>
                    <w:snapToGrid w:val="0"/>
                    <w:rPr>
                      <w:rFonts w:eastAsia="宋体"/>
                      <w:b/>
                      <w:bCs/>
                      <w:color w:val="auto"/>
                      <w:sz w:val="18"/>
                      <w:szCs w:val="18"/>
                    </w:rPr>
                  </w:pPr>
                  <w:r>
                    <w:rPr>
                      <w:rFonts w:hint="eastAsia" w:eastAsia="宋体"/>
                      <w:b/>
                      <w:bCs/>
                      <w:color w:val="auto"/>
                      <w:sz w:val="18"/>
                      <w:szCs w:val="18"/>
                    </w:rPr>
                    <w:t>环节</w:t>
                  </w:r>
                </w:p>
              </w:tc>
              <w:tc>
                <w:tcPr>
                  <w:tcW w:w="435" w:type="pct"/>
                  <w:vMerge w:val="restart"/>
                  <w:vAlign w:val="center"/>
                </w:tcPr>
                <w:p w14:paraId="4CB14F5E">
                  <w:pPr>
                    <w:pStyle w:val="656"/>
                    <w:snapToGrid w:val="0"/>
                    <w:rPr>
                      <w:rFonts w:eastAsia="宋体"/>
                      <w:b/>
                      <w:bCs/>
                      <w:color w:val="auto"/>
                      <w:sz w:val="18"/>
                      <w:szCs w:val="18"/>
                    </w:rPr>
                  </w:pPr>
                  <w:r>
                    <w:rPr>
                      <w:rFonts w:hint="eastAsia" w:eastAsia="宋体"/>
                      <w:b/>
                      <w:bCs/>
                      <w:color w:val="auto"/>
                      <w:sz w:val="18"/>
                      <w:szCs w:val="18"/>
                    </w:rPr>
                    <w:t>污染物</w:t>
                  </w:r>
                </w:p>
              </w:tc>
              <w:tc>
                <w:tcPr>
                  <w:tcW w:w="1230" w:type="pct"/>
                  <w:gridSpan w:val="3"/>
                  <w:vAlign w:val="center"/>
                </w:tcPr>
                <w:p w14:paraId="064EFF59">
                  <w:pPr>
                    <w:pStyle w:val="656"/>
                    <w:snapToGrid w:val="0"/>
                    <w:rPr>
                      <w:rFonts w:eastAsia="宋体"/>
                      <w:b/>
                      <w:bCs/>
                      <w:color w:val="auto"/>
                      <w:sz w:val="18"/>
                      <w:szCs w:val="18"/>
                    </w:rPr>
                  </w:pPr>
                  <w:r>
                    <w:rPr>
                      <w:rFonts w:eastAsia="宋体"/>
                      <w:b/>
                      <w:bCs/>
                      <w:color w:val="auto"/>
                      <w:sz w:val="18"/>
                      <w:szCs w:val="18"/>
                    </w:rPr>
                    <w:t>污染物产生</w:t>
                  </w:r>
                  <w:r>
                    <w:rPr>
                      <w:rFonts w:hint="eastAsia" w:eastAsia="宋体"/>
                      <w:b/>
                      <w:bCs/>
                      <w:color w:val="auto"/>
                      <w:sz w:val="18"/>
                      <w:szCs w:val="18"/>
                    </w:rPr>
                    <w:t>情况</w:t>
                  </w:r>
                </w:p>
              </w:tc>
              <w:tc>
                <w:tcPr>
                  <w:tcW w:w="377" w:type="pct"/>
                  <w:vMerge w:val="restart"/>
                  <w:vAlign w:val="center"/>
                </w:tcPr>
                <w:p w14:paraId="6B74D9C3">
                  <w:pPr>
                    <w:pStyle w:val="656"/>
                    <w:snapToGrid w:val="0"/>
                    <w:rPr>
                      <w:rFonts w:eastAsia="宋体"/>
                      <w:b/>
                      <w:bCs/>
                      <w:color w:val="auto"/>
                      <w:sz w:val="18"/>
                      <w:szCs w:val="18"/>
                    </w:rPr>
                  </w:pPr>
                  <w:r>
                    <w:rPr>
                      <w:rStyle w:val="71"/>
                      <w:rFonts w:hint="eastAsia" w:eastAsia="宋体"/>
                      <w:b/>
                      <w:bCs/>
                      <w:color w:val="auto"/>
                      <w:kern w:val="0"/>
                      <w:sz w:val="18"/>
                      <w:szCs w:val="18"/>
                    </w:rPr>
                    <w:t>治理措施</w:t>
                  </w:r>
                </w:p>
              </w:tc>
              <w:tc>
                <w:tcPr>
                  <w:tcW w:w="224" w:type="pct"/>
                  <w:vMerge w:val="restart"/>
                  <w:vAlign w:val="center"/>
                </w:tcPr>
                <w:p w14:paraId="09E4E1D6">
                  <w:pPr>
                    <w:pStyle w:val="656"/>
                    <w:snapToGrid w:val="0"/>
                    <w:rPr>
                      <w:rStyle w:val="71"/>
                      <w:rFonts w:eastAsia="宋体"/>
                      <w:color w:val="auto"/>
                      <w:kern w:val="0"/>
                      <w:sz w:val="18"/>
                      <w:szCs w:val="18"/>
                    </w:rPr>
                  </w:pPr>
                  <w:r>
                    <w:rPr>
                      <w:rStyle w:val="71"/>
                      <w:rFonts w:hint="eastAsia" w:eastAsia="宋体"/>
                      <w:b/>
                      <w:bCs/>
                      <w:color w:val="auto"/>
                      <w:kern w:val="0"/>
                      <w:sz w:val="18"/>
                      <w:szCs w:val="18"/>
                    </w:rPr>
                    <w:t>收集率%</w:t>
                  </w:r>
                </w:p>
              </w:tc>
              <w:tc>
                <w:tcPr>
                  <w:tcW w:w="264" w:type="pct"/>
                  <w:vMerge w:val="restart"/>
                  <w:vAlign w:val="center"/>
                </w:tcPr>
                <w:p w14:paraId="36355038">
                  <w:pPr>
                    <w:pStyle w:val="656"/>
                    <w:snapToGrid w:val="0"/>
                    <w:rPr>
                      <w:rFonts w:eastAsia="宋体"/>
                      <w:b/>
                      <w:bCs/>
                      <w:color w:val="auto"/>
                      <w:sz w:val="18"/>
                      <w:szCs w:val="18"/>
                    </w:rPr>
                  </w:pPr>
                  <w:r>
                    <w:rPr>
                      <w:rFonts w:eastAsia="宋体"/>
                      <w:b/>
                      <w:bCs/>
                      <w:color w:val="auto"/>
                      <w:sz w:val="18"/>
                      <w:szCs w:val="18"/>
                    </w:rPr>
                    <w:t>去除率%</w:t>
                  </w:r>
                </w:p>
              </w:tc>
              <w:tc>
                <w:tcPr>
                  <w:tcW w:w="1441" w:type="pct"/>
                  <w:gridSpan w:val="4"/>
                  <w:vAlign w:val="center"/>
                </w:tcPr>
                <w:p w14:paraId="4A418CD4">
                  <w:pPr>
                    <w:pStyle w:val="656"/>
                    <w:snapToGrid w:val="0"/>
                    <w:rPr>
                      <w:rFonts w:eastAsia="宋体"/>
                      <w:b/>
                      <w:bCs/>
                      <w:color w:val="auto"/>
                      <w:sz w:val="18"/>
                      <w:szCs w:val="18"/>
                    </w:rPr>
                  </w:pPr>
                  <w:r>
                    <w:rPr>
                      <w:rFonts w:eastAsia="宋体"/>
                      <w:b/>
                      <w:bCs/>
                      <w:color w:val="auto"/>
                      <w:sz w:val="18"/>
                      <w:szCs w:val="18"/>
                    </w:rPr>
                    <w:t>污染物排放</w:t>
                  </w:r>
                  <w:r>
                    <w:rPr>
                      <w:rFonts w:hint="eastAsia" w:eastAsia="宋体"/>
                      <w:b/>
                      <w:bCs/>
                      <w:color w:val="auto"/>
                      <w:sz w:val="18"/>
                      <w:szCs w:val="18"/>
                    </w:rPr>
                    <w:t>情况</w:t>
                  </w:r>
                </w:p>
              </w:tc>
            </w:tr>
            <w:tr w14:paraId="0A4C093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22" w:type="pct"/>
                  <w:vMerge w:val="continue"/>
                  <w:vAlign w:val="center"/>
                </w:tcPr>
                <w:p w14:paraId="26AB7293">
                  <w:pPr>
                    <w:pStyle w:val="656"/>
                    <w:snapToGrid w:val="0"/>
                    <w:rPr>
                      <w:rFonts w:eastAsia="宋体"/>
                      <w:b/>
                      <w:bCs/>
                      <w:color w:val="auto"/>
                      <w:sz w:val="18"/>
                      <w:szCs w:val="18"/>
                    </w:rPr>
                  </w:pPr>
                </w:p>
              </w:tc>
              <w:tc>
                <w:tcPr>
                  <w:tcW w:w="304" w:type="pct"/>
                  <w:vMerge w:val="continue"/>
                  <w:vAlign w:val="center"/>
                </w:tcPr>
                <w:p w14:paraId="08A48EE5">
                  <w:pPr>
                    <w:pStyle w:val="656"/>
                    <w:snapToGrid w:val="0"/>
                    <w:rPr>
                      <w:rFonts w:eastAsia="宋体"/>
                      <w:b/>
                      <w:bCs/>
                      <w:color w:val="auto"/>
                      <w:sz w:val="18"/>
                      <w:szCs w:val="18"/>
                    </w:rPr>
                  </w:pPr>
                </w:p>
              </w:tc>
              <w:tc>
                <w:tcPr>
                  <w:tcW w:w="399" w:type="pct"/>
                  <w:vMerge w:val="continue"/>
                  <w:vAlign w:val="center"/>
                </w:tcPr>
                <w:p w14:paraId="0F865BA3">
                  <w:pPr>
                    <w:pStyle w:val="656"/>
                    <w:snapToGrid w:val="0"/>
                    <w:rPr>
                      <w:rFonts w:eastAsia="宋体"/>
                      <w:b/>
                      <w:bCs/>
                      <w:color w:val="auto"/>
                      <w:sz w:val="18"/>
                      <w:szCs w:val="18"/>
                    </w:rPr>
                  </w:pPr>
                </w:p>
              </w:tc>
              <w:tc>
                <w:tcPr>
                  <w:tcW w:w="435" w:type="pct"/>
                  <w:vMerge w:val="continue"/>
                  <w:vAlign w:val="center"/>
                </w:tcPr>
                <w:p w14:paraId="07538E48">
                  <w:pPr>
                    <w:pStyle w:val="656"/>
                    <w:snapToGrid w:val="0"/>
                    <w:rPr>
                      <w:rFonts w:eastAsia="宋体"/>
                      <w:b/>
                      <w:bCs/>
                      <w:color w:val="auto"/>
                      <w:sz w:val="18"/>
                      <w:szCs w:val="18"/>
                    </w:rPr>
                  </w:pPr>
                </w:p>
              </w:tc>
              <w:tc>
                <w:tcPr>
                  <w:tcW w:w="400" w:type="pct"/>
                  <w:vAlign w:val="center"/>
                </w:tcPr>
                <w:p w14:paraId="40D576D6">
                  <w:pPr>
                    <w:pStyle w:val="656"/>
                    <w:snapToGrid w:val="0"/>
                    <w:rPr>
                      <w:rFonts w:eastAsia="宋体"/>
                      <w:b/>
                      <w:bCs/>
                      <w:color w:val="auto"/>
                      <w:sz w:val="18"/>
                      <w:szCs w:val="18"/>
                    </w:rPr>
                  </w:pPr>
                  <w:r>
                    <w:rPr>
                      <w:rFonts w:hint="eastAsia" w:eastAsia="宋体"/>
                      <w:b/>
                      <w:bCs/>
                      <w:color w:val="auto"/>
                      <w:sz w:val="18"/>
                      <w:szCs w:val="18"/>
                    </w:rPr>
                    <w:t>浓度mg/m</w:t>
                  </w:r>
                  <w:r>
                    <w:rPr>
                      <w:rFonts w:eastAsia="宋体"/>
                      <w:b/>
                      <w:bCs/>
                      <w:color w:val="auto"/>
                      <w:sz w:val="18"/>
                      <w:szCs w:val="18"/>
                    </w:rPr>
                    <w:t>³</w:t>
                  </w:r>
                </w:p>
              </w:tc>
              <w:tc>
                <w:tcPr>
                  <w:tcW w:w="414" w:type="pct"/>
                  <w:vAlign w:val="center"/>
                </w:tcPr>
                <w:p w14:paraId="5A53103B">
                  <w:pPr>
                    <w:pStyle w:val="656"/>
                    <w:snapToGrid w:val="0"/>
                    <w:rPr>
                      <w:rFonts w:eastAsia="宋体"/>
                      <w:b/>
                      <w:bCs/>
                      <w:color w:val="auto"/>
                      <w:sz w:val="18"/>
                      <w:szCs w:val="18"/>
                    </w:rPr>
                  </w:pPr>
                  <w:r>
                    <w:rPr>
                      <w:rFonts w:hint="eastAsia" w:eastAsia="宋体"/>
                      <w:b/>
                      <w:bCs/>
                      <w:color w:val="auto"/>
                      <w:sz w:val="18"/>
                      <w:szCs w:val="18"/>
                    </w:rPr>
                    <w:t>速率kg</w:t>
                  </w:r>
                  <w:r>
                    <w:rPr>
                      <w:rFonts w:eastAsia="宋体"/>
                      <w:b/>
                      <w:bCs/>
                      <w:color w:val="auto"/>
                      <w:sz w:val="18"/>
                      <w:szCs w:val="18"/>
                    </w:rPr>
                    <w:t>/h</w:t>
                  </w:r>
                </w:p>
              </w:tc>
              <w:tc>
                <w:tcPr>
                  <w:tcW w:w="415" w:type="pct"/>
                  <w:vAlign w:val="center"/>
                </w:tcPr>
                <w:p w14:paraId="7B479400">
                  <w:pPr>
                    <w:pStyle w:val="656"/>
                    <w:snapToGrid w:val="0"/>
                    <w:rPr>
                      <w:rFonts w:eastAsia="宋体"/>
                      <w:b/>
                      <w:bCs/>
                      <w:color w:val="auto"/>
                      <w:sz w:val="18"/>
                      <w:szCs w:val="18"/>
                    </w:rPr>
                  </w:pPr>
                  <w:r>
                    <w:rPr>
                      <w:rFonts w:eastAsia="宋体"/>
                      <w:b/>
                      <w:bCs/>
                      <w:color w:val="auto"/>
                      <w:sz w:val="18"/>
                      <w:szCs w:val="18"/>
                    </w:rPr>
                    <w:t>产生量</w:t>
                  </w:r>
                  <w:r>
                    <w:rPr>
                      <w:rFonts w:hint="eastAsia" w:eastAsia="宋体"/>
                      <w:b/>
                      <w:bCs/>
                      <w:color w:val="auto"/>
                      <w:sz w:val="18"/>
                      <w:szCs w:val="18"/>
                    </w:rPr>
                    <w:t>t</w:t>
                  </w:r>
                  <w:r>
                    <w:rPr>
                      <w:rFonts w:eastAsia="宋体"/>
                      <w:b/>
                      <w:bCs/>
                      <w:color w:val="auto"/>
                      <w:sz w:val="18"/>
                      <w:szCs w:val="18"/>
                    </w:rPr>
                    <w:t>/a</w:t>
                  </w:r>
                </w:p>
              </w:tc>
              <w:tc>
                <w:tcPr>
                  <w:tcW w:w="377" w:type="pct"/>
                  <w:vMerge w:val="continue"/>
                  <w:vAlign w:val="center"/>
                </w:tcPr>
                <w:p w14:paraId="34B23CB7">
                  <w:pPr>
                    <w:pStyle w:val="656"/>
                    <w:snapToGrid w:val="0"/>
                    <w:rPr>
                      <w:rFonts w:eastAsia="宋体"/>
                      <w:b/>
                      <w:bCs/>
                      <w:color w:val="auto"/>
                      <w:sz w:val="18"/>
                      <w:szCs w:val="18"/>
                    </w:rPr>
                  </w:pPr>
                </w:p>
              </w:tc>
              <w:tc>
                <w:tcPr>
                  <w:tcW w:w="224" w:type="pct"/>
                  <w:vMerge w:val="continue"/>
                  <w:vAlign w:val="center"/>
                </w:tcPr>
                <w:p w14:paraId="3330F586">
                  <w:pPr>
                    <w:pStyle w:val="656"/>
                    <w:snapToGrid w:val="0"/>
                    <w:rPr>
                      <w:rFonts w:eastAsia="宋体"/>
                      <w:b/>
                      <w:bCs/>
                      <w:color w:val="auto"/>
                      <w:sz w:val="18"/>
                      <w:szCs w:val="18"/>
                    </w:rPr>
                  </w:pPr>
                </w:p>
              </w:tc>
              <w:tc>
                <w:tcPr>
                  <w:tcW w:w="264" w:type="pct"/>
                  <w:vMerge w:val="continue"/>
                  <w:vAlign w:val="center"/>
                </w:tcPr>
                <w:p w14:paraId="5AAB77C1">
                  <w:pPr>
                    <w:pStyle w:val="656"/>
                    <w:snapToGrid w:val="0"/>
                    <w:rPr>
                      <w:rFonts w:eastAsia="宋体"/>
                      <w:b/>
                      <w:bCs/>
                      <w:color w:val="auto"/>
                      <w:sz w:val="18"/>
                      <w:szCs w:val="18"/>
                    </w:rPr>
                  </w:pPr>
                </w:p>
              </w:tc>
              <w:tc>
                <w:tcPr>
                  <w:tcW w:w="378" w:type="pct"/>
                  <w:vAlign w:val="center"/>
                </w:tcPr>
                <w:p w14:paraId="0A69192A">
                  <w:pPr>
                    <w:pStyle w:val="656"/>
                    <w:snapToGrid w:val="0"/>
                    <w:rPr>
                      <w:rFonts w:eastAsia="宋体"/>
                      <w:b/>
                      <w:bCs/>
                      <w:color w:val="auto"/>
                      <w:sz w:val="18"/>
                      <w:szCs w:val="18"/>
                    </w:rPr>
                  </w:pPr>
                  <w:r>
                    <w:rPr>
                      <w:rFonts w:hint="eastAsia" w:eastAsia="宋体"/>
                      <w:b/>
                      <w:bCs/>
                      <w:color w:val="auto"/>
                      <w:sz w:val="18"/>
                      <w:szCs w:val="18"/>
                    </w:rPr>
                    <w:t>浓度mg/m</w:t>
                  </w:r>
                  <w:r>
                    <w:rPr>
                      <w:rFonts w:eastAsia="宋体"/>
                      <w:b/>
                      <w:bCs/>
                      <w:color w:val="auto"/>
                      <w:sz w:val="18"/>
                      <w:szCs w:val="18"/>
                    </w:rPr>
                    <w:t>³</w:t>
                  </w:r>
                </w:p>
              </w:tc>
              <w:tc>
                <w:tcPr>
                  <w:tcW w:w="411" w:type="pct"/>
                  <w:vAlign w:val="center"/>
                </w:tcPr>
                <w:p w14:paraId="0ECFDADD">
                  <w:pPr>
                    <w:pStyle w:val="656"/>
                    <w:snapToGrid w:val="0"/>
                    <w:rPr>
                      <w:rFonts w:eastAsia="宋体"/>
                      <w:b/>
                      <w:bCs/>
                      <w:color w:val="auto"/>
                      <w:sz w:val="18"/>
                      <w:szCs w:val="18"/>
                    </w:rPr>
                  </w:pPr>
                  <w:r>
                    <w:rPr>
                      <w:rFonts w:hint="eastAsia" w:eastAsia="宋体"/>
                      <w:b/>
                      <w:bCs/>
                      <w:color w:val="auto"/>
                      <w:sz w:val="18"/>
                      <w:szCs w:val="18"/>
                    </w:rPr>
                    <w:t>速率kg</w:t>
                  </w:r>
                  <w:r>
                    <w:rPr>
                      <w:rFonts w:eastAsia="宋体"/>
                      <w:b/>
                      <w:bCs/>
                      <w:color w:val="auto"/>
                      <w:sz w:val="18"/>
                      <w:szCs w:val="18"/>
                    </w:rPr>
                    <w:t>/h</w:t>
                  </w:r>
                </w:p>
              </w:tc>
              <w:tc>
                <w:tcPr>
                  <w:tcW w:w="394" w:type="pct"/>
                  <w:vAlign w:val="center"/>
                </w:tcPr>
                <w:p w14:paraId="0A728725">
                  <w:pPr>
                    <w:pStyle w:val="656"/>
                    <w:snapToGrid w:val="0"/>
                    <w:rPr>
                      <w:rFonts w:eastAsia="宋体"/>
                      <w:b/>
                      <w:bCs/>
                      <w:color w:val="auto"/>
                      <w:sz w:val="18"/>
                      <w:szCs w:val="18"/>
                    </w:rPr>
                  </w:pPr>
                  <w:r>
                    <w:rPr>
                      <w:rFonts w:hint="eastAsia" w:eastAsia="宋体"/>
                      <w:b/>
                      <w:bCs/>
                      <w:color w:val="auto"/>
                      <w:sz w:val="18"/>
                      <w:szCs w:val="18"/>
                    </w:rPr>
                    <w:t>排放</w:t>
                  </w:r>
                  <w:r>
                    <w:rPr>
                      <w:rFonts w:eastAsia="宋体"/>
                      <w:b/>
                      <w:bCs/>
                      <w:color w:val="auto"/>
                      <w:sz w:val="18"/>
                      <w:szCs w:val="18"/>
                    </w:rPr>
                    <w:t>量</w:t>
                  </w:r>
                  <w:r>
                    <w:rPr>
                      <w:rFonts w:hint="eastAsia" w:eastAsia="宋体"/>
                      <w:b/>
                      <w:bCs/>
                      <w:color w:val="auto"/>
                      <w:sz w:val="18"/>
                      <w:szCs w:val="18"/>
                    </w:rPr>
                    <w:t>t</w:t>
                  </w:r>
                  <w:r>
                    <w:rPr>
                      <w:rFonts w:eastAsia="宋体"/>
                      <w:b/>
                      <w:bCs/>
                      <w:color w:val="auto"/>
                      <w:sz w:val="18"/>
                      <w:szCs w:val="18"/>
                    </w:rPr>
                    <w:t>/a</w:t>
                  </w:r>
                </w:p>
              </w:tc>
              <w:tc>
                <w:tcPr>
                  <w:tcW w:w="256" w:type="pct"/>
                  <w:vAlign w:val="center"/>
                </w:tcPr>
                <w:p w14:paraId="47CCB6CB">
                  <w:pPr>
                    <w:pStyle w:val="656"/>
                    <w:snapToGrid w:val="0"/>
                    <w:rPr>
                      <w:rFonts w:eastAsia="宋体"/>
                      <w:b/>
                      <w:bCs/>
                      <w:color w:val="auto"/>
                      <w:sz w:val="18"/>
                      <w:szCs w:val="18"/>
                    </w:rPr>
                  </w:pPr>
                  <w:r>
                    <w:rPr>
                      <w:rFonts w:hint="eastAsia" w:eastAsia="宋体"/>
                      <w:b/>
                      <w:bCs/>
                      <w:color w:val="auto"/>
                      <w:sz w:val="18"/>
                      <w:szCs w:val="18"/>
                    </w:rPr>
                    <w:t>排放时间</w:t>
                  </w:r>
                </w:p>
              </w:tc>
            </w:tr>
            <w:tr w14:paraId="5A68C60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22" w:type="pct"/>
                  <w:vMerge w:val="restart"/>
                  <w:vAlign w:val="center"/>
                </w:tcPr>
                <w:p w14:paraId="53C68CBF">
                  <w:pPr>
                    <w:pStyle w:val="656"/>
                    <w:snapToGrid w:val="0"/>
                    <w:rPr>
                      <w:rFonts w:eastAsia="宋体"/>
                      <w:color w:val="auto"/>
                      <w:sz w:val="18"/>
                      <w:szCs w:val="18"/>
                    </w:rPr>
                  </w:pPr>
                  <w:r>
                    <w:rPr>
                      <w:rFonts w:hint="eastAsia" w:eastAsia="宋体"/>
                      <w:color w:val="auto"/>
                      <w:sz w:val="18"/>
                      <w:szCs w:val="18"/>
                    </w:rPr>
                    <w:t>DA001</w:t>
                  </w:r>
                </w:p>
              </w:tc>
              <w:tc>
                <w:tcPr>
                  <w:tcW w:w="304" w:type="pct"/>
                  <w:vMerge w:val="restart"/>
                  <w:vAlign w:val="center"/>
                </w:tcPr>
                <w:p w14:paraId="3542DABD">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25000</w:t>
                  </w:r>
                </w:p>
              </w:tc>
              <w:tc>
                <w:tcPr>
                  <w:tcW w:w="399" w:type="pct"/>
                  <w:vAlign w:val="center"/>
                </w:tcPr>
                <w:p w14:paraId="4F449043">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擦色</w:t>
                  </w:r>
                </w:p>
              </w:tc>
              <w:tc>
                <w:tcPr>
                  <w:tcW w:w="435" w:type="pct"/>
                  <w:vMerge w:val="restart"/>
                  <w:vAlign w:val="center"/>
                </w:tcPr>
                <w:p w14:paraId="42D61A13">
                  <w:pPr>
                    <w:pStyle w:val="656"/>
                    <w:snapToGrid w:val="0"/>
                    <w:rPr>
                      <w:rFonts w:hint="eastAsia" w:eastAsia="宋体"/>
                      <w:color w:val="auto"/>
                      <w:sz w:val="18"/>
                      <w:szCs w:val="18"/>
                      <w:lang w:val="en-US" w:eastAsia="zh-CN"/>
                    </w:rPr>
                  </w:pPr>
                  <w:r>
                    <w:rPr>
                      <w:rFonts w:hint="eastAsia" w:eastAsia="宋体"/>
                      <w:color w:val="auto"/>
                      <w:sz w:val="18"/>
                      <w:szCs w:val="18"/>
                      <w:lang w:val="en-US" w:eastAsia="zh-CN"/>
                    </w:rPr>
                    <w:t>非甲烷总烃</w:t>
                  </w:r>
                </w:p>
              </w:tc>
              <w:tc>
                <w:tcPr>
                  <w:tcW w:w="400" w:type="pct"/>
                  <w:vAlign w:val="center"/>
                </w:tcPr>
                <w:p w14:paraId="149CA648">
                  <w:pPr>
                    <w:pStyle w:val="656"/>
                    <w:snapToGrid w:val="0"/>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1.36</w:t>
                  </w:r>
                </w:p>
              </w:tc>
              <w:tc>
                <w:tcPr>
                  <w:tcW w:w="414" w:type="pct"/>
                  <w:vAlign w:val="center"/>
                </w:tcPr>
                <w:p w14:paraId="1703E0F8">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0.034</w:t>
                  </w:r>
                </w:p>
              </w:tc>
              <w:tc>
                <w:tcPr>
                  <w:tcW w:w="415" w:type="pct"/>
                  <w:vAlign w:val="center"/>
                </w:tcPr>
                <w:p w14:paraId="72F0CA45">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0.081</w:t>
                  </w:r>
                </w:p>
              </w:tc>
              <w:tc>
                <w:tcPr>
                  <w:tcW w:w="377" w:type="pct"/>
                  <w:vMerge w:val="restart"/>
                  <w:vAlign w:val="center"/>
                </w:tcPr>
                <w:p w14:paraId="3FAE717D">
                  <w:pPr>
                    <w:pStyle w:val="656"/>
                    <w:snapToGrid w:val="0"/>
                    <w:rPr>
                      <w:rFonts w:hint="eastAsia" w:eastAsia="宋体"/>
                      <w:color w:val="auto"/>
                      <w:sz w:val="18"/>
                      <w:szCs w:val="18"/>
                      <w:lang w:val="en-US" w:eastAsia="zh-CN"/>
                    </w:rPr>
                  </w:pPr>
                  <w:r>
                    <w:rPr>
                      <w:rFonts w:hint="eastAsia" w:eastAsia="宋体"/>
                      <w:color w:val="auto"/>
                      <w:sz w:val="18"/>
                      <w:szCs w:val="18"/>
                      <w:lang w:val="en-US" w:eastAsia="zh-CN"/>
                    </w:rPr>
                    <w:t>吸雾毡+二级活性炭装置</w:t>
                  </w:r>
                </w:p>
              </w:tc>
              <w:tc>
                <w:tcPr>
                  <w:tcW w:w="224" w:type="pct"/>
                  <w:vMerge w:val="restart"/>
                  <w:vAlign w:val="center"/>
                </w:tcPr>
                <w:p w14:paraId="7BDED4BE">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98</w:t>
                  </w:r>
                </w:p>
              </w:tc>
              <w:tc>
                <w:tcPr>
                  <w:tcW w:w="264" w:type="pct"/>
                  <w:vMerge w:val="restart"/>
                  <w:vAlign w:val="center"/>
                </w:tcPr>
                <w:p w14:paraId="49E7ABCE">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90</w:t>
                  </w:r>
                </w:p>
              </w:tc>
              <w:tc>
                <w:tcPr>
                  <w:tcW w:w="378" w:type="pct"/>
                  <w:vAlign w:val="center"/>
                </w:tcPr>
                <w:p w14:paraId="41EE9FA6">
                  <w:pPr>
                    <w:pStyle w:val="656"/>
                    <w:snapToGrid w:val="0"/>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0.136</w:t>
                  </w:r>
                </w:p>
              </w:tc>
              <w:tc>
                <w:tcPr>
                  <w:tcW w:w="411" w:type="pct"/>
                  <w:vAlign w:val="center"/>
                </w:tcPr>
                <w:p w14:paraId="5139D7A5">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0.0034</w:t>
                  </w:r>
                </w:p>
              </w:tc>
              <w:tc>
                <w:tcPr>
                  <w:tcW w:w="394" w:type="pct"/>
                  <w:vAlign w:val="center"/>
                </w:tcPr>
                <w:p w14:paraId="42BB6999">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0.0081</w:t>
                  </w:r>
                </w:p>
              </w:tc>
              <w:tc>
                <w:tcPr>
                  <w:tcW w:w="256" w:type="pct"/>
                  <w:vMerge w:val="restart"/>
                  <w:vAlign w:val="center"/>
                </w:tcPr>
                <w:p w14:paraId="558BC6CE">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2400h</w:t>
                  </w:r>
                </w:p>
              </w:tc>
            </w:tr>
            <w:tr w14:paraId="3FBAEBD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22" w:type="pct"/>
                  <w:vMerge w:val="continue"/>
                  <w:vAlign w:val="center"/>
                </w:tcPr>
                <w:p w14:paraId="1D7CF320">
                  <w:pPr>
                    <w:pStyle w:val="656"/>
                    <w:snapToGrid w:val="0"/>
                    <w:rPr>
                      <w:rFonts w:hint="eastAsia" w:eastAsia="宋体"/>
                      <w:color w:val="auto"/>
                      <w:sz w:val="18"/>
                      <w:szCs w:val="18"/>
                    </w:rPr>
                  </w:pPr>
                </w:p>
              </w:tc>
              <w:tc>
                <w:tcPr>
                  <w:tcW w:w="304" w:type="pct"/>
                  <w:vMerge w:val="continue"/>
                  <w:vAlign w:val="center"/>
                </w:tcPr>
                <w:p w14:paraId="45238E18">
                  <w:pPr>
                    <w:pStyle w:val="656"/>
                    <w:snapToGrid w:val="0"/>
                    <w:rPr>
                      <w:rFonts w:hint="eastAsia" w:eastAsia="宋体"/>
                      <w:color w:val="auto"/>
                      <w:sz w:val="18"/>
                      <w:szCs w:val="18"/>
                    </w:rPr>
                  </w:pPr>
                </w:p>
              </w:tc>
              <w:tc>
                <w:tcPr>
                  <w:tcW w:w="399" w:type="pct"/>
                  <w:vAlign w:val="center"/>
                </w:tcPr>
                <w:p w14:paraId="30282517">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喷枪清洗</w:t>
                  </w:r>
                </w:p>
              </w:tc>
              <w:tc>
                <w:tcPr>
                  <w:tcW w:w="435" w:type="pct"/>
                  <w:vMerge w:val="continue"/>
                  <w:vAlign w:val="center"/>
                </w:tcPr>
                <w:p w14:paraId="699A3926">
                  <w:pPr>
                    <w:pStyle w:val="656"/>
                    <w:snapToGrid w:val="0"/>
                    <w:rPr>
                      <w:rFonts w:hint="eastAsia" w:eastAsia="宋体"/>
                      <w:color w:val="auto"/>
                      <w:sz w:val="18"/>
                      <w:szCs w:val="18"/>
                    </w:rPr>
                  </w:pPr>
                </w:p>
              </w:tc>
              <w:tc>
                <w:tcPr>
                  <w:tcW w:w="400" w:type="pct"/>
                  <w:vAlign w:val="center"/>
                </w:tcPr>
                <w:p w14:paraId="62946EAD">
                  <w:pPr>
                    <w:pStyle w:val="656"/>
                    <w:snapToGrid w:val="0"/>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0.08</w:t>
                  </w:r>
                </w:p>
              </w:tc>
              <w:tc>
                <w:tcPr>
                  <w:tcW w:w="414" w:type="pct"/>
                  <w:vAlign w:val="center"/>
                </w:tcPr>
                <w:p w14:paraId="75FD01C7">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0.002</w:t>
                  </w:r>
                </w:p>
              </w:tc>
              <w:tc>
                <w:tcPr>
                  <w:tcW w:w="415" w:type="pct"/>
                  <w:vAlign w:val="center"/>
                </w:tcPr>
                <w:p w14:paraId="647CB017">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0.0049</w:t>
                  </w:r>
                </w:p>
              </w:tc>
              <w:tc>
                <w:tcPr>
                  <w:tcW w:w="377" w:type="pct"/>
                  <w:vMerge w:val="continue"/>
                  <w:vAlign w:val="center"/>
                </w:tcPr>
                <w:p w14:paraId="28E16E36">
                  <w:pPr>
                    <w:pStyle w:val="656"/>
                    <w:snapToGrid w:val="0"/>
                    <w:rPr>
                      <w:rFonts w:eastAsia="宋体"/>
                      <w:color w:val="auto"/>
                      <w:sz w:val="18"/>
                      <w:szCs w:val="18"/>
                    </w:rPr>
                  </w:pPr>
                </w:p>
              </w:tc>
              <w:tc>
                <w:tcPr>
                  <w:tcW w:w="224" w:type="pct"/>
                  <w:vMerge w:val="continue"/>
                  <w:vAlign w:val="center"/>
                </w:tcPr>
                <w:p w14:paraId="4785774F">
                  <w:pPr>
                    <w:pStyle w:val="656"/>
                    <w:snapToGrid w:val="0"/>
                    <w:rPr>
                      <w:rFonts w:hint="eastAsia" w:eastAsia="宋体"/>
                      <w:color w:val="auto"/>
                      <w:sz w:val="18"/>
                      <w:szCs w:val="18"/>
                    </w:rPr>
                  </w:pPr>
                </w:p>
              </w:tc>
              <w:tc>
                <w:tcPr>
                  <w:tcW w:w="264" w:type="pct"/>
                  <w:vMerge w:val="continue"/>
                  <w:vAlign w:val="center"/>
                </w:tcPr>
                <w:p w14:paraId="162C9D6D">
                  <w:pPr>
                    <w:pStyle w:val="656"/>
                    <w:snapToGrid w:val="0"/>
                    <w:rPr>
                      <w:rFonts w:hint="eastAsia" w:eastAsia="宋体"/>
                      <w:color w:val="auto"/>
                      <w:sz w:val="18"/>
                      <w:szCs w:val="18"/>
                    </w:rPr>
                  </w:pPr>
                </w:p>
              </w:tc>
              <w:tc>
                <w:tcPr>
                  <w:tcW w:w="378" w:type="pct"/>
                  <w:vAlign w:val="center"/>
                </w:tcPr>
                <w:p w14:paraId="4C8C5346">
                  <w:pPr>
                    <w:pStyle w:val="656"/>
                    <w:snapToGrid w:val="0"/>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0.008</w:t>
                  </w:r>
                </w:p>
              </w:tc>
              <w:tc>
                <w:tcPr>
                  <w:tcW w:w="411" w:type="pct"/>
                  <w:vAlign w:val="center"/>
                </w:tcPr>
                <w:p w14:paraId="156EBFEA">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0.0002</w:t>
                  </w:r>
                </w:p>
              </w:tc>
              <w:tc>
                <w:tcPr>
                  <w:tcW w:w="394" w:type="pct"/>
                  <w:vAlign w:val="center"/>
                </w:tcPr>
                <w:p w14:paraId="20684829">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0.00049</w:t>
                  </w:r>
                </w:p>
              </w:tc>
              <w:tc>
                <w:tcPr>
                  <w:tcW w:w="256" w:type="pct"/>
                  <w:vMerge w:val="continue"/>
                  <w:vAlign w:val="center"/>
                </w:tcPr>
                <w:p w14:paraId="6B485B3F">
                  <w:pPr>
                    <w:pStyle w:val="656"/>
                    <w:snapToGrid w:val="0"/>
                    <w:rPr>
                      <w:rFonts w:hint="eastAsia" w:eastAsia="宋体"/>
                      <w:color w:val="auto"/>
                      <w:sz w:val="18"/>
                      <w:szCs w:val="18"/>
                    </w:rPr>
                  </w:pPr>
                </w:p>
              </w:tc>
            </w:tr>
            <w:tr w14:paraId="27B35EA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22" w:type="pct"/>
                  <w:vMerge w:val="continue"/>
                  <w:vAlign w:val="center"/>
                </w:tcPr>
                <w:p w14:paraId="5E160C07">
                  <w:pPr>
                    <w:pStyle w:val="656"/>
                    <w:snapToGrid w:val="0"/>
                    <w:rPr>
                      <w:rFonts w:hint="eastAsia" w:eastAsia="宋体"/>
                      <w:color w:val="auto"/>
                      <w:sz w:val="18"/>
                      <w:szCs w:val="18"/>
                    </w:rPr>
                  </w:pPr>
                </w:p>
              </w:tc>
              <w:tc>
                <w:tcPr>
                  <w:tcW w:w="304" w:type="pct"/>
                  <w:vMerge w:val="continue"/>
                  <w:vAlign w:val="center"/>
                </w:tcPr>
                <w:p w14:paraId="6D32AF39">
                  <w:pPr>
                    <w:pStyle w:val="656"/>
                    <w:snapToGrid w:val="0"/>
                    <w:rPr>
                      <w:rFonts w:hint="eastAsia" w:eastAsia="宋体"/>
                      <w:color w:val="auto"/>
                      <w:sz w:val="18"/>
                      <w:szCs w:val="18"/>
                    </w:rPr>
                  </w:pPr>
                </w:p>
              </w:tc>
              <w:tc>
                <w:tcPr>
                  <w:tcW w:w="399" w:type="pct"/>
                  <w:vMerge w:val="restart"/>
                  <w:vAlign w:val="center"/>
                </w:tcPr>
                <w:p w14:paraId="4C9D2557">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调漆、喷漆、刷漆、晾干</w:t>
                  </w:r>
                </w:p>
              </w:tc>
              <w:tc>
                <w:tcPr>
                  <w:tcW w:w="435" w:type="pct"/>
                  <w:vMerge w:val="continue"/>
                  <w:vAlign w:val="center"/>
                </w:tcPr>
                <w:p w14:paraId="27F43AD0">
                  <w:pPr>
                    <w:pStyle w:val="656"/>
                    <w:snapToGrid w:val="0"/>
                    <w:rPr>
                      <w:rFonts w:hint="eastAsia" w:eastAsia="宋体"/>
                      <w:color w:val="auto"/>
                      <w:sz w:val="18"/>
                      <w:szCs w:val="18"/>
                    </w:rPr>
                  </w:pPr>
                </w:p>
              </w:tc>
              <w:tc>
                <w:tcPr>
                  <w:tcW w:w="400" w:type="pct"/>
                  <w:vAlign w:val="center"/>
                </w:tcPr>
                <w:p w14:paraId="0C3E0AAA">
                  <w:pPr>
                    <w:pStyle w:val="656"/>
                    <w:snapToGrid w:val="0"/>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30.8</w:t>
                  </w:r>
                </w:p>
              </w:tc>
              <w:tc>
                <w:tcPr>
                  <w:tcW w:w="414" w:type="pct"/>
                  <w:vAlign w:val="center"/>
                </w:tcPr>
                <w:p w14:paraId="21281E20">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0.77</w:t>
                  </w:r>
                </w:p>
              </w:tc>
              <w:tc>
                <w:tcPr>
                  <w:tcW w:w="415" w:type="pct"/>
                  <w:vAlign w:val="center"/>
                </w:tcPr>
                <w:p w14:paraId="46AB7B56">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1.8527</w:t>
                  </w:r>
                </w:p>
              </w:tc>
              <w:tc>
                <w:tcPr>
                  <w:tcW w:w="377" w:type="pct"/>
                  <w:vMerge w:val="continue"/>
                  <w:vAlign w:val="center"/>
                </w:tcPr>
                <w:p w14:paraId="5767374C">
                  <w:pPr>
                    <w:pStyle w:val="656"/>
                    <w:snapToGrid w:val="0"/>
                    <w:rPr>
                      <w:rFonts w:eastAsia="宋体"/>
                      <w:color w:val="auto"/>
                      <w:sz w:val="18"/>
                      <w:szCs w:val="18"/>
                    </w:rPr>
                  </w:pPr>
                </w:p>
              </w:tc>
              <w:tc>
                <w:tcPr>
                  <w:tcW w:w="224" w:type="pct"/>
                  <w:vMerge w:val="continue"/>
                  <w:vAlign w:val="center"/>
                </w:tcPr>
                <w:p w14:paraId="175FE9DC">
                  <w:pPr>
                    <w:pStyle w:val="656"/>
                    <w:snapToGrid w:val="0"/>
                    <w:rPr>
                      <w:rFonts w:hint="eastAsia" w:eastAsia="宋体"/>
                      <w:color w:val="auto"/>
                      <w:sz w:val="18"/>
                      <w:szCs w:val="18"/>
                    </w:rPr>
                  </w:pPr>
                </w:p>
              </w:tc>
              <w:tc>
                <w:tcPr>
                  <w:tcW w:w="264" w:type="pct"/>
                  <w:vMerge w:val="continue"/>
                  <w:vAlign w:val="center"/>
                </w:tcPr>
                <w:p w14:paraId="41DEEB67">
                  <w:pPr>
                    <w:pStyle w:val="656"/>
                    <w:snapToGrid w:val="0"/>
                    <w:rPr>
                      <w:rFonts w:hint="eastAsia" w:eastAsia="宋体"/>
                      <w:color w:val="auto"/>
                      <w:sz w:val="18"/>
                      <w:szCs w:val="18"/>
                    </w:rPr>
                  </w:pPr>
                </w:p>
              </w:tc>
              <w:tc>
                <w:tcPr>
                  <w:tcW w:w="378" w:type="pct"/>
                  <w:vAlign w:val="center"/>
                </w:tcPr>
                <w:p w14:paraId="6A96ED8F">
                  <w:pPr>
                    <w:pStyle w:val="656"/>
                    <w:snapToGrid w:val="0"/>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3.08</w:t>
                  </w:r>
                </w:p>
              </w:tc>
              <w:tc>
                <w:tcPr>
                  <w:tcW w:w="411" w:type="pct"/>
                  <w:vAlign w:val="center"/>
                </w:tcPr>
                <w:p w14:paraId="2AF413A5">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0.077</w:t>
                  </w:r>
                </w:p>
              </w:tc>
              <w:tc>
                <w:tcPr>
                  <w:tcW w:w="394" w:type="pct"/>
                  <w:vAlign w:val="center"/>
                </w:tcPr>
                <w:p w14:paraId="609518C1">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0.18527</w:t>
                  </w:r>
                </w:p>
              </w:tc>
              <w:tc>
                <w:tcPr>
                  <w:tcW w:w="256" w:type="pct"/>
                  <w:vMerge w:val="continue"/>
                  <w:vAlign w:val="center"/>
                </w:tcPr>
                <w:p w14:paraId="7CCF2B4D">
                  <w:pPr>
                    <w:pStyle w:val="656"/>
                    <w:snapToGrid w:val="0"/>
                    <w:rPr>
                      <w:rFonts w:hint="eastAsia" w:eastAsia="宋体"/>
                      <w:color w:val="auto"/>
                      <w:sz w:val="18"/>
                      <w:szCs w:val="18"/>
                    </w:rPr>
                  </w:pPr>
                </w:p>
              </w:tc>
            </w:tr>
            <w:tr w14:paraId="2088322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22" w:type="pct"/>
                  <w:vMerge w:val="continue"/>
                  <w:vAlign w:val="center"/>
                </w:tcPr>
                <w:p w14:paraId="21F67811">
                  <w:pPr>
                    <w:pStyle w:val="656"/>
                    <w:snapToGrid w:val="0"/>
                    <w:rPr>
                      <w:rFonts w:hint="eastAsia" w:eastAsia="宋体"/>
                      <w:color w:val="auto"/>
                      <w:sz w:val="18"/>
                      <w:szCs w:val="18"/>
                    </w:rPr>
                  </w:pPr>
                </w:p>
              </w:tc>
              <w:tc>
                <w:tcPr>
                  <w:tcW w:w="304" w:type="pct"/>
                  <w:vMerge w:val="continue"/>
                  <w:vAlign w:val="center"/>
                </w:tcPr>
                <w:p w14:paraId="58F6E558">
                  <w:pPr>
                    <w:pStyle w:val="656"/>
                    <w:snapToGrid w:val="0"/>
                    <w:rPr>
                      <w:rFonts w:hint="eastAsia" w:eastAsia="宋体"/>
                      <w:color w:val="auto"/>
                      <w:sz w:val="18"/>
                      <w:szCs w:val="18"/>
                    </w:rPr>
                  </w:pPr>
                </w:p>
              </w:tc>
              <w:tc>
                <w:tcPr>
                  <w:tcW w:w="399" w:type="pct"/>
                  <w:vMerge w:val="continue"/>
                  <w:vAlign w:val="center"/>
                </w:tcPr>
                <w:p w14:paraId="6D891D64">
                  <w:pPr>
                    <w:pStyle w:val="656"/>
                    <w:snapToGrid w:val="0"/>
                    <w:rPr>
                      <w:rFonts w:hint="eastAsia" w:eastAsia="宋体"/>
                      <w:color w:val="auto"/>
                      <w:sz w:val="18"/>
                      <w:szCs w:val="18"/>
                      <w:lang w:val="en-US" w:eastAsia="zh-CN"/>
                    </w:rPr>
                  </w:pPr>
                </w:p>
              </w:tc>
              <w:tc>
                <w:tcPr>
                  <w:tcW w:w="435" w:type="pct"/>
                  <w:vAlign w:val="center"/>
                </w:tcPr>
                <w:p w14:paraId="6A3029F0">
                  <w:pPr>
                    <w:pStyle w:val="656"/>
                    <w:snapToGrid w:val="0"/>
                    <w:rPr>
                      <w:rFonts w:hint="eastAsia" w:eastAsia="宋体"/>
                      <w:color w:val="auto"/>
                      <w:sz w:val="18"/>
                      <w:szCs w:val="18"/>
                      <w:lang w:val="en-US" w:eastAsia="zh-CN"/>
                    </w:rPr>
                  </w:pPr>
                  <w:r>
                    <w:rPr>
                      <w:rFonts w:hint="eastAsia" w:eastAsia="宋体"/>
                      <w:color w:val="auto"/>
                      <w:sz w:val="18"/>
                      <w:szCs w:val="18"/>
                      <w:lang w:val="en-US" w:eastAsia="zh-CN"/>
                    </w:rPr>
                    <w:t>苯系物</w:t>
                  </w:r>
                </w:p>
              </w:tc>
              <w:tc>
                <w:tcPr>
                  <w:tcW w:w="400" w:type="pct"/>
                  <w:vAlign w:val="center"/>
                </w:tcPr>
                <w:p w14:paraId="6846A4F3">
                  <w:pPr>
                    <w:pStyle w:val="656"/>
                    <w:snapToGrid w:val="0"/>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10</w:t>
                  </w:r>
                </w:p>
              </w:tc>
              <w:tc>
                <w:tcPr>
                  <w:tcW w:w="414" w:type="pct"/>
                  <w:vAlign w:val="center"/>
                </w:tcPr>
                <w:p w14:paraId="0AD8325F">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0.25</w:t>
                  </w:r>
                </w:p>
              </w:tc>
              <w:tc>
                <w:tcPr>
                  <w:tcW w:w="415" w:type="pct"/>
                  <w:vAlign w:val="center"/>
                </w:tcPr>
                <w:p w14:paraId="726CA2A9">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0.5954</w:t>
                  </w:r>
                </w:p>
              </w:tc>
              <w:tc>
                <w:tcPr>
                  <w:tcW w:w="377" w:type="pct"/>
                  <w:vMerge w:val="continue"/>
                  <w:vAlign w:val="center"/>
                </w:tcPr>
                <w:p w14:paraId="2521762B">
                  <w:pPr>
                    <w:pStyle w:val="656"/>
                    <w:snapToGrid w:val="0"/>
                    <w:rPr>
                      <w:rFonts w:eastAsia="宋体"/>
                      <w:color w:val="auto"/>
                      <w:sz w:val="18"/>
                      <w:szCs w:val="18"/>
                    </w:rPr>
                  </w:pPr>
                </w:p>
              </w:tc>
              <w:tc>
                <w:tcPr>
                  <w:tcW w:w="224" w:type="pct"/>
                  <w:vMerge w:val="continue"/>
                  <w:vAlign w:val="center"/>
                </w:tcPr>
                <w:p w14:paraId="71A387CF">
                  <w:pPr>
                    <w:pStyle w:val="656"/>
                    <w:snapToGrid w:val="0"/>
                    <w:rPr>
                      <w:rFonts w:hint="eastAsia" w:eastAsia="宋体"/>
                      <w:color w:val="auto"/>
                      <w:sz w:val="18"/>
                      <w:szCs w:val="18"/>
                    </w:rPr>
                  </w:pPr>
                </w:p>
              </w:tc>
              <w:tc>
                <w:tcPr>
                  <w:tcW w:w="264" w:type="pct"/>
                  <w:vMerge w:val="continue"/>
                  <w:vAlign w:val="center"/>
                </w:tcPr>
                <w:p w14:paraId="6E921D60">
                  <w:pPr>
                    <w:pStyle w:val="656"/>
                    <w:snapToGrid w:val="0"/>
                    <w:rPr>
                      <w:rFonts w:hint="eastAsia" w:eastAsia="宋体"/>
                      <w:color w:val="auto"/>
                      <w:sz w:val="18"/>
                      <w:szCs w:val="18"/>
                    </w:rPr>
                  </w:pPr>
                </w:p>
              </w:tc>
              <w:tc>
                <w:tcPr>
                  <w:tcW w:w="378" w:type="pct"/>
                  <w:vAlign w:val="center"/>
                </w:tcPr>
                <w:p w14:paraId="1C4D23D0">
                  <w:pPr>
                    <w:pStyle w:val="656"/>
                    <w:snapToGrid w:val="0"/>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1</w:t>
                  </w:r>
                </w:p>
              </w:tc>
              <w:tc>
                <w:tcPr>
                  <w:tcW w:w="411" w:type="pct"/>
                  <w:vAlign w:val="center"/>
                </w:tcPr>
                <w:p w14:paraId="1B208737">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0.025</w:t>
                  </w:r>
                </w:p>
              </w:tc>
              <w:tc>
                <w:tcPr>
                  <w:tcW w:w="394" w:type="pct"/>
                  <w:vAlign w:val="center"/>
                </w:tcPr>
                <w:p w14:paraId="0787922E">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0.05954</w:t>
                  </w:r>
                </w:p>
              </w:tc>
              <w:tc>
                <w:tcPr>
                  <w:tcW w:w="256" w:type="pct"/>
                  <w:vMerge w:val="continue"/>
                  <w:vAlign w:val="center"/>
                </w:tcPr>
                <w:p w14:paraId="081191AB">
                  <w:pPr>
                    <w:pStyle w:val="656"/>
                    <w:snapToGrid w:val="0"/>
                    <w:rPr>
                      <w:rFonts w:hint="eastAsia" w:eastAsia="宋体"/>
                      <w:color w:val="auto"/>
                      <w:sz w:val="18"/>
                      <w:szCs w:val="18"/>
                    </w:rPr>
                  </w:pPr>
                </w:p>
              </w:tc>
            </w:tr>
            <w:tr w14:paraId="67D85BC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22" w:type="pct"/>
                  <w:vMerge w:val="continue"/>
                  <w:vAlign w:val="center"/>
                </w:tcPr>
                <w:p w14:paraId="619AB01A">
                  <w:pPr>
                    <w:pStyle w:val="656"/>
                    <w:snapToGrid w:val="0"/>
                    <w:rPr>
                      <w:rFonts w:hint="eastAsia" w:eastAsia="宋体"/>
                      <w:color w:val="auto"/>
                      <w:sz w:val="18"/>
                      <w:szCs w:val="18"/>
                    </w:rPr>
                  </w:pPr>
                </w:p>
              </w:tc>
              <w:tc>
                <w:tcPr>
                  <w:tcW w:w="304" w:type="pct"/>
                  <w:vMerge w:val="continue"/>
                  <w:vAlign w:val="center"/>
                </w:tcPr>
                <w:p w14:paraId="34256D85">
                  <w:pPr>
                    <w:pStyle w:val="656"/>
                    <w:snapToGrid w:val="0"/>
                    <w:rPr>
                      <w:rFonts w:hint="eastAsia" w:eastAsia="宋体"/>
                      <w:color w:val="auto"/>
                      <w:sz w:val="18"/>
                      <w:szCs w:val="18"/>
                    </w:rPr>
                  </w:pPr>
                </w:p>
              </w:tc>
              <w:tc>
                <w:tcPr>
                  <w:tcW w:w="399" w:type="pct"/>
                  <w:vMerge w:val="continue"/>
                  <w:vAlign w:val="center"/>
                </w:tcPr>
                <w:p w14:paraId="671C04DC">
                  <w:pPr>
                    <w:pStyle w:val="656"/>
                    <w:snapToGrid w:val="0"/>
                    <w:rPr>
                      <w:rFonts w:hint="eastAsia" w:eastAsia="宋体"/>
                      <w:color w:val="auto"/>
                      <w:sz w:val="18"/>
                      <w:szCs w:val="18"/>
                      <w:lang w:val="en-US" w:eastAsia="zh-CN"/>
                    </w:rPr>
                  </w:pPr>
                </w:p>
              </w:tc>
              <w:tc>
                <w:tcPr>
                  <w:tcW w:w="435" w:type="pct"/>
                  <w:vAlign w:val="center"/>
                </w:tcPr>
                <w:p w14:paraId="2CD6EB06">
                  <w:pPr>
                    <w:pStyle w:val="656"/>
                    <w:snapToGrid w:val="0"/>
                    <w:rPr>
                      <w:rFonts w:hint="eastAsia" w:eastAsia="宋体"/>
                      <w:color w:val="auto"/>
                      <w:sz w:val="18"/>
                      <w:szCs w:val="18"/>
                      <w:lang w:val="en-US" w:eastAsia="zh-CN"/>
                    </w:rPr>
                  </w:pPr>
                  <w:r>
                    <w:rPr>
                      <w:rFonts w:hint="eastAsia" w:eastAsia="宋体"/>
                      <w:color w:val="auto"/>
                      <w:sz w:val="18"/>
                      <w:szCs w:val="18"/>
                      <w:lang w:val="en-US" w:eastAsia="zh-CN"/>
                    </w:rPr>
                    <w:t>二甲苯</w:t>
                  </w:r>
                </w:p>
              </w:tc>
              <w:tc>
                <w:tcPr>
                  <w:tcW w:w="400" w:type="pct"/>
                  <w:vAlign w:val="center"/>
                </w:tcPr>
                <w:p w14:paraId="73C62633">
                  <w:pPr>
                    <w:pStyle w:val="656"/>
                    <w:snapToGrid w:val="0"/>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9.6</w:t>
                  </w:r>
                </w:p>
              </w:tc>
              <w:tc>
                <w:tcPr>
                  <w:tcW w:w="414" w:type="pct"/>
                  <w:vAlign w:val="center"/>
                </w:tcPr>
                <w:p w14:paraId="2460566C">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0.24</w:t>
                  </w:r>
                </w:p>
              </w:tc>
              <w:tc>
                <w:tcPr>
                  <w:tcW w:w="415" w:type="pct"/>
                  <w:vAlign w:val="center"/>
                </w:tcPr>
                <w:p w14:paraId="792DB14B">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0.573</w:t>
                  </w:r>
                </w:p>
              </w:tc>
              <w:tc>
                <w:tcPr>
                  <w:tcW w:w="377" w:type="pct"/>
                  <w:vMerge w:val="continue"/>
                  <w:vAlign w:val="center"/>
                </w:tcPr>
                <w:p w14:paraId="62C36E59">
                  <w:pPr>
                    <w:pStyle w:val="656"/>
                    <w:snapToGrid w:val="0"/>
                    <w:rPr>
                      <w:rFonts w:eastAsia="宋体"/>
                      <w:color w:val="auto"/>
                      <w:sz w:val="18"/>
                      <w:szCs w:val="18"/>
                    </w:rPr>
                  </w:pPr>
                </w:p>
              </w:tc>
              <w:tc>
                <w:tcPr>
                  <w:tcW w:w="224" w:type="pct"/>
                  <w:vMerge w:val="continue"/>
                  <w:vAlign w:val="center"/>
                </w:tcPr>
                <w:p w14:paraId="4145A586">
                  <w:pPr>
                    <w:pStyle w:val="656"/>
                    <w:snapToGrid w:val="0"/>
                    <w:rPr>
                      <w:rFonts w:hint="eastAsia" w:eastAsia="宋体"/>
                      <w:color w:val="auto"/>
                      <w:sz w:val="18"/>
                      <w:szCs w:val="18"/>
                    </w:rPr>
                  </w:pPr>
                </w:p>
              </w:tc>
              <w:tc>
                <w:tcPr>
                  <w:tcW w:w="264" w:type="pct"/>
                  <w:vMerge w:val="continue"/>
                  <w:vAlign w:val="center"/>
                </w:tcPr>
                <w:p w14:paraId="503050B7">
                  <w:pPr>
                    <w:pStyle w:val="656"/>
                    <w:snapToGrid w:val="0"/>
                    <w:rPr>
                      <w:rFonts w:hint="eastAsia" w:eastAsia="宋体"/>
                      <w:color w:val="auto"/>
                      <w:sz w:val="18"/>
                      <w:szCs w:val="18"/>
                    </w:rPr>
                  </w:pPr>
                </w:p>
              </w:tc>
              <w:tc>
                <w:tcPr>
                  <w:tcW w:w="378" w:type="pct"/>
                  <w:vAlign w:val="center"/>
                </w:tcPr>
                <w:p w14:paraId="5F03D948">
                  <w:pPr>
                    <w:pStyle w:val="656"/>
                    <w:snapToGrid w:val="0"/>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0.96</w:t>
                  </w:r>
                </w:p>
              </w:tc>
              <w:tc>
                <w:tcPr>
                  <w:tcW w:w="411" w:type="pct"/>
                  <w:vAlign w:val="center"/>
                </w:tcPr>
                <w:p w14:paraId="7C0BC7C4">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0.024</w:t>
                  </w:r>
                </w:p>
              </w:tc>
              <w:tc>
                <w:tcPr>
                  <w:tcW w:w="394" w:type="pct"/>
                  <w:vAlign w:val="center"/>
                </w:tcPr>
                <w:p w14:paraId="008AB8C8">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0.0573</w:t>
                  </w:r>
                </w:p>
              </w:tc>
              <w:tc>
                <w:tcPr>
                  <w:tcW w:w="256" w:type="pct"/>
                  <w:vMerge w:val="continue"/>
                  <w:vAlign w:val="center"/>
                </w:tcPr>
                <w:p w14:paraId="4FDEE44E">
                  <w:pPr>
                    <w:pStyle w:val="656"/>
                    <w:snapToGrid w:val="0"/>
                    <w:rPr>
                      <w:rFonts w:hint="eastAsia" w:eastAsia="宋体"/>
                      <w:color w:val="auto"/>
                      <w:sz w:val="18"/>
                      <w:szCs w:val="18"/>
                    </w:rPr>
                  </w:pPr>
                </w:p>
              </w:tc>
            </w:tr>
            <w:tr w14:paraId="38E0544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22" w:type="pct"/>
                  <w:vMerge w:val="continue"/>
                  <w:vAlign w:val="center"/>
                </w:tcPr>
                <w:p w14:paraId="3CC78E90">
                  <w:pPr>
                    <w:pStyle w:val="656"/>
                    <w:snapToGrid w:val="0"/>
                    <w:rPr>
                      <w:rFonts w:hint="eastAsia" w:eastAsia="宋体"/>
                      <w:color w:val="auto"/>
                      <w:sz w:val="18"/>
                      <w:szCs w:val="18"/>
                    </w:rPr>
                  </w:pPr>
                </w:p>
              </w:tc>
              <w:tc>
                <w:tcPr>
                  <w:tcW w:w="304" w:type="pct"/>
                  <w:vMerge w:val="continue"/>
                  <w:vAlign w:val="center"/>
                </w:tcPr>
                <w:p w14:paraId="4A7813CC">
                  <w:pPr>
                    <w:pStyle w:val="656"/>
                    <w:snapToGrid w:val="0"/>
                    <w:rPr>
                      <w:rFonts w:hint="eastAsia" w:eastAsia="宋体"/>
                      <w:color w:val="auto"/>
                      <w:sz w:val="18"/>
                      <w:szCs w:val="18"/>
                    </w:rPr>
                  </w:pPr>
                </w:p>
              </w:tc>
              <w:tc>
                <w:tcPr>
                  <w:tcW w:w="399" w:type="pct"/>
                  <w:vMerge w:val="continue"/>
                  <w:vAlign w:val="center"/>
                </w:tcPr>
                <w:p w14:paraId="7EF2C9AF">
                  <w:pPr>
                    <w:pStyle w:val="656"/>
                    <w:snapToGrid w:val="0"/>
                    <w:rPr>
                      <w:rFonts w:hint="eastAsia" w:eastAsia="宋体"/>
                      <w:color w:val="auto"/>
                      <w:sz w:val="18"/>
                      <w:szCs w:val="18"/>
                      <w:lang w:val="en-US" w:eastAsia="zh-CN"/>
                    </w:rPr>
                  </w:pPr>
                </w:p>
              </w:tc>
              <w:tc>
                <w:tcPr>
                  <w:tcW w:w="435" w:type="pct"/>
                  <w:vAlign w:val="center"/>
                </w:tcPr>
                <w:p w14:paraId="3584D365">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三甲苯</w:t>
                  </w:r>
                </w:p>
              </w:tc>
              <w:tc>
                <w:tcPr>
                  <w:tcW w:w="400" w:type="pct"/>
                  <w:vAlign w:val="center"/>
                </w:tcPr>
                <w:p w14:paraId="57B1F3E0">
                  <w:pPr>
                    <w:pStyle w:val="656"/>
                    <w:snapToGrid w:val="0"/>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0.36</w:t>
                  </w:r>
                </w:p>
              </w:tc>
              <w:tc>
                <w:tcPr>
                  <w:tcW w:w="414" w:type="pct"/>
                  <w:vAlign w:val="center"/>
                </w:tcPr>
                <w:p w14:paraId="511728AD">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0.009</w:t>
                  </w:r>
                </w:p>
              </w:tc>
              <w:tc>
                <w:tcPr>
                  <w:tcW w:w="415" w:type="pct"/>
                  <w:vAlign w:val="center"/>
                </w:tcPr>
                <w:p w14:paraId="6172BB88">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0.02205</w:t>
                  </w:r>
                </w:p>
              </w:tc>
              <w:tc>
                <w:tcPr>
                  <w:tcW w:w="377" w:type="pct"/>
                  <w:vMerge w:val="continue"/>
                  <w:vAlign w:val="center"/>
                </w:tcPr>
                <w:p w14:paraId="332D0561">
                  <w:pPr>
                    <w:pStyle w:val="656"/>
                    <w:snapToGrid w:val="0"/>
                    <w:rPr>
                      <w:rFonts w:eastAsia="宋体"/>
                      <w:color w:val="auto"/>
                      <w:sz w:val="18"/>
                      <w:szCs w:val="18"/>
                    </w:rPr>
                  </w:pPr>
                </w:p>
              </w:tc>
              <w:tc>
                <w:tcPr>
                  <w:tcW w:w="224" w:type="pct"/>
                  <w:vMerge w:val="continue"/>
                  <w:vAlign w:val="center"/>
                </w:tcPr>
                <w:p w14:paraId="31DE6EF6">
                  <w:pPr>
                    <w:pStyle w:val="656"/>
                    <w:snapToGrid w:val="0"/>
                    <w:rPr>
                      <w:rFonts w:hint="eastAsia" w:eastAsia="宋体"/>
                      <w:color w:val="auto"/>
                      <w:sz w:val="18"/>
                      <w:szCs w:val="18"/>
                    </w:rPr>
                  </w:pPr>
                </w:p>
              </w:tc>
              <w:tc>
                <w:tcPr>
                  <w:tcW w:w="264" w:type="pct"/>
                  <w:vMerge w:val="continue"/>
                  <w:vAlign w:val="center"/>
                </w:tcPr>
                <w:p w14:paraId="289AC6EE">
                  <w:pPr>
                    <w:pStyle w:val="656"/>
                    <w:snapToGrid w:val="0"/>
                    <w:rPr>
                      <w:rFonts w:hint="eastAsia" w:eastAsia="宋体"/>
                      <w:color w:val="auto"/>
                      <w:sz w:val="18"/>
                      <w:szCs w:val="18"/>
                    </w:rPr>
                  </w:pPr>
                </w:p>
              </w:tc>
              <w:tc>
                <w:tcPr>
                  <w:tcW w:w="378" w:type="pct"/>
                  <w:vAlign w:val="center"/>
                </w:tcPr>
                <w:p w14:paraId="5E9F8518">
                  <w:pPr>
                    <w:pStyle w:val="656"/>
                    <w:snapToGrid w:val="0"/>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0.036</w:t>
                  </w:r>
                </w:p>
              </w:tc>
              <w:tc>
                <w:tcPr>
                  <w:tcW w:w="411" w:type="pct"/>
                  <w:vAlign w:val="center"/>
                </w:tcPr>
                <w:p w14:paraId="0A857E1C">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0.0009</w:t>
                  </w:r>
                </w:p>
              </w:tc>
              <w:tc>
                <w:tcPr>
                  <w:tcW w:w="394" w:type="pct"/>
                  <w:vAlign w:val="center"/>
                </w:tcPr>
                <w:p w14:paraId="4A559CCA">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0.002205</w:t>
                  </w:r>
                </w:p>
              </w:tc>
              <w:tc>
                <w:tcPr>
                  <w:tcW w:w="256" w:type="pct"/>
                  <w:vMerge w:val="continue"/>
                  <w:vAlign w:val="center"/>
                </w:tcPr>
                <w:p w14:paraId="071206D6">
                  <w:pPr>
                    <w:pStyle w:val="656"/>
                    <w:snapToGrid w:val="0"/>
                    <w:rPr>
                      <w:rFonts w:hint="eastAsia" w:eastAsia="宋体"/>
                      <w:color w:val="auto"/>
                      <w:sz w:val="18"/>
                      <w:szCs w:val="18"/>
                    </w:rPr>
                  </w:pPr>
                </w:p>
              </w:tc>
            </w:tr>
            <w:tr w14:paraId="5CDF127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22" w:type="pct"/>
                  <w:vMerge w:val="continue"/>
                  <w:vAlign w:val="center"/>
                </w:tcPr>
                <w:p w14:paraId="58F7CD17">
                  <w:pPr>
                    <w:pStyle w:val="656"/>
                    <w:snapToGrid w:val="0"/>
                    <w:rPr>
                      <w:rFonts w:hint="eastAsia" w:eastAsia="宋体"/>
                      <w:color w:val="auto"/>
                      <w:sz w:val="18"/>
                      <w:szCs w:val="18"/>
                    </w:rPr>
                  </w:pPr>
                </w:p>
              </w:tc>
              <w:tc>
                <w:tcPr>
                  <w:tcW w:w="304" w:type="pct"/>
                  <w:vMerge w:val="continue"/>
                  <w:vAlign w:val="center"/>
                </w:tcPr>
                <w:p w14:paraId="5DE61A3F">
                  <w:pPr>
                    <w:pStyle w:val="656"/>
                    <w:snapToGrid w:val="0"/>
                    <w:rPr>
                      <w:rFonts w:hint="eastAsia" w:eastAsia="宋体"/>
                      <w:color w:val="auto"/>
                      <w:sz w:val="18"/>
                      <w:szCs w:val="18"/>
                    </w:rPr>
                  </w:pPr>
                </w:p>
              </w:tc>
              <w:tc>
                <w:tcPr>
                  <w:tcW w:w="399" w:type="pct"/>
                  <w:vMerge w:val="continue"/>
                  <w:vAlign w:val="center"/>
                </w:tcPr>
                <w:p w14:paraId="31551596">
                  <w:pPr>
                    <w:pStyle w:val="656"/>
                    <w:snapToGrid w:val="0"/>
                    <w:rPr>
                      <w:rFonts w:hint="eastAsia" w:eastAsia="宋体"/>
                      <w:color w:val="auto"/>
                      <w:sz w:val="18"/>
                      <w:szCs w:val="18"/>
                      <w:lang w:val="en-US" w:eastAsia="zh-CN"/>
                    </w:rPr>
                  </w:pPr>
                </w:p>
              </w:tc>
              <w:tc>
                <w:tcPr>
                  <w:tcW w:w="435" w:type="pct"/>
                  <w:vAlign w:val="center"/>
                </w:tcPr>
                <w:p w14:paraId="6D1C3C25">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颗粒物</w:t>
                  </w:r>
                </w:p>
              </w:tc>
              <w:tc>
                <w:tcPr>
                  <w:tcW w:w="400" w:type="pct"/>
                  <w:vAlign w:val="center"/>
                </w:tcPr>
                <w:p w14:paraId="119BA4E0">
                  <w:pPr>
                    <w:pStyle w:val="656"/>
                    <w:snapToGrid w:val="0"/>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3.28</w:t>
                  </w:r>
                </w:p>
              </w:tc>
              <w:tc>
                <w:tcPr>
                  <w:tcW w:w="414" w:type="pct"/>
                  <w:vAlign w:val="center"/>
                </w:tcPr>
                <w:p w14:paraId="7FAEF988">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0.082</w:t>
                  </w:r>
                </w:p>
              </w:tc>
              <w:tc>
                <w:tcPr>
                  <w:tcW w:w="415" w:type="pct"/>
                  <w:vAlign w:val="center"/>
                </w:tcPr>
                <w:p w14:paraId="08AA6A03">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0.19655</w:t>
                  </w:r>
                </w:p>
              </w:tc>
              <w:tc>
                <w:tcPr>
                  <w:tcW w:w="377" w:type="pct"/>
                  <w:vAlign w:val="center"/>
                </w:tcPr>
                <w:p w14:paraId="4D33086F">
                  <w:pPr>
                    <w:pStyle w:val="656"/>
                    <w:snapToGrid w:val="0"/>
                    <w:rPr>
                      <w:rFonts w:hint="eastAsia" w:eastAsia="宋体"/>
                      <w:color w:val="auto"/>
                      <w:sz w:val="18"/>
                      <w:szCs w:val="18"/>
                      <w:lang w:val="en-US" w:eastAsia="zh-CN"/>
                    </w:rPr>
                  </w:pPr>
                  <w:r>
                    <w:rPr>
                      <w:rFonts w:hint="eastAsia" w:eastAsia="宋体"/>
                      <w:color w:val="auto"/>
                      <w:sz w:val="18"/>
                      <w:szCs w:val="18"/>
                      <w:lang w:val="en-US" w:eastAsia="zh-CN"/>
                    </w:rPr>
                    <w:t>水帘</w:t>
                  </w:r>
                </w:p>
              </w:tc>
              <w:tc>
                <w:tcPr>
                  <w:tcW w:w="224" w:type="pct"/>
                  <w:vMerge w:val="continue"/>
                  <w:vAlign w:val="center"/>
                </w:tcPr>
                <w:p w14:paraId="2CE79D96">
                  <w:pPr>
                    <w:pStyle w:val="656"/>
                    <w:snapToGrid w:val="0"/>
                    <w:rPr>
                      <w:rFonts w:hint="eastAsia" w:eastAsia="宋体"/>
                      <w:color w:val="auto"/>
                      <w:sz w:val="18"/>
                      <w:szCs w:val="18"/>
                    </w:rPr>
                  </w:pPr>
                </w:p>
              </w:tc>
              <w:tc>
                <w:tcPr>
                  <w:tcW w:w="264" w:type="pct"/>
                  <w:vMerge w:val="continue"/>
                  <w:vAlign w:val="center"/>
                </w:tcPr>
                <w:p w14:paraId="0AA85528">
                  <w:pPr>
                    <w:pStyle w:val="656"/>
                    <w:snapToGrid w:val="0"/>
                    <w:rPr>
                      <w:rFonts w:hint="eastAsia" w:eastAsia="宋体"/>
                      <w:color w:val="auto"/>
                      <w:sz w:val="18"/>
                      <w:szCs w:val="18"/>
                    </w:rPr>
                  </w:pPr>
                </w:p>
              </w:tc>
              <w:tc>
                <w:tcPr>
                  <w:tcW w:w="1005" w:type="dxa"/>
                  <w:vAlign w:val="center"/>
                </w:tcPr>
                <w:p w14:paraId="06A7D191">
                  <w:pPr>
                    <w:pStyle w:val="656"/>
                    <w:snapToGrid w:val="0"/>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0.328</w:t>
                  </w:r>
                </w:p>
              </w:tc>
              <w:tc>
                <w:tcPr>
                  <w:tcW w:w="1092" w:type="dxa"/>
                  <w:vAlign w:val="center"/>
                </w:tcPr>
                <w:p w14:paraId="3D5455E4">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0.0082</w:t>
                  </w:r>
                </w:p>
              </w:tc>
              <w:tc>
                <w:tcPr>
                  <w:tcW w:w="1048" w:type="dxa"/>
                  <w:vAlign w:val="center"/>
                </w:tcPr>
                <w:p w14:paraId="0341011F">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0.019655</w:t>
                  </w:r>
                </w:p>
              </w:tc>
              <w:tc>
                <w:tcPr>
                  <w:tcW w:w="256" w:type="pct"/>
                  <w:vMerge w:val="continue"/>
                  <w:vAlign w:val="center"/>
                </w:tcPr>
                <w:p w14:paraId="6A695B77">
                  <w:pPr>
                    <w:pStyle w:val="656"/>
                    <w:snapToGrid w:val="0"/>
                    <w:rPr>
                      <w:rFonts w:hint="eastAsia" w:eastAsia="宋体"/>
                      <w:color w:val="auto"/>
                      <w:sz w:val="18"/>
                      <w:szCs w:val="18"/>
                    </w:rPr>
                  </w:pPr>
                </w:p>
              </w:tc>
            </w:tr>
            <w:tr w14:paraId="39E62D1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22" w:type="pct"/>
                  <w:shd w:val="clear" w:color="auto" w:fill="BEBEBE" w:themeFill="background1" w:themeFillShade="BF"/>
                  <w:vAlign w:val="center"/>
                </w:tcPr>
                <w:p w14:paraId="598D7373">
                  <w:pPr>
                    <w:pStyle w:val="656"/>
                    <w:snapToGrid w:val="0"/>
                    <w:rPr>
                      <w:rFonts w:hint="default" w:eastAsia="宋体"/>
                      <w:b/>
                      <w:bCs/>
                      <w:color w:val="auto"/>
                      <w:sz w:val="18"/>
                      <w:szCs w:val="18"/>
                      <w:lang w:val="en-US" w:eastAsia="zh-CN"/>
                    </w:rPr>
                  </w:pPr>
                  <w:r>
                    <w:rPr>
                      <w:rFonts w:hint="eastAsia" w:eastAsia="宋体"/>
                      <w:b/>
                      <w:bCs/>
                      <w:color w:val="auto"/>
                      <w:sz w:val="18"/>
                      <w:szCs w:val="18"/>
                      <w:lang w:val="en-US" w:eastAsia="zh-CN"/>
                    </w:rPr>
                    <w:t>--</w:t>
                  </w:r>
                </w:p>
              </w:tc>
              <w:tc>
                <w:tcPr>
                  <w:tcW w:w="304" w:type="pct"/>
                  <w:shd w:val="clear" w:color="auto" w:fill="BEBEBE" w:themeFill="background1" w:themeFillShade="BF"/>
                  <w:vAlign w:val="center"/>
                </w:tcPr>
                <w:p w14:paraId="41EBE4F4">
                  <w:pPr>
                    <w:pStyle w:val="656"/>
                    <w:snapToGrid w:val="0"/>
                    <w:rPr>
                      <w:rFonts w:hint="default" w:eastAsia="宋体"/>
                      <w:b/>
                      <w:bCs/>
                      <w:color w:val="auto"/>
                      <w:sz w:val="18"/>
                      <w:szCs w:val="18"/>
                      <w:lang w:val="en-US" w:eastAsia="zh-CN"/>
                    </w:rPr>
                  </w:pPr>
                  <w:r>
                    <w:rPr>
                      <w:rFonts w:hint="eastAsia" w:eastAsia="宋体"/>
                      <w:b/>
                      <w:bCs/>
                      <w:color w:val="auto"/>
                      <w:sz w:val="18"/>
                      <w:szCs w:val="18"/>
                      <w:lang w:val="en-US" w:eastAsia="zh-CN"/>
                    </w:rPr>
                    <w:t>--</w:t>
                  </w:r>
                </w:p>
              </w:tc>
              <w:tc>
                <w:tcPr>
                  <w:tcW w:w="399" w:type="pct"/>
                  <w:shd w:val="clear" w:color="auto" w:fill="BEBEBE" w:themeFill="background1" w:themeFillShade="BF"/>
                  <w:vAlign w:val="center"/>
                </w:tcPr>
                <w:p w14:paraId="39B5F404">
                  <w:pPr>
                    <w:pStyle w:val="656"/>
                    <w:snapToGrid w:val="0"/>
                    <w:rPr>
                      <w:rFonts w:hint="default" w:eastAsia="宋体"/>
                      <w:b/>
                      <w:bCs/>
                      <w:color w:val="auto"/>
                      <w:sz w:val="18"/>
                      <w:szCs w:val="18"/>
                      <w:lang w:val="en-US" w:eastAsia="zh-CN"/>
                    </w:rPr>
                  </w:pPr>
                  <w:r>
                    <w:rPr>
                      <w:rFonts w:hint="eastAsia" w:eastAsia="宋体"/>
                      <w:b/>
                      <w:bCs/>
                      <w:color w:val="auto"/>
                      <w:sz w:val="18"/>
                      <w:szCs w:val="18"/>
                      <w:lang w:val="en-US" w:eastAsia="zh-CN"/>
                    </w:rPr>
                    <w:t>合计</w:t>
                  </w:r>
                </w:p>
              </w:tc>
              <w:tc>
                <w:tcPr>
                  <w:tcW w:w="435" w:type="pct"/>
                  <w:shd w:val="clear" w:color="auto" w:fill="BEBEBE" w:themeFill="background1" w:themeFillShade="BF"/>
                  <w:vAlign w:val="center"/>
                </w:tcPr>
                <w:p w14:paraId="441F2004">
                  <w:pPr>
                    <w:pStyle w:val="656"/>
                    <w:snapToGrid w:val="0"/>
                    <w:rPr>
                      <w:rFonts w:hint="default" w:eastAsia="宋体"/>
                      <w:b/>
                      <w:bCs/>
                      <w:color w:val="auto"/>
                      <w:sz w:val="18"/>
                      <w:szCs w:val="18"/>
                      <w:lang w:val="en-US" w:eastAsia="zh-CN"/>
                    </w:rPr>
                  </w:pPr>
                  <w:r>
                    <w:rPr>
                      <w:rFonts w:hint="eastAsia" w:eastAsia="宋体"/>
                      <w:b/>
                      <w:bCs/>
                      <w:color w:val="auto"/>
                      <w:sz w:val="18"/>
                      <w:szCs w:val="18"/>
                      <w:lang w:val="en-US" w:eastAsia="zh-CN"/>
                    </w:rPr>
                    <w:t>非甲烷总烃</w:t>
                  </w:r>
                </w:p>
              </w:tc>
              <w:tc>
                <w:tcPr>
                  <w:tcW w:w="1063" w:type="dxa"/>
                  <w:shd w:val="clear" w:color="auto" w:fill="BEBEBE" w:themeFill="background1" w:themeFillShade="BF"/>
                  <w:vAlign w:val="center"/>
                </w:tcPr>
                <w:p w14:paraId="633D57D1">
                  <w:pPr>
                    <w:keepNext w:val="0"/>
                    <w:keepLines w:val="0"/>
                    <w:widowControl/>
                    <w:suppressLineNumbers w:val="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i w:val="0"/>
                      <w:iCs w:val="0"/>
                      <w:snapToGrid w:val="0"/>
                      <w:color w:val="auto"/>
                      <w:kern w:val="0"/>
                      <w:sz w:val="18"/>
                      <w:szCs w:val="18"/>
                      <w:u w:val="none"/>
                      <w:lang w:val="en-US" w:eastAsia="zh-CN" w:bidi="ar"/>
                    </w:rPr>
                    <w:t>32.4</w:t>
                  </w:r>
                </w:p>
              </w:tc>
              <w:tc>
                <w:tcPr>
                  <w:tcW w:w="1100" w:type="dxa"/>
                  <w:shd w:val="clear" w:color="auto" w:fill="BEBEBE" w:themeFill="background1" w:themeFillShade="BF"/>
                  <w:vAlign w:val="center"/>
                </w:tcPr>
                <w:p w14:paraId="6880A8E0">
                  <w:pPr>
                    <w:keepNext w:val="0"/>
                    <w:keepLines w:val="0"/>
                    <w:widowControl/>
                    <w:suppressLineNumbers w:val="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i w:val="0"/>
                      <w:iCs w:val="0"/>
                      <w:snapToGrid w:val="0"/>
                      <w:color w:val="auto"/>
                      <w:kern w:val="0"/>
                      <w:sz w:val="18"/>
                      <w:szCs w:val="18"/>
                      <w:u w:val="none"/>
                      <w:lang w:val="en-US" w:eastAsia="zh-CN" w:bidi="ar"/>
                    </w:rPr>
                    <w:t>0.81</w:t>
                  </w:r>
                </w:p>
              </w:tc>
              <w:tc>
                <w:tcPr>
                  <w:tcW w:w="1103" w:type="dxa"/>
                  <w:shd w:val="clear" w:color="auto" w:fill="BEBEBE" w:themeFill="background1" w:themeFillShade="BF"/>
                  <w:vAlign w:val="center"/>
                </w:tcPr>
                <w:p w14:paraId="34E3666D">
                  <w:pPr>
                    <w:keepNext w:val="0"/>
                    <w:keepLines w:val="0"/>
                    <w:widowControl/>
                    <w:suppressLineNumbers w:val="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i w:val="0"/>
                      <w:iCs w:val="0"/>
                      <w:snapToGrid w:val="0"/>
                      <w:color w:val="auto"/>
                      <w:kern w:val="0"/>
                      <w:sz w:val="18"/>
                      <w:szCs w:val="18"/>
                      <w:u w:val="none"/>
                      <w:lang w:val="en-US" w:eastAsia="zh-CN" w:bidi="ar"/>
                    </w:rPr>
                    <w:t>1.9386</w:t>
                  </w:r>
                </w:p>
              </w:tc>
              <w:tc>
                <w:tcPr>
                  <w:tcW w:w="377" w:type="pct"/>
                  <w:shd w:val="clear" w:color="auto" w:fill="BEBEBE" w:themeFill="background1" w:themeFillShade="BF"/>
                  <w:vAlign w:val="center"/>
                </w:tcPr>
                <w:p w14:paraId="20666929">
                  <w:pPr>
                    <w:pStyle w:val="656"/>
                    <w:snapToGrid w:val="0"/>
                    <w:rPr>
                      <w:rFonts w:hint="eastAsia" w:eastAsia="宋体"/>
                      <w:b/>
                      <w:bCs/>
                      <w:color w:val="auto"/>
                      <w:sz w:val="18"/>
                      <w:szCs w:val="18"/>
                      <w:lang w:val="en-US" w:eastAsia="zh-CN"/>
                    </w:rPr>
                  </w:pPr>
                  <w:r>
                    <w:rPr>
                      <w:rFonts w:hint="eastAsia" w:eastAsia="宋体"/>
                      <w:b/>
                      <w:bCs/>
                      <w:color w:val="auto"/>
                      <w:sz w:val="18"/>
                      <w:szCs w:val="18"/>
                      <w:lang w:val="en-US" w:eastAsia="zh-CN"/>
                    </w:rPr>
                    <w:t>--</w:t>
                  </w:r>
                </w:p>
              </w:tc>
              <w:tc>
                <w:tcPr>
                  <w:tcW w:w="224" w:type="pct"/>
                  <w:shd w:val="clear" w:color="auto" w:fill="BEBEBE" w:themeFill="background1" w:themeFillShade="BF"/>
                  <w:vAlign w:val="center"/>
                </w:tcPr>
                <w:p w14:paraId="5A5256E3">
                  <w:pPr>
                    <w:pStyle w:val="656"/>
                    <w:snapToGrid w:val="0"/>
                    <w:rPr>
                      <w:rFonts w:hint="eastAsia" w:eastAsia="宋体"/>
                      <w:b/>
                      <w:bCs/>
                      <w:color w:val="auto"/>
                      <w:sz w:val="18"/>
                      <w:szCs w:val="18"/>
                      <w:lang w:val="en-US" w:eastAsia="zh-CN"/>
                    </w:rPr>
                  </w:pPr>
                  <w:r>
                    <w:rPr>
                      <w:rFonts w:hint="eastAsia" w:eastAsia="宋体"/>
                      <w:b/>
                      <w:bCs/>
                      <w:color w:val="auto"/>
                      <w:sz w:val="18"/>
                      <w:szCs w:val="18"/>
                      <w:lang w:val="en-US" w:eastAsia="zh-CN"/>
                    </w:rPr>
                    <w:t>--</w:t>
                  </w:r>
                </w:p>
              </w:tc>
              <w:tc>
                <w:tcPr>
                  <w:tcW w:w="264" w:type="pct"/>
                  <w:shd w:val="clear" w:color="auto" w:fill="BEBEBE" w:themeFill="background1" w:themeFillShade="BF"/>
                  <w:vAlign w:val="center"/>
                </w:tcPr>
                <w:p w14:paraId="414FC679">
                  <w:pPr>
                    <w:pStyle w:val="656"/>
                    <w:snapToGrid w:val="0"/>
                    <w:rPr>
                      <w:rFonts w:hint="eastAsia" w:eastAsia="宋体"/>
                      <w:b/>
                      <w:bCs/>
                      <w:color w:val="auto"/>
                      <w:sz w:val="18"/>
                      <w:szCs w:val="18"/>
                      <w:lang w:val="en-US" w:eastAsia="zh-CN"/>
                    </w:rPr>
                  </w:pPr>
                  <w:r>
                    <w:rPr>
                      <w:rFonts w:hint="eastAsia" w:eastAsia="宋体"/>
                      <w:b/>
                      <w:bCs/>
                      <w:color w:val="auto"/>
                      <w:sz w:val="18"/>
                      <w:szCs w:val="18"/>
                      <w:lang w:val="en-US" w:eastAsia="zh-CN"/>
                    </w:rPr>
                    <w:t>--</w:t>
                  </w:r>
                </w:p>
              </w:tc>
              <w:tc>
                <w:tcPr>
                  <w:tcW w:w="1005" w:type="dxa"/>
                  <w:shd w:val="clear" w:color="auto" w:fill="BEBEBE" w:themeFill="background1" w:themeFillShade="BF"/>
                  <w:vAlign w:val="center"/>
                </w:tcPr>
                <w:p w14:paraId="705AB829">
                  <w:pPr>
                    <w:keepNext w:val="0"/>
                    <w:keepLines w:val="0"/>
                    <w:widowControl/>
                    <w:suppressLineNumbers w:val="0"/>
                    <w:jc w:val="center"/>
                    <w:textAlignment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i w:val="0"/>
                      <w:iCs w:val="0"/>
                      <w:snapToGrid w:val="0"/>
                      <w:color w:val="auto"/>
                      <w:kern w:val="0"/>
                      <w:sz w:val="18"/>
                      <w:szCs w:val="18"/>
                      <w:u w:val="none"/>
                      <w:lang w:val="en-US" w:eastAsia="zh-CN" w:bidi="ar"/>
                    </w:rPr>
                    <w:t>3.24</w:t>
                  </w:r>
                </w:p>
              </w:tc>
              <w:tc>
                <w:tcPr>
                  <w:tcW w:w="1092" w:type="dxa"/>
                  <w:shd w:val="clear" w:color="auto" w:fill="BEBEBE" w:themeFill="background1" w:themeFillShade="BF"/>
                  <w:vAlign w:val="center"/>
                </w:tcPr>
                <w:p w14:paraId="76FB1AF5">
                  <w:pPr>
                    <w:keepNext w:val="0"/>
                    <w:keepLines w:val="0"/>
                    <w:widowControl/>
                    <w:suppressLineNumbers w:val="0"/>
                    <w:jc w:val="center"/>
                    <w:textAlignment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i w:val="0"/>
                      <w:iCs w:val="0"/>
                      <w:snapToGrid w:val="0"/>
                      <w:color w:val="auto"/>
                      <w:kern w:val="0"/>
                      <w:sz w:val="18"/>
                      <w:szCs w:val="18"/>
                      <w:u w:val="none"/>
                      <w:lang w:val="en-US" w:eastAsia="zh-CN" w:bidi="ar"/>
                    </w:rPr>
                    <w:t>0.081</w:t>
                  </w:r>
                </w:p>
              </w:tc>
              <w:tc>
                <w:tcPr>
                  <w:tcW w:w="1048" w:type="dxa"/>
                  <w:shd w:val="clear" w:color="auto" w:fill="BEBEBE" w:themeFill="background1" w:themeFillShade="BF"/>
                  <w:vAlign w:val="center"/>
                </w:tcPr>
                <w:p w14:paraId="064A23E9">
                  <w:pPr>
                    <w:keepNext w:val="0"/>
                    <w:keepLines w:val="0"/>
                    <w:widowControl/>
                    <w:suppressLineNumbers w:val="0"/>
                    <w:jc w:val="center"/>
                    <w:textAlignment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i w:val="0"/>
                      <w:iCs w:val="0"/>
                      <w:snapToGrid w:val="0"/>
                      <w:color w:val="auto"/>
                      <w:kern w:val="0"/>
                      <w:sz w:val="18"/>
                      <w:szCs w:val="18"/>
                      <w:u w:val="none"/>
                      <w:lang w:val="en-US" w:eastAsia="zh-CN" w:bidi="ar"/>
                    </w:rPr>
                    <w:t>0.19386</w:t>
                  </w:r>
                </w:p>
              </w:tc>
              <w:tc>
                <w:tcPr>
                  <w:tcW w:w="256" w:type="pct"/>
                  <w:vMerge w:val="continue"/>
                  <w:vAlign w:val="center"/>
                </w:tcPr>
                <w:p w14:paraId="1005FF34">
                  <w:pPr>
                    <w:pStyle w:val="656"/>
                    <w:snapToGrid w:val="0"/>
                    <w:rPr>
                      <w:rFonts w:hint="eastAsia" w:eastAsia="宋体"/>
                      <w:color w:val="auto"/>
                      <w:sz w:val="18"/>
                      <w:szCs w:val="18"/>
                    </w:rPr>
                  </w:pPr>
                </w:p>
              </w:tc>
            </w:tr>
          </w:tbl>
          <w:p w14:paraId="217C95C4">
            <w:pPr>
              <w:jc w:val="center"/>
              <w:rPr>
                <w:b/>
                <w:color w:val="auto"/>
                <w:lang w:bidi="ar"/>
              </w:rPr>
            </w:pPr>
            <w:r>
              <w:rPr>
                <w:b/>
                <w:color w:val="auto"/>
                <w:lang w:bidi="ar"/>
              </w:rPr>
              <w:t>表</w:t>
            </w:r>
            <w:r>
              <w:rPr>
                <w:rFonts w:hint="eastAsia"/>
                <w:b/>
                <w:color w:val="auto"/>
                <w:lang w:bidi="ar"/>
              </w:rPr>
              <w:t>4</w:t>
            </w:r>
            <w:r>
              <w:rPr>
                <w:b/>
                <w:color w:val="auto"/>
                <w:lang w:bidi="ar"/>
              </w:rPr>
              <w:t>-</w:t>
            </w:r>
            <w:r>
              <w:rPr>
                <w:rFonts w:hint="eastAsia"/>
                <w:b/>
                <w:color w:val="auto"/>
                <w:lang w:bidi="ar"/>
              </w:rPr>
              <w:t>2   本项目无组织废气产生及排放情况</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114"/>
              <w:gridCol w:w="1048"/>
              <w:gridCol w:w="1124"/>
              <w:gridCol w:w="1371"/>
              <w:gridCol w:w="1371"/>
              <w:gridCol w:w="1190"/>
              <w:gridCol w:w="1190"/>
              <w:gridCol w:w="1190"/>
              <w:gridCol w:w="1302"/>
              <w:gridCol w:w="1302"/>
              <w:gridCol w:w="1075"/>
            </w:tblGrid>
            <w:tr w14:paraId="7D43E8D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19" w:type="pct"/>
                  <w:vMerge w:val="restart"/>
                  <w:vAlign w:val="center"/>
                </w:tcPr>
                <w:p w14:paraId="31431DE1">
                  <w:pPr>
                    <w:pStyle w:val="656"/>
                    <w:keepNext w:val="0"/>
                    <w:keepLines w:val="0"/>
                    <w:pageBreakBefore w:val="0"/>
                    <w:kinsoku/>
                    <w:wordWrap/>
                    <w:overflowPunct/>
                    <w:topLinePunct w:val="0"/>
                    <w:autoSpaceDE/>
                    <w:autoSpaceDN/>
                    <w:bidi w:val="0"/>
                    <w:adjustRightInd w:val="0"/>
                    <w:snapToGrid w:val="0"/>
                    <w:rPr>
                      <w:rFonts w:eastAsia="宋体"/>
                      <w:b/>
                      <w:bCs/>
                      <w:color w:val="auto"/>
                      <w:sz w:val="18"/>
                      <w:szCs w:val="18"/>
                    </w:rPr>
                  </w:pPr>
                  <w:r>
                    <w:rPr>
                      <w:rFonts w:eastAsia="宋体"/>
                      <w:b/>
                      <w:bCs/>
                      <w:color w:val="auto"/>
                      <w:sz w:val="18"/>
                      <w:szCs w:val="18"/>
                    </w:rPr>
                    <w:t>污染源</w:t>
                  </w:r>
                </w:p>
              </w:tc>
              <w:tc>
                <w:tcPr>
                  <w:tcW w:w="394" w:type="pct"/>
                  <w:vMerge w:val="restart"/>
                  <w:vAlign w:val="center"/>
                </w:tcPr>
                <w:p w14:paraId="03EB17D6">
                  <w:pPr>
                    <w:pStyle w:val="656"/>
                    <w:keepNext w:val="0"/>
                    <w:keepLines w:val="0"/>
                    <w:pageBreakBefore w:val="0"/>
                    <w:kinsoku/>
                    <w:wordWrap/>
                    <w:overflowPunct/>
                    <w:topLinePunct w:val="0"/>
                    <w:autoSpaceDE/>
                    <w:autoSpaceDN/>
                    <w:bidi w:val="0"/>
                    <w:adjustRightInd w:val="0"/>
                    <w:snapToGrid w:val="0"/>
                    <w:rPr>
                      <w:rFonts w:eastAsia="宋体"/>
                      <w:b/>
                      <w:bCs/>
                      <w:color w:val="auto"/>
                      <w:sz w:val="18"/>
                      <w:szCs w:val="18"/>
                    </w:rPr>
                  </w:pPr>
                  <w:r>
                    <w:rPr>
                      <w:rFonts w:hint="eastAsia" w:eastAsia="宋体"/>
                      <w:b/>
                      <w:bCs/>
                      <w:color w:val="auto"/>
                      <w:sz w:val="18"/>
                      <w:szCs w:val="18"/>
                    </w:rPr>
                    <w:t>产污</w:t>
                  </w:r>
                </w:p>
                <w:p w14:paraId="3646ABEA">
                  <w:pPr>
                    <w:pStyle w:val="656"/>
                    <w:keepNext w:val="0"/>
                    <w:keepLines w:val="0"/>
                    <w:pageBreakBefore w:val="0"/>
                    <w:kinsoku/>
                    <w:wordWrap/>
                    <w:overflowPunct/>
                    <w:topLinePunct w:val="0"/>
                    <w:autoSpaceDE/>
                    <w:autoSpaceDN/>
                    <w:bidi w:val="0"/>
                    <w:adjustRightInd w:val="0"/>
                    <w:snapToGrid w:val="0"/>
                    <w:rPr>
                      <w:rFonts w:eastAsia="宋体"/>
                      <w:b/>
                      <w:bCs/>
                      <w:color w:val="auto"/>
                      <w:sz w:val="18"/>
                      <w:szCs w:val="18"/>
                    </w:rPr>
                  </w:pPr>
                  <w:r>
                    <w:rPr>
                      <w:rFonts w:hint="eastAsia" w:eastAsia="宋体"/>
                      <w:b/>
                      <w:bCs/>
                      <w:color w:val="auto"/>
                      <w:sz w:val="18"/>
                      <w:szCs w:val="18"/>
                    </w:rPr>
                    <w:t>环节</w:t>
                  </w:r>
                </w:p>
              </w:tc>
              <w:tc>
                <w:tcPr>
                  <w:tcW w:w="423" w:type="pct"/>
                  <w:vMerge w:val="restart"/>
                  <w:vAlign w:val="center"/>
                </w:tcPr>
                <w:p w14:paraId="62694C21">
                  <w:pPr>
                    <w:pStyle w:val="656"/>
                    <w:keepNext w:val="0"/>
                    <w:keepLines w:val="0"/>
                    <w:pageBreakBefore w:val="0"/>
                    <w:kinsoku/>
                    <w:wordWrap/>
                    <w:overflowPunct/>
                    <w:topLinePunct w:val="0"/>
                    <w:autoSpaceDE/>
                    <w:autoSpaceDN/>
                    <w:bidi w:val="0"/>
                    <w:adjustRightInd w:val="0"/>
                    <w:snapToGrid w:val="0"/>
                    <w:rPr>
                      <w:rFonts w:eastAsia="宋体"/>
                      <w:b/>
                      <w:bCs/>
                      <w:color w:val="auto"/>
                      <w:sz w:val="18"/>
                      <w:szCs w:val="18"/>
                    </w:rPr>
                  </w:pPr>
                  <w:r>
                    <w:rPr>
                      <w:rFonts w:eastAsia="宋体"/>
                      <w:b/>
                      <w:bCs/>
                      <w:color w:val="auto"/>
                      <w:sz w:val="18"/>
                      <w:szCs w:val="18"/>
                    </w:rPr>
                    <w:t>污染物</w:t>
                  </w:r>
                </w:p>
              </w:tc>
              <w:tc>
                <w:tcPr>
                  <w:tcW w:w="1032" w:type="pct"/>
                  <w:gridSpan w:val="2"/>
                  <w:vAlign w:val="center"/>
                </w:tcPr>
                <w:p w14:paraId="40CEAC97">
                  <w:pPr>
                    <w:pStyle w:val="656"/>
                    <w:keepNext w:val="0"/>
                    <w:keepLines w:val="0"/>
                    <w:pageBreakBefore w:val="0"/>
                    <w:kinsoku/>
                    <w:wordWrap/>
                    <w:overflowPunct/>
                    <w:topLinePunct w:val="0"/>
                    <w:autoSpaceDE/>
                    <w:autoSpaceDN/>
                    <w:bidi w:val="0"/>
                    <w:adjustRightInd w:val="0"/>
                    <w:snapToGrid w:val="0"/>
                    <w:rPr>
                      <w:rFonts w:eastAsia="宋体"/>
                      <w:b/>
                      <w:bCs/>
                      <w:color w:val="auto"/>
                      <w:sz w:val="18"/>
                      <w:szCs w:val="18"/>
                    </w:rPr>
                  </w:pPr>
                  <w:r>
                    <w:rPr>
                      <w:rFonts w:eastAsia="宋体"/>
                      <w:b/>
                      <w:bCs/>
                      <w:color w:val="auto"/>
                      <w:sz w:val="18"/>
                      <w:szCs w:val="18"/>
                    </w:rPr>
                    <w:t>污染物产生</w:t>
                  </w:r>
                  <w:r>
                    <w:rPr>
                      <w:rFonts w:hint="eastAsia" w:eastAsia="宋体"/>
                      <w:b/>
                      <w:bCs/>
                      <w:color w:val="auto"/>
                      <w:sz w:val="18"/>
                      <w:szCs w:val="18"/>
                    </w:rPr>
                    <w:t>情况</w:t>
                  </w:r>
                </w:p>
              </w:tc>
              <w:tc>
                <w:tcPr>
                  <w:tcW w:w="1344" w:type="pct"/>
                  <w:gridSpan w:val="3"/>
                  <w:vAlign w:val="center"/>
                </w:tcPr>
                <w:p w14:paraId="28FE0123">
                  <w:pPr>
                    <w:pStyle w:val="656"/>
                    <w:keepNext w:val="0"/>
                    <w:keepLines w:val="0"/>
                    <w:pageBreakBefore w:val="0"/>
                    <w:kinsoku/>
                    <w:wordWrap/>
                    <w:overflowPunct/>
                    <w:topLinePunct w:val="0"/>
                    <w:autoSpaceDE/>
                    <w:autoSpaceDN/>
                    <w:bidi w:val="0"/>
                    <w:adjustRightInd w:val="0"/>
                    <w:snapToGrid w:val="0"/>
                    <w:rPr>
                      <w:rFonts w:eastAsia="宋体"/>
                      <w:b/>
                      <w:bCs/>
                      <w:color w:val="auto"/>
                      <w:sz w:val="18"/>
                      <w:szCs w:val="18"/>
                    </w:rPr>
                  </w:pPr>
                  <w:r>
                    <w:rPr>
                      <w:rFonts w:eastAsia="宋体"/>
                      <w:b/>
                      <w:bCs/>
                      <w:color w:val="auto"/>
                      <w:sz w:val="18"/>
                      <w:szCs w:val="18"/>
                    </w:rPr>
                    <w:t>治理设施</w:t>
                  </w:r>
                </w:p>
              </w:tc>
              <w:tc>
                <w:tcPr>
                  <w:tcW w:w="1385" w:type="pct"/>
                  <w:gridSpan w:val="3"/>
                  <w:vAlign w:val="center"/>
                </w:tcPr>
                <w:p w14:paraId="53549D25">
                  <w:pPr>
                    <w:pStyle w:val="656"/>
                    <w:keepNext w:val="0"/>
                    <w:keepLines w:val="0"/>
                    <w:pageBreakBefore w:val="0"/>
                    <w:kinsoku/>
                    <w:wordWrap/>
                    <w:overflowPunct/>
                    <w:topLinePunct w:val="0"/>
                    <w:autoSpaceDE/>
                    <w:autoSpaceDN/>
                    <w:bidi w:val="0"/>
                    <w:adjustRightInd w:val="0"/>
                    <w:snapToGrid w:val="0"/>
                    <w:rPr>
                      <w:rFonts w:eastAsia="宋体"/>
                      <w:b/>
                      <w:bCs/>
                      <w:color w:val="auto"/>
                      <w:sz w:val="18"/>
                      <w:szCs w:val="18"/>
                    </w:rPr>
                  </w:pPr>
                  <w:r>
                    <w:rPr>
                      <w:rFonts w:eastAsia="宋体"/>
                      <w:b/>
                      <w:bCs/>
                      <w:color w:val="auto"/>
                      <w:sz w:val="18"/>
                      <w:szCs w:val="18"/>
                    </w:rPr>
                    <w:t>污染物排放</w:t>
                  </w:r>
                  <w:r>
                    <w:rPr>
                      <w:rFonts w:hint="eastAsia" w:eastAsia="宋体"/>
                      <w:b/>
                      <w:bCs/>
                      <w:color w:val="auto"/>
                      <w:sz w:val="18"/>
                      <w:szCs w:val="18"/>
                    </w:rPr>
                    <w:t>情况</w:t>
                  </w:r>
                </w:p>
              </w:tc>
            </w:tr>
            <w:tr w14:paraId="28ABD42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19" w:type="pct"/>
                  <w:vMerge w:val="continue"/>
                  <w:vAlign w:val="center"/>
                </w:tcPr>
                <w:p w14:paraId="36B6B293">
                  <w:pPr>
                    <w:pStyle w:val="656"/>
                    <w:keepNext w:val="0"/>
                    <w:keepLines w:val="0"/>
                    <w:pageBreakBefore w:val="0"/>
                    <w:kinsoku/>
                    <w:wordWrap/>
                    <w:overflowPunct/>
                    <w:topLinePunct w:val="0"/>
                    <w:autoSpaceDE/>
                    <w:autoSpaceDN/>
                    <w:bidi w:val="0"/>
                    <w:adjustRightInd w:val="0"/>
                    <w:snapToGrid w:val="0"/>
                    <w:rPr>
                      <w:rFonts w:eastAsia="宋体"/>
                      <w:b/>
                      <w:bCs/>
                      <w:color w:val="auto"/>
                      <w:sz w:val="18"/>
                      <w:szCs w:val="18"/>
                    </w:rPr>
                  </w:pPr>
                </w:p>
              </w:tc>
              <w:tc>
                <w:tcPr>
                  <w:tcW w:w="394" w:type="pct"/>
                  <w:vMerge w:val="continue"/>
                  <w:vAlign w:val="center"/>
                </w:tcPr>
                <w:p w14:paraId="10C12A7A">
                  <w:pPr>
                    <w:pStyle w:val="656"/>
                    <w:keepNext w:val="0"/>
                    <w:keepLines w:val="0"/>
                    <w:pageBreakBefore w:val="0"/>
                    <w:kinsoku/>
                    <w:wordWrap/>
                    <w:overflowPunct/>
                    <w:topLinePunct w:val="0"/>
                    <w:autoSpaceDE/>
                    <w:autoSpaceDN/>
                    <w:bidi w:val="0"/>
                    <w:adjustRightInd w:val="0"/>
                    <w:snapToGrid w:val="0"/>
                    <w:rPr>
                      <w:rFonts w:eastAsia="宋体"/>
                      <w:b/>
                      <w:bCs/>
                      <w:color w:val="auto"/>
                      <w:sz w:val="18"/>
                      <w:szCs w:val="18"/>
                    </w:rPr>
                  </w:pPr>
                </w:p>
              </w:tc>
              <w:tc>
                <w:tcPr>
                  <w:tcW w:w="423" w:type="pct"/>
                  <w:vMerge w:val="continue"/>
                  <w:vAlign w:val="center"/>
                </w:tcPr>
                <w:p w14:paraId="1458E5D7">
                  <w:pPr>
                    <w:pStyle w:val="656"/>
                    <w:keepNext w:val="0"/>
                    <w:keepLines w:val="0"/>
                    <w:pageBreakBefore w:val="0"/>
                    <w:kinsoku/>
                    <w:wordWrap/>
                    <w:overflowPunct/>
                    <w:topLinePunct w:val="0"/>
                    <w:autoSpaceDE/>
                    <w:autoSpaceDN/>
                    <w:bidi w:val="0"/>
                    <w:adjustRightInd w:val="0"/>
                    <w:snapToGrid w:val="0"/>
                    <w:rPr>
                      <w:rFonts w:eastAsia="宋体"/>
                      <w:b/>
                      <w:bCs/>
                      <w:color w:val="auto"/>
                      <w:sz w:val="18"/>
                      <w:szCs w:val="18"/>
                    </w:rPr>
                  </w:pPr>
                </w:p>
              </w:tc>
              <w:tc>
                <w:tcPr>
                  <w:tcW w:w="516" w:type="pct"/>
                  <w:vAlign w:val="center"/>
                </w:tcPr>
                <w:p w14:paraId="7F1F63E1">
                  <w:pPr>
                    <w:pStyle w:val="656"/>
                    <w:keepNext w:val="0"/>
                    <w:keepLines w:val="0"/>
                    <w:pageBreakBefore w:val="0"/>
                    <w:kinsoku/>
                    <w:wordWrap/>
                    <w:overflowPunct/>
                    <w:topLinePunct w:val="0"/>
                    <w:autoSpaceDE/>
                    <w:autoSpaceDN/>
                    <w:bidi w:val="0"/>
                    <w:adjustRightInd w:val="0"/>
                    <w:snapToGrid w:val="0"/>
                    <w:rPr>
                      <w:rFonts w:eastAsia="宋体"/>
                      <w:b/>
                      <w:bCs/>
                      <w:color w:val="auto"/>
                      <w:sz w:val="18"/>
                      <w:szCs w:val="18"/>
                    </w:rPr>
                  </w:pPr>
                  <w:r>
                    <w:rPr>
                      <w:rFonts w:eastAsia="宋体"/>
                      <w:b/>
                      <w:bCs/>
                      <w:color w:val="auto"/>
                      <w:sz w:val="18"/>
                      <w:szCs w:val="18"/>
                    </w:rPr>
                    <w:t>产生</w:t>
                  </w:r>
                  <w:r>
                    <w:rPr>
                      <w:rFonts w:hint="eastAsia" w:eastAsia="宋体"/>
                      <w:b/>
                      <w:bCs/>
                      <w:color w:val="auto"/>
                      <w:sz w:val="18"/>
                      <w:szCs w:val="18"/>
                    </w:rPr>
                    <w:t>速率kg</w:t>
                  </w:r>
                  <w:r>
                    <w:rPr>
                      <w:rFonts w:eastAsia="宋体"/>
                      <w:b/>
                      <w:bCs/>
                      <w:color w:val="auto"/>
                      <w:sz w:val="18"/>
                      <w:szCs w:val="18"/>
                    </w:rPr>
                    <w:t>/h</w:t>
                  </w:r>
                </w:p>
              </w:tc>
              <w:tc>
                <w:tcPr>
                  <w:tcW w:w="516" w:type="pct"/>
                  <w:vAlign w:val="center"/>
                </w:tcPr>
                <w:p w14:paraId="52C10BDC">
                  <w:pPr>
                    <w:pStyle w:val="656"/>
                    <w:keepNext w:val="0"/>
                    <w:keepLines w:val="0"/>
                    <w:pageBreakBefore w:val="0"/>
                    <w:kinsoku/>
                    <w:wordWrap/>
                    <w:overflowPunct/>
                    <w:topLinePunct w:val="0"/>
                    <w:autoSpaceDE/>
                    <w:autoSpaceDN/>
                    <w:bidi w:val="0"/>
                    <w:adjustRightInd w:val="0"/>
                    <w:snapToGrid w:val="0"/>
                    <w:rPr>
                      <w:rFonts w:eastAsia="宋体"/>
                      <w:b/>
                      <w:bCs/>
                      <w:color w:val="auto"/>
                      <w:sz w:val="18"/>
                      <w:szCs w:val="18"/>
                    </w:rPr>
                  </w:pPr>
                  <w:r>
                    <w:rPr>
                      <w:rFonts w:eastAsia="宋体"/>
                      <w:b/>
                      <w:bCs/>
                      <w:color w:val="auto"/>
                      <w:sz w:val="18"/>
                      <w:szCs w:val="18"/>
                    </w:rPr>
                    <w:t>产生量</w:t>
                  </w:r>
                  <w:r>
                    <w:rPr>
                      <w:rFonts w:hint="eastAsia" w:eastAsia="宋体"/>
                      <w:b/>
                      <w:bCs/>
                      <w:color w:val="auto"/>
                      <w:sz w:val="18"/>
                      <w:szCs w:val="18"/>
                    </w:rPr>
                    <w:t>t</w:t>
                  </w:r>
                  <w:r>
                    <w:rPr>
                      <w:rFonts w:eastAsia="宋体"/>
                      <w:b/>
                      <w:bCs/>
                      <w:color w:val="auto"/>
                      <w:sz w:val="18"/>
                      <w:szCs w:val="18"/>
                    </w:rPr>
                    <w:t>/a</w:t>
                  </w:r>
                </w:p>
              </w:tc>
              <w:tc>
                <w:tcPr>
                  <w:tcW w:w="448" w:type="pct"/>
                  <w:vAlign w:val="center"/>
                </w:tcPr>
                <w:p w14:paraId="65D5D848">
                  <w:pPr>
                    <w:pStyle w:val="656"/>
                    <w:keepNext w:val="0"/>
                    <w:keepLines w:val="0"/>
                    <w:pageBreakBefore w:val="0"/>
                    <w:kinsoku/>
                    <w:wordWrap/>
                    <w:overflowPunct/>
                    <w:topLinePunct w:val="0"/>
                    <w:autoSpaceDE/>
                    <w:autoSpaceDN/>
                    <w:bidi w:val="0"/>
                    <w:adjustRightInd w:val="0"/>
                    <w:snapToGrid w:val="0"/>
                    <w:rPr>
                      <w:rFonts w:eastAsia="宋体"/>
                      <w:b/>
                      <w:bCs/>
                      <w:color w:val="auto"/>
                      <w:sz w:val="18"/>
                      <w:szCs w:val="18"/>
                    </w:rPr>
                  </w:pPr>
                  <w:r>
                    <w:rPr>
                      <w:rFonts w:eastAsia="宋体"/>
                      <w:b/>
                      <w:bCs/>
                      <w:color w:val="auto"/>
                      <w:sz w:val="18"/>
                      <w:szCs w:val="18"/>
                    </w:rPr>
                    <w:t>收集效率%</w:t>
                  </w:r>
                </w:p>
              </w:tc>
              <w:tc>
                <w:tcPr>
                  <w:tcW w:w="448" w:type="pct"/>
                  <w:vAlign w:val="center"/>
                </w:tcPr>
                <w:p w14:paraId="0E0BB75D">
                  <w:pPr>
                    <w:pStyle w:val="656"/>
                    <w:keepNext w:val="0"/>
                    <w:keepLines w:val="0"/>
                    <w:pageBreakBefore w:val="0"/>
                    <w:kinsoku/>
                    <w:wordWrap/>
                    <w:overflowPunct/>
                    <w:topLinePunct w:val="0"/>
                    <w:autoSpaceDE/>
                    <w:autoSpaceDN/>
                    <w:bidi w:val="0"/>
                    <w:adjustRightInd w:val="0"/>
                    <w:snapToGrid w:val="0"/>
                    <w:rPr>
                      <w:rFonts w:eastAsia="宋体"/>
                      <w:b/>
                      <w:bCs/>
                      <w:color w:val="auto"/>
                      <w:sz w:val="18"/>
                      <w:szCs w:val="18"/>
                    </w:rPr>
                  </w:pPr>
                  <w:r>
                    <w:rPr>
                      <w:rFonts w:eastAsia="宋体"/>
                      <w:b/>
                      <w:bCs/>
                      <w:color w:val="auto"/>
                      <w:sz w:val="18"/>
                      <w:szCs w:val="18"/>
                    </w:rPr>
                    <w:t>治理工艺</w:t>
                  </w:r>
                </w:p>
              </w:tc>
              <w:tc>
                <w:tcPr>
                  <w:tcW w:w="448" w:type="pct"/>
                  <w:vAlign w:val="center"/>
                </w:tcPr>
                <w:p w14:paraId="2BCCEED9">
                  <w:pPr>
                    <w:pStyle w:val="656"/>
                    <w:keepNext w:val="0"/>
                    <w:keepLines w:val="0"/>
                    <w:pageBreakBefore w:val="0"/>
                    <w:kinsoku/>
                    <w:wordWrap/>
                    <w:overflowPunct/>
                    <w:topLinePunct w:val="0"/>
                    <w:autoSpaceDE/>
                    <w:autoSpaceDN/>
                    <w:bidi w:val="0"/>
                    <w:adjustRightInd w:val="0"/>
                    <w:snapToGrid w:val="0"/>
                    <w:rPr>
                      <w:rFonts w:eastAsia="宋体"/>
                      <w:b/>
                      <w:bCs/>
                      <w:color w:val="auto"/>
                      <w:sz w:val="18"/>
                      <w:szCs w:val="18"/>
                    </w:rPr>
                  </w:pPr>
                  <w:r>
                    <w:rPr>
                      <w:rFonts w:eastAsia="宋体"/>
                      <w:b/>
                      <w:bCs/>
                      <w:color w:val="auto"/>
                      <w:sz w:val="18"/>
                      <w:szCs w:val="18"/>
                    </w:rPr>
                    <w:t>去除效率%</w:t>
                  </w:r>
                </w:p>
              </w:tc>
              <w:tc>
                <w:tcPr>
                  <w:tcW w:w="490" w:type="pct"/>
                  <w:vAlign w:val="center"/>
                </w:tcPr>
                <w:p w14:paraId="27E250D7">
                  <w:pPr>
                    <w:pStyle w:val="656"/>
                    <w:keepNext w:val="0"/>
                    <w:keepLines w:val="0"/>
                    <w:pageBreakBefore w:val="0"/>
                    <w:kinsoku/>
                    <w:wordWrap/>
                    <w:overflowPunct/>
                    <w:topLinePunct w:val="0"/>
                    <w:autoSpaceDE/>
                    <w:autoSpaceDN/>
                    <w:bidi w:val="0"/>
                    <w:adjustRightInd w:val="0"/>
                    <w:snapToGrid w:val="0"/>
                    <w:rPr>
                      <w:rFonts w:eastAsia="宋体"/>
                      <w:b/>
                      <w:bCs/>
                      <w:color w:val="auto"/>
                      <w:sz w:val="18"/>
                      <w:szCs w:val="18"/>
                    </w:rPr>
                  </w:pPr>
                  <w:r>
                    <w:rPr>
                      <w:rFonts w:eastAsia="宋体"/>
                      <w:b/>
                      <w:bCs/>
                      <w:color w:val="auto"/>
                      <w:sz w:val="18"/>
                      <w:szCs w:val="18"/>
                    </w:rPr>
                    <w:t>排放</w:t>
                  </w:r>
                  <w:r>
                    <w:rPr>
                      <w:rFonts w:hint="eastAsia" w:eastAsia="宋体"/>
                      <w:b/>
                      <w:bCs/>
                      <w:color w:val="auto"/>
                      <w:sz w:val="18"/>
                      <w:szCs w:val="18"/>
                    </w:rPr>
                    <w:t>速率kg</w:t>
                  </w:r>
                  <w:r>
                    <w:rPr>
                      <w:rFonts w:eastAsia="宋体"/>
                      <w:b/>
                      <w:bCs/>
                      <w:color w:val="auto"/>
                      <w:sz w:val="18"/>
                      <w:szCs w:val="18"/>
                    </w:rPr>
                    <w:t>/h</w:t>
                  </w:r>
                </w:p>
              </w:tc>
              <w:tc>
                <w:tcPr>
                  <w:tcW w:w="490" w:type="pct"/>
                  <w:vAlign w:val="center"/>
                </w:tcPr>
                <w:p w14:paraId="55CD2E21">
                  <w:pPr>
                    <w:pStyle w:val="656"/>
                    <w:keepNext w:val="0"/>
                    <w:keepLines w:val="0"/>
                    <w:pageBreakBefore w:val="0"/>
                    <w:kinsoku/>
                    <w:wordWrap/>
                    <w:overflowPunct/>
                    <w:topLinePunct w:val="0"/>
                    <w:autoSpaceDE/>
                    <w:autoSpaceDN/>
                    <w:bidi w:val="0"/>
                    <w:adjustRightInd w:val="0"/>
                    <w:snapToGrid w:val="0"/>
                    <w:rPr>
                      <w:rFonts w:eastAsia="宋体"/>
                      <w:b/>
                      <w:bCs/>
                      <w:color w:val="auto"/>
                      <w:sz w:val="18"/>
                      <w:szCs w:val="18"/>
                    </w:rPr>
                  </w:pPr>
                  <w:r>
                    <w:rPr>
                      <w:rFonts w:eastAsia="宋体"/>
                      <w:b/>
                      <w:bCs/>
                      <w:color w:val="auto"/>
                      <w:sz w:val="18"/>
                      <w:szCs w:val="18"/>
                    </w:rPr>
                    <w:t>排放量</w:t>
                  </w:r>
                  <w:r>
                    <w:rPr>
                      <w:rFonts w:hint="eastAsia" w:eastAsia="宋体"/>
                      <w:b/>
                      <w:bCs/>
                      <w:color w:val="auto"/>
                      <w:sz w:val="18"/>
                      <w:szCs w:val="18"/>
                    </w:rPr>
                    <w:t>t</w:t>
                  </w:r>
                  <w:r>
                    <w:rPr>
                      <w:rFonts w:eastAsia="宋体"/>
                      <w:b/>
                      <w:bCs/>
                      <w:color w:val="auto"/>
                      <w:sz w:val="18"/>
                      <w:szCs w:val="18"/>
                    </w:rPr>
                    <w:t>/a</w:t>
                  </w:r>
                </w:p>
              </w:tc>
              <w:tc>
                <w:tcPr>
                  <w:tcW w:w="404" w:type="pct"/>
                  <w:vAlign w:val="center"/>
                </w:tcPr>
                <w:p w14:paraId="4FD3BEB2">
                  <w:pPr>
                    <w:pStyle w:val="656"/>
                    <w:keepNext w:val="0"/>
                    <w:keepLines w:val="0"/>
                    <w:pageBreakBefore w:val="0"/>
                    <w:kinsoku/>
                    <w:wordWrap/>
                    <w:overflowPunct/>
                    <w:topLinePunct w:val="0"/>
                    <w:autoSpaceDE/>
                    <w:autoSpaceDN/>
                    <w:bidi w:val="0"/>
                    <w:adjustRightInd w:val="0"/>
                    <w:snapToGrid w:val="0"/>
                    <w:rPr>
                      <w:rFonts w:eastAsia="宋体"/>
                      <w:b/>
                      <w:bCs/>
                      <w:color w:val="auto"/>
                      <w:sz w:val="18"/>
                      <w:szCs w:val="18"/>
                    </w:rPr>
                  </w:pPr>
                  <w:r>
                    <w:rPr>
                      <w:rFonts w:hint="eastAsia" w:eastAsia="宋体"/>
                      <w:b/>
                      <w:bCs/>
                      <w:color w:val="auto"/>
                      <w:sz w:val="18"/>
                      <w:szCs w:val="18"/>
                    </w:rPr>
                    <w:t>排放时间h/a</w:t>
                  </w:r>
                </w:p>
              </w:tc>
            </w:tr>
            <w:tr w14:paraId="46223AB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19" w:type="pct"/>
                  <w:vMerge w:val="restart"/>
                  <w:vAlign w:val="center"/>
                </w:tcPr>
                <w:p w14:paraId="0B12E2EF">
                  <w:pPr>
                    <w:pStyle w:val="656"/>
                    <w:keepNext w:val="0"/>
                    <w:keepLines w:val="0"/>
                    <w:pageBreakBefore w:val="0"/>
                    <w:kinsoku/>
                    <w:wordWrap/>
                    <w:overflowPunct/>
                    <w:topLinePunct w:val="0"/>
                    <w:autoSpaceDE/>
                    <w:autoSpaceDN/>
                    <w:bidi w:val="0"/>
                    <w:adjustRightInd w:val="0"/>
                    <w:snapToGrid w:val="0"/>
                    <w:rPr>
                      <w:rFonts w:hint="eastAsia" w:eastAsia="宋体"/>
                      <w:color w:val="auto"/>
                      <w:sz w:val="18"/>
                      <w:szCs w:val="18"/>
                      <w:lang w:eastAsia="zh-CN"/>
                    </w:rPr>
                  </w:pPr>
                  <w:r>
                    <w:rPr>
                      <w:rFonts w:hint="eastAsia" w:eastAsia="宋体"/>
                      <w:color w:val="auto"/>
                      <w:sz w:val="18"/>
                      <w:szCs w:val="18"/>
                      <w:lang w:val="en-US" w:eastAsia="zh-CN"/>
                    </w:rPr>
                    <w:t>生产车间</w:t>
                  </w:r>
                </w:p>
              </w:tc>
              <w:tc>
                <w:tcPr>
                  <w:tcW w:w="394" w:type="pct"/>
                  <w:vAlign w:val="center"/>
                </w:tcPr>
                <w:p w14:paraId="42C63446">
                  <w:pPr>
                    <w:pStyle w:val="656"/>
                    <w:keepNext w:val="0"/>
                    <w:keepLines w:val="0"/>
                    <w:pageBreakBefore w:val="0"/>
                    <w:kinsoku/>
                    <w:wordWrap/>
                    <w:overflowPunct/>
                    <w:topLinePunct w:val="0"/>
                    <w:autoSpaceDE/>
                    <w:autoSpaceDN/>
                    <w:bidi w:val="0"/>
                    <w:adjustRightInd w:val="0"/>
                    <w:snapToGrid w:val="0"/>
                    <w:rPr>
                      <w:rFonts w:hint="default" w:eastAsia="宋体"/>
                      <w:color w:val="auto"/>
                      <w:sz w:val="18"/>
                      <w:szCs w:val="18"/>
                      <w:lang w:val="en-US" w:eastAsia="zh-CN"/>
                    </w:rPr>
                  </w:pPr>
                  <w:r>
                    <w:rPr>
                      <w:rFonts w:hint="eastAsia" w:eastAsia="宋体"/>
                      <w:color w:val="auto"/>
                      <w:sz w:val="18"/>
                      <w:szCs w:val="18"/>
                      <w:lang w:val="en-US" w:eastAsia="zh-CN"/>
                    </w:rPr>
                    <w:t>开料、刨平、铣型、砂磨、齐边精裁、钻孔</w:t>
                  </w:r>
                </w:p>
              </w:tc>
              <w:tc>
                <w:tcPr>
                  <w:tcW w:w="423" w:type="pct"/>
                  <w:vMerge w:val="restart"/>
                  <w:vAlign w:val="center"/>
                </w:tcPr>
                <w:p w14:paraId="6AEA7726">
                  <w:pPr>
                    <w:pStyle w:val="656"/>
                    <w:keepNext w:val="0"/>
                    <w:keepLines w:val="0"/>
                    <w:pageBreakBefore w:val="0"/>
                    <w:kinsoku/>
                    <w:wordWrap/>
                    <w:overflowPunct/>
                    <w:topLinePunct w:val="0"/>
                    <w:autoSpaceDE/>
                    <w:autoSpaceDN/>
                    <w:bidi w:val="0"/>
                    <w:adjustRightInd w:val="0"/>
                    <w:snapToGrid w:val="0"/>
                    <w:rPr>
                      <w:rFonts w:hint="eastAsia" w:eastAsia="宋体"/>
                      <w:color w:val="auto"/>
                      <w:sz w:val="18"/>
                      <w:szCs w:val="18"/>
                      <w:lang w:eastAsia="zh-CN"/>
                    </w:rPr>
                  </w:pPr>
                  <w:r>
                    <w:rPr>
                      <w:rFonts w:hint="eastAsia" w:eastAsia="宋体"/>
                      <w:color w:val="auto"/>
                      <w:sz w:val="18"/>
                      <w:szCs w:val="18"/>
                      <w:lang w:val="en-US" w:eastAsia="zh-CN"/>
                    </w:rPr>
                    <w:t>颗粒物</w:t>
                  </w:r>
                </w:p>
              </w:tc>
              <w:tc>
                <w:tcPr>
                  <w:tcW w:w="516" w:type="pct"/>
                  <w:vAlign w:val="center"/>
                </w:tcPr>
                <w:p w14:paraId="69128A1F">
                  <w:pPr>
                    <w:pStyle w:val="656"/>
                    <w:keepNext w:val="0"/>
                    <w:keepLines w:val="0"/>
                    <w:pageBreakBefore w:val="0"/>
                    <w:kinsoku/>
                    <w:wordWrap/>
                    <w:overflowPunct/>
                    <w:topLinePunct w:val="0"/>
                    <w:autoSpaceDE/>
                    <w:autoSpaceDN/>
                    <w:bidi w:val="0"/>
                    <w:adjustRightInd w:val="0"/>
                    <w:snapToGrid w:val="0"/>
                    <w:rPr>
                      <w:rFonts w:hint="default" w:eastAsia="宋体"/>
                      <w:color w:val="auto"/>
                      <w:sz w:val="18"/>
                      <w:szCs w:val="18"/>
                      <w:lang w:val="en-US" w:eastAsia="zh-CN"/>
                    </w:rPr>
                  </w:pPr>
                  <w:r>
                    <w:rPr>
                      <w:rFonts w:hint="eastAsia" w:eastAsia="宋体"/>
                      <w:color w:val="auto"/>
                      <w:sz w:val="18"/>
                      <w:szCs w:val="18"/>
                      <w:lang w:val="en-US" w:eastAsia="zh-CN"/>
                    </w:rPr>
                    <w:t>0.082</w:t>
                  </w:r>
                </w:p>
              </w:tc>
              <w:tc>
                <w:tcPr>
                  <w:tcW w:w="516" w:type="pct"/>
                  <w:vAlign w:val="center"/>
                </w:tcPr>
                <w:p w14:paraId="3ED8B203">
                  <w:pPr>
                    <w:pStyle w:val="656"/>
                    <w:keepNext w:val="0"/>
                    <w:keepLines w:val="0"/>
                    <w:pageBreakBefore w:val="0"/>
                    <w:kinsoku/>
                    <w:wordWrap/>
                    <w:overflowPunct/>
                    <w:topLinePunct w:val="0"/>
                    <w:autoSpaceDE/>
                    <w:autoSpaceDN/>
                    <w:bidi w:val="0"/>
                    <w:adjustRightInd w:val="0"/>
                    <w:snapToGrid w:val="0"/>
                    <w:rPr>
                      <w:rFonts w:hint="default" w:eastAsia="宋体"/>
                      <w:color w:val="auto"/>
                      <w:sz w:val="18"/>
                      <w:szCs w:val="18"/>
                      <w:lang w:val="en-US" w:eastAsia="zh-CN"/>
                    </w:rPr>
                  </w:pPr>
                  <w:r>
                    <w:rPr>
                      <w:rFonts w:hint="eastAsia" w:eastAsia="宋体"/>
                      <w:color w:val="auto"/>
                      <w:sz w:val="18"/>
                      <w:szCs w:val="18"/>
                      <w:lang w:val="en-US" w:eastAsia="zh-CN"/>
                    </w:rPr>
                    <w:t>0.1965</w:t>
                  </w:r>
                </w:p>
              </w:tc>
              <w:tc>
                <w:tcPr>
                  <w:tcW w:w="448" w:type="pct"/>
                  <w:vAlign w:val="center"/>
                </w:tcPr>
                <w:p w14:paraId="39DF4C66">
                  <w:pPr>
                    <w:pStyle w:val="656"/>
                    <w:keepNext w:val="0"/>
                    <w:keepLines w:val="0"/>
                    <w:pageBreakBefore w:val="0"/>
                    <w:kinsoku/>
                    <w:wordWrap/>
                    <w:overflowPunct/>
                    <w:topLinePunct w:val="0"/>
                    <w:autoSpaceDE/>
                    <w:autoSpaceDN/>
                    <w:bidi w:val="0"/>
                    <w:adjustRightInd w:val="0"/>
                    <w:snapToGrid w:val="0"/>
                    <w:rPr>
                      <w:rFonts w:hint="default" w:eastAsia="宋体"/>
                      <w:color w:val="auto"/>
                      <w:sz w:val="18"/>
                      <w:szCs w:val="18"/>
                      <w:lang w:val="en-US" w:eastAsia="zh-CN"/>
                    </w:rPr>
                  </w:pPr>
                  <w:r>
                    <w:rPr>
                      <w:rFonts w:hint="eastAsia" w:eastAsia="宋体"/>
                      <w:color w:val="auto"/>
                      <w:sz w:val="18"/>
                      <w:szCs w:val="18"/>
                      <w:lang w:val="en-US" w:eastAsia="zh-CN"/>
                    </w:rPr>
                    <w:t>90</w:t>
                  </w:r>
                </w:p>
              </w:tc>
              <w:tc>
                <w:tcPr>
                  <w:tcW w:w="448" w:type="pct"/>
                  <w:vAlign w:val="center"/>
                </w:tcPr>
                <w:p w14:paraId="61DA217E">
                  <w:pPr>
                    <w:keepNext w:val="0"/>
                    <w:keepLines w:val="0"/>
                    <w:pageBreakBefore w:val="0"/>
                    <w:kinsoku/>
                    <w:wordWrap/>
                    <w:overflowPunct/>
                    <w:topLinePunct w:val="0"/>
                    <w:autoSpaceDE/>
                    <w:autoSpaceDN/>
                    <w:bidi w:val="0"/>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移动式布袋除尘器</w:t>
                  </w:r>
                </w:p>
              </w:tc>
              <w:tc>
                <w:tcPr>
                  <w:tcW w:w="448" w:type="pct"/>
                  <w:vAlign w:val="center"/>
                </w:tcPr>
                <w:p w14:paraId="1D0A439A">
                  <w:pPr>
                    <w:keepNext w:val="0"/>
                    <w:keepLines w:val="0"/>
                    <w:pageBreakBefore w:val="0"/>
                    <w:kinsoku/>
                    <w:wordWrap/>
                    <w:overflowPunct/>
                    <w:topLinePunct w:val="0"/>
                    <w:autoSpaceDE/>
                    <w:autoSpaceDN/>
                    <w:bidi w:val="0"/>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95</w:t>
                  </w:r>
                </w:p>
              </w:tc>
              <w:tc>
                <w:tcPr>
                  <w:tcW w:w="490" w:type="pct"/>
                  <w:vAlign w:val="center"/>
                </w:tcPr>
                <w:p w14:paraId="239391DB">
                  <w:pPr>
                    <w:pStyle w:val="656"/>
                    <w:keepNext w:val="0"/>
                    <w:keepLines w:val="0"/>
                    <w:pageBreakBefore w:val="0"/>
                    <w:kinsoku/>
                    <w:wordWrap/>
                    <w:overflowPunct/>
                    <w:topLinePunct w:val="0"/>
                    <w:autoSpaceDE/>
                    <w:autoSpaceDN/>
                    <w:bidi w:val="0"/>
                    <w:adjustRightInd w:val="0"/>
                    <w:snapToGrid w:val="0"/>
                    <w:rPr>
                      <w:rFonts w:hint="default" w:eastAsia="宋体"/>
                      <w:color w:val="auto"/>
                      <w:sz w:val="18"/>
                      <w:szCs w:val="18"/>
                      <w:lang w:val="en-US" w:eastAsia="zh-CN"/>
                    </w:rPr>
                  </w:pPr>
                  <w:r>
                    <w:rPr>
                      <w:rFonts w:hint="eastAsia" w:eastAsia="宋体"/>
                      <w:color w:val="auto"/>
                      <w:sz w:val="18"/>
                      <w:szCs w:val="18"/>
                      <w:lang w:val="en-US" w:eastAsia="zh-CN"/>
                    </w:rPr>
                    <w:t>0.012</w:t>
                  </w:r>
                </w:p>
              </w:tc>
              <w:tc>
                <w:tcPr>
                  <w:tcW w:w="490" w:type="pct"/>
                  <w:vAlign w:val="center"/>
                </w:tcPr>
                <w:p w14:paraId="676CF869">
                  <w:pPr>
                    <w:pStyle w:val="656"/>
                    <w:keepNext w:val="0"/>
                    <w:keepLines w:val="0"/>
                    <w:pageBreakBefore w:val="0"/>
                    <w:kinsoku/>
                    <w:wordWrap/>
                    <w:overflowPunct/>
                    <w:topLinePunct w:val="0"/>
                    <w:autoSpaceDE/>
                    <w:autoSpaceDN/>
                    <w:bidi w:val="0"/>
                    <w:adjustRightInd w:val="0"/>
                    <w:snapToGrid w:val="0"/>
                    <w:rPr>
                      <w:rFonts w:hint="default" w:eastAsia="宋体"/>
                      <w:color w:val="auto"/>
                      <w:sz w:val="18"/>
                      <w:szCs w:val="18"/>
                      <w:lang w:val="en-US" w:eastAsia="zh-CN"/>
                    </w:rPr>
                  </w:pPr>
                  <w:r>
                    <w:rPr>
                      <w:rFonts w:hint="eastAsia" w:eastAsia="宋体"/>
                      <w:color w:val="auto"/>
                      <w:sz w:val="18"/>
                      <w:szCs w:val="18"/>
                      <w:lang w:val="en-US" w:eastAsia="zh-CN"/>
                    </w:rPr>
                    <w:t>0.0285</w:t>
                  </w:r>
                </w:p>
              </w:tc>
              <w:tc>
                <w:tcPr>
                  <w:tcW w:w="404" w:type="pct"/>
                  <w:vMerge w:val="restart"/>
                  <w:vAlign w:val="center"/>
                </w:tcPr>
                <w:p w14:paraId="587B0B8D">
                  <w:pPr>
                    <w:keepNext w:val="0"/>
                    <w:keepLines w:val="0"/>
                    <w:pageBreakBefore w:val="0"/>
                    <w:kinsoku/>
                    <w:wordWrap/>
                    <w:overflowPunct/>
                    <w:topLinePunct w:val="0"/>
                    <w:autoSpaceDE/>
                    <w:autoSpaceDN/>
                    <w:bidi w:val="0"/>
                    <w:adjustRightInd w:val="0"/>
                    <w:snapToGrid w:val="0"/>
                    <w:jc w:val="center"/>
                    <w:rPr>
                      <w:color w:val="auto"/>
                      <w:sz w:val="18"/>
                      <w:szCs w:val="18"/>
                    </w:rPr>
                  </w:pPr>
                  <w:r>
                    <w:rPr>
                      <w:rFonts w:hint="eastAsia" w:eastAsia="宋体"/>
                      <w:color w:val="auto"/>
                      <w:sz w:val="18"/>
                      <w:szCs w:val="18"/>
                      <w:lang w:val="en-US" w:eastAsia="zh-CN"/>
                    </w:rPr>
                    <w:t>2400</w:t>
                  </w:r>
                </w:p>
              </w:tc>
            </w:tr>
            <w:tr w14:paraId="5F86ADB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19" w:type="pct"/>
                  <w:vMerge w:val="continue"/>
                  <w:vAlign w:val="center"/>
                </w:tcPr>
                <w:p w14:paraId="5A50A923">
                  <w:pPr>
                    <w:pStyle w:val="656"/>
                    <w:keepNext w:val="0"/>
                    <w:keepLines w:val="0"/>
                    <w:pageBreakBefore w:val="0"/>
                    <w:kinsoku/>
                    <w:wordWrap/>
                    <w:overflowPunct/>
                    <w:topLinePunct w:val="0"/>
                    <w:autoSpaceDE/>
                    <w:autoSpaceDN/>
                    <w:bidi w:val="0"/>
                    <w:adjustRightInd w:val="0"/>
                    <w:snapToGrid w:val="0"/>
                    <w:rPr>
                      <w:rFonts w:hint="eastAsia" w:eastAsia="宋体"/>
                      <w:color w:val="auto"/>
                      <w:sz w:val="18"/>
                      <w:szCs w:val="18"/>
                      <w:lang w:val="en-US" w:eastAsia="zh-CN"/>
                    </w:rPr>
                  </w:pPr>
                </w:p>
              </w:tc>
              <w:tc>
                <w:tcPr>
                  <w:tcW w:w="394" w:type="pct"/>
                  <w:vAlign w:val="center"/>
                </w:tcPr>
                <w:p w14:paraId="05F5A1CF">
                  <w:pPr>
                    <w:pStyle w:val="656"/>
                    <w:keepNext w:val="0"/>
                    <w:keepLines w:val="0"/>
                    <w:pageBreakBefore w:val="0"/>
                    <w:kinsoku/>
                    <w:wordWrap/>
                    <w:overflowPunct/>
                    <w:topLinePunct w:val="0"/>
                    <w:autoSpaceDE/>
                    <w:autoSpaceDN/>
                    <w:bidi w:val="0"/>
                    <w:adjustRightInd w:val="0"/>
                    <w:snapToGrid w:val="0"/>
                    <w:rPr>
                      <w:rFonts w:hint="default" w:eastAsia="宋体"/>
                      <w:color w:val="auto"/>
                      <w:sz w:val="18"/>
                      <w:szCs w:val="18"/>
                      <w:lang w:val="en-US" w:eastAsia="zh-CN"/>
                    </w:rPr>
                  </w:pPr>
                  <w:r>
                    <w:rPr>
                      <w:rFonts w:hint="eastAsia" w:eastAsia="宋体"/>
                      <w:color w:val="auto"/>
                      <w:sz w:val="18"/>
                      <w:szCs w:val="18"/>
                      <w:lang w:val="en-US" w:eastAsia="zh-CN"/>
                    </w:rPr>
                    <w:t>磨光</w:t>
                  </w:r>
                </w:p>
              </w:tc>
              <w:tc>
                <w:tcPr>
                  <w:tcW w:w="423" w:type="pct"/>
                  <w:vMerge w:val="continue"/>
                  <w:vAlign w:val="center"/>
                </w:tcPr>
                <w:p w14:paraId="4E52C663">
                  <w:pPr>
                    <w:pStyle w:val="656"/>
                    <w:keepNext w:val="0"/>
                    <w:keepLines w:val="0"/>
                    <w:pageBreakBefore w:val="0"/>
                    <w:kinsoku/>
                    <w:wordWrap/>
                    <w:overflowPunct/>
                    <w:topLinePunct w:val="0"/>
                    <w:autoSpaceDE/>
                    <w:autoSpaceDN/>
                    <w:bidi w:val="0"/>
                    <w:adjustRightInd w:val="0"/>
                    <w:snapToGrid w:val="0"/>
                    <w:rPr>
                      <w:rFonts w:hint="eastAsia" w:eastAsia="宋体"/>
                      <w:color w:val="auto"/>
                      <w:sz w:val="18"/>
                      <w:szCs w:val="18"/>
                      <w:lang w:val="en-US" w:eastAsia="zh-CN"/>
                    </w:rPr>
                  </w:pPr>
                </w:p>
              </w:tc>
              <w:tc>
                <w:tcPr>
                  <w:tcW w:w="516" w:type="pct"/>
                  <w:vAlign w:val="center"/>
                </w:tcPr>
                <w:p w14:paraId="33AA30A8">
                  <w:pPr>
                    <w:pStyle w:val="656"/>
                    <w:keepNext w:val="0"/>
                    <w:keepLines w:val="0"/>
                    <w:pageBreakBefore w:val="0"/>
                    <w:kinsoku/>
                    <w:wordWrap/>
                    <w:overflowPunct/>
                    <w:topLinePunct w:val="0"/>
                    <w:autoSpaceDE/>
                    <w:autoSpaceDN/>
                    <w:bidi w:val="0"/>
                    <w:adjustRightInd w:val="0"/>
                    <w:snapToGrid w:val="0"/>
                    <w:rPr>
                      <w:rFonts w:hint="default" w:eastAsia="宋体"/>
                      <w:color w:val="auto"/>
                      <w:sz w:val="18"/>
                      <w:szCs w:val="18"/>
                      <w:lang w:val="en-US" w:eastAsia="zh-CN"/>
                    </w:rPr>
                  </w:pPr>
                  <w:r>
                    <w:rPr>
                      <w:rFonts w:hint="eastAsia" w:eastAsia="宋体"/>
                      <w:color w:val="auto"/>
                      <w:sz w:val="18"/>
                      <w:szCs w:val="18"/>
                      <w:lang w:val="en-US" w:eastAsia="zh-CN"/>
                    </w:rPr>
                    <w:t>0.0002</w:t>
                  </w:r>
                </w:p>
              </w:tc>
              <w:tc>
                <w:tcPr>
                  <w:tcW w:w="516" w:type="pct"/>
                  <w:vAlign w:val="center"/>
                </w:tcPr>
                <w:p w14:paraId="3C5EA033">
                  <w:pPr>
                    <w:pStyle w:val="656"/>
                    <w:keepNext w:val="0"/>
                    <w:keepLines w:val="0"/>
                    <w:pageBreakBefore w:val="0"/>
                    <w:kinsoku/>
                    <w:wordWrap/>
                    <w:overflowPunct/>
                    <w:topLinePunct w:val="0"/>
                    <w:autoSpaceDE/>
                    <w:autoSpaceDN/>
                    <w:bidi w:val="0"/>
                    <w:adjustRightInd w:val="0"/>
                    <w:snapToGrid w:val="0"/>
                    <w:rPr>
                      <w:rFonts w:hint="default" w:eastAsia="宋体"/>
                      <w:color w:val="auto"/>
                      <w:sz w:val="18"/>
                      <w:szCs w:val="18"/>
                      <w:lang w:val="en-US" w:eastAsia="zh-CN"/>
                    </w:rPr>
                  </w:pPr>
                  <w:r>
                    <w:rPr>
                      <w:rFonts w:hint="eastAsia" w:eastAsia="宋体"/>
                      <w:color w:val="auto"/>
                      <w:sz w:val="18"/>
                      <w:szCs w:val="18"/>
                      <w:lang w:val="en-US" w:eastAsia="zh-CN"/>
                    </w:rPr>
                    <w:t>0.0004</w:t>
                  </w:r>
                </w:p>
              </w:tc>
              <w:tc>
                <w:tcPr>
                  <w:tcW w:w="448" w:type="pct"/>
                  <w:vAlign w:val="center"/>
                </w:tcPr>
                <w:p w14:paraId="5F8C73E3">
                  <w:pPr>
                    <w:pStyle w:val="656"/>
                    <w:keepNext w:val="0"/>
                    <w:keepLines w:val="0"/>
                    <w:pageBreakBefore w:val="0"/>
                    <w:kinsoku/>
                    <w:wordWrap/>
                    <w:overflowPunct/>
                    <w:topLinePunct w:val="0"/>
                    <w:autoSpaceDE/>
                    <w:autoSpaceDN/>
                    <w:bidi w:val="0"/>
                    <w:adjustRightInd w:val="0"/>
                    <w:snapToGrid w:val="0"/>
                    <w:rPr>
                      <w:rFonts w:hint="default" w:eastAsia="宋体"/>
                      <w:color w:val="auto"/>
                      <w:sz w:val="18"/>
                      <w:szCs w:val="18"/>
                      <w:lang w:val="en-US" w:eastAsia="zh-CN"/>
                    </w:rPr>
                  </w:pPr>
                  <w:r>
                    <w:rPr>
                      <w:rFonts w:hint="eastAsia" w:eastAsia="宋体"/>
                      <w:color w:val="auto"/>
                      <w:sz w:val="18"/>
                      <w:szCs w:val="18"/>
                      <w:lang w:val="en-US" w:eastAsia="zh-CN"/>
                    </w:rPr>
                    <w:t>--</w:t>
                  </w:r>
                </w:p>
              </w:tc>
              <w:tc>
                <w:tcPr>
                  <w:tcW w:w="448" w:type="pct"/>
                  <w:vAlign w:val="center"/>
                </w:tcPr>
                <w:p w14:paraId="612FADC0">
                  <w:pPr>
                    <w:keepNext w:val="0"/>
                    <w:keepLines w:val="0"/>
                    <w:pageBreakBefore w:val="0"/>
                    <w:kinsoku/>
                    <w:wordWrap/>
                    <w:overflowPunct/>
                    <w:topLinePunct w:val="0"/>
                    <w:autoSpaceDE/>
                    <w:autoSpaceDN/>
                    <w:bidi w:val="0"/>
                    <w:adjustRightInd w:val="0"/>
                    <w:snapToGrid w:val="0"/>
                    <w:jc w:val="center"/>
                    <w:rPr>
                      <w:rFonts w:hint="default"/>
                      <w:color w:val="auto"/>
                      <w:sz w:val="18"/>
                      <w:szCs w:val="18"/>
                      <w:lang w:val="en-US" w:eastAsia="zh-CN"/>
                    </w:rPr>
                  </w:pPr>
                  <w:r>
                    <w:rPr>
                      <w:rFonts w:hint="eastAsia"/>
                      <w:color w:val="auto"/>
                      <w:sz w:val="18"/>
                      <w:szCs w:val="18"/>
                      <w:lang w:val="en-US" w:eastAsia="zh-CN"/>
                    </w:rPr>
                    <w:t>--</w:t>
                  </w:r>
                </w:p>
              </w:tc>
              <w:tc>
                <w:tcPr>
                  <w:tcW w:w="448" w:type="pct"/>
                  <w:vAlign w:val="center"/>
                </w:tcPr>
                <w:p w14:paraId="720E0C59">
                  <w:pPr>
                    <w:keepNext w:val="0"/>
                    <w:keepLines w:val="0"/>
                    <w:pageBreakBefore w:val="0"/>
                    <w:kinsoku/>
                    <w:wordWrap/>
                    <w:overflowPunct/>
                    <w:topLinePunct w:val="0"/>
                    <w:autoSpaceDE/>
                    <w:autoSpaceDN/>
                    <w:bidi w:val="0"/>
                    <w:adjustRightInd w:val="0"/>
                    <w:snapToGrid w:val="0"/>
                    <w:jc w:val="center"/>
                    <w:rPr>
                      <w:rFonts w:hint="default"/>
                      <w:color w:val="auto"/>
                      <w:sz w:val="18"/>
                      <w:szCs w:val="18"/>
                      <w:lang w:val="en-US" w:eastAsia="zh-CN"/>
                    </w:rPr>
                  </w:pPr>
                  <w:r>
                    <w:rPr>
                      <w:rFonts w:hint="eastAsia"/>
                      <w:color w:val="auto"/>
                      <w:sz w:val="18"/>
                      <w:szCs w:val="18"/>
                      <w:lang w:val="en-US" w:eastAsia="zh-CN"/>
                    </w:rPr>
                    <w:t>--</w:t>
                  </w:r>
                </w:p>
              </w:tc>
              <w:tc>
                <w:tcPr>
                  <w:tcW w:w="490" w:type="pct"/>
                  <w:shd w:val="clear" w:color="auto" w:fill="auto"/>
                  <w:vAlign w:val="center"/>
                </w:tcPr>
                <w:p w14:paraId="078B7EF9">
                  <w:pPr>
                    <w:pStyle w:val="656"/>
                    <w:keepNext w:val="0"/>
                    <w:keepLines w:val="0"/>
                    <w:pageBreakBefore w:val="0"/>
                    <w:kinsoku/>
                    <w:wordWrap/>
                    <w:overflowPunct/>
                    <w:topLinePunct w:val="0"/>
                    <w:autoSpaceDE/>
                    <w:autoSpaceDN/>
                    <w:bidi w:val="0"/>
                    <w:adjustRightInd w:val="0"/>
                    <w:snapToGrid w:val="0"/>
                    <w:rPr>
                      <w:rFonts w:hint="eastAsia"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0.0002</w:t>
                  </w:r>
                </w:p>
              </w:tc>
              <w:tc>
                <w:tcPr>
                  <w:tcW w:w="490" w:type="pct"/>
                  <w:shd w:val="clear" w:color="auto" w:fill="auto"/>
                  <w:vAlign w:val="center"/>
                </w:tcPr>
                <w:p w14:paraId="13F254FB">
                  <w:pPr>
                    <w:pStyle w:val="656"/>
                    <w:keepNext w:val="0"/>
                    <w:keepLines w:val="0"/>
                    <w:pageBreakBefore w:val="0"/>
                    <w:kinsoku/>
                    <w:wordWrap/>
                    <w:overflowPunct/>
                    <w:topLinePunct w:val="0"/>
                    <w:autoSpaceDE/>
                    <w:autoSpaceDN/>
                    <w:bidi w:val="0"/>
                    <w:adjustRightInd w:val="0"/>
                    <w:snapToGrid w:val="0"/>
                    <w:rPr>
                      <w:rFonts w:hint="eastAsia"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0.0004</w:t>
                  </w:r>
                </w:p>
              </w:tc>
              <w:tc>
                <w:tcPr>
                  <w:tcW w:w="404" w:type="pct"/>
                  <w:vMerge w:val="continue"/>
                  <w:vAlign w:val="center"/>
                </w:tcPr>
                <w:p w14:paraId="12342A4D">
                  <w:pPr>
                    <w:pStyle w:val="656"/>
                    <w:keepNext w:val="0"/>
                    <w:keepLines w:val="0"/>
                    <w:pageBreakBefore w:val="0"/>
                    <w:kinsoku/>
                    <w:wordWrap/>
                    <w:overflowPunct/>
                    <w:topLinePunct w:val="0"/>
                    <w:autoSpaceDE/>
                    <w:autoSpaceDN/>
                    <w:bidi w:val="0"/>
                    <w:adjustRightInd w:val="0"/>
                    <w:snapToGrid w:val="0"/>
                    <w:rPr>
                      <w:rFonts w:hint="eastAsia" w:eastAsia="宋体"/>
                      <w:color w:val="auto"/>
                      <w:sz w:val="18"/>
                      <w:szCs w:val="18"/>
                      <w:lang w:val="en-US" w:eastAsia="zh-CN"/>
                    </w:rPr>
                  </w:pPr>
                </w:p>
              </w:tc>
            </w:tr>
            <w:tr w14:paraId="0B804B9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19" w:type="pct"/>
                  <w:vMerge w:val="continue"/>
                  <w:vAlign w:val="center"/>
                </w:tcPr>
                <w:p w14:paraId="48B612E7">
                  <w:pPr>
                    <w:pStyle w:val="656"/>
                    <w:keepNext w:val="0"/>
                    <w:keepLines w:val="0"/>
                    <w:pageBreakBefore w:val="0"/>
                    <w:kinsoku/>
                    <w:wordWrap/>
                    <w:overflowPunct/>
                    <w:topLinePunct w:val="0"/>
                    <w:autoSpaceDE/>
                    <w:autoSpaceDN/>
                    <w:bidi w:val="0"/>
                    <w:adjustRightInd w:val="0"/>
                    <w:snapToGrid w:val="0"/>
                    <w:rPr>
                      <w:rFonts w:hint="eastAsia" w:eastAsia="宋体"/>
                      <w:color w:val="auto"/>
                      <w:sz w:val="18"/>
                      <w:szCs w:val="18"/>
                      <w:lang w:val="en-US" w:eastAsia="zh-CN"/>
                    </w:rPr>
                  </w:pPr>
                </w:p>
              </w:tc>
              <w:tc>
                <w:tcPr>
                  <w:tcW w:w="394" w:type="pct"/>
                  <w:vAlign w:val="center"/>
                </w:tcPr>
                <w:p w14:paraId="673BDAB5">
                  <w:pPr>
                    <w:pStyle w:val="656"/>
                    <w:keepNext w:val="0"/>
                    <w:keepLines w:val="0"/>
                    <w:pageBreakBefore w:val="0"/>
                    <w:kinsoku/>
                    <w:wordWrap/>
                    <w:overflowPunct/>
                    <w:topLinePunct w:val="0"/>
                    <w:autoSpaceDE/>
                    <w:autoSpaceDN/>
                    <w:bidi w:val="0"/>
                    <w:adjustRightInd w:val="0"/>
                    <w:snapToGrid w:val="0"/>
                    <w:rPr>
                      <w:rFonts w:hint="default" w:eastAsia="宋体"/>
                      <w:color w:val="auto"/>
                      <w:sz w:val="18"/>
                      <w:szCs w:val="18"/>
                      <w:lang w:val="en-US" w:eastAsia="zh-CN"/>
                    </w:rPr>
                  </w:pPr>
                  <w:r>
                    <w:rPr>
                      <w:rFonts w:hint="eastAsia" w:eastAsia="宋体"/>
                      <w:color w:val="auto"/>
                      <w:sz w:val="18"/>
                      <w:szCs w:val="18"/>
                      <w:lang w:val="en-US" w:eastAsia="zh-CN"/>
                    </w:rPr>
                    <w:t>冷压、封边</w:t>
                  </w:r>
                </w:p>
              </w:tc>
              <w:tc>
                <w:tcPr>
                  <w:tcW w:w="423" w:type="pct"/>
                  <w:vMerge w:val="restart"/>
                  <w:vAlign w:val="center"/>
                </w:tcPr>
                <w:p w14:paraId="143C13C6">
                  <w:pPr>
                    <w:pStyle w:val="656"/>
                    <w:keepNext w:val="0"/>
                    <w:keepLines w:val="0"/>
                    <w:pageBreakBefore w:val="0"/>
                    <w:kinsoku/>
                    <w:wordWrap/>
                    <w:overflowPunct/>
                    <w:topLinePunct w:val="0"/>
                    <w:autoSpaceDE/>
                    <w:autoSpaceDN/>
                    <w:bidi w:val="0"/>
                    <w:adjustRightInd w:val="0"/>
                    <w:snapToGrid w:val="0"/>
                    <w:rPr>
                      <w:rFonts w:hint="default" w:eastAsia="宋体"/>
                      <w:color w:val="auto"/>
                      <w:sz w:val="18"/>
                      <w:szCs w:val="18"/>
                      <w:lang w:val="en-US" w:eastAsia="zh-CN"/>
                    </w:rPr>
                  </w:pPr>
                  <w:r>
                    <w:rPr>
                      <w:rFonts w:hint="eastAsia" w:eastAsia="宋体"/>
                      <w:color w:val="auto"/>
                      <w:sz w:val="18"/>
                      <w:szCs w:val="18"/>
                      <w:lang w:val="en-US" w:eastAsia="zh-CN"/>
                    </w:rPr>
                    <w:t>非甲烷总烃</w:t>
                  </w:r>
                </w:p>
              </w:tc>
              <w:tc>
                <w:tcPr>
                  <w:tcW w:w="516" w:type="pct"/>
                  <w:vAlign w:val="center"/>
                </w:tcPr>
                <w:p w14:paraId="5FD04998">
                  <w:pPr>
                    <w:pStyle w:val="656"/>
                    <w:keepNext w:val="0"/>
                    <w:keepLines w:val="0"/>
                    <w:pageBreakBefore w:val="0"/>
                    <w:kinsoku/>
                    <w:wordWrap/>
                    <w:overflowPunct/>
                    <w:topLinePunct w:val="0"/>
                    <w:autoSpaceDE/>
                    <w:autoSpaceDN/>
                    <w:bidi w:val="0"/>
                    <w:adjustRightInd w:val="0"/>
                    <w:snapToGrid w:val="0"/>
                    <w:rPr>
                      <w:rFonts w:hint="default" w:eastAsia="宋体"/>
                      <w:color w:val="auto"/>
                      <w:sz w:val="18"/>
                      <w:szCs w:val="18"/>
                      <w:lang w:val="en-US" w:eastAsia="zh-CN"/>
                    </w:rPr>
                  </w:pPr>
                  <w:r>
                    <w:rPr>
                      <w:rFonts w:hint="eastAsia" w:eastAsia="宋体"/>
                      <w:color w:val="auto"/>
                      <w:sz w:val="18"/>
                      <w:szCs w:val="18"/>
                      <w:lang w:val="en-US" w:eastAsia="zh-CN"/>
                    </w:rPr>
                    <w:t>0.002</w:t>
                  </w:r>
                </w:p>
              </w:tc>
              <w:tc>
                <w:tcPr>
                  <w:tcW w:w="516" w:type="pct"/>
                  <w:vAlign w:val="center"/>
                </w:tcPr>
                <w:p w14:paraId="10268B1F">
                  <w:pPr>
                    <w:pStyle w:val="656"/>
                    <w:keepNext w:val="0"/>
                    <w:keepLines w:val="0"/>
                    <w:pageBreakBefore w:val="0"/>
                    <w:kinsoku/>
                    <w:wordWrap/>
                    <w:overflowPunct/>
                    <w:topLinePunct w:val="0"/>
                    <w:autoSpaceDE/>
                    <w:autoSpaceDN/>
                    <w:bidi w:val="0"/>
                    <w:adjustRightInd w:val="0"/>
                    <w:snapToGrid w:val="0"/>
                    <w:rPr>
                      <w:rFonts w:hint="default" w:eastAsia="宋体"/>
                      <w:color w:val="auto"/>
                      <w:sz w:val="18"/>
                      <w:szCs w:val="18"/>
                      <w:lang w:val="en-US" w:eastAsia="zh-CN"/>
                    </w:rPr>
                  </w:pPr>
                  <w:r>
                    <w:rPr>
                      <w:rFonts w:hint="eastAsia" w:eastAsia="宋体"/>
                      <w:color w:val="auto"/>
                      <w:sz w:val="18"/>
                      <w:szCs w:val="18"/>
                      <w:lang w:val="en-US" w:eastAsia="zh-CN"/>
                    </w:rPr>
                    <w:t>0.0049</w:t>
                  </w:r>
                </w:p>
              </w:tc>
              <w:tc>
                <w:tcPr>
                  <w:tcW w:w="448" w:type="pct"/>
                  <w:vAlign w:val="center"/>
                </w:tcPr>
                <w:p w14:paraId="38634852">
                  <w:pPr>
                    <w:pStyle w:val="656"/>
                    <w:keepNext w:val="0"/>
                    <w:keepLines w:val="0"/>
                    <w:pageBreakBefore w:val="0"/>
                    <w:kinsoku/>
                    <w:wordWrap/>
                    <w:overflowPunct/>
                    <w:topLinePunct w:val="0"/>
                    <w:autoSpaceDE/>
                    <w:autoSpaceDN/>
                    <w:bidi w:val="0"/>
                    <w:adjustRightInd w:val="0"/>
                    <w:snapToGrid w:val="0"/>
                    <w:rPr>
                      <w:rFonts w:hint="eastAsia" w:eastAsia="宋体"/>
                      <w:color w:val="auto"/>
                      <w:sz w:val="18"/>
                      <w:szCs w:val="18"/>
                      <w:lang w:val="en-US" w:eastAsia="zh-CN"/>
                    </w:rPr>
                  </w:pPr>
                  <w:r>
                    <w:rPr>
                      <w:rFonts w:hint="eastAsia" w:eastAsia="宋体"/>
                      <w:color w:val="auto"/>
                      <w:sz w:val="18"/>
                      <w:szCs w:val="18"/>
                      <w:lang w:val="en-US" w:eastAsia="zh-CN"/>
                    </w:rPr>
                    <w:t>--</w:t>
                  </w:r>
                </w:p>
              </w:tc>
              <w:tc>
                <w:tcPr>
                  <w:tcW w:w="448" w:type="pct"/>
                  <w:vAlign w:val="center"/>
                </w:tcPr>
                <w:p w14:paraId="03F34841">
                  <w:pPr>
                    <w:keepNext w:val="0"/>
                    <w:keepLines w:val="0"/>
                    <w:pageBreakBefore w:val="0"/>
                    <w:kinsoku/>
                    <w:wordWrap/>
                    <w:overflowPunct/>
                    <w:topLinePunct w:val="0"/>
                    <w:autoSpaceDE/>
                    <w:autoSpaceDN/>
                    <w:bidi w:val="0"/>
                    <w:adjustRightInd w:val="0"/>
                    <w:snapToGrid w:val="0"/>
                    <w:jc w:val="center"/>
                    <w:rPr>
                      <w:rFonts w:hint="eastAsia"/>
                      <w:color w:val="auto"/>
                      <w:sz w:val="18"/>
                      <w:szCs w:val="18"/>
                      <w:lang w:val="en-US" w:eastAsia="zh-CN"/>
                    </w:rPr>
                  </w:pPr>
                  <w:r>
                    <w:rPr>
                      <w:rFonts w:hint="eastAsia"/>
                      <w:color w:val="auto"/>
                      <w:sz w:val="18"/>
                      <w:szCs w:val="18"/>
                      <w:lang w:val="en-US" w:eastAsia="zh-CN"/>
                    </w:rPr>
                    <w:t>--</w:t>
                  </w:r>
                </w:p>
              </w:tc>
              <w:tc>
                <w:tcPr>
                  <w:tcW w:w="448" w:type="pct"/>
                  <w:vAlign w:val="center"/>
                </w:tcPr>
                <w:p w14:paraId="5B6E0F2D">
                  <w:pPr>
                    <w:keepNext w:val="0"/>
                    <w:keepLines w:val="0"/>
                    <w:pageBreakBefore w:val="0"/>
                    <w:kinsoku/>
                    <w:wordWrap/>
                    <w:overflowPunct/>
                    <w:topLinePunct w:val="0"/>
                    <w:autoSpaceDE/>
                    <w:autoSpaceDN/>
                    <w:bidi w:val="0"/>
                    <w:adjustRightInd w:val="0"/>
                    <w:snapToGrid w:val="0"/>
                    <w:jc w:val="center"/>
                    <w:rPr>
                      <w:rFonts w:hint="eastAsia"/>
                      <w:color w:val="auto"/>
                      <w:sz w:val="18"/>
                      <w:szCs w:val="18"/>
                      <w:lang w:val="en-US" w:eastAsia="zh-CN"/>
                    </w:rPr>
                  </w:pPr>
                  <w:r>
                    <w:rPr>
                      <w:rFonts w:hint="eastAsia"/>
                      <w:color w:val="auto"/>
                      <w:sz w:val="18"/>
                      <w:szCs w:val="18"/>
                      <w:lang w:val="en-US" w:eastAsia="zh-CN"/>
                    </w:rPr>
                    <w:t>--</w:t>
                  </w:r>
                </w:p>
              </w:tc>
              <w:tc>
                <w:tcPr>
                  <w:tcW w:w="1302" w:type="dxa"/>
                  <w:shd w:val="clear" w:color="auto" w:fill="auto"/>
                  <w:vAlign w:val="center"/>
                </w:tcPr>
                <w:p w14:paraId="3E1DEC33">
                  <w:pPr>
                    <w:pStyle w:val="656"/>
                    <w:keepNext w:val="0"/>
                    <w:keepLines w:val="0"/>
                    <w:pageBreakBefore w:val="0"/>
                    <w:kinsoku/>
                    <w:wordWrap/>
                    <w:overflowPunct/>
                    <w:topLinePunct w:val="0"/>
                    <w:autoSpaceDE/>
                    <w:autoSpaceDN/>
                    <w:bidi w:val="0"/>
                    <w:adjustRightInd w:val="0"/>
                    <w:snapToGrid w:val="0"/>
                    <w:rPr>
                      <w:rFonts w:hint="eastAsia"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0.002</w:t>
                  </w:r>
                </w:p>
              </w:tc>
              <w:tc>
                <w:tcPr>
                  <w:tcW w:w="1302" w:type="dxa"/>
                  <w:shd w:val="clear" w:color="auto" w:fill="auto"/>
                  <w:vAlign w:val="center"/>
                </w:tcPr>
                <w:p w14:paraId="5998F0BE">
                  <w:pPr>
                    <w:pStyle w:val="656"/>
                    <w:keepNext w:val="0"/>
                    <w:keepLines w:val="0"/>
                    <w:pageBreakBefore w:val="0"/>
                    <w:kinsoku/>
                    <w:wordWrap/>
                    <w:overflowPunct/>
                    <w:topLinePunct w:val="0"/>
                    <w:autoSpaceDE/>
                    <w:autoSpaceDN/>
                    <w:bidi w:val="0"/>
                    <w:adjustRightInd w:val="0"/>
                    <w:snapToGrid w:val="0"/>
                    <w:rPr>
                      <w:rFonts w:hint="eastAsia"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0.0049</w:t>
                  </w:r>
                </w:p>
              </w:tc>
              <w:tc>
                <w:tcPr>
                  <w:tcW w:w="404" w:type="pct"/>
                  <w:vMerge w:val="continue"/>
                  <w:vAlign w:val="center"/>
                </w:tcPr>
                <w:p w14:paraId="6E6C57B7">
                  <w:pPr>
                    <w:pStyle w:val="656"/>
                    <w:keepNext w:val="0"/>
                    <w:keepLines w:val="0"/>
                    <w:pageBreakBefore w:val="0"/>
                    <w:kinsoku/>
                    <w:wordWrap/>
                    <w:overflowPunct/>
                    <w:topLinePunct w:val="0"/>
                    <w:autoSpaceDE/>
                    <w:autoSpaceDN/>
                    <w:bidi w:val="0"/>
                    <w:adjustRightInd w:val="0"/>
                    <w:snapToGrid w:val="0"/>
                    <w:rPr>
                      <w:rFonts w:hint="eastAsia" w:eastAsia="宋体"/>
                      <w:color w:val="auto"/>
                      <w:sz w:val="18"/>
                      <w:szCs w:val="18"/>
                      <w:lang w:val="en-US" w:eastAsia="zh-CN"/>
                    </w:rPr>
                  </w:pPr>
                </w:p>
              </w:tc>
            </w:tr>
            <w:tr w14:paraId="3D82220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19" w:type="pct"/>
                  <w:vMerge w:val="continue"/>
                  <w:vAlign w:val="center"/>
                </w:tcPr>
                <w:p w14:paraId="2B5271E9">
                  <w:pPr>
                    <w:pStyle w:val="656"/>
                    <w:keepNext w:val="0"/>
                    <w:keepLines w:val="0"/>
                    <w:pageBreakBefore w:val="0"/>
                    <w:kinsoku/>
                    <w:wordWrap/>
                    <w:overflowPunct/>
                    <w:topLinePunct w:val="0"/>
                    <w:autoSpaceDE/>
                    <w:autoSpaceDN/>
                    <w:bidi w:val="0"/>
                    <w:adjustRightInd w:val="0"/>
                    <w:snapToGrid w:val="0"/>
                    <w:rPr>
                      <w:rFonts w:hint="eastAsia" w:eastAsia="宋体"/>
                      <w:color w:val="auto"/>
                      <w:sz w:val="18"/>
                      <w:szCs w:val="18"/>
                      <w:lang w:val="en-US" w:eastAsia="zh-CN"/>
                    </w:rPr>
                  </w:pPr>
                </w:p>
              </w:tc>
              <w:tc>
                <w:tcPr>
                  <w:tcW w:w="394" w:type="pct"/>
                  <w:vAlign w:val="center"/>
                </w:tcPr>
                <w:p w14:paraId="7837EA07">
                  <w:pPr>
                    <w:pStyle w:val="656"/>
                    <w:keepNext w:val="0"/>
                    <w:keepLines w:val="0"/>
                    <w:pageBreakBefore w:val="0"/>
                    <w:kinsoku/>
                    <w:wordWrap/>
                    <w:overflowPunct/>
                    <w:topLinePunct w:val="0"/>
                    <w:autoSpaceDE/>
                    <w:autoSpaceDN/>
                    <w:bidi w:val="0"/>
                    <w:adjustRightInd w:val="0"/>
                    <w:snapToGrid w:val="0"/>
                    <w:rPr>
                      <w:rFonts w:hint="default" w:eastAsia="宋体"/>
                      <w:color w:val="auto"/>
                      <w:sz w:val="18"/>
                      <w:szCs w:val="18"/>
                      <w:lang w:val="en-US" w:eastAsia="zh-CN"/>
                    </w:rPr>
                  </w:pPr>
                  <w:r>
                    <w:rPr>
                      <w:rFonts w:hint="eastAsia" w:eastAsia="宋体"/>
                      <w:color w:val="auto"/>
                      <w:sz w:val="18"/>
                      <w:szCs w:val="18"/>
                      <w:lang w:val="en-US" w:eastAsia="zh-CN"/>
                    </w:rPr>
                    <w:t>擦色</w:t>
                  </w:r>
                </w:p>
              </w:tc>
              <w:tc>
                <w:tcPr>
                  <w:tcW w:w="423" w:type="pct"/>
                  <w:vMerge w:val="continue"/>
                  <w:vAlign w:val="center"/>
                </w:tcPr>
                <w:p w14:paraId="38139F1B">
                  <w:pPr>
                    <w:pStyle w:val="656"/>
                    <w:keepNext w:val="0"/>
                    <w:keepLines w:val="0"/>
                    <w:pageBreakBefore w:val="0"/>
                    <w:kinsoku/>
                    <w:wordWrap/>
                    <w:overflowPunct/>
                    <w:topLinePunct w:val="0"/>
                    <w:autoSpaceDE/>
                    <w:autoSpaceDN/>
                    <w:bidi w:val="0"/>
                    <w:adjustRightInd w:val="0"/>
                    <w:snapToGrid w:val="0"/>
                    <w:rPr>
                      <w:rFonts w:hint="eastAsia" w:eastAsia="宋体"/>
                      <w:color w:val="auto"/>
                      <w:sz w:val="18"/>
                      <w:szCs w:val="18"/>
                      <w:lang w:val="en-US" w:eastAsia="zh-CN"/>
                    </w:rPr>
                  </w:pPr>
                </w:p>
              </w:tc>
              <w:tc>
                <w:tcPr>
                  <w:tcW w:w="516" w:type="pct"/>
                  <w:vAlign w:val="center"/>
                </w:tcPr>
                <w:p w14:paraId="324BDD7E">
                  <w:pPr>
                    <w:pStyle w:val="656"/>
                    <w:keepNext w:val="0"/>
                    <w:keepLines w:val="0"/>
                    <w:pageBreakBefore w:val="0"/>
                    <w:kinsoku/>
                    <w:wordWrap/>
                    <w:overflowPunct/>
                    <w:topLinePunct w:val="0"/>
                    <w:autoSpaceDE/>
                    <w:autoSpaceDN/>
                    <w:bidi w:val="0"/>
                    <w:adjustRightInd w:val="0"/>
                    <w:snapToGrid w:val="0"/>
                    <w:rPr>
                      <w:rFonts w:hint="default" w:eastAsia="宋体"/>
                      <w:color w:val="auto"/>
                      <w:sz w:val="18"/>
                      <w:szCs w:val="18"/>
                      <w:lang w:val="en-US" w:eastAsia="zh-CN"/>
                    </w:rPr>
                  </w:pPr>
                  <w:r>
                    <w:rPr>
                      <w:rFonts w:hint="eastAsia" w:eastAsia="宋体"/>
                      <w:color w:val="auto"/>
                      <w:sz w:val="18"/>
                      <w:szCs w:val="18"/>
                      <w:lang w:val="en-US" w:eastAsia="zh-CN"/>
                    </w:rPr>
                    <w:t>0.004</w:t>
                  </w:r>
                </w:p>
              </w:tc>
              <w:tc>
                <w:tcPr>
                  <w:tcW w:w="516" w:type="pct"/>
                  <w:vAlign w:val="center"/>
                </w:tcPr>
                <w:p w14:paraId="1601633F">
                  <w:pPr>
                    <w:pStyle w:val="656"/>
                    <w:keepNext w:val="0"/>
                    <w:keepLines w:val="0"/>
                    <w:pageBreakBefore w:val="0"/>
                    <w:kinsoku/>
                    <w:wordWrap/>
                    <w:overflowPunct/>
                    <w:topLinePunct w:val="0"/>
                    <w:autoSpaceDE/>
                    <w:autoSpaceDN/>
                    <w:bidi w:val="0"/>
                    <w:adjustRightInd w:val="0"/>
                    <w:snapToGrid w:val="0"/>
                    <w:rPr>
                      <w:rFonts w:hint="default" w:eastAsia="宋体"/>
                      <w:color w:val="auto"/>
                      <w:sz w:val="18"/>
                      <w:szCs w:val="18"/>
                      <w:lang w:val="en-US" w:eastAsia="zh-CN"/>
                    </w:rPr>
                  </w:pPr>
                  <w:r>
                    <w:rPr>
                      <w:rFonts w:hint="eastAsia" w:eastAsia="宋体"/>
                      <w:color w:val="auto"/>
                      <w:sz w:val="18"/>
                      <w:szCs w:val="18"/>
                      <w:lang w:val="en-US" w:eastAsia="zh-CN"/>
                    </w:rPr>
                    <w:t>0.009</w:t>
                  </w:r>
                </w:p>
              </w:tc>
              <w:tc>
                <w:tcPr>
                  <w:tcW w:w="448" w:type="pct"/>
                  <w:vAlign w:val="center"/>
                </w:tcPr>
                <w:p w14:paraId="7A773BE6">
                  <w:pPr>
                    <w:pStyle w:val="656"/>
                    <w:keepNext w:val="0"/>
                    <w:keepLines w:val="0"/>
                    <w:pageBreakBefore w:val="0"/>
                    <w:kinsoku/>
                    <w:wordWrap/>
                    <w:overflowPunct/>
                    <w:topLinePunct w:val="0"/>
                    <w:autoSpaceDE/>
                    <w:autoSpaceDN/>
                    <w:bidi w:val="0"/>
                    <w:adjustRightInd w:val="0"/>
                    <w:snapToGrid w:val="0"/>
                    <w:rPr>
                      <w:rFonts w:hint="eastAsia" w:eastAsia="宋体"/>
                      <w:color w:val="auto"/>
                      <w:sz w:val="18"/>
                      <w:szCs w:val="18"/>
                      <w:lang w:val="en-US" w:eastAsia="zh-CN"/>
                    </w:rPr>
                  </w:pPr>
                  <w:r>
                    <w:rPr>
                      <w:rFonts w:hint="eastAsia" w:eastAsia="宋体"/>
                      <w:color w:val="auto"/>
                      <w:sz w:val="18"/>
                      <w:szCs w:val="18"/>
                      <w:lang w:val="en-US" w:eastAsia="zh-CN"/>
                    </w:rPr>
                    <w:t>--</w:t>
                  </w:r>
                </w:p>
              </w:tc>
              <w:tc>
                <w:tcPr>
                  <w:tcW w:w="448" w:type="pct"/>
                  <w:vAlign w:val="center"/>
                </w:tcPr>
                <w:p w14:paraId="5A56B809">
                  <w:pPr>
                    <w:keepNext w:val="0"/>
                    <w:keepLines w:val="0"/>
                    <w:pageBreakBefore w:val="0"/>
                    <w:kinsoku/>
                    <w:wordWrap/>
                    <w:overflowPunct/>
                    <w:topLinePunct w:val="0"/>
                    <w:autoSpaceDE/>
                    <w:autoSpaceDN/>
                    <w:bidi w:val="0"/>
                    <w:adjustRightInd w:val="0"/>
                    <w:snapToGrid w:val="0"/>
                    <w:jc w:val="center"/>
                    <w:rPr>
                      <w:rFonts w:hint="eastAsia"/>
                      <w:color w:val="auto"/>
                      <w:sz w:val="18"/>
                      <w:szCs w:val="18"/>
                      <w:lang w:val="en-US" w:eastAsia="zh-CN"/>
                    </w:rPr>
                  </w:pPr>
                  <w:r>
                    <w:rPr>
                      <w:rFonts w:hint="eastAsia"/>
                      <w:color w:val="auto"/>
                      <w:sz w:val="18"/>
                      <w:szCs w:val="18"/>
                      <w:lang w:val="en-US" w:eastAsia="zh-CN"/>
                    </w:rPr>
                    <w:t>--</w:t>
                  </w:r>
                </w:p>
              </w:tc>
              <w:tc>
                <w:tcPr>
                  <w:tcW w:w="448" w:type="pct"/>
                  <w:vAlign w:val="center"/>
                </w:tcPr>
                <w:p w14:paraId="0AF221E7">
                  <w:pPr>
                    <w:keepNext w:val="0"/>
                    <w:keepLines w:val="0"/>
                    <w:pageBreakBefore w:val="0"/>
                    <w:kinsoku/>
                    <w:wordWrap/>
                    <w:overflowPunct/>
                    <w:topLinePunct w:val="0"/>
                    <w:autoSpaceDE/>
                    <w:autoSpaceDN/>
                    <w:bidi w:val="0"/>
                    <w:adjustRightInd w:val="0"/>
                    <w:snapToGrid w:val="0"/>
                    <w:jc w:val="center"/>
                    <w:rPr>
                      <w:rFonts w:hint="eastAsia"/>
                      <w:color w:val="auto"/>
                      <w:sz w:val="18"/>
                      <w:szCs w:val="18"/>
                      <w:lang w:val="en-US" w:eastAsia="zh-CN"/>
                    </w:rPr>
                  </w:pPr>
                  <w:r>
                    <w:rPr>
                      <w:rFonts w:hint="eastAsia"/>
                      <w:color w:val="auto"/>
                      <w:sz w:val="18"/>
                      <w:szCs w:val="18"/>
                      <w:lang w:val="en-US" w:eastAsia="zh-CN"/>
                    </w:rPr>
                    <w:t>--</w:t>
                  </w:r>
                </w:p>
              </w:tc>
              <w:tc>
                <w:tcPr>
                  <w:tcW w:w="490" w:type="pct"/>
                  <w:shd w:val="clear" w:color="auto" w:fill="auto"/>
                  <w:vAlign w:val="center"/>
                </w:tcPr>
                <w:p w14:paraId="038691A1">
                  <w:pPr>
                    <w:pStyle w:val="656"/>
                    <w:keepNext w:val="0"/>
                    <w:keepLines w:val="0"/>
                    <w:pageBreakBefore w:val="0"/>
                    <w:kinsoku/>
                    <w:wordWrap/>
                    <w:overflowPunct/>
                    <w:topLinePunct w:val="0"/>
                    <w:autoSpaceDE/>
                    <w:autoSpaceDN/>
                    <w:bidi w:val="0"/>
                    <w:adjustRightInd w:val="0"/>
                    <w:snapToGrid w:val="0"/>
                    <w:rPr>
                      <w:rFonts w:hint="eastAsia"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0.004</w:t>
                  </w:r>
                </w:p>
              </w:tc>
              <w:tc>
                <w:tcPr>
                  <w:tcW w:w="490" w:type="pct"/>
                  <w:shd w:val="clear" w:color="auto" w:fill="auto"/>
                  <w:vAlign w:val="center"/>
                </w:tcPr>
                <w:p w14:paraId="3227375A">
                  <w:pPr>
                    <w:pStyle w:val="656"/>
                    <w:keepNext w:val="0"/>
                    <w:keepLines w:val="0"/>
                    <w:pageBreakBefore w:val="0"/>
                    <w:kinsoku/>
                    <w:wordWrap/>
                    <w:overflowPunct/>
                    <w:topLinePunct w:val="0"/>
                    <w:autoSpaceDE/>
                    <w:autoSpaceDN/>
                    <w:bidi w:val="0"/>
                    <w:adjustRightInd w:val="0"/>
                    <w:snapToGrid w:val="0"/>
                    <w:rPr>
                      <w:rFonts w:hint="eastAsia"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0.009</w:t>
                  </w:r>
                </w:p>
              </w:tc>
              <w:tc>
                <w:tcPr>
                  <w:tcW w:w="404" w:type="pct"/>
                  <w:vMerge w:val="continue"/>
                  <w:vAlign w:val="center"/>
                </w:tcPr>
                <w:p w14:paraId="26CD0FF6">
                  <w:pPr>
                    <w:pStyle w:val="656"/>
                    <w:keepNext w:val="0"/>
                    <w:keepLines w:val="0"/>
                    <w:pageBreakBefore w:val="0"/>
                    <w:kinsoku/>
                    <w:wordWrap/>
                    <w:overflowPunct/>
                    <w:topLinePunct w:val="0"/>
                    <w:autoSpaceDE/>
                    <w:autoSpaceDN/>
                    <w:bidi w:val="0"/>
                    <w:adjustRightInd w:val="0"/>
                    <w:snapToGrid w:val="0"/>
                    <w:rPr>
                      <w:rFonts w:hint="eastAsia" w:eastAsia="宋体"/>
                      <w:color w:val="auto"/>
                      <w:sz w:val="18"/>
                      <w:szCs w:val="18"/>
                      <w:lang w:val="en-US" w:eastAsia="zh-CN"/>
                    </w:rPr>
                  </w:pPr>
                </w:p>
              </w:tc>
            </w:tr>
            <w:tr w14:paraId="0152F34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19" w:type="pct"/>
                  <w:vMerge w:val="continue"/>
                  <w:vAlign w:val="center"/>
                </w:tcPr>
                <w:p w14:paraId="2A179D1B">
                  <w:pPr>
                    <w:pStyle w:val="656"/>
                    <w:keepNext w:val="0"/>
                    <w:keepLines w:val="0"/>
                    <w:pageBreakBefore w:val="0"/>
                    <w:kinsoku/>
                    <w:wordWrap/>
                    <w:overflowPunct/>
                    <w:topLinePunct w:val="0"/>
                    <w:autoSpaceDE/>
                    <w:autoSpaceDN/>
                    <w:bidi w:val="0"/>
                    <w:adjustRightInd w:val="0"/>
                    <w:snapToGrid w:val="0"/>
                    <w:rPr>
                      <w:rFonts w:hint="eastAsia" w:eastAsia="宋体"/>
                      <w:color w:val="auto"/>
                      <w:sz w:val="18"/>
                      <w:szCs w:val="18"/>
                      <w:lang w:val="en-US" w:eastAsia="zh-CN"/>
                    </w:rPr>
                  </w:pPr>
                </w:p>
              </w:tc>
              <w:tc>
                <w:tcPr>
                  <w:tcW w:w="394" w:type="pct"/>
                  <w:vAlign w:val="center"/>
                </w:tcPr>
                <w:p w14:paraId="1567AEA9">
                  <w:pPr>
                    <w:pStyle w:val="656"/>
                    <w:keepNext w:val="0"/>
                    <w:keepLines w:val="0"/>
                    <w:pageBreakBefore w:val="0"/>
                    <w:kinsoku/>
                    <w:wordWrap/>
                    <w:overflowPunct/>
                    <w:topLinePunct w:val="0"/>
                    <w:autoSpaceDE/>
                    <w:autoSpaceDN/>
                    <w:bidi w:val="0"/>
                    <w:adjustRightInd w:val="0"/>
                    <w:snapToGrid w:val="0"/>
                    <w:rPr>
                      <w:rFonts w:hint="default" w:eastAsia="宋体"/>
                      <w:color w:val="auto"/>
                      <w:sz w:val="18"/>
                      <w:szCs w:val="18"/>
                      <w:lang w:val="en-US" w:eastAsia="zh-CN"/>
                    </w:rPr>
                  </w:pPr>
                  <w:r>
                    <w:rPr>
                      <w:rFonts w:hint="eastAsia" w:eastAsia="宋体"/>
                      <w:color w:val="auto"/>
                      <w:sz w:val="18"/>
                      <w:szCs w:val="18"/>
                      <w:lang w:val="en-US" w:eastAsia="zh-CN"/>
                    </w:rPr>
                    <w:t>喷枪清洗</w:t>
                  </w:r>
                </w:p>
              </w:tc>
              <w:tc>
                <w:tcPr>
                  <w:tcW w:w="423" w:type="pct"/>
                  <w:vMerge w:val="continue"/>
                  <w:vAlign w:val="center"/>
                </w:tcPr>
                <w:p w14:paraId="3534F4DF">
                  <w:pPr>
                    <w:pStyle w:val="656"/>
                    <w:keepNext w:val="0"/>
                    <w:keepLines w:val="0"/>
                    <w:pageBreakBefore w:val="0"/>
                    <w:kinsoku/>
                    <w:wordWrap/>
                    <w:overflowPunct/>
                    <w:topLinePunct w:val="0"/>
                    <w:autoSpaceDE/>
                    <w:autoSpaceDN/>
                    <w:bidi w:val="0"/>
                    <w:adjustRightInd w:val="0"/>
                    <w:snapToGrid w:val="0"/>
                    <w:rPr>
                      <w:rFonts w:hint="eastAsia" w:eastAsia="宋体"/>
                      <w:color w:val="auto"/>
                      <w:sz w:val="18"/>
                      <w:szCs w:val="18"/>
                      <w:lang w:val="en-US" w:eastAsia="zh-CN"/>
                    </w:rPr>
                  </w:pPr>
                </w:p>
              </w:tc>
              <w:tc>
                <w:tcPr>
                  <w:tcW w:w="516" w:type="pct"/>
                  <w:vAlign w:val="center"/>
                </w:tcPr>
                <w:p w14:paraId="1B248272">
                  <w:pPr>
                    <w:pStyle w:val="656"/>
                    <w:keepNext w:val="0"/>
                    <w:keepLines w:val="0"/>
                    <w:pageBreakBefore w:val="0"/>
                    <w:kinsoku/>
                    <w:wordWrap/>
                    <w:overflowPunct/>
                    <w:topLinePunct w:val="0"/>
                    <w:autoSpaceDE/>
                    <w:autoSpaceDN/>
                    <w:bidi w:val="0"/>
                    <w:adjustRightInd w:val="0"/>
                    <w:snapToGrid w:val="0"/>
                    <w:rPr>
                      <w:rFonts w:hint="default" w:eastAsia="宋体"/>
                      <w:color w:val="auto"/>
                      <w:sz w:val="18"/>
                      <w:szCs w:val="18"/>
                      <w:lang w:val="en-US" w:eastAsia="zh-CN"/>
                    </w:rPr>
                  </w:pPr>
                  <w:r>
                    <w:rPr>
                      <w:rFonts w:hint="eastAsia" w:eastAsia="宋体"/>
                      <w:color w:val="auto"/>
                      <w:sz w:val="18"/>
                      <w:szCs w:val="18"/>
                      <w:lang w:val="en-US" w:eastAsia="zh-CN"/>
                    </w:rPr>
                    <w:t>0.00004</w:t>
                  </w:r>
                </w:p>
              </w:tc>
              <w:tc>
                <w:tcPr>
                  <w:tcW w:w="516" w:type="pct"/>
                  <w:vAlign w:val="center"/>
                </w:tcPr>
                <w:p w14:paraId="7A3458D0">
                  <w:pPr>
                    <w:pStyle w:val="656"/>
                    <w:keepNext w:val="0"/>
                    <w:keepLines w:val="0"/>
                    <w:pageBreakBefore w:val="0"/>
                    <w:kinsoku/>
                    <w:wordWrap/>
                    <w:overflowPunct/>
                    <w:topLinePunct w:val="0"/>
                    <w:autoSpaceDE/>
                    <w:autoSpaceDN/>
                    <w:bidi w:val="0"/>
                    <w:adjustRightInd w:val="0"/>
                    <w:snapToGrid w:val="0"/>
                    <w:rPr>
                      <w:rFonts w:hint="default" w:eastAsia="宋体"/>
                      <w:color w:val="auto"/>
                      <w:sz w:val="18"/>
                      <w:szCs w:val="18"/>
                      <w:lang w:val="en-US" w:eastAsia="zh-CN"/>
                    </w:rPr>
                  </w:pPr>
                  <w:r>
                    <w:rPr>
                      <w:rFonts w:hint="eastAsia" w:eastAsia="宋体"/>
                      <w:color w:val="auto"/>
                      <w:sz w:val="18"/>
                      <w:szCs w:val="18"/>
                      <w:lang w:val="en-US" w:eastAsia="zh-CN"/>
                    </w:rPr>
                    <w:t>0.0001</w:t>
                  </w:r>
                </w:p>
              </w:tc>
              <w:tc>
                <w:tcPr>
                  <w:tcW w:w="448" w:type="pct"/>
                  <w:vAlign w:val="center"/>
                </w:tcPr>
                <w:p w14:paraId="408FA4D1">
                  <w:pPr>
                    <w:pStyle w:val="656"/>
                    <w:keepNext w:val="0"/>
                    <w:keepLines w:val="0"/>
                    <w:pageBreakBefore w:val="0"/>
                    <w:kinsoku/>
                    <w:wordWrap/>
                    <w:overflowPunct/>
                    <w:topLinePunct w:val="0"/>
                    <w:autoSpaceDE/>
                    <w:autoSpaceDN/>
                    <w:bidi w:val="0"/>
                    <w:adjustRightInd w:val="0"/>
                    <w:snapToGrid w:val="0"/>
                    <w:rPr>
                      <w:rFonts w:hint="eastAsia" w:eastAsia="宋体"/>
                      <w:color w:val="auto"/>
                      <w:sz w:val="18"/>
                      <w:szCs w:val="18"/>
                      <w:lang w:val="en-US" w:eastAsia="zh-CN"/>
                    </w:rPr>
                  </w:pPr>
                  <w:r>
                    <w:rPr>
                      <w:rFonts w:hint="eastAsia" w:eastAsia="宋体"/>
                      <w:color w:val="auto"/>
                      <w:sz w:val="18"/>
                      <w:szCs w:val="18"/>
                      <w:lang w:val="en-US" w:eastAsia="zh-CN"/>
                    </w:rPr>
                    <w:t>--</w:t>
                  </w:r>
                </w:p>
              </w:tc>
              <w:tc>
                <w:tcPr>
                  <w:tcW w:w="448" w:type="pct"/>
                  <w:vAlign w:val="center"/>
                </w:tcPr>
                <w:p w14:paraId="019C3EEC">
                  <w:pPr>
                    <w:keepNext w:val="0"/>
                    <w:keepLines w:val="0"/>
                    <w:pageBreakBefore w:val="0"/>
                    <w:kinsoku/>
                    <w:wordWrap/>
                    <w:overflowPunct/>
                    <w:topLinePunct w:val="0"/>
                    <w:autoSpaceDE/>
                    <w:autoSpaceDN/>
                    <w:bidi w:val="0"/>
                    <w:adjustRightInd w:val="0"/>
                    <w:snapToGrid w:val="0"/>
                    <w:jc w:val="center"/>
                    <w:rPr>
                      <w:rFonts w:hint="eastAsia"/>
                      <w:color w:val="auto"/>
                      <w:sz w:val="18"/>
                      <w:szCs w:val="18"/>
                      <w:lang w:val="en-US" w:eastAsia="zh-CN"/>
                    </w:rPr>
                  </w:pPr>
                  <w:r>
                    <w:rPr>
                      <w:rFonts w:hint="eastAsia"/>
                      <w:color w:val="auto"/>
                      <w:sz w:val="18"/>
                      <w:szCs w:val="18"/>
                      <w:lang w:val="en-US" w:eastAsia="zh-CN"/>
                    </w:rPr>
                    <w:t>--</w:t>
                  </w:r>
                </w:p>
              </w:tc>
              <w:tc>
                <w:tcPr>
                  <w:tcW w:w="448" w:type="pct"/>
                  <w:vAlign w:val="center"/>
                </w:tcPr>
                <w:p w14:paraId="4FB6E54E">
                  <w:pPr>
                    <w:keepNext w:val="0"/>
                    <w:keepLines w:val="0"/>
                    <w:pageBreakBefore w:val="0"/>
                    <w:kinsoku/>
                    <w:wordWrap/>
                    <w:overflowPunct/>
                    <w:topLinePunct w:val="0"/>
                    <w:autoSpaceDE/>
                    <w:autoSpaceDN/>
                    <w:bidi w:val="0"/>
                    <w:adjustRightInd w:val="0"/>
                    <w:snapToGrid w:val="0"/>
                    <w:jc w:val="center"/>
                    <w:rPr>
                      <w:rFonts w:hint="eastAsia"/>
                      <w:color w:val="auto"/>
                      <w:sz w:val="18"/>
                      <w:szCs w:val="18"/>
                      <w:lang w:val="en-US" w:eastAsia="zh-CN"/>
                    </w:rPr>
                  </w:pPr>
                  <w:r>
                    <w:rPr>
                      <w:rFonts w:hint="eastAsia"/>
                      <w:color w:val="auto"/>
                      <w:sz w:val="18"/>
                      <w:szCs w:val="18"/>
                      <w:lang w:val="en-US" w:eastAsia="zh-CN"/>
                    </w:rPr>
                    <w:t>--</w:t>
                  </w:r>
                </w:p>
              </w:tc>
              <w:tc>
                <w:tcPr>
                  <w:tcW w:w="490" w:type="pct"/>
                  <w:shd w:val="clear" w:color="auto" w:fill="auto"/>
                  <w:vAlign w:val="center"/>
                </w:tcPr>
                <w:p w14:paraId="08F2310A">
                  <w:pPr>
                    <w:pStyle w:val="656"/>
                    <w:keepNext w:val="0"/>
                    <w:keepLines w:val="0"/>
                    <w:pageBreakBefore w:val="0"/>
                    <w:kinsoku/>
                    <w:wordWrap/>
                    <w:overflowPunct/>
                    <w:topLinePunct w:val="0"/>
                    <w:autoSpaceDE/>
                    <w:autoSpaceDN/>
                    <w:bidi w:val="0"/>
                    <w:adjustRightInd w:val="0"/>
                    <w:snapToGrid w:val="0"/>
                    <w:rPr>
                      <w:rFonts w:hint="eastAsia"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0.00004</w:t>
                  </w:r>
                </w:p>
              </w:tc>
              <w:tc>
                <w:tcPr>
                  <w:tcW w:w="490" w:type="pct"/>
                  <w:shd w:val="clear" w:color="auto" w:fill="auto"/>
                  <w:vAlign w:val="center"/>
                </w:tcPr>
                <w:p w14:paraId="0FCF7E1B">
                  <w:pPr>
                    <w:pStyle w:val="656"/>
                    <w:keepNext w:val="0"/>
                    <w:keepLines w:val="0"/>
                    <w:pageBreakBefore w:val="0"/>
                    <w:kinsoku/>
                    <w:wordWrap/>
                    <w:overflowPunct/>
                    <w:topLinePunct w:val="0"/>
                    <w:autoSpaceDE/>
                    <w:autoSpaceDN/>
                    <w:bidi w:val="0"/>
                    <w:adjustRightInd w:val="0"/>
                    <w:snapToGrid w:val="0"/>
                    <w:rPr>
                      <w:rFonts w:hint="eastAsia"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0.0001</w:t>
                  </w:r>
                </w:p>
              </w:tc>
              <w:tc>
                <w:tcPr>
                  <w:tcW w:w="404" w:type="pct"/>
                  <w:vMerge w:val="continue"/>
                  <w:vAlign w:val="center"/>
                </w:tcPr>
                <w:p w14:paraId="3AF4AA91">
                  <w:pPr>
                    <w:pStyle w:val="656"/>
                    <w:keepNext w:val="0"/>
                    <w:keepLines w:val="0"/>
                    <w:pageBreakBefore w:val="0"/>
                    <w:kinsoku/>
                    <w:wordWrap/>
                    <w:overflowPunct/>
                    <w:topLinePunct w:val="0"/>
                    <w:autoSpaceDE/>
                    <w:autoSpaceDN/>
                    <w:bidi w:val="0"/>
                    <w:adjustRightInd w:val="0"/>
                    <w:snapToGrid w:val="0"/>
                    <w:rPr>
                      <w:rFonts w:hint="eastAsia" w:eastAsia="宋体"/>
                      <w:color w:val="auto"/>
                      <w:sz w:val="18"/>
                      <w:szCs w:val="18"/>
                      <w:lang w:val="en-US" w:eastAsia="zh-CN"/>
                    </w:rPr>
                  </w:pPr>
                </w:p>
              </w:tc>
            </w:tr>
            <w:tr w14:paraId="7E3BC61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19" w:type="pct"/>
                  <w:vMerge w:val="continue"/>
                  <w:vAlign w:val="center"/>
                </w:tcPr>
                <w:p w14:paraId="09121701">
                  <w:pPr>
                    <w:pStyle w:val="656"/>
                    <w:keepNext w:val="0"/>
                    <w:keepLines w:val="0"/>
                    <w:pageBreakBefore w:val="0"/>
                    <w:kinsoku/>
                    <w:wordWrap/>
                    <w:overflowPunct/>
                    <w:topLinePunct w:val="0"/>
                    <w:autoSpaceDE/>
                    <w:autoSpaceDN/>
                    <w:bidi w:val="0"/>
                    <w:adjustRightInd w:val="0"/>
                    <w:snapToGrid w:val="0"/>
                    <w:rPr>
                      <w:rFonts w:hint="eastAsia" w:eastAsia="宋体"/>
                      <w:color w:val="auto"/>
                      <w:sz w:val="18"/>
                      <w:szCs w:val="18"/>
                      <w:lang w:val="en-US" w:eastAsia="zh-CN"/>
                    </w:rPr>
                  </w:pPr>
                </w:p>
              </w:tc>
              <w:tc>
                <w:tcPr>
                  <w:tcW w:w="394" w:type="pct"/>
                  <w:vMerge w:val="restart"/>
                  <w:vAlign w:val="center"/>
                </w:tcPr>
                <w:p w14:paraId="1FBE1201">
                  <w:pPr>
                    <w:pStyle w:val="656"/>
                    <w:keepNext w:val="0"/>
                    <w:keepLines w:val="0"/>
                    <w:pageBreakBefore w:val="0"/>
                    <w:kinsoku/>
                    <w:wordWrap/>
                    <w:overflowPunct/>
                    <w:topLinePunct w:val="0"/>
                    <w:autoSpaceDE/>
                    <w:autoSpaceDN/>
                    <w:bidi w:val="0"/>
                    <w:adjustRightInd w:val="0"/>
                    <w:snapToGrid w:val="0"/>
                    <w:rPr>
                      <w:rFonts w:hint="default" w:eastAsia="宋体"/>
                      <w:color w:val="auto"/>
                      <w:sz w:val="18"/>
                      <w:szCs w:val="18"/>
                      <w:lang w:val="en-US" w:eastAsia="zh-CN"/>
                    </w:rPr>
                  </w:pPr>
                  <w:r>
                    <w:rPr>
                      <w:rFonts w:hint="eastAsia" w:eastAsia="宋体"/>
                      <w:color w:val="auto"/>
                      <w:sz w:val="18"/>
                      <w:szCs w:val="18"/>
                      <w:lang w:val="en-US" w:eastAsia="zh-CN"/>
                    </w:rPr>
                    <w:t>调漆、喷漆、刷漆、晾干</w:t>
                  </w:r>
                </w:p>
              </w:tc>
              <w:tc>
                <w:tcPr>
                  <w:tcW w:w="423" w:type="pct"/>
                  <w:vMerge w:val="continue"/>
                  <w:vAlign w:val="center"/>
                </w:tcPr>
                <w:p w14:paraId="28906CD2">
                  <w:pPr>
                    <w:pStyle w:val="656"/>
                    <w:keepNext w:val="0"/>
                    <w:keepLines w:val="0"/>
                    <w:pageBreakBefore w:val="0"/>
                    <w:kinsoku/>
                    <w:wordWrap/>
                    <w:overflowPunct/>
                    <w:topLinePunct w:val="0"/>
                    <w:autoSpaceDE/>
                    <w:autoSpaceDN/>
                    <w:bidi w:val="0"/>
                    <w:adjustRightInd w:val="0"/>
                    <w:snapToGrid w:val="0"/>
                    <w:rPr>
                      <w:rFonts w:hint="default" w:eastAsia="宋体"/>
                      <w:color w:val="auto"/>
                      <w:sz w:val="18"/>
                      <w:szCs w:val="18"/>
                      <w:lang w:val="en-US" w:eastAsia="zh-CN"/>
                    </w:rPr>
                  </w:pPr>
                </w:p>
              </w:tc>
              <w:tc>
                <w:tcPr>
                  <w:tcW w:w="516" w:type="pct"/>
                  <w:vAlign w:val="center"/>
                </w:tcPr>
                <w:p w14:paraId="0299929A">
                  <w:pPr>
                    <w:pStyle w:val="656"/>
                    <w:keepNext w:val="0"/>
                    <w:keepLines w:val="0"/>
                    <w:pageBreakBefore w:val="0"/>
                    <w:kinsoku/>
                    <w:wordWrap/>
                    <w:overflowPunct/>
                    <w:topLinePunct w:val="0"/>
                    <w:autoSpaceDE/>
                    <w:autoSpaceDN/>
                    <w:bidi w:val="0"/>
                    <w:adjustRightInd w:val="0"/>
                    <w:snapToGrid w:val="0"/>
                    <w:rPr>
                      <w:rFonts w:hint="default" w:eastAsia="宋体"/>
                      <w:color w:val="auto"/>
                      <w:sz w:val="18"/>
                      <w:szCs w:val="18"/>
                      <w:lang w:val="en-US" w:eastAsia="zh-CN"/>
                    </w:rPr>
                  </w:pPr>
                  <w:r>
                    <w:rPr>
                      <w:rFonts w:hint="eastAsia" w:eastAsia="宋体"/>
                      <w:color w:val="auto"/>
                      <w:sz w:val="18"/>
                      <w:szCs w:val="18"/>
                      <w:lang w:val="en-US" w:eastAsia="zh-CN"/>
                    </w:rPr>
                    <w:t>0.016</w:t>
                  </w:r>
                </w:p>
              </w:tc>
              <w:tc>
                <w:tcPr>
                  <w:tcW w:w="516" w:type="pct"/>
                  <w:vAlign w:val="center"/>
                </w:tcPr>
                <w:p w14:paraId="55EA8C09">
                  <w:pPr>
                    <w:pStyle w:val="656"/>
                    <w:keepNext w:val="0"/>
                    <w:keepLines w:val="0"/>
                    <w:pageBreakBefore w:val="0"/>
                    <w:kinsoku/>
                    <w:wordWrap/>
                    <w:overflowPunct/>
                    <w:topLinePunct w:val="0"/>
                    <w:autoSpaceDE/>
                    <w:autoSpaceDN/>
                    <w:bidi w:val="0"/>
                    <w:adjustRightInd w:val="0"/>
                    <w:snapToGrid w:val="0"/>
                    <w:rPr>
                      <w:rFonts w:hint="default" w:eastAsia="宋体"/>
                      <w:color w:val="auto"/>
                      <w:sz w:val="18"/>
                      <w:szCs w:val="18"/>
                      <w:lang w:val="en-US" w:eastAsia="zh-CN"/>
                    </w:rPr>
                  </w:pPr>
                  <w:r>
                    <w:rPr>
                      <w:rFonts w:hint="eastAsia" w:eastAsia="宋体"/>
                      <w:color w:val="auto"/>
                      <w:sz w:val="18"/>
                      <w:szCs w:val="18"/>
                      <w:lang w:val="en-US" w:eastAsia="zh-CN"/>
                    </w:rPr>
                    <w:t>0.0378</w:t>
                  </w:r>
                </w:p>
              </w:tc>
              <w:tc>
                <w:tcPr>
                  <w:tcW w:w="448" w:type="pct"/>
                  <w:vAlign w:val="center"/>
                </w:tcPr>
                <w:p w14:paraId="5B82F63A">
                  <w:pPr>
                    <w:pStyle w:val="656"/>
                    <w:keepNext w:val="0"/>
                    <w:keepLines w:val="0"/>
                    <w:pageBreakBefore w:val="0"/>
                    <w:kinsoku/>
                    <w:wordWrap/>
                    <w:overflowPunct/>
                    <w:topLinePunct w:val="0"/>
                    <w:autoSpaceDE/>
                    <w:autoSpaceDN/>
                    <w:bidi w:val="0"/>
                    <w:adjustRightInd w:val="0"/>
                    <w:snapToGrid w:val="0"/>
                    <w:rPr>
                      <w:rFonts w:hint="eastAsia" w:eastAsia="宋体"/>
                      <w:color w:val="auto"/>
                      <w:sz w:val="18"/>
                      <w:szCs w:val="18"/>
                    </w:rPr>
                  </w:pPr>
                  <w:r>
                    <w:rPr>
                      <w:rFonts w:hint="eastAsia" w:eastAsia="宋体"/>
                      <w:color w:val="auto"/>
                      <w:sz w:val="18"/>
                      <w:szCs w:val="18"/>
                      <w:lang w:val="en-US" w:eastAsia="zh-CN"/>
                    </w:rPr>
                    <w:t>--</w:t>
                  </w:r>
                </w:p>
              </w:tc>
              <w:tc>
                <w:tcPr>
                  <w:tcW w:w="448" w:type="pct"/>
                  <w:vAlign w:val="center"/>
                </w:tcPr>
                <w:p w14:paraId="3DD75E41">
                  <w:pPr>
                    <w:keepNext w:val="0"/>
                    <w:keepLines w:val="0"/>
                    <w:pageBreakBefore w:val="0"/>
                    <w:kinsoku/>
                    <w:wordWrap/>
                    <w:overflowPunct/>
                    <w:topLinePunct w:val="0"/>
                    <w:autoSpaceDE/>
                    <w:autoSpaceDN/>
                    <w:bidi w:val="0"/>
                    <w:adjustRightInd w:val="0"/>
                    <w:snapToGrid w:val="0"/>
                    <w:jc w:val="center"/>
                    <w:rPr>
                      <w:rFonts w:hint="eastAsia"/>
                      <w:color w:val="auto"/>
                      <w:sz w:val="18"/>
                      <w:szCs w:val="18"/>
                    </w:rPr>
                  </w:pPr>
                  <w:r>
                    <w:rPr>
                      <w:rFonts w:hint="eastAsia"/>
                      <w:color w:val="auto"/>
                      <w:sz w:val="18"/>
                      <w:szCs w:val="18"/>
                      <w:lang w:val="en-US" w:eastAsia="zh-CN"/>
                    </w:rPr>
                    <w:t>--</w:t>
                  </w:r>
                </w:p>
              </w:tc>
              <w:tc>
                <w:tcPr>
                  <w:tcW w:w="448" w:type="pct"/>
                  <w:vAlign w:val="center"/>
                </w:tcPr>
                <w:p w14:paraId="41FB2F32">
                  <w:pPr>
                    <w:keepNext w:val="0"/>
                    <w:keepLines w:val="0"/>
                    <w:pageBreakBefore w:val="0"/>
                    <w:kinsoku/>
                    <w:wordWrap/>
                    <w:overflowPunct/>
                    <w:topLinePunct w:val="0"/>
                    <w:autoSpaceDE/>
                    <w:autoSpaceDN/>
                    <w:bidi w:val="0"/>
                    <w:adjustRightInd w:val="0"/>
                    <w:snapToGrid w:val="0"/>
                    <w:jc w:val="center"/>
                    <w:rPr>
                      <w:rFonts w:hint="eastAsia"/>
                      <w:color w:val="auto"/>
                      <w:sz w:val="18"/>
                      <w:szCs w:val="18"/>
                    </w:rPr>
                  </w:pPr>
                  <w:r>
                    <w:rPr>
                      <w:rFonts w:hint="eastAsia"/>
                      <w:color w:val="auto"/>
                      <w:sz w:val="18"/>
                      <w:szCs w:val="18"/>
                      <w:lang w:val="en-US" w:eastAsia="zh-CN"/>
                    </w:rPr>
                    <w:t>--</w:t>
                  </w:r>
                </w:p>
              </w:tc>
              <w:tc>
                <w:tcPr>
                  <w:tcW w:w="490" w:type="pct"/>
                  <w:shd w:val="clear" w:color="auto" w:fill="auto"/>
                  <w:vAlign w:val="center"/>
                </w:tcPr>
                <w:p w14:paraId="1D991382">
                  <w:pPr>
                    <w:pStyle w:val="656"/>
                    <w:keepNext w:val="0"/>
                    <w:keepLines w:val="0"/>
                    <w:pageBreakBefore w:val="0"/>
                    <w:kinsoku/>
                    <w:wordWrap/>
                    <w:overflowPunct/>
                    <w:topLinePunct w:val="0"/>
                    <w:autoSpaceDE/>
                    <w:autoSpaceDN/>
                    <w:bidi w:val="0"/>
                    <w:adjustRightInd w:val="0"/>
                    <w:snapToGrid w:val="0"/>
                    <w:rPr>
                      <w:rFonts w:hint="eastAsia"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0.016</w:t>
                  </w:r>
                </w:p>
              </w:tc>
              <w:tc>
                <w:tcPr>
                  <w:tcW w:w="490" w:type="pct"/>
                  <w:shd w:val="clear" w:color="auto" w:fill="auto"/>
                  <w:vAlign w:val="center"/>
                </w:tcPr>
                <w:p w14:paraId="61E7FA44">
                  <w:pPr>
                    <w:pStyle w:val="656"/>
                    <w:keepNext w:val="0"/>
                    <w:keepLines w:val="0"/>
                    <w:pageBreakBefore w:val="0"/>
                    <w:kinsoku/>
                    <w:wordWrap/>
                    <w:overflowPunct/>
                    <w:topLinePunct w:val="0"/>
                    <w:autoSpaceDE/>
                    <w:autoSpaceDN/>
                    <w:bidi w:val="0"/>
                    <w:adjustRightInd w:val="0"/>
                    <w:snapToGrid w:val="0"/>
                    <w:rPr>
                      <w:rFonts w:hint="eastAsia"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0.0378</w:t>
                  </w:r>
                </w:p>
              </w:tc>
              <w:tc>
                <w:tcPr>
                  <w:tcW w:w="404" w:type="pct"/>
                  <w:vMerge w:val="continue"/>
                  <w:vAlign w:val="center"/>
                </w:tcPr>
                <w:p w14:paraId="6A8F4861">
                  <w:pPr>
                    <w:keepNext w:val="0"/>
                    <w:keepLines w:val="0"/>
                    <w:pageBreakBefore w:val="0"/>
                    <w:kinsoku/>
                    <w:wordWrap/>
                    <w:overflowPunct/>
                    <w:topLinePunct w:val="0"/>
                    <w:autoSpaceDE/>
                    <w:autoSpaceDN/>
                    <w:bidi w:val="0"/>
                    <w:adjustRightInd w:val="0"/>
                    <w:snapToGrid w:val="0"/>
                    <w:jc w:val="center"/>
                    <w:rPr>
                      <w:color w:val="auto"/>
                      <w:sz w:val="18"/>
                      <w:szCs w:val="18"/>
                    </w:rPr>
                  </w:pPr>
                </w:p>
              </w:tc>
            </w:tr>
            <w:tr w14:paraId="6F588D7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19" w:type="pct"/>
                  <w:vMerge w:val="continue"/>
                  <w:vAlign w:val="center"/>
                </w:tcPr>
                <w:p w14:paraId="0C40007B">
                  <w:pPr>
                    <w:pStyle w:val="656"/>
                    <w:keepNext w:val="0"/>
                    <w:keepLines w:val="0"/>
                    <w:pageBreakBefore w:val="0"/>
                    <w:kinsoku/>
                    <w:wordWrap/>
                    <w:overflowPunct/>
                    <w:topLinePunct w:val="0"/>
                    <w:autoSpaceDE/>
                    <w:autoSpaceDN/>
                    <w:bidi w:val="0"/>
                    <w:adjustRightInd w:val="0"/>
                    <w:snapToGrid w:val="0"/>
                    <w:rPr>
                      <w:rFonts w:hint="eastAsia" w:eastAsia="宋体"/>
                      <w:color w:val="auto"/>
                      <w:sz w:val="18"/>
                      <w:szCs w:val="18"/>
                      <w:lang w:val="en-US" w:eastAsia="zh-CN"/>
                    </w:rPr>
                  </w:pPr>
                </w:p>
              </w:tc>
              <w:tc>
                <w:tcPr>
                  <w:tcW w:w="394" w:type="pct"/>
                  <w:vMerge w:val="continue"/>
                  <w:vAlign w:val="center"/>
                </w:tcPr>
                <w:p w14:paraId="198CA9E4">
                  <w:pPr>
                    <w:pStyle w:val="656"/>
                    <w:keepNext w:val="0"/>
                    <w:keepLines w:val="0"/>
                    <w:pageBreakBefore w:val="0"/>
                    <w:kinsoku/>
                    <w:wordWrap/>
                    <w:overflowPunct/>
                    <w:topLinePunct w:val="0"/>
                    <w:autoSpaceDE/>
                    <w:autoSpaceDN/>
                    <w:bidi w:val="0"/>
                    <w:adjustRightInd w:val="0"/>
                    <w:snapToGrid w:val="0"/>
                    <w:rPr>
                      <w:rFonts w:hint="eastAsia" w:eastAsia="宋体"/>
                      <w:color w:val="auto"/>
                      <w:sz w:val="18"/>
                      <w:szCs w:val="18"/>
                      <w:lang w:val="en-US" w:eastAsia="zh-CN"/>
                    </w:rPr>
                  </w:pPr>
                </w:p>
              </w:tc>
              <w:tc>
                <w:tcPr>
                  <w:tcW w:w="423" w:type="pct"/>
                  <w:vAlign w:val="center"/>
                </w:tcPr>
                <w:p w14:paraId="4481B1C1">
                  <w:pPr>
                    <w:pStyle w:val="656"/>
                    <w:keepNext w:val="0"/>
                    <w:keepLines w:val="0"/>
                    <w:pageBreakBefore w:val="0"/>
                    <w:kinsoku/>
                    <w:wordWrap/>
                    <w:overflowPunct/>
                    <w:topLinePunct w:val="0"/>
                    <w:autoSpaceDE/>
                    <w:autoSpaceDN/>
                    <w:bidi w:val="0"/>
                    <w:adjustRightInd w:val="0"/>
                    <w:snapToGrid w:val="0"/>
                    <w:rPr>
                      <w:rFonts w:hint="default" w:eastAsia="宋体"/>
                      <w:color w:val="auto"/>
                      <w:sz w:val="18"/>
                      <w:szCs w:val="18"/>
                      <w:lang w:val="en-US" w:eastAsia="zh-CN"/>
                    </w:rPr>
                  </w:pPr>
                  <w:r>
                    <w:rPr>
                      <w:rFonts w:hint="eastAsia" w:eastAsia="宋体"/>
                      <w:color w:val="auto"/>
                      <w:sz w:val="18"/>
                      <w:szCs w:val="18"/>
                      <w:lang w:val="en-US" w:eastAsia="zh-CN"/>
                    </w:rPr>
                    <w:t>苯系物</w:t>
                  </w:r>
                </w:p>
              </w:tc>
              <w:tc>
                <w:tcPr>
                  <w:tcW w:w="516" w:type="pct"/>
                  <w:vAlign w:val="center"/>
                </w:tcPr>
                <w:p w14:paraId="65EB97FE">
                  <w:pPr>
                    <w:pStyle w:val="656"/>
                    <w:keepNext w:val="0"/>
                    <w:keepLines w:val="0"/>
                    <w:pageBreakBefore w:val="0"/>
                    <w:kinsoku/>
                    <w:wordWrap/>
                    <w:overflowPunct/>
                    <w:topLinePunct w:val="0"/>
                    <w:autoSpaceDE/>
                    <w:autoSpaceDN/>
                    <w:bidi w:val="0"/>
                    <w:adjustRightInd w:val="0"/>
                    <w:snapToGrid w:val="0"/>
                    <w:rPr>
                      <w:rFonts w:hint="default" w:eastAsia="宋体"/>
                      <w:color w:val="auto"/>
                      <w:sz w:val="18"/>
                      <w:szCs w:val="18"/>
                      <w:lang w:val="en-US" w:eastAsia="zh-CN"/>
                    </w:rPr>
                  </w:pPr>
                  <w:r>
                    <w:rPr>
                      <w:rFonts w:hint="eastAsia" w:eastAsia="宋体"/>
                      <w:color w:val="auto"/>
                      <w:sz w:val="18"/>
                      <w:szCs w:val="18"/>
                      <w:lang w:val="en-US" w:eastAsia="zh-CN"/>
                    </w:rPr>
                    <w:t>0.005</w:t>
                  </w:r>
                </w:p>
              </w:tc>
              <w:tc>
                <w:tcPr>
                  <w:tcW w:w="516" w:type="pct"/>
                  <w:vAlign w:val="center"/>
                </w:tcPr>
                <w:p w14:paraId="7327F2FD">
                  <w:pPr>
                    <w:pStyle w:val="656"/>
                    <w:keepNext w:val="0"/>
                    <w:keepLines w:val="0"/>
                    <w:pageBreakBefore w:val="0"/>
                    <w:kinsoku/>
                    <w:wordWrap/>
                    <w:overflowPunct/>
                    <w:topLinePunct w:val="0"/>
                    <w:autoSpaceDE/>
                    <w:autoSpaceDN/>
                    <w:bidi w:val="0"/>
                    <w:adjustRightInd w:val="0"/>
                    <w:snapToGrid w:val="0"/>
                    <w:rPr>
                      <w:rFonts w:hint="default" w:eastAsia="宋体"/>
                      <w:color w:val="auto"/>
                      <w:sz w:val="18"/>
                      <w:szCs w:val="18"/>
                      <w:lang w:val="en-US" w:eastAsia="zh-CN"/>
                    </w:rPr>
                  </w:pPr>
                  <w:r>
                    <w:rPr>
                      <w:rFonts w:hint="eastAsia" w:eastAsia="宋体"/>
                      <w:color w:val="auto"/>
                      <w:sz w:val="18"/>
                      <w:szCs w:val="18"/>
                      <w:lang w:val="en-US" w:eastAsia="zh-CN"/>
                    </w:rPr>
                    <w:t>0.0121</w:t>
                  </w:r>
                </w:p>
              </w:tc>
              <w:tc>
                <w:tcPr>
                  <w:tcW w:w="448" w:type="pct"/>
                  <w:vAlign w:val="center"/>
                </w:tcPr>
                <w:p w14:paraId="504A0585">
                  <w:pPr>
                    <w:pStyle w:val="656"/>
                    <w:keepNext w:val="0"/>
                    <w:keepLines w:val="0"/>
                    <w:pageBreakBefore w:val="0"/>
                    <w:kinsoku/>
                    <w:wordWrap/>
                    <w:overflowPunct/>
                    <w:topLinePunct w:val="0"/>
                    <w:autoSpaceDE/>
                    <w:autoSpaceDN/>
                    <w:bidi w:val="0"/>
                    <w:adjustRightInd w:val="0"/>
                    <w:snapToGrid w:val="0"/>
                    <w:rPr>
                      <w:rFonts w:hint="eastAsia" w:eastAsia="宋体"/>
                      <w:color w:val="auto"/>
                      <w:sz w:val="18"/>
                      <w:szCs w:val="18"/>
                    </w:rPr>
                  </w:pPr>
                  <w:r>
                    <w:rPr>
                      <w:rFonts w:hint="eastAsia" w:eastAsia="宋体"/>
                      <w:color w:val="auto"/>
                      <w:sz w:val="18"/>
                      <w:szCs w:val="18"/>
                      <w:lang w:val="en-US" w:eastAsia="zh-CN"/>
                    </w:rPr>
                    <w:t>--</w:t>
                  </w:r>
                </w:p>
              </w:tc>
              <w:tc>
                <w:tcPr>
                  <w:tcW w:w="448" w:type="pct"/>
                  <w:vAlign w:val="center"/>
                </w:tcPr>
                <w:p w14:paraId="0EA75F00">
                  <w:pPr>
                    <w:keepNext w:val="0"/>
                    <w:keepLines w:val="0"/>
                    <w:pageBreakBefore w:val="0"/>
                    <w:kinsoku/>
                    <w:wordWrap/>
                    <w:overflowPunct/>
                    <w:topLinePunct w:val="0"/>
                    <w:autoSpaceDE/>
                    <w:autoSpaceDN/>
                    <w:bidi w:val="0"/>
                    <w:adjustRightInd w:val="0"/>
                    <w:snapToGrid w:val="0"/>
                    <w:jc w:val="center"/>
                    <w:rPr>
                      <w:rFonts w:hint="eastAsia"/>
                      <w:color w:val="auto"/>
                      <w:sz w:val="18"/>
                      <w:szCs w:val="18"/>
                    </w:rPr>
                  </w:pPr>
                  <w:r>
                    <w:rPr>
                      <w:rFonts w:hint="eastAsia"/>
                      <w:color w:val="auto"/>
                      <w:sz w:val="18"/>
                      <w:szCs w:val="18"/>
                      <w:lang w:val="en-US" w:eastAsia="zh-CN"/>
                    </w:rPr>
                    <w:t>--</w:t>
                  </w:r>
                </w:p>
              </w:tc>
              <w:tc>
                <w:tcPr>
                  <w:tcW w:w="448" w:type="pct"/>
                  <w:vAlign w:val="center"/>
                </w:tcPr>
                <w:p w14:paraId="09D926C9">
                  <w:pPr>
                    <w:keepNext w:val="0"/>
                    <w:keepLines w:val="0"/>
                    <w:pageBreakBefore w:val="0"/>
                    <w:kinsoku/>
                    <w:wordWrap/>
                    <w:overflowPunct/>
                    <w:topLinePunct w:val="0"/>
                    <w:autoSpaceDE/>
                    <w:autoSpaceDN/>
                    <w:bidi w:val="0"/>
                    <w:adjustRightInd w:val="0"/>
                    <w:snapToGrid w:val="0"/>
                    <w:jc w:val="center"/>
                    <w:rPr>
                      <w:rFonts w:hint="eastAsia" w:eastAsia="宋体"/>
                      <w:color w:val="auto"/>
                      <w:sz w:val="18"/>
                      <w:szCs w:val="18"/>
                    </w:rPr>
                  </w:pPr>
                  <w:r>
                    <w:rPr>
                      <w:rFonts w:hint="eastAsia"/>
                      <w:color w:val="auto"/>
                      <w:sz w:val="18"/>
                      <w:szCs w:val="18"/>
                      <w:lang w:val="en-US" w:eastAsia="zh-CN"/>
                    </w:rPr>
                    <w:t>--</w:t>
                  </w:r>
                </w:p>
              </w:tc>
              <w:tc>
                <w:tcPr>
                  <w:tcW w:w="490" w:type="pct"/>
                  <w:shd w:val="clear" w:color="auto" w:fill="auto"/>
                  <w:vAlign w:val="center"/>
                </w:tcPr>
                <w:p w14:paraId="23C4EA4A">
                  <w:pPr>
                    <w:pStyle w:val="656"/>
                    <w:keepNext w:val="0"/>
                    <w:keepLines w:val="0"/>
                    <w:pageBreakBefore w:val="0"/>
                    <w:kinsoku/>
                    <w:wordWrap/>
                    <w:overflowPunct/>
                    <w:topLinePunct w:val="0"/>
                    <w:autoSpaceDE/>
                    <w:autoSpaceDN/>
                    <w:bidi w:val="0"/>
                    <w:adjustRightInd w:val="0"/>
                    <w:snapToGrid w:val="0"/>
                    <w:rPr>
                      <w:rFonts w:hint="eastAsia"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0.005</w:t>
                  </w:r>
                </w:p>
              </w:tc>
              <w:tc>
                <w:tcPr>
                  <w:tcW w:w="490" w:type="pct"/>
                  <w:shd w:val="clear" w:color="auto" w:fill="auto"/>
                  <w:vAlign w:val="center"/>
                </w:tcPr>
                <w:p w14:paraId="226C38CC">
                  <w:pPr>
                    <w:pStyle w:val="656"/>
                    <w:keepNext w:val="0"/>
                    <w:keepLines w:val="0"/>
                    <w:pageBreakBefore w:val="0"/>
                    <w:kinsoku/>
                    <w:wordWrap/>
                    <w:overflowPunct/>
                    <w:topLinePunct w:val="0"/>
                    <w:autoSpaceDE/>
                    <w:autoSpaceDN/>
                    <w:bidi w:val="0"/>
                    <w:adjustRightInd w:val="0"/>
                    <w:snapToGrid w:val="0"/>
                    <w:rPr>
                      <w:rFonts w:hint="eastAsia"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0.0121</w:t>
                  </w:r>
                </w:p>
              </w:tc>
              <w:tc>
                <w:tcPr>
                  <w:tcW w:w="404" w:type="pct"/>
                  <w:vMerge w:val="continue"/>
                  <w:vAlign w:val="center"/>
                </w:tcPr>
                <w:p w14:paraId="72B92683">
                  <w:pPr>
                    <w:keepNext w:val="0"/>
                    <w:keepLines w:val="0"/>
                    <w:pageBreakBefore w:val="0"/>
                    <w:kinsoku/>
                    <w:wordWrap/>
                    <w:overflowPunct/>
                    <w:topLinePunct w:val="0"/>
                    <w:autoSpaceDE/>
                    <w:autoSpaceDN/>
                    <w:bidi w:val="0"/>
                    <w:adjustRightInd w:val="0"/>
                    <w:snapToGrid w:val="0"/>
                    <w:jc w:val="center"/>
                    <w:rPr>
                      <w:rFonts w:hint="eastAsia" w:eastAsia="宋体"/>
                      <w:color w:val="auto"/>
                      <w:sz w:val="18"/>
                      <w:szCs w:val="18"/>
                      <w:lang w:val="en-US" w:eastAsia="zh-CN"/>
                    </w:rPr>
                  </w:pPr>
                </w:p>
              </w:tc>
            </w:tr>
            <w:tr w14:paraId="47BB6E1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19" w:type="pct"/>
                  <w:vMerge w:val="continue"/>
                  <w:vAlign w:val="center"/>
                </w:tcPr>
                <w:p w14:paraId="4088B0DA">
                  <w:pPr>
                    <w:pStyle w:val="656"/>
                    <w:keepNext w:val="0"/>
                    <w:keepLines w:val="0"/>
                    <w:pageBreakBefore w:val="0"/>
                    <w:kinsoku/>
                    <w:wordWrap/>
                    <w:overflowPunct/>
                    <w:topLinePunct w:val="0"/>
                    <w:autoSpaceDE/>
                    <w:autoSpaceDN/>
                    <w:bidi w:val="0"/>
                    <w:adjustRightInd w:val="0"/>
                    <w:snapToGrid w:val="0"/>
                    <w:rPr>
                      <w:rFonts w:hint="eastAsia" w:eastAsia="宋体"/>
                      <w:color w:val="auto"/>
                      <w:sz w:val="18"/>
                      <w:szCs w:val="18"/>
                      <w:lang w:val="en-US" w:eastAsia="zh-CN"/>
                    </w:rPr>
                  </w:pPr>
                </w:p>
              </w:tc>
              <w:tc>
                <w:tcPr>
                  <w:tcW w:w="394" w:type="pct"/>
                  <w:vMerge w:val="continue"/>
                  <w:vAlign w:val="center"/>
                </w:tcPr>
                <w:p w14:paraId="4C5E6262">
                  <w:pPr>
                    <w:pStyle w:val="656"/>
                    <w:keepNext w:val="0"/>
                    <w:keepLines w:val="0"/>
                    <w:pageBreakBefore w:val="0"/>
                    <w:kinsoku/>
                    <w:wordWrap/>
                    <w:overflowPunct/>
                    <w:topLinePunct w:val="0"/>
                    <w:autoSpaceDE/>
                    <w:autoSpaceDN/>
                    <w:bidi w:val="0"/>
                    <w:adjustRightInd w:val="0"/>
                    <w:snapToGrid w:val="0"/>
                    <w:rPr>
                      <w:rFonts w:hint="eastAsia" w:eastAsia="宋体"/>
                      <w:color w:val="auto"/>
                      <w:sz w:val="18"/>
                      <w:szCs w:val="18"/>
                      <w:lang w:val="en-US" w:eastAsia="zh-CN"/>
                    </w:rPr>
                  </w:pPr>
                </w:p>
              </w:tc>
              <w:tc>
                <w:tcPr>
                  <w:tcW w:w="423" w:type="pct"/>
                  <w:vAlign w:val="center"/>
                </w:tcPr>
                <w:p w14:paraId="7C5235BA">
                  <w:pPr>
                    <w:pStyle w:val="656"/>
                    <w:keepNext w:val="0"/>
                    <w:keepLines w:val="0"/>
                    <w:pageBreakBefore w:val="0"/>
                    <w:kinsoku/>
                    <w:wordWrap/>
                    <w:overflowPunct/>
                    <w:topLinePunct w:val="0"/>
                    <w:autoSpaceDE/>
                    <w:autoSpaceDN/>
                    <w:bidi w:val="0"/>
                    <w:adjustRightInd w:val="0"/>
                    <w:snapToGrid w:val="0"/>
                    <w:rPr>
                      <w:rFonts w:hint="default" w:eastAsia="宋体"/>
                      <w:color w:val="auto"/>
                      <w:sz w:val="18"/>
                      <w:szCs w:val="18"/>
                      <w:lang w:val="en-US" w:eastAsia="zh-CN"/>
                    </w:rPr>
                  </w:pPr>
                  <w:r>
                    <w:rPr>
                      <w:rFonts w:hint="eastAsia" w:eastAsia="宋体"/>
                      <w:color w:val="auto"/>
                      <w:sz w:val="18"/>
                      <w:szCs w:val="18"/>
                      <w:lang w:val="en-US" w:eastAsia="zh-CN"/>
                    </w:rPr>
                    <w:t>二甲苯</w:t>
                  </w:r>
                </w:p>
              </w:tc>
              <w:tc>
                <w:tcPr>
                  <w:tcW w:w="516" w:type="pct"/>
                  <w:vAlign w:val="center"/>
                </w:tcPr>
                <w:p w14:paraId="4435C6EA">
                  <w:pPr>
                    <w:pStyle w:val="656"/>
                    <w:keepNext w:val="0"/>
                    <w:keepLines w:val="0"/>
                    <w:pageBreakBefore w:val="0"/>
                    <w:kinsoku/>
                    <w:wordWrap/>
                    <w:overflowPunct/>
                    <w:topLinePunct w:val="0"/>
                    <w:autoSpaceDE/>
                    <w:autoSpaceDN/>
                    <w:bidi w:val="0"/>
                    <w:adjustRightInd w:val="0"/>
                    <w:snapToGrid w:val="0"/>
                    <w:rPr>
                      <w:rFonts w:hint="default" w:eastAsia="宋体"/>
                      <w:color w:val="auto"/>
                      <w:sz w:val="18"/>
                      <w:szCs w:val="18"/>
                      <w:lang w:val="en-US" w:eastAsia="zh-CN"/>
                    </w:rPr>
                  </w:pPr>
                  <w:r>
                    <w:rPr>
                      <w:rFonts w:hint="eastAsia" w:eastAsia="宋体"/>
                      <w:color w:val="auto"/>
                      <w:sz w:val="18"/>
                      <w:szCs w:val="18"/>
                      <w:lang w:val="en-US" w:eastAsia="zh-CN"/>
                    </w:rPr>
                    <w:t>0.005</w:t>
                  </w:r>
                </w:p>
              </w:tc>
              <w:tc>
                <w:tcPr>
                  <w:tcW w:w="516" w:type="pct"/>
                  <w:vAlign w:val="center"/>
                </w:tcPr>
                <w:p w14:paraId="26328DDC">
                  <w:pPr>
                    <w:pStyle w:val="656"/>
                    <w:keepNext w:val="0"/>
                    <w:keepLines w:val="0"/>
                    <w:pageBreakBefore w:val="0"/>
                    <w:kinsoku/>
                    <w:wordWrap/>
                    <w:overflowPunct/>
                    <w:topLinePunct w:val="0"/>
                    <w:autoSpaceDE/>
                    <w:autoSpaceDN/>
                    <w:bidi w:val="0"/>
                    <w:adjustRightInd w:val="0"/>
                    <w:snapToGrid w:val="0"/>
                    <w:rPr>
                      <w:rFonts w:hint="default" w:eastAsia="宋体"/>
                      <w:color w:val="auto"/>
                      <w:sz w:val="18"/>
                      <w:szCs w:val="18"/>
                      <w:lang w:val="en-US" w:eastAsia="zh-CN"/>
                    </w:rPr>
                  </w:pPr>
                  <w:r>
                    <w:rPr>
                      <w:rFonts w:hint="eastAsia" w:eastAsia="宋体"/>
                      <w:color w:val="auto"/>
                      <w:sz w:val="18"/>
                      <w:szCs w:val="18"/>
                      <w:lang w:val="en-US" w:eastAsia="zh-CN"/>
                    </w:rPr>
                    <w:t>0.012</w:t>
                  </w:r>
                </w:p>
              </w:tc>
              <w:tc>
                <w:tcPr>
                  <w:tcW w:w="448" w:type="pct"/>
                  <w:shd w:val="clear" w:color="auto" w:fill="auto"/>
                  <w:vAlign w:val="center"/>
                </w:tcPr>
                <w:p w14:paraId="7A181F49">
                  <w:pPr>
                    <w:pStyle w:val="656"/>
                    <w:keepNext w:val="0"/>
                    <w:keepLines w:val="0"/>
                    <w:pageBreakBefore w:val="0"/>
                    <w:kinsoku/>
                    <w:wordWrap/>
                    <w:overflowPunct/>
                    <w:topLinePunct w:val="0"/>
                    <w:autoSpaceDE/>
                    <w:autoSpaceDN/>
                    <w:bidi w:val="0"/>
                    <w:adjustRightInd w:val="0"/>
                    <w:snapToGrid w:val="0"/>
                    <w:rPr>
                      <w:rFonts w:hint="eastAsia"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w:t>
                  </w:r>
                </w:p>
              </w:tc>
              <w:tc>
                <w:tcPr>
                  <w:tcW w:w="448" w:type="pct"/>
                  <w:shd w:val="clear" w:color="auto" w:fill="auto"/>
                  <w:vAlign w:val="center"/>
                </w:tcPr>
                <w:p w14:paraId="712666E2">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snapToGrid w:val="0"/>
                      <w:color w:val="auto"/>
                      <w:kern w:val="2"/>
                      <w:sz w:val="18"/>
                      <w:szCs w:val="18"/>
                      <w:lang w:val="en-US" w:eastAsia="zh-CN" w:bidi="ar-SA"/>
                    </w:rPr>
                  </w:pPr>
                  <w:r>
                    <w:rPr>
                      <w:rFonts w:hint="eastAsia"/>
                      <w:color w:val="auto"/>
                      <w:sz w:val="18"/>
                      <w:szCs w:val="18"/>
                      <w:lang w:val="en-US" w:eastAsia="zh-CN"/>
                    </w:rPr>
                    <w:t>--</w:t>
                  </w:r>
                </w:p>
              </w:tc>
              <w:tc>
                <w:tcPr>
                  <w:tcW w:w="448" w:type="pct"/>
                  <w:shd w:val="clear" w:color="auto" w:fill="auto"/>
                  <w:vAlign w:val="center"/>
                </w:tcPr>
                <w:p w14:paraId="62F52BDA">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仿宋_GB2312" w:cs="Times New Roman"/>
                      <w:snapToGrid w:val="0"/>
                      <w:color w:val="auto"/>
                      <w:kern w:val="2"/>
                      <w:sz w:val="18"/>
                      <w:szCs w:val="18"/>
                      <w:lang w:val="en-US" w:eastAsia="zh-CN" w:bidi="ar-SA"/>
                    </w:rPr>
                  </w:pPr>
                  <w:r>
                    <w:rPr>
                      <w:rFonts w:hint="eastAsia"/>
                      <w:color w:val="auto"/>
                      <w:sz w:val="18"/>
                      <w:szCs w:val="18"/>
                      <w:lang w:val="en-US" w:eastAsia="zh-CN"/>
                    </w:rPr>
                    <w:t>--</w:t>
                  </w:r>
                </w:p>
              </w:tc>
              <w:tc>
                <w:tcPr>
                  <w:tcW w:w="490" w:type="pct"/>
                  <w:shd w:val="clear" w:color="auto" w:fill="auto"/>
                  <w:vAlign w:val="center"/>
                </w:tcPr>
                <w:p w14:paraId="3DABE9C5">
                  <w:pPr>
                    <w:pStyle w:val="656"/>
                    <w:keepNext w:val="0"/>
                    <w:keepLines w:val="0"/>
                    <w:pageBreakBefore w:val="0"/>
                    <w:kinsoku/>
                    <w:wordWrap/>
                    <w:overflowPunct/>
                    <w:topLinePunct w:val="0"/>
                    <w:autoSpaceDE/>
                    <w:autoSpaceDN/>
                    <w:bidi w:val="0"/>
                    <w:adjustRightInd w:val="0"/>
                    <w:snapToGrid w:val="0"/>
                    <w:rPr>
                      <w:rFonts w:hint="eastAsia"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0.005</w:t>
                  </w:r>
                </w:p>
              </w:tc>
              <w:tc>
                <w:tcPr>
                  <w:tcW w:w="490" w:type="pct"/>
                  <w:shd w:val="clear" w:color="auto" w:fill="auto"/>
                  <w:vAlign w:val="center"/>
                </w:tcPr>
                <w:p w14:paraId="4DFBBDF1">
                  <w:pPr>
                    <w:pStyle w:val="656"/>
                    <w:keepNext w:val="0"/>
                    <w:keepLines w:val="0"/>
                    <w:pageBreakBefore w:val="0"/>
                    <w:kinsoku/>
                    <w:wordWrap/>
                    <w:overflowPunct/>
                    <w:topLinePunct w:val="0"/>
                    <w:autoSpaceDE/>
                    <w:autoSpaceDN/>
                    <w:bidi w:val="0"/>
                    <w:adjustRightInd w:val="0"/>
                    <w:snapToGrid w:val="0"/>
                    <w:rPr>
                      <w:rFonts w:hint="eastAsia"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0.012</w:t>
                  </w:r>
                </w:p>
              </w:tc>
              <w:tc>
                <w:tcPr>
                  <w:tcW w:w="404" w:type="pct"/>
                  <w:vMerge w:val="continue"/>
                  <w:vAlign w:val="center"/>
                </w:tcPr>
                <w:p w14:paraId="2E3E2F3D">
                  <w:pPr>
                    <w:keepNext w:val="0"/>
                    <w:keepLines w:val="0"/>
                    <w:pageBreakBefore w:val="0"/>
                    <w:kinsoku/>
                    <w:wordWrap/>
                    <w:overflowPunct/>
                    <w:topLinePunct w:val="0"/>
                    <w:autoSpaceDE/>
                    <w:autoSpaceDN/>
                    <w:bidi w:val="0"/>
                    <w:adjustRightInd w:val="0"/>
                    <w:snapToGrid w:val="0"/>
                    <w:jc w:val="center"/>
                    <w:rPr>
                      <w:rFonts w:hint="eastAsia" w:eastAsia="宋体"/>
                      <w:color w:val="auto"/>
                      <w:sz w:val="18"/>
                      <w:szCs w:val="18"/>
                      <w:lang w:val="en-US" w:eastAsia="zh-CN"/>
                    </w:rPr>
                  </w:pPr>
                </w:p>
              </w:tc>
            </w:tr>
            <w:tr w14:paraId="55284B9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19" w:type="pct"/>
                  <w:vMerge w:val="continue"/>
                  <w:vAlign w:val="center"/>
                </w:tcPr>
                <w:p w14:paraId="48AC1ADF">
                  <w:pPr>
                    <w:pStyle w:val="656"/>
                    <w:keepNext w:val="0"/>
                    <w:keepLines w:val="0"/>
                    <w:pageBreakBefore w:val="0"/>
                    <w:kinsoku/>
                    <w:wordWrap/>
                    <w:overflowPunct/>
                    <w:topLinePunct w:val="0"/>
                    <w:autoSpaceDE/>
                    <w:autoSpaceDN/>
                    <w:bidi w:val="0"/>
                    <w:adjustRightInd w:val="0"/>
                    <w:snapToGrid w:val="0"/>
                    <w:rPr>
                      <w:rFonts w:hint="eastAsia" w:eastAsia="宋体"/>
                      <w:color w:val="auto"/>
                      <w:sz w:val="18"/>
                      <w:szCs w:val="18"/>
                      <w:lang w:val="en-US" w:eastAsia="zh-CN"/>
                    </w:rPr>
                  </w:pPr>
                </w:p>
              </w:tc>
              <w:tc>
                <w:tcPr>
                  <w:tcW w:w="394" w:type="pct"/>
                  <w:vMerge w:val="continue"/>
                  <w:vAlign w:val="center"/>
                </w:tcPr>
                <w:p w14:paraId="35002BF0">
                  <w:pPr>
                    <w:pStyle w:val="656"/>
                    <w:keepNext w:val="0"/>
                    <w:keepLines w:val="0"/>
                    <w:pageBreakBefore w:val="0"/>
                    <w:kinsoku/>
                    <w:wordWrap/>
                    <w:overflowPunct/>
                    <w:topLinePunct w:val="0"/>
                    <w:autoSpaceDE/>
                    <w:autoSpaceDN/>
                    <w:bidi w:val="0"/>
                    <w:adjustRightInd w:val="0"/>
                    <w:snapToGrid w:val="0"/>
                    <w:rPr>
                      <w:rFonts w:hint="eastAsia" w:eastAsia="宋体"/>
                      <w:color w:val="auto"/>
                      <w:sz w:val="18"/>
                      <w:szCs w:val="18"/>
                      <w:lang w:val="en-US" w:eastAsia="zh-CN"/>
                    </w:rPr>
                  </w:pPr>
                </w:p>
              </w:tc>
              <w:tc>
                <w:tcPr>
                  <w:tcW w:w="423" w:type="pct"/>
                  <w:vAlign w:val="center"/>
                </w:tcPr>
                <w:p w14:paraId="19C3B01F">
                  <w:pPr>
                    <w:pStyle w:val="656"/>
                    <w:keepNext w:val="0"/>
                    <w:keepLines w:val="0"/>
                    <w:pageBreakBefore w:val="0"/>
                    <w:kinsoku/>
                    <w:wordWrap/>
                    <w:overflowPunct/>
                    <w:topLinePunct w:val="0"/>
                    <w:autoSpaceDE/>
                    <w:autoSpaceDN/>
                    <w:bidi w:val="0"/>
                    <w:adjustRightInd w:val="0"/>
                    <w:snapToGrid w:val="0"/>
                    <w:rPr>
                      <w:rFonts w:hint="default" w:eastAsia="宋体"/>
                      <w:color w:val="auto"/>
                      <w:sz w:val="18"/>
                      <w:szCs w:val="18"/>
                      <w:lang w:val="en-US" w:eastAsia="zh-CN"/>
                    </w:rPr>
                  </w:pPr>
                  <w:r>
                    <w:rPr>
                      <w:rFonts w:hint="eastAsia" w:eastAsia="宋体"/>
                      <w:color w:val="auto"/>
                      <w:sz w:val="18"/>
                      <w:szCs w:val="18"/>
                      <w:lang w:val="en-US" w:eastAsia="zh-CN"/>
                    </w:rPr>
                    <w:t>三甲苯</w:t>
                  </w:r>
                </w:p>
              </w:tc>
              <w:tc>
                <w:tcPr>
                  <w:tcW w:w="516" w:type="pct"/>
                  <w:vAlign w:val="center"/>
                </w:tcPr>
                <w:p w14:paraId="1CA37E0D">
                  <w:pPr>
                    <w:pStyle w:val="656"/>
                    <w:keepNext w:val="0"/>
                    <w:keepLines w:val="0"/>
                    <w:pageBreakBefore w:val="0"/>
                    <w:kinsoku/>
                    <w:wordWrap/>
                    <w:overflowPunct/>
                    <w:topLinePunct w:val="0"/>
                    <w:autoSpaceDE/>
                    <w:autoSpaceDN/>
                    <w:bidi w:val="0"/>
                    <w:adjustRightInd w:val="0"/>
                    <w:snapToGrid w:val="0"/>
                    <w:rPr>
                      <w:rFonts w:hint="default" w:eastAsia="宋体"/>
                      <w:color w:val="auto"/>
                      <w:sz w:val="18"/>
                      <w:szCs w:val="18"/>
                      <w:lang w:val="en-US" w:eastAsia="zh-CN"/>
                    </w:rPr>
                  </w:pPr>
                  <w:r>
                    <w:rPr>
                      <w:rFonts w:hint="eastAsia" w:eastAsia="宋体"/>
                      <w:color w:val="auto"/>
                      <w:sz w:val="18"/>
                      <w:szCs w:val="18"/>
                      <w:lang w:val="en-US" w:eastAsia="zh-CN"/>
                    </w:rPr>
                    <w:t>0.0002</w:t>
                  </w:r>
                </w:p>
              </w:tc>
              <w:tc>
                <w:tcPr>
                  <w:tcW w:w="516" w:type="pct"/>
                  <w:vAlign w:val="center"/>
                </w:tcPr>
                <w:p w14:paraId="5C9B8E42">
                  <w:pPr>
                    <w:pStyle w:val="656"/>
                    <w:keepNext w:val="0"/>
                    <w:keepLines w:val="0"/>
                    <w:pageBreakBefore w:val="0"/>
                    <w:kinsoku/>
                    <w:wordWrap/>
                    <w:overflowPunct/>
                    <w:topLinePunct w:val="0"/>
                    <w:autoSpaceDE/>
                    <w:autoSpaceDN/>
                    <w:bidi w:val="0"/>
                    <w:adjustRightInd w:val="0"/>
                    <w:snapToGrid w:val="0"/>
                    <w:rPr>
                      <w:rFonts w:hint="default" w:eastAsia="宋体"/>
                      <w:color w:val="auto"/>
                      <w:sz w:val="18"/>
                      <w:szCs w:val="18"/>
                      <w:lang w:val="en-US" w:eastAsia="zh-CN"/>
                    </w:rPr>
                  </w:pPr>
                  <w:r>
                    <w:rPr>
                      <w:rFonts w:hint="eastAsia" w:eastAsia="宋体"/>
                      <w:color w:val="auto"/>
                      <w:sz w:val="18"/>
                      <w:szCs w:val="18"/>
                      <w:lang w:val="en-US" w:eastAsia="zh-CN"/>
                    </w:rPr>
                    <w:t>0.00045</w:t>
                  </w:r>
                </w:p>
              </w:tc>
              <w:tc>
                <w:tcPr>
                  <w:tcW w:w="448" w:type="pct"/>
                  <w:shd w:val="clear" w:color="auto" w:fill="auto"/>
                  <w:vAlign w:val="center"/>
                </w:tcPr>
                <w:p w14:paraId="29B8B0D3">
                  <w:pPr>
                    <w:pStyle w:val="656"/>
                    <w:keepNext w:val="0"/>
                    <w:keepLines w:val="0"/>
                    <w:pageBreakBefore w:val="0"/>
                    <w:kinsoku/>
                    <w:wordWrap/>
                    <w:overflowPunct/>
                    <w:topLinePunct w:val="0"/>
                    <w:autoSpaceDE/>
                    <w:autoSpaceDN/>
                    <w:bidi w:val="0"/>
                    <w:adjustRightInd w:val="0"/>
                    <w:snapToGrid w:val="0"/>
                    <w:rPr>
                      <w:rFonts w:hint="eastAsia"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w:t>
                  </w:r>
                </w:p>
              </w:tc>
              <w:tc>
                <w:tcPr>
                  <w:tcW w:w="448" w:type="pct"/>
                  <w:shd w:val="clear" w:color="auto" w:fill="auto"/>
                  <w:vAlign w:val="center"/>
                </w:tcPr>
                <w:p w14:paraId="31475A29">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s="Times New Roman"/>
                      <w:snapToGrid w:val="0"/>
                      <w:color w:val="auto"/>
                      <w:kern w:val="2"/>
                      <w:sz w:val="18"/>
                      <w:szCs w:val="18"/>
                      <w:lang w:val="en-US" w:eastAsia="zh-CN" w:bidi="ar-SA"/>
                    </w:rPr>
                  </w:pPr>
                  <w:r>
                    <w:rPr>
                      <w:rFonts w:hint="eastAsia"/>
                      <w:color w:val="auto"/>
                      <w:sz w:val="18"/>
                      <w:szCs w:val="18"/>
                      <w:lang w:val="en-US" w:eastAsia="zh-CN"/>
                    </w:rPr>
                    <w:t>--</w:t>
                  </w:r>
                </w:p>
              </w:tc>
              <w:tc>
                <w:tcPr>
                  <w:tcW w:w="448" w:type="pct"/>
                  <w:shd w:val="clear" w:color="auto" w:fill="auto"/>
                  <w:vAlign w:val="center"/>
                </w:tcPr>
                <w:p w14:paraId="5CBDD384">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仿宋_GB2312" w:cs="Times New Roman"/>
                      <w:snapToGrid w:val="0"/>
                      <w:color w:val="auto"/>
                      <w:kern w:val="2"/>
                      <w:sz w:val="18"/>
                      <w:szCs w:val="18"/>
                      <w:lang w:val="en-US" w:eastAsia="zh-CN" w:bidi="ar-SA"/>
                    </w:rPr>
                  </w:pPr>
                  <w:r>
                    <w:rPr>
                      <w:rFonts w:hint="eastAsia"/>
                      <w:color w:val="auto"/>
                      <w:sz w:val="18"/>
                      <w:szCs w:val="18"/>
                      <w:lang w:val="en-US" w:eastAsia="zh-CN"/>
                    </w:rPr>
                    <w:t>--</w:t>
                  </w:r>
                </w:p>
              </w:tc>
              <w:tc>
                <w:tcPr>
                  <w:tcW w:w="490" w:type="pct"/>
                  <w:shd w:val="clear" w:color="auto" w:fill="auto"/>
                  <w:vAlign w:val="center"/>
                </w:tcPr>
                <w:p w14:paraId="73FD7F8A">
                  <w:pPr>
                    <w:pStyle w:val="656"/>
                    <w:keepNext w:val="0"/>
                    <w:keepLines w:val="0"/>
                    <w:pageBreakBefore w:val="0"/>
                    <w:kinsoku/>
                    <w:wordWrap/>
                    <w:overflowPunct/>
                    <w:topLinePunct w:val="0"/>
                    <w:autoSpaceDE/>
                    <w:autoSpaceDN/>
                    <w:bidi w:val="0"/>
                    <w:adjustRightInd w:val="0"/>
                    <w:snapToGrid w:val="0"/>
                    <w:rPr>
                      <w:rFonts w:hint="eastAsia"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0.0002</w:t>
                  </w:r>
                </w:p>
              </w:tc>
              <w:tc>
                <w:tcPr>
                  <w:tcW w:w="490" w:type="pct"/>
                  <w:shd w:val="clear" w:color="auto" w:fill="auto"/>
                  <w:vAlign w:val="center"/>
                </w:tcPr>
                <w:p w14:paraId="6BBCD673">
                  <w:pPr>
                    <w:pStyle w:val="656"/>
                    <w:keepNext w:val="0"/>
                    <w:keepLines w:val="0"/>
                    <w:pageBreakBefore w:val="0"/>
                    <w:kinsoku/>
                    <w:wordWrap/>
                    <w:overflowPunct/>
                    <w:topLinePunct w:val="0"/>
                    <w:autoSpaceDE/>
                    <w:autoSpaceDN/>
                    <w:bidi w:val="0"/>
                    <w:adjustRightInd w:val="0"/>
                    <w:snapToGrid w:val="0"/>
                    <w:rPr>
                      <w:rFonts w:hint="eastAsia"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0.00045</w:t>
                  </w:r>
                </w:p>
              </w:tc>
              <w:tc>
                <w:tcPr>
                  <w:tcW w:w="404" w:type="pct"/>
                  <w:vMerge w:val="continue"/>
                  <w:vAlign w:val="center"/>
                </w:tcPr>
                <w:p w14:paraId="1748C7DA">
                  <w:pPr>
                    <w:keepNext w:val="0"/>
                    <w:keepLines w:val="0"/>
                    <w:pageBreakBefore w:val="0"/>
                    <w:kinsoku/>
                    <w:wordWrap/>
                    <w:overflowPunct/>
                    <w:topLinePunct w:val="0"/>
                    <w:autoSpaceDE/>
                    <w:autoSpaceDN/>
                    <w:bidi w:val="0"/>
                    <w:adjustRightInd w:val="0"/>
                    <w:snapToGrid w:val="0"/>
                    <w:jc w:val="center"/>
                    <w:rPr>
                      <w:rFonts w:hint="eastAsia" w:eastAsia="宋体"/>
                      <w:color w:val="auto"/>
                      <w:sz w:val="18"/>
                      <w:szCs w:val="18"/>
                      <w:lang w:val="en-US" w:eastAsia="zh-CN"/>
                    </w:rPr>
                  </w:pPr>
                </w:p>
              </w:tc>
            </w:tr>
            <w:tr w14:paraId="41487E2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19" w:type="pct"/>
                  <w:vMerge w:val="continue"/>
                  <w:vAlign w:val="center"/>
                </w:tcPr>
                <w:p w14:paraId="4697D47F">
                  <w:pPr>
                    <w:pStyle w:val="656"/>
                    <w:keepNext w:val="0"/>
                    <w:keepLines w:val="0"/>
                    <w:pageBreakBefore w:val="0"/>
                    <w:kinsoku/>
                    <w:wordWrap/>
                    <w:overflowPunct/>
                    <w:topLinePunct w:val="0"/>
                    <w:autoSpaceDE/>
                    <w:autoSpaceDN/>
                    <w:bidi w:val="0"/>
                    <w:adjustRightInd w:val="0"/>
                    <w:snapToGrid w:val="0"/>
                    <w:rPr>
                      <w:rFonts w:hint="eastAsia" w:eastAsia="宋体"/>
                      <w:color w:val="auto"/>
                      <w:sz w:val="18"/>
                      <w:szCs w:val="18"/>
                      <w:lang w:val="en-US" w:eastAsia="zh-CN"/>
                    </w:rPr>
                  </w:pPr>
                </w:p>
              </w:tc>
              <w:tc>
                <w:tcPr>
                  <w:tcW w:w="394" w:type="pct"/>
                  <w:vMerge w:val="continue"/>
                  <w:vAlign w:val="center"/>
                </w:tcPr>
                <w:p w14:paraId="06A5F267">
                  <w:pPr>
                    <w:pStyle w:val="656"/>
                    <w:keepNext w:val="0"/>
                    <w:keepLines w:val="0"/>
                    <w:pageBreakBefore w:val="0"/>
                    <w:kinsoku/>
                    <w:wordWrap/>
                    <w:overflowPunct/>
                    <w:topLinePunct w:val="0"/>
                    <w:autoSpaceDE/>
                    <w:autoSpaceDN/>
                    <w:bidi w:val="0"/>
                    <w:adjustRightInd w:val="0"/>
                    <w:snapToGrid w:val="0"/>
                    <w:rPr>
                      <w:rFonts w:hint="eastAsia" w:eastAsia="宋体"/>
                      <w:color w:val="auto"/>
                      <w:sz w:val="18"/>
                      <w:szCs w:val="18"/>
                      <w:lang w:val="en-US" w:eastAsia="zh-CN"/>
                    </w:rPr>
                  </w:pPr>
                </w:p>
              </w:tc>
              <w:tc>
                <w:tcPr>
                  <w:tcW w:w="423" w:type="pct"/>
                  <w:vAlign w:val="center"/>
                </w:tcPr>
                <w:p w14:paraId="439C4914">
                  <w:pPr>
                    <w:pStyle w:val="656"/>
                    <w:keepNext w:val="0"/>
                    <w:keepLines w:val="0"/>
                    <w:pageBreakBefore w:val="0"/>
                    <w:kinsoku/>
                    <w:wordWrap/>
                    <w:overflowPunct/>
                    <w:topLinePunct w:val="0"/>
                    <w:autoSpaceDE/>
                    <w:autoSpaceDN/>
                    <w:bidi w:val="0"/>
                    <w:adjustRightInd w:val="0"/>
                    <w:snapToGrid w:val="0"/>
                    <w:rPr>
                      <w:rFonts w:hint="default" w:eastAsia="宋体"/>
                      <w:color w:val="auto"/>
                      <w:sz w:val="18"/>
                      <w:szCs w:val="18"/>
                      <w:lang w:val="en-US" w:eastAsia="zh-CN"/>
                    </w:rPr>
                  </w:pPr>
                  <w:r>
                    <w:rPr>
                      <w:rFonts w:hint="eastAsia" w:eastAsia="宋体"/>
                      <w:color w:val="auto"/>
                      <w:sz w:val="18"/>
                      <w:szCs w:val="18"/>
                      <w:lang w:val="en-US" w:eastAsia="zh-CN"/>
                    </w:rPr>
                    <w:t>颗粒物</w:t>
                  </w:r>
                </w:p>
              </w:tc>
              <w:tc>
                <w:tcPr>
                  <w:tcW w:w="516" w:type="pct"/>
                  <w:vAlign w:val="center"/>
                </w:tcPr>
                <w:p w14:paraId="4BE3C644">
                  <w:pPr>
                    <w:pStyle w:val="656"/>
                    <w:keepNext w:val="0"/>
                    <w:keepLines w:val="0"/>
                    <w:pageBreakBefore w:val="0"/>
                    <w:kinsoku/>
                    <w:wordWrap/>
                    <w:overflowPunct/>
                    <w:topLinePunct w:val="0"/>
                    <w:autoSpaceDE/>
                    <w:autoSpaceDN/>
                    <w:bidi w:val="0"/>
                    <w:adjustRightInd w:val="0"/>
                    <w:snapToGrid w:val="0"/>
                    <w:rPr>
                      <w:rFonts w:hint="default" w:eastAsia="宋体"/>
                      <w:color w:val="auto"/>
                      <w:sz w:val="18"/>
                      <w:szCs w:val="18"/>
                      <w:lang w:val="en-US" w:eastAsia="zh-CN"/>
                    </w:rPr>
                  </w:pPr>
                  <w:r>
                    <w:rPr>
                      <w:rFonts w:hint="eastAsia" w:eastAsia="宋体"/>
                      <w:color w:val="auto"/>
                      <w:sz w:val="18"/>
                      <w:szCs w:val="18"/>
                      <w:lang w:val="en-US" w:eastAsia="zh-CN"/>
                    </w:rPr>
                    <w:t>0.0017</w:t>
                  </w:r>
                </w:p>
              </w:tc>
              <w:tc>
                <w:tcPr>
                  <w:tcW w:w="516" w:type="pct"/>
                  <w:vAlign w:val="center"/>
                </w:tcPr>
                <w:p w14:paraId="06DBAF85">
                  <w:pPr>
                    <w:pStyle w:val="656"/>
                    <w:keepNext w:val="0"/>
                    <w:keepLines w:val="0"/>
                    <w:pageBreakBefore w:val="0"/>
                    <w:kinsoku/>
                    <w:wordWrap/>
                    <w:overflowPunct/>
                    <w:topLinePunct w:val="0"/>
                    <w:autoSpaceDE/>
                    <w:autoSpaceDN/>
                    <w:bidi w:val="0"/>
                    <w:adjustRightInd w:val="0"/>
                    <w:snapToGrid w:val="0"/>
                    <w:rPr>
                      <w:rFonts w:hint="default" w:eastAsia="宋体"/>
                      <w:color w:val="auto"/>
                      <w:sz w:val="18"/>
                      <w:szCs w:val="18"/>
                      <w:lang w:val="en-US" w:eastAsia="zh-CN"/>
                    </w:rPr>
                  </w:pPr>
                  <w:r>
                    <w:rPr>
                      <w:rFonts w:hint="eastAsia" w:eastAsia="宋体"/>
                      <w:color w:val="auto"/>
                      <w:sz w:val="18"/>
                      <w:szCs w:val="18"/>
                      <w:lang w:val="en-US" w:eastAsia="zh-CN"/>
                    </w:rPr>
                    <w:t>0.00401</w:t>
                  </w:r>
                </w:p>
              </w:tc>
              <w:tc>
                <w:tcPr>
                  <w:tcW w:w="448" w:type="pct"/>
                  <w:shd w:val="clear" w:color="auto" w:fill="auto"/>
                  <w:vAlign w:val="center"/>
                </w:tcPr>
                <w:p w14:paraId="3675813D">
                  <w:pPr>
                    <w:pStyle w:val="656"/>
                    <w:keepNext w:val="0"/>
                    <w:keepLines w:val="0"/>
                    <w:pageBreakBefore w:val="0"/>
                    <w:kinsoku/>
                    <w:wordWrap/>
                    <w:overflowPunct/>
                    <w:topLinePunct w:val="0"/>
                    <w:autoSpaceDE/>
                    <w:autoSpaceDN/>
                    <w:bidi w:val="0"/>
                    <w:adjustRightInd w:val="0"/>
                    <w:snapToGrid w:val="0"/>
                    <w:rPr>
                      <w:rFonts w:hint="eastAsia" w:eastAsia="宋体"/>
                      <w:color w:val="auto"/>
                      <w:sz w:val="18"/>
                      <w:szCs w:val="18"/>
                    </w:rPr>
                  </w:pPr>
                  <w:r>
                    <w:rPr>
                      <w:rFonts w:hint="eastAsia" w:eastAsia="宋体"/>
                      <w:color w:val="auto"/>
                      <w:sz w:val="18"/>
                      <w:szCs w:val="18"/>
                      <w:lang w:val="en-US" w:eastAsia="zh-CN"/>
                    </w:rPr>
                    <w:t>--</w:t>
                  </w:r>
                </w:p>
              </w:tc>
              <w:tc>
                <w:tcPr>
                  <w:tcW w:w="448" w:type="pct"/>
                  <w:shd w:val="clear" w:color="auto" w:fill="auto"/>
                  <w:vAlign w:val="center"/>
                </w:tcPr>
                <w:p w14:paraId="791984C1">
                  <w:pPr>
                    <w:keepNext w:val="0"/>
                    <w:keepLines w:val="0"/>
                    <w:pageBreakBefore w:val="0"/>
                    <w:kinsoku/>
                    <w:wordWrap/>
                    <w:overflowPunct/>
                    <w:topLinePunct w:val="0"/>
                    <w:autoSpaceDE/>
                    <w:autoSpaceDN/>
                    <w:bidi w:val="0"/>
                    <w:adjustRightInd w:val="0"/>
                    <w:snapToGrid w:val="0"/>
                    <w:jc w:val="center"/>
                    <w:rPr>
                      <w:rFonts w:hint="eastAsia"/>
                      <w:color w:val="auto"/>
                      <w:sz w:val="18"/>
                      <w:szCs w:val="18"/>
                    </w:rPr>
                  </w:pPr>
                  <w:r>
                    <w:rPr>
                      <w:rFonts w:hint="eastAsia"/>
                      <w:color w:val="auto"/>
                      <w:sz w:val="18"/>
                      <w:szCs w:val="18"/>
                      <w:lang w:val="en-US" w:eastAsia="zh-CN"/>
                    </w:rPr>
                    <w:t>--</w:t>
                  </w:r>
                </w:p>
              </w:tc>
              <w:tc>
                <w:tcPr>
                  <w:tcW w:w="448" w:type="pct"/>
                  <w:shd w:val="clear" w:color="auto" w:fill="auto"/>
                  <w:vAlign w:val="center"/>
                </w:tcPr>
                <w:p w14:paraId="1258E640">
                  <w:pPr>
                    <w:keepNext w:val="0"/>
                    <w:keepLines w:val="0"/>
                    <w:pageBreakBefore w:val="0"/>
                    <w:kinsoku/>
                    <w:wordWrap/>
                    <w:overflowPunct/>
                    <w:topLinePunct w:val="0"/>
                    <w:autoSpaceDE/>
                    <w:autoSpaceDN/>
                    <w:bidi w:val="0"/>
                    <w:adjustRightInd w:val="0"/>
                    <w:snapToGrid w:val="0"/>
                    <w:jc w:val="center"/>
                    <w:rPr>
                      <w:rFonts w:hint="eastAsia" w:eastAsia="宋体"/>
                      <w:color w:val="auto"/>
                      <w:sz w:val="18"/>
                      <w:szCs w:val="18"/>
                    </w:rPr>
                  </w:pPr>
                  <w:r>
                    <w:rPr>
                      <w:rFonts w:hint="eastAsia"/>
                      <w:color w:val="auto"/>
                      <w:sz w:val="18"/>
                      <w:szCs w:val="18"/>
                      <w:lang w:val="en-US" w:eastAsia="zh-CN"/>
                    </w:rPr>
                    <w:t>--</w:t>
                  </w:r>
                </w:p>
              </w:tc>
              <w:tc>
                <w:tcPr>
                  <w:tcW w:w="1302" w:type="dxa"/>
                  <w:shd w:val="clear" w:color="auto" w:fill="auto"/>
                  <w:vAlign w:val="center"/>
                </w:tcPr>
                <w:p w14:paraId="44A98345">
                  <w:pPr>
                    <w:pStyle w:val="656"/>
                    <w:keepNext w:val="0"/>
                    <w:keepLines w:val="0"/>
                    <w:pageBreakBefore w:val="0"/>
                    <w:kinsoku/>
                    <w:wordWrap/>
                    <w:overflowPunct/>
                    <w:topLinePunct w:val="0"/>
                    <w:autoSpaceDE/>
                    <w:autoSpaceDN/>
                    <w:bidi w:val="0"/>
                    <w:adjustRightInd w:val="0"/>
                    <w:snapToGrid w:val="0"/>
                    <w:rPr>
                      <w:rFonts w:hint="eastAsia"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0.0017</w:t>
                  </w:r>
                </w:p>
              </w:tc>
              <w:tc>
                <w:tcPr>
                  <w:tcW w:w="1302" w:type="dxa"/>
                  <w:shd w:val="clear" w:color="auto" w:fill="auto"/>
                  <w:vAlign w:val="center"/>
                </w:tcPr>
                <w:p w14:paraId="277B4C2C">
                  <w:pPr>
                    <w:pStyle w:val="656"/>
                    <w:keepNext w:val="0"/>
                    <w:keepLines w:val="0"/>
                    <w:pageBreakBefore w:val="0"/>
                    <w:kinsoku/>
                    <w:wordWrap/>
                    <w:overflowPunct/>
                    <w:topLinePunct w:val="0"/>
                    <w:autoSpaceDE/>
                    <w:autoSpaceDN/>
                    <w:bidi w:val="0"/>
                    <w:adjustRightInd w:val="0"/>
                    <w:snapToGrid w:val="0"/>
                    <w:rPr>
                      <w:rFonts w:hint="eastAsia"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0.00401</w:t>
                  </w:r>
                </w:p>
              </w:tc>
              <w:tc>
                <w:tcPr>
                  <w:tcW w:w="404" w:type="pct"/>
                  <w:vMerge w:val="continue"/>
                  <w:vAlign w:val="center"/>
                </w:tcPr>
                <w:p w14:paraId="18E193CC">
                  <w:pPr>
                    <w:keepNext w:val="0"/>
                    <w:keepLines w:val="0"/>
                    <w:pageBreakBefore w:val="0"/>
                    <w:kinsoku/>
                    <w:wordWrap/>
                    <w:overflowPunct/>
                    <w:topLinePunct w:val="0"/>
                    <w:autoSpaceDE/>
                    <w:autoSpaceDN/>
                    <w:bidi w:val="0"/>
                    <w:adjustRightInd w:val="0"/>
                    <w:snapToGrid w:val="0"/>
                    <w:jc w:val="center"/>
                    <w:rPr>
                      <w:rFonts w:hint="eastAsia" w:eastAsia="宋体"/>
                      <w:color w:val="auto"/>
                      <w:sz w:val="18"/>
                      <w:szCs w:val="18"/>
                      <w:lang w:val="en-US" w:eastAsia="zh-CN"/>
                    </w:rPr>
                  </w:pPr>
                </w:p>
              </w:tc>
            </w:tr>
            <w:tr w14:paraId="43A9685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41" w:hRule="atLeast"/>
                <w:jc w:val="center"/>
              </w:trPr>
              <w:tc>
                <w:tcPr>
                  <w:tcW w:w="419" w:type="pct"/>
                  <w:vMerge w:val="restart"/>
                  <w:shd w:val="clear" w:color="auto" w:fill="BEBEBE" w:themeFill="background1" w:themeFillShade="BF"/>
                  <w:vAlign w:val="center"/>
                </w:tcPr>
                <w:p w14:paraId="595B7315">
                  <w:pPr>
                    <w:pStyle w:val="656"/>
                    <w:keepNext w:val="0"/>
                    <w:keepLines w:val="0"/>
                    <w:pageBreakBefore w:val="0"/>
                    <w:kinsoku/>
                    <w:wordWrap/>
                    <w:overflowPunct/>
                    <w:topLinePunct w:val="0"/>
                    <w:autoSpaceDE/>
                    <w:autoSpaceDN/>
                    <w:bidi w:val="0"/>
                    <w:adjustRightInd w:val="0"/>
                    <w:snapToGrid w:val="0"/>
                    <w:rPr>
                      <w:rFonts w:hint="default" w:eastAsia="宋体"/>
                      <w:b/>
                      <w:bCs/>
                      <w:color w:val="auto"/>
                      <w:sz w:val="18"/>
                      <w:szCs w:val="18"/>
                      <w:lang w:val="en-US" w:eastAsia="zh-CN"/>
                    </w:rPr>
                  </w:pPr>
                  <w:r>
                    <w:rPr>
                      <w:rFonts w:hint="eastAsia" w:eastAsia="宋体"/>
                      <w:b/>
                      <w:bCs/>
                      <w:color w:val="auto"/>
                      <w:sz w:val="18"/>
                      <w:szCs w:val="18"/>
                      <w:lang w:val="en-US" w:eastAsia="zh-CN"/>
                    </w:rPr>
                    <w:t>--</w:t>
                  </w:r>
                </w:p>
              </w:tc>
              <w:tc>
                <w:tcPr>
                  <w:tcW w:w="394" w:type="pct"/>
                  <w:vMerge w:val="restart"/>
                  <w:shd w:val="clear" w:color="auto" w:fill="BEBEBE" w:themeFill="background1" w:themeFillShade="BF"/>
                  <w:vAlign w:val="center"/>
                </w:tcPr>
                <w:p w14:paraId="7CDB621E">
                  <w:pPr>
                    <w:pStyle w:val="656"/>
                    <w:keepNext w:val="0"/>
                    <w:keepLines w:val="0"/>
                    <w:pageBreakBefore w:val="0"/>
                    <w:kinsoku/>
                    <w:wordWrap/>
                    <w:overflowPunct/>
                    <w:topLinePunct w:val="0"/>
                    <w:autoSpaceDE/>
                    <w:autoSpaceDN/>
                    <w:bidi w:val="0"/>
                    <w:adjustRightInd w:val="0"/>
                    <w:snapToGrid w:val="0"/>
                    <w:rPr>
                      <w:rFonts w:hint="default" w:eastAsia="宋体"/>
                      <w:b/>
                      <w:bCs/>
                      <w:color w:val="auto"/>
                      <w:sz w:val="18"/>
                      <w:szCs w:val="18"/>
                      <w:lang w:val="en-US" w:eastAsia="zh-CN"/>
                    </w:rPr>
                  </w:pPr>
                  <w:r>
                    <w:rPr>
                      <w:rFonts w:hint="eastAsia" w:eastAsia="宋体"/>
                      <w:b/>
                      <w:bCs/>
                      <w:color w:val="auto"/>
                      <w:sz w:val="18"/>
                      <w:szCs w:val="18"/>
                      <w:lang w:val="en-US" w:eastAsia="zh-CN"/>
                    </w:rPr>
                    <w:t>合计</w:t>
                  </w:r>
                </w:p>
              </w:tc>
              <w:tc>
                <w:tcPr>
                  <w:tcW w:w="423" w:type="pct"/>
                  <w:shd w:val="clear" w:color="auto" w:fill="BEBEBE" w:themeFill="background1" w:themeFillShade="BF"/>
                  <w:vAlign w:val="center"/>
                </w:tcPr>
                <w:p w14:paraId="7F6C9C6E">
                  <w:pPr>
                    <w:pStyle w:val="656"/>
                    <w:keepNext w:val="0"/>
                    <w:keepLines w:val="0"/>
                    <w:pageBreakBefore w:val="0"/>
                    <w:kinsoku/>
                    <w:wordWrap/>
                    <w:overflowPunct/>
                    <w:topLinePunct w:val="0"/>
                    <w:autoSpaceDE/>
                    <w:autoSpaceDN/>
                    <w:bidi w:val="0"/>
                    <w:adjustRightInd w:val="0"/>
                    <w:snapToGrid w:val="0"/>
                    <w:rPr>
                      <w:rFonts w:hint="default" w:eastAsia="宋体"/>
                      <w:b/>
                      <w:bCs/>
                      <w:color w:val="auto"/>
                      <w:sz w:val="18"/>
                      <w:szCs w:val="18"/>
                      <w:lang w:val="en-US" w:eastAsia="zh-CN"/>
                    </w:rPr>
                  </w:pPr>
                  <w:r>
                    <w:rPr>
                      <w:rFonts w:hint="eastAsia" w:eastAsia="宋体"/>
                      <w:b/>
                      <w:bCs/>
                      <w:color w:val="auto"/>
                      <w:sz w:val="18"/>
                      <w:szCs w:val="18"/>
                      <w:lang w:val="en-US" w:eastAsia="zh-CN"/>
                    </w:rPr>
                    <w:t>非甲烷总烃</w:t>
                  </w:r>
                </w:p>
              </w:tc>
              <w:tc>
                <w:tcPr>
                  <w:tcW w:w="1371" w:type="dxa"/>
                  <w:shd w:val="clear" w:color="auto" w:fill="BEBEBE" w:themeFill="background1" w:themeFillShade="BF"/>
                  <w:vAlign w:val="center"/>
                </w:tcPr>
                <w:p w14:paraId="7835D0EF">
                  <w:pPr>
                    <w:keepNext w:val="0"/>
                    <w:keepLines w:val="0"/>
                    <w:widowControl/>
                    <w:suppressLineNumbers w:val="0"/>
                    <w:jc w:val="center"/>
                    <w:textAlignment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i w:val="0"/>
                      <w:iCs w:val="0"/>
                      <w:snapToGrid w:val="0"/>
                      <w:color w:val="auto"/>
                      <w:kern w:val="0"/>
                      <w:sz w:val="18"/>
                      <w:szCs w:val="18"/>
                      <w:u w:val="none"/>
                      <w:lang w:val="en-US" w:eastAsia="zh-CN" w:bidi="ar"/>
                    </w:rPr>
                    <w:t>0.022</w:t>
                  </w:r>
                </w:p>
              </w:tc>
              <w:tc>
                <w:tcPr>
                  <w:tcW w:w="1371" w:type="dxa"/>
                  <w:shd w:val="clear" w:color="auto" w:fill="BEBEBE" w:themeFill="background1" w:themeFillShade="BF"/>
                  <w:vAlign w:val="center"/>
                </w:tcPr>
                <w:p w14:paraId="26D25984">
                  <w:pPr>
                    <w:keepNext w:val="0"/>
                    <w:keepLines w:val="0"/>
                    <w:widowControl/>
                    <w:suppressLineNumbers w:val="0"/>
                    <w:jc w:val="center"/>
                    <w:textAlignment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i w:val="0"/>
                      <w:iCs w:val="0"/>
                      <w:snapToGrid w:val="0"/>
                      <w:color w:val="auto"/>
                      <w:kern w:val="0"/>
                      <w:sz w:val="18"/>
                      <w:szCs w:val="18"/>
                      <w:u w:val="none"/>
                      <w:lang w:val="en-US" w:eastAsia="zh-CN" w:bidi="ar"/>
                    </w:rPr>
                    <w:t>0.0518</w:t>
                  </w:r>
                </w:p>
              </w:tc>
              <w:tc>
                <w:tcPr>
                  <w:tcW w:w="448" w:type="pct"/>
                  <w:shd w:val="clear" w:color="auto" w:fill="BEBEBE" w:themeFill="background1" w:themeFillShade="BF"/>
                  <w:vAlign w:val="center"/>
                </w:tcPr>
                <w:p w14:paraId="483E3D47">
                  <w:pPr>
                    <w:pStyle w:val="656"/>
                    <w:keepNext w:val="0"/>
                    <w:keepLines w:val="0"/>
                    <w:pageBreakBefore w:val="0"/>
                    <w:kinsoku/>
                    <w:wordWrap/>
                    <w:overflowPunct/>
                    <w:topLinePunct w:val="0"/>
                    <w:autoSpaceDE/>
                    <w:autoSpaceDN/>
                    <w:bidi w:val="0"/>
                    <w:adjustRightInd w:val="0"/>
                    <w:snapToGrid w:val="0"/>
                    <w:rPr>
                      <w:rFonts w:hint="eastAsia" w:eastAsia="宋体"/>
                      <w:b/>
                      <w:bCs/>
                      <w:color w:val="auto"/>
                      <w:sz w:val="18"/>
                      <w:szCs w:val="18"/>
                      <w:lang w:val="en-US" w:eastAsia="zh-CN"/>
                    </w:rPr>
                  </w:pPr>
                  <w:r>
                    <w:rPr>
                      <w:rFonts w:hint="eastAsia" w:eastAsia="宋体"/>
                      <w:b/>
                      <w:bCs/>
                      <w:color w:val="auto"/>
                      <w:sz w:val="18"/>
                      <w:szCs w:val="18"/>
                      <w:lang w:val="en-US" w:eastAsia="zh-CN"/>
                    </w:rPr>
                    <w:t>--</w:t>
                  </w:r>
                </w:p>
              </w:tc>
              <w:tc>
                <w:tcPr>
                  <w:tcW w:w="448" w:type="pct"/>
                  <w:shd w:val="clear" w:color="auto" w:fill="BEBEBE" w:themeFill="background1" w:themeFillShade="BF"/>
                  <w:vAlign w:val="center"/>
                </w:tcPr>
                <w:p w14:paraId="5425D097">
                  <w:pPr>
                    <w:keepNext w:val="0"/>
                    <w:keepLines w:val="0"/>
                    <w:pageBreakBefore w:val="0"/>
                    <w:kinsoku/>
                    <w:wordWrap/>
                    <w:overflowPunct/>
                    <w:topLinePunct w:val="0"/>
                    <w:autoSpaceDE/>
                    <w:autoSpaceDN/>
                    <w:bidi w:val="0"/>
                    <w:adjustRightInd w:val="0"/>
                    <w:snapToGrid w:val="0"/>
                    <w:jc w:val="center"/>
                    <w:rPr>
                      <w:rFonts w:hint="eastAsia"/>
                      <w:b/>
                      <w:bCs/>
                      <w:color w:val="auto"/>
                      <w:sz w:val="18"/>
                      <w:szCs w:val="18"/>
                      <w:lang w:val="en-US" w:eastAsia="zh-CN"/>
                    </w:rPr>
                  </w:pPr>
                  <w:r>
                    <w:rPr>
                      <w:rFonts w:hint="eastAsia"/>
                      <w:b/>
                      <w:bCs/>
                      <w:color w:val="auto"/>
                      <w:sz w:val="18"/>
                      <w:szCs w:val="18"/>
                      <w:lang w:val="en-US" w:eastAsia="zh-CN"/>
                    </w:rPr>
                    <w:t>--</w:t>
                  </w:r>
                </w:p>
              </w:tc>
              <w:tc>
                <w:tcPr>
                  <w:tcW w:w="448" w:type="pct"/>
                  <w:shd w:val="clear" w:color="auto" w:fill="BEBEBE" w:themeFill="background1" w:themeFillShade="BF"/>
                  <w:vAlign w:val="center"/>
                </w:tcPr>
                <w:p w14:paraId="3E2D134B">
                  <w:pPr>
                    <w:keepNext w:val="0"/>
                    <w:keepLines w:val="0"/>
                    <w:pageBreakBefore w:val="0"/>
                    <w:kinsoku/>
                    <w:wordWrap/>
                    <w:overflowPunct/>
                    <w:topLinePunct w:val="0"/>
                    <w:autoSpaceDE/>
                    <w:autoSpaceDN/>
                    <w:bidi w:val="0"/>
                    <w:adjustRightInd w:val="0"/>
                    <w:snapToGrid w:val="0"/>
                    <w:jc w:val="center"/>
                    <w:rPr>
                      <w:rFonts w:hint="eastAsia"/>
                      <w:b/>
                      <w:bCs/>
                      <w:color w:val="auto"/>
                      <w:sz w:val="18"/>
                      <w:szCs w:val="18"/>
                      <w:lang w:val="en-US" w:eastAsia="zh-CN"/>
                    </w:rPr>
                  </w:pPr>
                  <w:r>
                    <w:rPr>
                      <w:rFonts w:hint="eastAsia"/>
                      <w:b/>
                      <w:bCs/>
                      <w:color w:val="auto"/>
                      <w:sz w:val="18"/>
                      <w:szCs w:val="18"/>
                      <w:lang w:val="en-US" w:eastAsia="zh-CN"/>
                    </w:rPr>
                    <w:t>--</w:t>
                  </w:r>
                </w:p>
              </w:tc>
              <w:tc>
                <w:tcPr>
                  <w:tcW w:w="1302" w:type="dxa"/>
                  <w:shd w:val="clear" w:color="auto" w:fill="BEBEBE" w:themeFill="background1" w:themeFillShade="BF"/>
                  <w:vAlign w:val="center"/>
                </w:tcPr>
                <w:p w14:paraId="7A65D7B7">
                  <w:pPr>
                    <w:keepNext w:val="0"/>
                    <w:keepLines w:val="0"/>
                    <w:widowControl/>
                    <w:suppressLineNumbers w:val="0"/>
                    <w:jc w:val="center"/>
                    <w:textAlignment w:val="center"/>
                    <w:rPr>
                      <w:rFonts w:hint="eastAsia" w:eastAsia="宋体"/>
                      <w:b/>
                      <w:bCs/>
                      <w:color w:val="auto"/>
                      <w:sz w:val="18"/>
                      <w:szCs w:val="18"/>
                      <w:lang w:val="en-US" w:eastAsia="zh-CN"/>
                    </w:rPr>
                  </w:pPr>
                  <w:r>
                    <w:rPr>
                      <w:rFonts w:hint="default" w:ascii="Times New Roman" w:hAnsi="Times New Roman" w:eastAsia="宋体" w:cs="Times New Roman"/>
                      <w:b/>
                      <w:bCs/>
                      <w:i w:val="0"/>
                      <w:iCs w:val="0"/>
                      <w:snapToGrid w:val="0"/>
                      <w:color w:val="auto"/>
                      <w:kern w:val="0"/>
                      <w:sz w:val="18"/>
                      <w:szCs w:val="18"/>
                      <w:u w:val="none"/>
                      <w:lang w:val="en-US" w:eastAsia="zh-CN" w:bidi="ar"/>
                    </w:rPr>
                    <w:t>0.022</w:t>
                  </w:r>
                </w:p>
              </w:tc>
              <w:tc>
                <w:tcPr>
                  <w:tcW w:w="1302" w:type="dxa"/>
                  <w:shd w:val="clear" w:color="auto" w:fill="BEBEBE" w:themeFill="background1" w:themeFillShade="BF"/>
                  <w:vAlign w:val="center"/>
                </w:tcPr>
                <w:p w14:paraId="54D4C431">
                  <w:pPr>
                    <w:keepNext w:val="0"/>
                    <w:keepLines w:val="0"/>
                    <w:widowControl/>
                    <w:suppressLineNumbers w:val="0"/>
                    <w:jc w:val="center"/>
                    <w:textAlignment w:val="center"/>
                    <w:rPr>
                      <w:rFonts w:hint="eastAsia" w:eastAsia="宋体"/>
                      <w:b/>
                      <w:bCs/>
                      <w:color w:val="auto"/>
                      <w:sz w:val="18"/>
                      <w:szCs w:val="18"/>
                      <w:lang w:val="en-US" w:eastAsia="zh-CN"/>
                    </w:rPr>
                  </w:pPr>
                  <w:r>
                    <w:rPr>
                      <w:rFonts w:hint="default" w:ascii="Times New Roman" w:hAnsi="Times New Roman" w:eastAsia="宋体" w:cs="Times New Roman"/>
                      <w:b/>
                      <w:bCs/>
                      <w:i w:val="0"/>
                      <w:iCs w:val="0"/>
                      <w:snapToGrid w:val="0"/>
                      <w:color w:val="auto"/>
                      <w:kern w:val="0"/>
                      <w:sz w:val="18"/>
                      <w:szCs w:val="18"/>
                      <w:u w:val="none"/>
                      <w:lang w:val="en-US" w:eastAsia="zh-CN" w:bidi="ar"/>
                    </w:rPr>
                    <w:t>0.0518</w:t>
                  </w:r>
                </w:p>
              </w:tc>
              <w:tc>
                <w:tcPr>
                  <w:tcW w:w="404" w:type="pct"/>
                  <w:vMerge w:val="continue"/>
                  <w:vAlign w:val="center"/>
                </w:tcPr>
                <w:p w14:paraId="1C76F4F4">
                  <w:pPr>
                    <w:keepNext w:val="0"/>
                    <w:keepLines w:val="0"/>
                    <w:pageBreakBefore w:val="0"/>
                    <w:kinsoku/>
                    <w:wordWrap/>
                    <w:overflowPunct/>
                    <w:topLinePunct w:val="0"/>
                    <w:autoSpaceDE/>
                    <w:autoSpaceDN/>
                    <w:bidi w:val="0"/>
                    <w:adjustRightInd w:val="0"/>
                    <w:snapToGrid w:val="0"/>
                    <w:jc w:val="center"/>
                    <w:rPr>
                      <w:rFonts w:hint="eastAsia" w:eastAsia="宋体"/>
                      <w:b/>
                      <w:bCs/>
                      <w:color w:val="auto"/>
                      <w:sz w:val="18"/>
                      <w:szCs w:val="18"/>
                      <w:lang w:val="en-US" w:eastAsia="zh-CN"/>
                    </w:rPr>
                  </w:pPr>
                </w:p>
              </w:tc>
            </w:tr>
            <w:tr w14:paraId="2ED4163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19" w:type="pct"/>
                  <w:vMerge w:val="continue"/>
                  <w:shd w:val="clear" w:color="auto" w:fill="BEBEBE" w:themeFill="background1" w:themeFillShade="BF"/>
                  <w:vAlign w:val="center"/>
                </w:tcPr>
                <w:p w14:paraId="52E3B50D">
                  <w:pPr>
                    <w:pStyle w:val="656"/>
                    <w:keepNext w:val="0"/>
                    <w:keepLines w:val="0"/>
                    <w:pageBreakBefore w:val="0"/>
                    <w:kinsoku/>
                    <w:wordWrap/>
                    <w:overflowPunct/>
                    <w:topLinePunct w:val="0"/>
                    <w:autoSpaceDE/>
                    <w:autoSpaceDN/>
                    <w:bidi w:val="0"/>
                    <w:adjustRightInd w:val="0"/>
                    <w:snapToGrid w:val="0"/>
                    <w:rPr>
                      <w:rFonts w:hint="eastAsia" w:eastAsia="宋体"/>
                      <w:b/>
                      <w:bCs/>
                      <w:color w:val="auto"/>
                      <w:sz w:val="18"/>
                      <w:szCs w:val="18"/>
                      <w:lang w:val="en-US" w:eastAsia="zh-CN"/>
                    </w:rPr>
                  </w:pPr>
                </w:p>
              </w:tc>
              <w:tc>
                <w:tcPr>
                  <w:tcW w:w="394" w:type="pct"/>
                  <w:vMerge w:val="continue"/>
                  <w:shd w:val="clear" w:color="auto" w:fill="BEBEBE" w:themeFill="background1" w:themeFillShade="BF"/>
                  <w:vAlign w:val="center"/>
                </w:tcPr>
                <w:p w14:paraId="4DA7C872">
                  <w:pPr>
                    <w:pStyle w:val="656"/>
                    <w:keepNext w:val="0"/>
                    <w:keepLines w:val="0"/>
                    <w:pageBreakBefore w:val="0"/>
                    <w:kinsoku/>
                    <w:wordWrap/>
                    <w:overflowPunct/>
                    <w:topLinePunct w:val="0"/>
                    <w:autoSpaceDE/>
                    <w:autoSpaceDN/>
                    <w:bidi w:val="0"/>
                    <w:adjustRightInd w:val="0"/>
                    <w:snapToGrid w:val="0"/>
                    <w:rPr>
                      <w:rFonts w:hint="eastAsia" w:eastAsia="宋体"/>
                      <w:b/>
                      <w:bCs/>
                      <w:color w:val="auto"/>
                      <w:sz w:val="18"/>
                      <w:szCs w:val="18"/>
                      <w:lang w:val="en-US" w:eastAsia="zh-CN"/>
                    </w:rPr>
                  </w:pPr>
                </w:p>
              </w:tc>
              <w:tc>
                <w:tcPr>
                  <w:tcW w:w="423" w:type="pct"/>
                  <w:shd w:val="clear" w:color="auto" w:fill="BEBEBE" w:themeFill="background1" w:themeFillShade="BF"/>
                  <w:vAlign w:val="center"/>
                </w:tcPr>
                <w:p w14:paraId="0DFBB5B4">
                  <w:pPr>
                    <w:pStyle w:val="656"/>
                    <w:keepNext w:val="0"/>
                    <w:keepLines w:val="0"/>
                    <w:pageBreakBefore w:val="0"/>
                    <w:kinsoku/>
                    <w:wordWrap/>
                    <w:overflowPunct/>
                    <w:topLinePunct w:val="0"/>
                    <w:autoSpaceDE/>
                    <w:autoSpaceDN/>
                    <w:bidi w:val="0"/>
                    <w:adjustRightInd w:val="0"/>
                    <w:snapToGrid w:val="0"/>
                    <w:rPr>
                      <w:rFonts w:hint="default" w:eastAsia="宋体"/>
                      <w:b/>
                      <w:bCs/>
                      <w:color w:val="auto"/>
                      <w:sz w:val="18"/>
                      <w:szCs w:val="18"/>
                      <w:lang w:val="en-US" w:eastAsia="zh-CN"/>
                    </w:rPr>
                  </w:pPr>
                  <w:r>
                    <w:rPr>
                      <w:rFonts w:hint="eastAsia" w:eastAsia="宋体"/>
                      <w:b/>
                      <w:bCs/>
                      <w:color w:val="auto"/>
                      <w:sz w:val="18"/>
                      <w:szCs w:val="18"/>
                      <w:lang w:val="en-US" w:eastAsia="zh-CN"/>
                    </w:rPr>
                    <w:t>颗粒物</w:t>
                  </w:r>
                </w:p>
              </w:tc>
              <w:tc>
                <w:tcPr>
                  <w:tcW w:w="1371" w:type="dxa"/>
                  <w:shd w:val="clear" w:color="auto" w:fill="BEBEBE" w:themeFill="background1" w:themeFillShade="BF"/>
                  <w:vAlign w:val="center"/>
                </w:tcPr>
                <w:p w14:paraId="6064BCBD">
                  <w:pPr>
                    <w:keepNext w:val="0"/>
                    <w:keepLines w:val="0"/>
                    <w:widowControl/>
                    <w:suppressLineNumbers w:val="0"/>
                    <w:jc w:val="center"/>
                    <w:textAlignment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i w:val="0"/>
                      <w:iCs w:val="0"/>
                      <w:snapToGrid w:val="0"/>
                      <w:color w:val="auto"/>
                      <w:kern w:val="0"/>
                      <w:sz w:val="18"/>
                      <w:szCs w:val="18"/>
                      <w:u w:val="none"/>
                      <w:lang w:val="en-US" w:eastAsia="zh-CN" w:bidi="ar"/>
                    </w:rPr>
                    <w:t>0.084</w:t>
                  </w:r>
                </w:p>
              </w:tc>
              <w:tc>
                <w:tcPr>
                  <w:tcW w:w="1371" w:type="dxa"/>
                  <w:shd w:val="clear" w:color="auto" w:fill="BEBEBE" w:themeFill="background1" w:themeFillShade="BF"/>
                  <w:vAlign w:val="center"/>
                </w:tcPr>
                <w:p w14:paraId="65D67194">
                  <w:pPr>
                    <w:keepNext w:val="0"/>
                    <w:keepLines w:val="0"/>
                    <w:widowControl/>
                    <w:suppressLineNumbers w:val="0"/>
                    <w:jc w:val="center"/>
                    <w:textAlignment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i w:val="0"/>
                      <w:iCs w:val="0"/>
                      <w:snapToGrid w:val="0"/>
                      <w:color w:val="auto"/>
                      <w:kern w:val="0"/>
                      <w:sz w:val="18"/>
                      <w:szCs w:val="18"/>
                      <w:u w:val="none"/>
                      <w:lang w:val="en-US" w:eastAsia="zh-CN" w:bidi="ar"/>
                    </w:rPr>
                    <w:t>0.20091</w:t>
                  </w:r>
                </w:p>
              </w:tc>
              <w:tc>
                <w:tcPr>
                  <w:tcW w:w="448" w:type="pct"/>
                  <w:shd w:val="clear" w:color="auto" w:fill="BEBEBE" w:themeFill="background1" w:themeFillShade="BF"/>
                  <w:vAlign w:val="center"/>
                </w:tcPr>
                <w:p w14:paraId="7F2B8692">
                  <w:pPr>
                    <w:pStyle w:val="656"/>
                    <w:keepNext w:val="0"/>
                    <w:keepLines w:val="0"/>
                    <w:pageBreakBefore w:val="0"/>
                    <w:kinsoku/>
                    <w:wordWrap/>
                    <w:overflowPunct/>
                    <w:topLinePunct w:val="0"/>
                    <w:autoSpaceDE/>
                    <w:autoSpaceDN/>
                    <w:bidi w:val="0"/>
                    <w:adjustRightInd w:val="0"/>
                    <w:snapToGrid w:val="0"/>
                    <w:rPr>
                      <w:rFonts w:hint="eastAsia" w:eastAsia="宋体"/>
                      <w:b/>
                      <w:bCs/>
                      <w:color w:val="auto"/>
                      <w:sz w:val="18"/>
                      <w:szCs w:val="18"/>
                      <w:lang w:val="en-US" w:eastAsia="zh-CN"/>
                    </w:rPr>
                  </w:pPr>
                  <w:r>
                    <w:rPr>
                      <w:rFonts w:hint="eastAsia" w:eastAsia="宋体"/>
                      <w:b/>
                      <w:bCs/>
                      <w:color w:val="auto"/>
                      <w:sz w:val="18"/>
                      <w:szCs w:val="18"/>
                      <w:lang w:val="en-US" w:eastAsia="zh-CN"/>
                    </w:rPr>
                    <w:t>--</w:t>
                  </w:r>
                </w:p>
              </w:tc>
              <w:tc>
                <w:tcPr>
                  <w:tcW w:w="448" w:type="pct"/>
                  <w:shd w:val="clear" w:color="auto" w:fill="BEBEBE" w:themeFill="background1" w:themeFillShade="BF"/>
                  <w:vAlign w:val="center"/>
                </w:tcPr>
                <w:p w14:paraId="10E10FE5">
                  <w:pPr>
                    <w:keepNext w:val="0"/>
                    <w:keepLines w:val="0"/>
                    <w:pageBreakBefore w:val="0"/>
                    <w:kinsoku/>
                    <w:wordWrap/>
                    <w:overflowPunct/>
                    <w:topLinePunct w:val="0"/>
                    <w:autoSpaceDE/>
                    <w:autoSpaceDN/>
                    <w:bidi w:val="0"/>
                    <w:adjustRightInd w:val="0"/>
                    <w:snapToGrid w:val="0"/>
                    <w:jc w:val="center"/>
                    <w:rPr>
                      <w:rFonts w:hint="eastAsia"/>
                      <w:b/>
                      <w:bCs/>
                      <w:color w:val="auto"/>
                      <w:sz w:val="18"/>
                      <w:szCs w:val="18"/>
                      <w:lang w:val="en-US" w:eastAsia="zh-CN"/>
                    </w:rPr>
                  </w:pPr>
                  <w:r>
                    <w:rPr>
                      <w:rFonts w:hint="eastAsia"/>
                      <w:b/>
                      <w:bCs/>
                      <w:color w:val="auto"/>
                      <w:sz w:val="18"/>
                      <w:szCs w:val="18"/>
                      <w:lang w:val="en-US" w:eastAsia="zh-CN"/>
                    </w:rPr>
                    <w:t>--</w:t>
                  </w:r>
                </w:p>
              </w:tc>
              <w:tc>
                <w:tcPr>
                  <w:tcW w:w="448" w:type="pct"/>
                  <w:shd w:val="clear" w:color="auto" w:fill="BEBEBE" w:themeFill="background1" w:themeFillShade="BF"/>
                  <w:vAlign w:val="center"/>
                </w:tcPr>
                <w:p w14:paraId="7E8F6E63">
                  <w:pPr>
                    <w:keepNext w:val="0"/>
                    <w:keepLines w:val="0"/>
                    <w:pageBreakBefore w:val="0"/>
                    <w:kinsoku/>
                    <w:wordWrap/>
                    <w:overflowPunct/>
                    <w:topLinePunct w:val="0"/>
                    <w:autoSpaceDE/>
                    <w:autoSpaceDN/>
                    <w:bidi w:val="0"/>
                    <w:adjustRightInd w:val="0"/>
                    <w:snapToGrid w:val="0"/>
                    <w:jc w:val="center"/>
                    <w:rPr>
                      <w:rFonts w:hint="eastAsia"/>
                      <w:b/>
                      <w:bCs/>
                      <w:color w:val="auto"/>
                      <w:sz w:val="18"/>
                      <w:szCs w:val="18"/>
                      <w:lang w:val="en-US" w:eastAsia="zh-CN"/>
                    </w:rPr>
                  </w:pPr>
                  <w:r>
                    <w:rPr>
                      <w:rFonts w:hint="eastAsia"/>
                      <w:b/>
                      <w:bCs/>
                      <w:color w:val="auto"/>
                      <w:sz w:val="18"/>
                      <w:szCs w:val="18"/>
                      <w:lang w:val="en-US" w:eastAsia="zh-CN"/>
                    </w:rPr>
                    <w:t>--</w:t>
                  </w:r>
                </w:p>
              </w:tc>
              <w:tc>
                <w:tcPr>
                  <w:tcW w:w="1302" w:type="dxa"/>
                  <w:shd w:val="clear" w:color="auto" w:fill="BEBEBE" w:themeFill="background1" w:themeFillShade="BF"/>
                  <w:vAlign w:val="center"/>
                </w:tcPr>
                <w:p w14:paraId="11737711">
                  <w:pPr>
                    <w:keepNext w:val="0"/>
                    <w:keepLines w:val="0"/>
                    <w:widowControl/>
                    <w:suppressLineNumbers w:val="0"/>
                    <w:jc w:val="center"/>
                    <w:textAlignment w:val="center"/>
                    <w:rPr>
                      <w:rFonts w:hint="default" w:eastAsia="宋体"/>
                      <w:b/>
                      <w:bCs/>
                      <w:color w:val="auto"/>
                      <w:sz w:val="18"/>
                      <w:szCs w:val="18"/>
                      <w:lang w:val="en-US" w:eastAsia="zh-CN"/>
                    </w:rPr>
                  </w:pPr>
                  <w:r>
                    <w:rPr>
                      <w:rFonts w:hint="default" w:ascii="Times New Roman" w:hAnsi="Times New Roman" w:eastAsia="宋体" w:cs="Times New Roman"/>
                      <w:b/>
                      <w:bCs/>
                      <w:i w:val="0"/>
                      <w:iCs w:val="0"/>
                      <w:snapToGrid w:val="0"/>
                      <w:color w:val="auto"/>
                      <w:kern w:val="0"/>
                      <w:sz w:val="18"/>
                      <w:szCs w:val="18"/>
                      <w:u w:val="none"/>
                      <w:lang w:val="en-US" w:eastAsia="zh-CN" w:bidi="ar"/>
                    </w:rPr>
                    <w:t>0.014</w:t>
                  </w:r>
                </w:p>
              </w:tc>
              <w:tc>
                <w:tcPr>
                  <w:tcW w:w="1302" w:type="dxa"/>
                  <w:shd w:val="clear" w:color="auto" w:fill="BEBEBE" w:themeFill="background1" w:themeFillShade="BF"/>
                  <w:vAlign w:val="center"/>
                </w:tcPr>
                <w:p w14:paraId="0DC57B3D">
                  <w:pPr>
                    <w:keepNext w:val="0"/>
                    <w:keepLines w:val="0"/>
                    <w:widowControl/>
                    <w:suppressLineNumbers w:val="0"/>
                    <w:jc w:val="center"/>
                    <w:textAlignment w:val="center"/>
                    <w:rPr>
                      <w:rFonts w:hint="default" w:eastAsia="宋体"/>
                      <w:b/>
                      <w:bCs/>
                      <w:color w:val="auto"/>
                      <w:sz w:val="18"/>
                      <w:szCs w:val="18"/>
                      <w:lang w:val="en-US" w:eastAsia="zh-CN"/>
                    </w:rPr>
                  </w:pPr>
                  <w:r>
                    <w:rPr>
                      <w:rFonts w:hint="default" w:ascii="Times New Roman" w:hAnsi="Times New Roman" w:eastAsia="宋体" w:cs="Times New Roman"/>
                      <w:b/>
                      <w:bCs/>
                      <w:i w:val="0"/>
                      <w:iCs w:val="0"/>
                      <w:snapToGrid w:val="0"/>
                      <w:color w:val="auto"/>
                      <w:kern w:val="0"/>
                      <w:sz w:val="18"/>
                      <w:szCs w:val="18"/>
                      <w:u w:val="none"/>
                      <w:lang w:val="en-US" w:eastAsia="zh-CN" w:bidi="ar"/>
                    </w:rPr>
                    <w:t>0.03291</w:t>
                  </w:r>
                </w:p>
              </w:tc>
              <w:tc>
                <w:tcPr>
                  <w:tcW w:w="404" w:type="pct"/>
                  <w:vMerge w:val="continue"/>
                  <w:vAlign w:val="center"/>
                </w:tcPr>
                <w:p w14:paraId="40DFD9F4">
                  <w:pPr>
                    <w:keepNext w:val="0"/>
                    <w:keepLines w:val="0"/>
                    <w:pageBreakBefore w:val="0"/>
                    <w:kinsoku/>
                    <w:wordWrap/>
                    <w:overflowPunct/>
                    <w:topLinePunct w:val="0"/>
                    <w:autoSpaceDE/>
                    <w:autoSpaceDN/>
                    <w:bidi w:val="0"/>
                    <w:adjustRightInd w:val="0"/>
                    <w:snapToGrid w:val="0"/>
                    <w:jc w:val="center"/>
                    <w:rPr>
                      <w:rFonts w:hint="eastAsia" w:eastAsia="宋体"/>
                      <w:b/>
                      <w:bCs/>
                      <w:color w:val="auto"/>
                      <w:sz w:val="18"/>
                      <w:szCs w:val="18"/>
                      <w:lang w:val="en-US" w:eastAsia="zh-CN"/>
                    </w:rPr>
                  </w:pPr>
                </w:p>
              </w:tc>
            </w:tr>
          </w:tbl>
          <w:p w14:paraId="33D051E1">
            <w:pPr>
              <w:keepNext w:val="0"/>
              <w:keepLines w:val="0"/>
              <w:pageBreakBefore w:val="0"/>
              <w:widowControl w:val="0"/>
              <w:kinsoku/>
              <w:wordWrap/>
              <w:overflowPunct/>
              <w:topLinePunct w:val="0"/>
              <w:autoSpaceDE/>
              <w:autoSpaceDN/>
              <w:bidi w:val="0"/>
              <w:adjustRightInd w:val="0"/>
              <w:snapToGrid w:val="0"/>
              <w:spacing w:line="360" w:lineRule="auto"/>
              <w:textAlignment w:val="auto"/>
              <w:rPr>
                <w:b/>
                <w:color w:val="auto"/>
                <w:kern w:val="0"/>
                <w:sz w:val="21"/>
                <w:szCs w:val="21"/>
              </w:rPr>
            </w:pPr>
          </w:p>
        </w:tc>
      </w:tr>
    </w:tbl>
    <w:p w14:paraId="48924E2A">
      <w:pPr>
        <w:pStyle w:val="55"/>
        <w:rPr>
          <w:color w:val="auto"/>
        </w:rPr>
        <w:sectPr>
          <w:pgSz w:w="16840" w:h="11907" w:orient="landscape"/>
          <w:pgMar w:top="1361" w:right="1418" w:bottom="1361" w:left="1418" w:header="851" w:footer="851" w:gutter="0"/>
          <w:pgBorders>
            <w:top w:val="none" w:sz="0" w:space="0"/>
            <w:left w:val="none" w:sz="0" w:space="0"/>
            <w:bottom w:val="none" w:sz="0" w:space="0"/>
            <w:right w:val="none" w:sz="0" w:space="0"/>
          </w:pgBorders>
          <w:cols w:space="720" w:num="1"/>
          <w:docGrid w:linePitch="312" w:charSpace="0"/>
        </w:sectPr>
      </w:pPr>
    </w:p>
    <w:tbl>
      <w:tblPr>
        <w:tblStyle w:val="59"/>
        <w:tblW w:w="517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7"/>
        <w:gridCol w:w="9077"/>
      </w:tblGrid>
      <w:tr w14:paraId="57C0BB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06" w:hRule="atLeast"/>
          <w:jc w:val="center"/>
        </w:trPr>
        <w:tc>
          <w:tcPr>
            <w:tcW w:w="294" w:type="pct"/>
            <w:tcMar>
              <w:left w:w="28" w:type="dxa"/>
              <w:right w:w="28" w:type="dxa"/>
            </w:tcMar>
            <w:vAlign w:val="center"/>
          </w:tcPr>
          <w:p w14:paraId="51D262AB">
            <w:pPr>
              <w:adjustRightInd w:val="0"/>
              <w:snapToGrid w:val="0"/>
              <w:jc w:val="center"/>
              <w:rPr>
                <w:b/>
                <w:color w:val="auto"/>
                <w:kern w:val="0"/>
              </w:rPr>
            </w:pPr>
            <w:r>
              <w:rPr>
                <w:b/>
                <w:bCs/>
                <w:color w:val="auto"/>
                <w:kern w:val="0"/>
              </w:rPr>
              <w:t>运营期环境影响和保护措施</w:t>
            </w:r>
          </w:p>
        </w:tc>
        <w:tc>
          <w:tcPr>
            <w:tcW w:w="4705" w:type="pct"/>
            <w:vAlign w:val="center"/>
          </w:tcPr>
          <w:p w14:paraId="23BCFAC3">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b/>
                <w:color w:val="auto"/>
                <w:kern w:val="0"/>
              </w:rPr>
            </w:pPr>
            <w:r>
              <w:rPr>
                <w:rFonts w:hint="eastAsia"/>
                <w:b/>
                <w:color w:val="auto"/>
                <w:kern w:val="0"/>
              </w:rPr>
              <w:t>源强核算</w:t>
            </w:r>
          </w:p>
          <w:p w14:paraId="76BFC36E">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eastAsia="宋体"/>
                <w:b/>
                <w:bCs/>
                <w:color w:val="auto"/>
                <w:kern w:val="0"/>
                <w:lang w:val="en-US" w:eastAsia="zh-CN"/>
              </w:rPr>
            </w:pPr>
            <w:r>
              <w:rPr>
                <w:rFonts w:hint="eastAsia"/>
                <w:b/>
                <w:bCs/>
                <w:color w:val="auto"/>
                <w:kern w:val="0"/>
                <w:sz w:val="21"/>
                <w:lang w:val="en-US" w:eastAsia="zh-CN"/>
              </w:rPr>
              <w:t>开料、刨平、铣型粉尘（G1-1、G2-1）、砂磨粉尘（G1-2、G2-3）、齐边精裁粉尘（G1-4）、钻孔粉尘（G1-6、G2-2）</w:t>
            </w:r>
          </w:p>
          <w:p w14:paraId="7CC2156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b w:val="0"/>
                <w:bCs w:val="0"/>
                <w:color w:val="auto"/>
                <w:kern w:val="0"/>
                <w:lang w:val="en-US" w:eastAsia="zh-CN"/>
              </w:rPr>
            </w:pPr>
            <w:r>
              <w:rPr>
                <w:rFonts w:hint="eastAsia" w:cs="Times New Roman"/>
                <w:color w:val="auto"/>
                <w:kern w:val="0"/>
                <w:lang w:val="en-US" w:eastAsia="zh-CN"/>
              </w:rPr>
              <w:t>参考</w:t>
            </w:r>
            <w:r>
              <w:rPr>
                <w:rFonts w:hint="eastAsia"/>
                <w:color w:val="auto"/>
                <w:kern w:val="0"/>
                <w:lang w:val="en-US" w:eastAsia="zh-CN"/>
              </w:rPr>
              <w:t>《排放源统计调查产排污核算方法和系数手册》中“木质家具制造行业系数手册”中“下料”中“机加工”颗粒物产生量为150g/m</w:t>
            </w:r>
            <w:r>
              <w:rPr>
                <w:rFonts w:hint="eastAsia"/>
                <w:color w:val="auto"/>
                <w:kern w:val="0"/>
                <w:vertAlign w:val="superscript"/>
                <w:lang w:val="en-US" w:eastAsia="zh-CN"/>
              </w:rPr>
              <w:t>3</w:t>
            </w:r>
            <w:r>
              <w:rPr>
                <w:rFonts w:hint="eastAsia"/>
                <w:color w:val="auto"/>
                <w:kern w:val="0"/>
                <w:lang w:val="en-US" w:eastAsia="zh-CN"/>
              </w:rPr>
              <w:t>-原料，本项目板材用量约为1310m</w:t>
            </w:r>
            <w:r>
              <w:rPr>
                <w:rFonts w:hint="eastAsia"/>
                <w:color w:val="auto"/>
                <w:kern w:val="0"/>
                <w:vertAlign w:val="superscript"/>
                <w:lang w:val="en-US" w:eastAsia="zh-CN"/>
              </w:rPr>
              <w:t>3</w:t>
            </w:r>
            <w:r>
              <w:rPr>
                <w:rFonts w:hint="eastAsia"/>
                <w:color w:val="auto"/>
                <w:kern w:val="0"/>
                <w:lang w:val="en-US" w:eastAsia="zh-CN"/>
              </w:rPr>
              <w:t>/a，则颗粒物产生量为0.1965t/a。经移动式布袋除尘器进行收集处理，收集效率90%，处理效率95%，则颗粒物无组织排放量为0.0285t/a，无组织排放速率为0.012kg/h。</w:t>
            </w:r>
          </w:p>
          <w:p w14:paraId="4C81D418">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eastAsia="宋体"/>
                <w:b/>
                <w:bCs/>
                <w:color w:val="auto"/>
                <w:kern w:val="0"/>
                <w:lang w:val="en-US" w:eastAsia="zh-CN"/>
              </w:rPr>
            </w:pPr>
            <w:r>
              <w:rPr>
                <w:rFonts w:hint="eastAsia"/>
                <w:b/>
                <w:bCs/>
                <w:color w:val="auto"/>
                <w:kern w:val="0"/>
                <w:lang w:val="en-US" w:eastAsia="zh-CN"/>
              </w:rPr>
              <w:t>白乳胶挥发废气（G1-3）、热熔胶挥发废气（G1-5）</w:t>
            </w:r>
          </w:p>
          <w:p w14:paraId="43A3AE8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b w:val="0"/>
                <w:bCs w:val="0"/>
                <w:color w:val="auto"/>
                <w:kern w:val="0"/>
                <w:lang w:val="en-US" w:eastAsia="zh-CN"/>
              </w:rPr>
            </w:pPr>
            <w:r>
              <w:rPr>
                <w:rFonts w:hint="eastAsia"/>
                <w:b w:val="0"/>
                <w:bCs w:val="0"/>
                <w:color w:val="auto"/>
                <w:kern w:val="0"/>
                <w:lang w:val="en-US" w:eastAsia="zh-CN"/>
              </w:rPr>
              <w:t>本项目粘贴冷压工序使用白乳胶会产生有机废气，根据白乳胶VOC含量检测报告，挥发性有机物含量为2.2g/L，密度按1g/cm</w:t>
            </w:r>
            <w:r>
              <w:rPr>
                <w:rFonts w:hint="eastAsia"/>
                <w:b w:val="0"/>
                <w:bCs w:val="0"/>
                <w:color w:val="auto"/>
                <w:kern w:val="0"/>
                <w:vertAlign w:val="superscript"/>
                <w:lang w:val="en-US" w:eastAsia="zh-CN"/>
              </w:rPr>
              <w:t>3</w:t>
            </w:r>
            <w:r>
              <w:rPr>
                <w:rFonts w:hint="eastAsia"/>
                <w:b w:val="0"/>
                <w:bCs w:val="0"/>
                <w:color w:val="auto"/>
                <w:kern w:val="0"/>
                <w:lang w:val="en-US" w:eastAsia="zh-CN"/>
              </w:rPr>
              <w:t>计，白乳胶使用量为1.5t/a，则非甲烷总烃产生量为0.0033t/a；</w:t>
            </w:r>
          </w:p>
          <w:p w14:paraId="2278AD81">
            <w:pPr>
              <w:pStyle w:val="6"/>
              <w:pageBreakBefore w:val="0"/>
              <w:widowControl w:val="0"/>
              <w:kinsoku/>
              <w:wordWrap/>
              <w:overflowPunct/>
              <w:topLinePunct w:val="0"/>
              <w:autoSpaceDE/>
              <w:autoSpaceDN/>
              <w:bidi w:val="0"/>
              <w:adjustRightInd w:val="0"/>
              <w:snapToGrid w:val="0"/>
              <w:spacing w:before="0" w:after="0" w:line="360" w:lineRule="auto"/>
              <w:ind w:firstLine="420" w:firstLineChars="200"/>
              <w:textAlignment w:val="auto"/>
              <w:rPr>
                <w:color w:val="auto"/>
              </w:rPr>
            </w:pPr>
            <w:r>
              <w:rPr>
                <w:rFonts w:hint="default" w:ascii="Times New Roman" w:hAnsi="Times New Roman" w:cs="Times New Roman"/>
                <w:b w:val="0"/>
                <w:bCs w:val="0"/>
                <w:color w:val="auto"/>
                <w:kern w:val="0"/>
                <w:sz w:val="21"/>
                <w:szCs w:val="21"/>
                <w:lang w:val="en-US" w:eastAsia="zh-CN"/>
              </w:rPr>
              <w:t>本项目封边工序使用热熔胶，在加热熔化和封边冷却过程中会产生有机废气，</w:t>
            </w:r>
            <w:r>
              <w:rPr>
                <w:rFonts w:hint="eastAsia" w:ascii="Times New Roman" w:hAnsi="Times New Roman" w:cs="Times New Roman"/>
                <w:b w:val="0"/>
                <w:bCs w:val="0"/>
                <w:color w:val="auto"/>
                <w:kern w:val="0"/>
                <w:sz w:val="21"/>
                <w:szCs w:val="21"/>
                <w:lang w:val="en-US" w:eastAsia="zh-CN"/>
              </w:rPr>
              <w:t>根据热熔胶VOC含量检测报告</w:t>
            </w:r>
            <w:r>
              <w:rPr>
                <w:rFonts w:hint="default" w:ascii="Times New Roman" w:hAnsi="Times New Roman" w:cs="Times New Roman"/>
                <w:b w:val="0"/>
                <w:bCs w:val="0"/>
                <w:color w:val="auto"/>
                <w:kern w:val="0"/>
                <w:sz w:val="21"/>
                <w:szCs w:val="21"/>
                <w:lang w:val="en-US" w:eastAsia="zh-CN"/>
              </w:rPr>
              <w:t>，</w:t>
            </w:r>
            <w:r>
              <w:rPr>
                <w:rFonts w:hint="eastAsia" w:ascii="Times New Roman" w:hAnsi="Times New Roman" w:cs="Times New Roman"/>
                <w:b w:val="0"/>
                <w:bCs w:val="0"/>
                <w:color w:val="auto"/>
                <w:kern w:val="0"/>
                <w:sz w:val="21"/>
                <w:szCs w:val="21"/>
                <w:lang w:val="en-US" w:eastAsia="zh-CN"/>
              </w:rPr>
              <w:t>挥发性有机物含量未检出，本项目按检出限2g/kg计，</w:t>
            </w:r>
            <w:r>
              <w:rPr>
                <w:rFonts w:hint="default" w:ascii="Times New Roman" w:hAnsi="Times New Roman" w:cs="Times New Roman"/>
                <w:b w:val="0"/>
                <w:bCs w:val="0"/>
                <w:color w:val="auto"/>
                <w:kern w:val="0"/>
                <w:sz w:val="21"/>
                <w:szCs w:val="21"/>
                <w:lang w:val="en-US" w:eastAsia="zh-CN"/>
              </w:rPr>
              <w:t>热熔胶使用量为0.8t/a，则</w:t>
            </w:r>
            <w:r>
              <w:rPr>
                <w:rFonts w:hint="eastAsia" w:ascii="Times New Roman" w:hAnsi="Times New Roman" w:cs="Times New Roman"/>
                <w:b w:val="0"/>
                <w:bCs w:val="0"/>
                <w:color w:val="auto"/>
                <w:kern w:val="0"/>
                <w:sz w:val="21"/>
                <w:szCs w:val="21"/>
                <w:lang w:val="en-US" w:eastAsia="zh-CN"/>
              </w:rPr>
              <w:t>非甲烷总烃</w:t>
            </w:r>
            <w:r>
              <w:rPr>
                <w:rFonts w:hint="default" w:ascii="Times New Roman" w:hAnsi="Times New Roman" w:cs="Times New Roman"/>
                <w:b w:val="0"/>
                <w:bCs w:val="0"/>
                <w:color w:val="auto"/>
                <w:kern w:val="0"/>
                <w:sz w:val="21"/>
                <w:szCs w:val="21"/>
                <w:lang w:val="en-US" w:eastAsia="zh-CN"/>
              </w:rPr>
              <w:t>产生量约0.0</w:t>
            </w:r>
            <w:r>
              <w:rPr>
                <w:rFonts w:hint="eastAsia" w:ascii="Times New Roman" w:hAnsi="Times New Roman" w:cs="Times New Roman"/>
                <w:b w:val="0"/>
                <w:bCs w:val="0"/>
                <w:color w:val="auto"/>
                <w:kern w:val="0"/>
                <w:sz w:val="21"/>
                <w:szCs w:val="21"/>
                <w:lang w:val="en-US" w:eastAsia="zh-CN"/>
              </w:rPr>
              <w:t>016</w:t>
            </w:r>
            <w:r>
              <w:rPr>
                <w:rFonts w:hint="default" w:ascii="Times New Roman" w:hAnsi="Times New Roman" w:cs="Times New Roman"/>
                <w:b w:val="0"/>
                <w:bCs w:val="0"/>
                <w:color w:val="auto"/>
                <w:kern w:val="0"/>
                <w:sz w:val="21"/>
                <w:szCs w:val="21"/>
                <w:lang w:val="en-US" w:eastAsia="zh-CN"/>
              </w:rPr>
              <w:t>t/a。</w:t>
            </w:r>
          </w:p>
          <w:p w14:paraId="20A1662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eastAsia="宋体"/>
                <w:color w:val="auto"/>
                <w:lang w:val="en-US" w:eastAsia="zh-CN"/>
              </w:rPr>
            </w:pPr>
            <w:r>
              <w:rPr>
                <w:rFonts w:hint="eastAsia"/>
                <w:color w:val="auto"/>
                <w:lang w:val="en-US" w:eastAsia="zh-CN"/>
              </w:rPr>
              <w:t>根据关于印发《重点行业挥发性有机物综合治理方案》的通知（环大气〔2019〕53号），</w:t>
            </w:r>
            <w:r>
              <w:rPr>
                <w:rFonts w:hint="eastAsia" w:eastAsia="宋体"/>
                <w:color w:val="auto"/>
                <w:kern w:val="0"/>
                <w:sz w:val="21"/>
                <w:szCs w:val="21"/>
                <w:lang w:eastAsia="zh-CN"/>
              </w:rPr>
              <w:t>企业采用符合国家有关低VOC</w:t>
            </w:r>
            <w:r>
              <w:rPr>
                <w:rFonts w:hint="eastAsia"/>
                <w:color w:val="auto"/>
                <w:kern w:val="0"/>
                <w:sz w:val="21"/>
                <w:szCs w:val="21"/>
                <w:lang w:val="en-US" w:eastAsia="zh-CN"/>
              </w:rPr>
              <w:t>s</w:t>
            </w:r>
            <w:r>
              <w:rPr>
                <w:rFonts w:hint="eastAsia" w:eastAsia="宋体"/>
                <w:color w:val="auto"/>
                <w:kern w:val="0"/>
                <w:sz w:val="21"/>
                <w:szCs w:val="21"/>
                <w:lang w:eastAsia="zh-CN"/>
              </w:rPr>
              <w:t>含量产品规定的涂料、油墨、胶粘剂等，</w:t>
            </w:r>
            <w:r>
              <w:rPr>
                <w:rFonts w:hint="eastAsia"/>
                <w:color w:val="auto"/>
                <w:lang w:val="en-US" w:eastAsia="zh-CN"/>
              </w:rPr>
              <w:t>使用的原辅材料VOCs含量（质量比）低于10%的工序，可不要求采取无组织排放收集措施。本项目白乳胶、热熔胶VOCs含量（质量比）低于10%，因此可不采取无组织排放收集措施，于车间内无组织排放，非甲烷总烃排放量共计0.0049t/a，排放速率为0.002kg/h。</w:t>
            </w:r>
          </w:p>
          <w:p w14:paraId="13CDD2F3">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eastAsia="宋体"/>
                <w:b/>
                <w:bCs/>
                <w:color w:val="auto"/>
                <w:kern w:val="0"/>
                <w:lang w:val="en-US" w:eastAsia="zh-CN"/>
              </w:rPr>
            </w:pPr>
            <w:r>
              <w:rPr>
                <w:rFonts w:hint="eastAsia"/>
                <w:b/>
                <w:bCs/>
                <w:color w:val="auto"/>
                <w:kern w:val="0"/>
                <w:lang w:val="en-US" w:eastAsia="zh-CN"/>
              </w:rPr>
              <w:t>擦色废气（G2-4、G2-10）</w:t>
            </w:r>
          </w:p>
          <w:p w14:paraId="5DB7912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eastAsia="宋体"/>
                <w:b w:val="0"/>
                <w:bCs w:val="0"/>
                <w:color w:val="auto"/>
                <w:kern w:val="0"/>
                <w:lang w:val="en-US" w:eastAsia="zh-CN"/>
              </w:rPr>
            </w:pPr>
            <w:r>
              <w:rPr>
                <w:rFonts w:hint="eastAsia"/>
                <w:b w:val="0"/>
                <w:bCs w:val="0"/>
                <w:color w:val="auto"/>
                <w:kern w:val="0"/>
                <w:lang w:val="en-US" w:eastAsia="zh-CN"/>
              </w:rPr>
              <w:t>本项目擦色、修色工序均在底漆房中进行，擦色、修色工序会产生有机废气，以非甲烷总烃计，格丽斯擦色剂中添加剂占比10-30%，本项目以最不利情况计，以添加剂全部挥发计，挥发份取30%，本项目擦色剂使用量为0.3t，则非甲烷总烃产生量为0.09t/a。</w:t>
            </w:r>
          </w:p>
          <w:p w14:paraId="05CAA16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b w:val="0"/>
                <w:bCs w:val="0"/>
                <w:color w:val="auto"/>
                <w:kern w:val="0"/>
                <w:lang w:val="en-US" w:eastAsia="zh-CN"/>
              </w:rPr>
            </w:pPr>
            <w:r>
              <w:rPr>
                <w:rFonts w:hint="eastAsia"/>
                <w:b w:val="0"/>
                <w:bCs w:val="0"/>
                <w:color w:val="auto"/>
                <w:kern w:val="0"/>
                <w:lang w:val="en-US" w:eastAsia="zh-CN"/>
              </w:rPr>
              <w:t>擦色废气经底漆房密闭收集（收集效率以98%计）后进入</w:t>
            </w:r>
            <w:r>
              <w:rPr>
                <w:rFonts w:hint="eastAsia"/>
                <w:color w:val="auto"/>
                <w:sz w:val="21"/>
                <w:szCs w:val="21"/>
                <w:lang w:val="en-US" w:eastAsia="zh-CN"/>
              </w:rPr>
              <w:t>一套“吸雾毡+二级活性炭装置”（处理效率以90%计）处理后通过1根20m高排气筒DA001排放。</w:t>
            </w:r>
          </w:p>
          <w:p w14:paraId="72C0943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b w:val="0"/>
                <w:bCs w:val="0"/>
                <w:color w:val="auto"/>
                <w:kern w:val="0"/>
                <w:lang w:val="en-US" w:eastAsia="zh-CN"/>
              </w:rPr>
            </w:pPr>
            <w:r>
              <w:rPr>
                <w:rFonts w:hint="eastAsia"/>
                <w:b w:val="0"/>
                <w:bCs w:val="0"/>
                <w:color w:val="auto"/>
                <w:kern w:val="0"/>
                <w:lang w:val="en-US" w:eastAsia="zh-CN"/>
              </w:rPr>
              <w:t>则非甲烷总烃有组织产生量为0.081t/a，有组织排放速率为0.034kg/h；有组织排放量为0.0081t/a，有组织排放速率为0.0034kg/h；无组织排放量为0.009t/a，无组织排放速率为0.004kg/h。</w:t>
            </w:r>
          </w:p>
          <w:p w14:paraId="41A62FCB">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eastAsia"/>
                <w:b/>
                <w:bCs/>
                <w:color w:val="auto"/>
                <w:kern w:val="0"/>
                <w:lang w:eastAsia="zh-CN"/>
              </w:rPr>
            </w:pPr>
            <w:r>
              <w:rPr>
                <w:rFonts w:hint="eastAsia"/>
                <w:b/>
                <w:bCs/>
                <w:color w:val="auto"/>
                <w:kern w:val="0"/>
                <w:sz w:val="21"/>
                <w:lang w:val="en-US" w:eastAsia="zh-CN"/>
              </w:rPr>
              <w:t>调漆废气（G2-5、G2-15）、喷漆废气（G2-6、G2-11、G2-16）、刷漆废气（G2-7、G2-12）、晾干废气（G2-8、G2-13、G2-17）</w:t>
            </w:r>
          </w:p>
          <w:p w14:paraId="4457F63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b w:val="0"/>
                <w:bCs w:val="0"/>
                <w:color w:val="auto"/>
                <w:kern w:val="0"/>
                <w:lang w:eastAsia="zh-CN"/>
              </w:rPr>
            </w:pPr>
            <w:r>
              <w:rPr>
                <w:rFonts w:hint="eastAsia"/>
                <w:b w:val="0"/>
                <w:bCs w:val="0"/>
                <w:color w:val="auto"/>
                <w:kern w:val="0"/>
                <w:lang w:eastAsia="zh-CN"/>
              </w:rPr>
              <w:t>项目调漆、喷漆、刷漆过程均在专用</w:t>
            </w:r>
            <w:r>
              <w:rPr>
                <w:rFonts w:hint="eastAsia"/>
                <w:b w:val="0"/>
                <w:bCs w:val="0"/>
                <w:color w:val="auto"/>
                <w:kern w:val="0"/>
                <w:lang w:val="en-US" w:eastAsia="zh-CN"/>
              </w:rPr>
              <w:t>调漆房、</w:t>
            </w:r>
            <w:r>
              <w:rPr>
                <w:rFonts w:hint="eastAsia"/>
                <w:b w:val="0"/>
                <w:bCs w:val="0"/>
                <w:color w:val="auto"/>
                <w:kern w:val="0"/>
                <w:lang w:eastAsia="zh-CN"/>
              </w:rPr>
              <w:t>底漆房和面漆房中进行，晾干工序在晾干房内进行，</w:t>
            </w:r>
            <w:r>
              <w:rPr>
                <w:rFonts w:hint="eastAsia"/>
                <w:b w:val="0"/>
                <w:bCs w:val="0"/>
                <w:color w:val="auto"/>
                <w:kern w:val="0"/>
                <w:lang w:val="en-US" w:eastAsia="zh-CN"/>
              </w:rPr>
              <w:t>产生的废气主要为漆雾和有机废气</w:t>
            </w:r>
            <w:r>
              <w:rPr>
                <w:rFonts w:hint="eastAsia"/>
                <w:b w:val="0"/>
                <w:bCs w:val="0"/>
                <w:color w:val="auto"/>
                <w:kern w:val="0"/>
                <w:lang w:eastAsia="zh-CN"/>
              </w:rPr>
              <w:t>。</w:t>
            </w:r>
            <w:r>
              <w:rPr>
                <w:rFonts w:hint="eastAsia"/>
                <w:b w:val="0"/>
                <w:bCs w:val="0"/>
                <w:color w:val="auto"/>
                <w:kern w:val="0"/>
                <w:lang w:val="en-US" w:eastAsia="zh-CN"/>
              </w:rPr>
              <w:t>其中</w:t>
            </w:r>
            <w:r>
              <w:rPr>
                <w:rFonts w:hint="eastAsia"/>
                <w:b w:val="0"/>
                <w:bCs w:val="0"/>
                <w:color w:val="auto"/>
                <w:kern w:val="0"/>
                <w:lang w:eastAsia="zh-CN"/>
              </w:rPr>
              <w:t>调漆、刷漆</w:t>
            </w:r>
            <w:r>
              <w:rPr>
                <w:rFonts w:hint="eastAsia"/>
                <w:b w:val="0"/>
                <w:bCs w:val="0"/>
                <w:color w:val="auto"/>
                <w:kern w:val="0"/>
                <w:lang w:val="en-US" w:eastAsia="zh-CN"/>
              </w:rPr>
              <w:t>工序产生的废气主要为非甲烷总烃，喷漆工序产生的废气主要为漆雾、非甲烷总烃，晾干工序产生的废气主要为非甲烷总烃</w:t>
            </w:r>
            <w:r>
              <w:rPr>
                <w:rFonts w:hint="eastAsia"/>
                <w:b w:val="0"/>
                <w:bCs w:val="0"/>
                <w:color w:val="auto"/>
                <w:kern w:val="0"/>
                <w:lang w:eastAsia="zh-CN"/>
              </w:rPr>
              <w:t>。</w:t>
            </w:r>
          </w:p>
          <w:p w14:paraId="044FD0A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b w:val="0"/>
                <w:bCs w:val="0"/>
                <w:color w:val="auto"/>
                <w:kern w:val="0"/>
                <w:lang w:val="en-US" w:eastAsia="zh-CN"/>
              </w:rPr>
            </w:pPr>
            <w:r>
              <w:rPr>
                <w:rFonts w:hint="eastAsia"/>
                <w:b w:val="0"/>
                <w:bCs w:val="0"/>
                <w:color w:val="auto"/>
                <w:kern w:val="0"/>
                <w:lang w:val="en-US" w:eastAsia="zh-CN"/>
              </w:rPr>
              <w:t>项目有机废气及漆雾经调漆房、底漆房、面漆房、晾干房密闭收集（收集效率以98%计），底漆房和面漆房内各设置一套水帘装置处理漆雾，处理后和有机废气一起经吸雾毡去除废气水分后进入二级活性炭吸附装置（水帘装置对颗粒物去除效率以90%计、二级活性炭装置对有机废气去除效率以90%计）处理后</w:t>
            </w:r>
            <w:r>
              <w:rPr>
                <w:rFonts w:hint="eastAsia"/>
                <w:color w:val="auto"/>
                <w:sz w:val="21"/>
                <w:szCs w:val="21"/>
                <w:lang w:val="en-US" w:eastAsia="zh-CN"/>
              </w:rPr>
              <w:t>通过1根20m高排气筒DA001排放。</w:t>
            </w:r>
          </w:p>
          <w:p w14:paraId="34955D2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b w:val="0"/>
                <w:bCs w:val="0"/>
                <w:color w:val="auto"/>
                <w:kern w:val="0"/>
                <w:lang w:val="en-US" w:eastAsia="zh-CN"/>
              </w:rPr>
            </w:pPr>
            <w:r>
              <w:rPr>
                <w:rFonts w:hint="eastAsia"/>
                <w:b w:val="0"/>
                <w:bCs w:val="0"/>
                <w:color w:val="auto"/>
                <w:kern w:val="0"/>
                <w:lang w:val="en-US" w:eastAsia="zh-CN"/>
              </w:rPr>
              <w:t>根据水性白底漆、水性清底漆、水性双组份清底漆、水性双组份哑光清面漆、水性哑光清面漆MSDS可知，涂料中</w:t>
            </w:r>
            <w:r>
              <w:rPr>
                <w:rFonts w:hint="eastAsia" w:cs="Times New Roman"/>
                <w:color w:val="auto"/>
                <w:kern w:val="0"/>
                <w:sz w:val="21"/>
                <w:szCs w:val="21"/>
                <w:lang w:val="en-US" w:eastAsia="zh-CN"/>
              </w:rPr>
              <w:t>聚氨酯丙烯酸酯乳液20-90%、二丙二醇丁醚0-5%、二丙二醇甲醚0-5%、水15-35%、颜填料0-60%、助剂0.1-1%，挥发分按最大计约11%，水分按最大计约35%，固含量为54%。</w:t>
            </w:r>
          </w:p>
          <w:p w14:paraId="56122C2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b w:val="0"/>
                <w:bCs w:val="0"/>
                <w:color w:val="auto"/>
                <w:kern w:val="0"/>
                <w:lang w:val="en-US" w:eastAsia="zh-CN"/>
              </w:rPr>
            </w:pPr>
            <w:r>
              <w:rPr>
                <w:rFonts w:hint="eastAsia"/>
                <w:b w:val="0"/>
                <w:bCs w:val="0"/>
                <w:color w:val="auto"/>
                <w:kern w:val="0"/>
                <w:lang w:val="en-US" w:eastAsia="zh-CN"/>
              </w:rPr>
              <w:t>水性底漆用量为1t/a，则非甲烷总烃产生量为0.11t/a，水含量为0.35t/a，固含量为0.54t/a；</w:t>
            </w:r>
          </w:p>
          <w:p w14:paraId="1C47E26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b w:val="0"/>
                <w:bCs w:val="0"/>
                <w:color w:val="auto"/>
                <w:kern w:val="0"/>
                <w:lang w:val="en-US" w:eastAsia="zh-CN"/>
              </w:rPr>
            </w:pPr>
            <w:r>
              <w:rPr>
                <w:rFonts w:hint="eastAsia"/>
                <w:b w:val="0"/>
                <w:bCs w:val="0"/>
                <w:color w:val="auto"/>
                <w:kern w:val="0"/>
                <w:lang w:val="en-US" w:eastAsia="zh-CN"/>
              </w:rPr>
              <w:t>水性面漆用量为0.25t/a，则非甲烷总烃产生量为0.0275t/a，水含量为0.0875t/a，固含量为0.135t/a；</w:t>
            </w:r>
          </w:p>
          <w:p w14:paraId="4771F01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b w:val="0"/>
                <w:bCs w:val="0"/>
                <w:color w:val="auto"/>
                <w:kern w:val="0"/>
                <w:lang w:val="en-US" w:eastAsia="zh-CN"/>
              </w:rPr>
            </w:pPr>
            <w:r>
              <w:rPr>
                <w:rFonts w:hint="eastAsia"/>
                <w:b w:val="0"/>
                <w:bCs w:val="0"/>
                <w:color w:val="auto"/>
                <w:kern w:val="0"/>
                <w:lang w:val="en-US" w:eastAsia="zh-CN"/>
              </w:rPr>
              <w:t>根据清面漆、白面漆、透明底漆MSDS可知，涂料中</w:t>
            </w:r>
            <w:r>
              <w:rPr>
                <w:rFonts w:hint="eastAsia" w:cs="Times New Roman"/>
                <w:color w:val="auto"/>
                <w:kern w:val="0"/>
                <w:sz w:val="21"/>
                <w:szCs w:val="21"/>
                <w:lang w:val="en-US" w:eastAsia="zh-CN"/>
              </w:rPr>
              <w:t>醇酸树脂30~80%、醋酸丁酯0~15%、二甲苯1~35%、丙二醇甲醚醋酸酯0~15%、环己酮0~10%，挥发分按最大计约75%，固含量为25%。</w:t>
            </w:r>
          </w:p>
          <w:p w14:paraId="60BBE8C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b w:val="0"/>
                <w:bCs w:val="0"/>
                <w:color w:val="auto"/>
                <w:kern w:val="0"/>
                <w:lang w:val="en-US" w:eastAsia="zh-CN"/>
              </w:rPr>
            </w:pPr>
            <w:r>
              <w:rPr>
                <w:rFonts w:hint="eastAsia"/>
                <w:b w:val="0"/>
                <w:bCs w:val="0"/>
                <w:color w:val="auto"/>
                <w:kern w:val="0"/>
                <w:lang w:val="en-US" w:eastAsia="zh-CN"/>
              </w:rPr>
              <w:t>施工状态下，清面漆需添加固化剂、稀释剂使用，项目清面漆用量为0.5t/a，固化剂用量为0.25t/a（根据固化剂检测报告可知，固含量47%），稀释剂用量为0.05t/a，调漆后挥发分约69.7%，非甲烷总烃产生量0.558t/a（含苯系物0.2025t/a，苯系物中二甲苯0.195t/a、三甲苯0.0075t/a），固含量0.242t/a；</w:t>
            </w:r>
          </w:p>
          <w:p w14:paraId="3049146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b w:val="0"/>
                <w:bCs w:val="0"/>
                <w:color w:val="auto"/>
                <w:kern w:val="0"/>
                <w:lang w:val="en-US" w:eastAsia="zh-CN"/>
              </w:rPr>
            </w:pPr>
            <w:r>
              <w:rPr>
                <w:rFonts w:hint="eastAsia"/>
                <w:b w:val="0"/>
                <w:bCs w:val="0"/>
                <w:color w:val="auto"/>
                <w:kern w:val="0"/>
                <w:lang w:val="en-US" w:eastAsia="zh-CN"/>
              </w:rPr>
              <w:t>施工状态下，白面漆需添加固化剂、稀释剂使用，项目白面漆用量为0.5t/a，固化剂用量为0.4t/a（根据固化剂检测报告可知，固含量47%），稀释剂用量为0.05t/a，调漆后挥发分约67.1%，非甲烷总烃产生量0.637t/a（含苯系物0.2025t/a，苯系物中二甲苯0.195t/a、三甲苯0.0075t/a），固含量0.313t/a；</w:t>
            </w:r>
          </w:p>
          <w:p w14:paraId="317C462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b w:val="0"/>
                <w:bCs w:val="0"/>
                <w:color w:val="auto"/>
                <w:kern w:val="0"/>
                <w:lang w:val="en-US" w:eastAsia="zh-CN"/>
              </w:rPr>
            </w:pPr>
            <w:r>
              <w:rPr>
                <w:rFonts w:hint="eastAsia"/>
                <w:b w:val="0"/>
                <w:bCs w:val="0"/>
                <w:color w:val="auto"/>
                <w:kern w:val="0"/>
                <w:lang w:val="en-US" w:eastAsia="zh-CN"/>
              </w:rPr>
              <w:t>施工状态下，透明底漆需添加固化剂、稀释剂使用，项目透明底漆用量为0.5t/a，固化剂用量为0.25t/a（根据固化剂检测报告可知，固含量47%），稀释剂用量为0.05t/a，调漆后挥发分约69.7%，非甲烷总烃产生量0.558t/a（含苯系物0.2025t/a，苯系物中二甲苯0.195t/a、三甲苯0.0075t/a），固含量0.242t/a。</w:t>
            </w:r>
          </w:p>
          <w:p w14:paraId="360F7E4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b w:val="0"/>
                <w:bCs w:val="0"/>
                <w:color w:val="auto"/>
                <w:kern w:val="0"/>
                <w:lang w:val="en-US" w:eastAsia="zh-CN"/>
              </w:rPr>
            </w:pPr>
            <w:r>
              <w:rPr>
                <w:rFonts w:hint="eastAsia"/>
                <w:b w:val="0"/>
                <w:bCs w:val="0"/>
                <w:color w:val="auto"/>
                <w:kern w:val="0"/>
                <w:lang w:val="en-US" w:eastAsia="zh-CN"/>
              </w:rPr>
              <w:t>非甲烷总烃产生量共计1.8905t/a（含苯系物0.6075t/a，苯系物中二甲苯0.585t/a、三甲苯0.0225t/a），固含量1.472t/a。</w:t>
            </w:r>
          </w:p>
          <w:p w14:paraId="57550A7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b w:val="0"/>
                <w:bCs w:val="0"/>
                <w:color w:val="auto"/>
                <w:kern w:val="0"/>
                <w:lang w:eastAsia="zh-CN"/>
              </w:rPr>
            </w:pPr>
            <w:r>
              <w:rPr>
                <w:rFonts w:hint="eastAsia"/>
                <w:b w:val="0"/>
                <w:bCs w:val="0"/>
                <w:color w:val="auto"/>
                <w:kern w:val="0"/>
                <w:sz w:val="21"/>
                <w:szCs w:val="21"/>
                <w:lang w:val="en-US" w:eastAsia="zh-CN"/>
              </w:rPr>
              <w:t>项目底漆刷漆占60%，喷漆占40%，面漆全部为喷漆。本项目固份喷涂过程上漆率为75%（1.2213t/a），5%掉落地面形成漆渣（0.05014t/a），20%形成漆雾（0.20056t/a）。</w:t>
            </w:r>
          </w:p>
          <w:p w14:paraId="65CE81F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b w:val="0"/>
                <w:bCs w:val="0"/>
                <w:color w:val="auto"/>
                <w:kern w:val="0"/>
                <w:lang w:val="en-US" w:eastAsia="zh-CN"/>
              </w:rPr>
            </w:pPr>
            <w:r>
              <w:rPr>
                <w:rFonts w:hint="eastAsia"/>
                <w:b w:val="0"/>
                <w:bCs w:val="0"/>
                <w:color w:val="auto"/>
                <w:kern w:val="0"/>
                <w:lang w:val="en-US" w:eastAsia="zh-CN"/>
              </w:rPr>
              <w:t>则非甲烷总烃有组织产生量为1.8527t/a，有组织产生速率为0.77kg/h；有组织排放量为0.18527t/a，有组织排放速率为0.077kg/h；无组织排放量为0.0378t/a，无组织排放速率为0.016kg/h；</w:t>
            </w:r>
          </w:p>
          <w:p w14:paraId="2C8CEA3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b w:val="0"/>
                <w:bCs w:val="0"/>
                <w:color w:val="auto"/>
                <w:kern w:val="0"/>
                <w:lang w:val="en-US" w:eastAsia="zh-CN"/>
              </w:rPr>
            </w:pPr>
            <w:r>
              <w:rPr>
                <w:rFonts w:hint="eastAsia"/>
                <w:b w:val="0"/>
                <w:bCs w:val="0"/>
                <w:color w:val="auto"/>
                <w:kern w:val="0"/>
                <w:lang w:val="en-US" w:eastAsia="zh-CN"/>
              </w:rPr>
              <w:t>苯系物有组织产生量为0.5954t/a，有组织产生速率为0.25kg/h；有组织排放量为0.05954t/a，有组织排放速率为0.025kg/h；无组织排放量为0.0121t/a，无组织排放速率为0.005kg/h；</w:t>
            </w:r>
          </w:p>
          <w:p w14:paraId="67A6628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b w:val="0"/>
                <w:bCs w:val="0"/>
                <w:color w:val="auto"/>
                <w:kern w:val="0"/>
                <w:lang w:val="en-US" w:eastAsia="zh-CN"/>
              </w:rPr>
            </w:pPr>
            <w:r>
              <w:rPr>
                <w:rFonts w:hint="eastAsia"/>
                <w:b w:val="0"/>
                <w:bCs w:val="0"/>
                <w:color w:val="auto"/>
                <w:kern w:val="0"/>
                <w:lang w:val="en-US" w:eastAsia="zh-CN"/>
              </w:rPr>
              <w:t>二甲苯有组织产生量为0.573t/a，有组织产生速率为0.24kg/h；有组织排放量为0.0573t/a，有组织排放速率为0.024kg/h；无组织排放量为0.012t/a，无组织排放速率为0.005kg/h；</w:t>
            </w:r>
          </w:p>
          <w:p w14:paraId="13F6631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b w:val="0"/>
                <w:bCs w:val="0"/>
                <w:color w:val="auto"/>
                <w:kern w:val="0"/>
                <w:lang w:val="en-US" w:eastAsia="zh-CN"/>
              </w:rPr>
            </w:pPr>
            <w:r>
              <w:rPr>
                <w:rFonts w:hint="eastAsia"/>
                <w:b w:val="0"/>
                <w:bCs w:val="0"/>
                <w:color w:val="auto"/>
                <w:kern w:val="0"/>
                <w:lang w:val="en-US" w:eastAsia="zh-CN"/>
              </w:rPr>
              <w:t>三甲苯有组织产生量为0.02205t/a，有组织产生速率为0.009kg/h；有组织排放量为0.002205t/a，有组织排放速率为0.0009kg/h；无组织排放量为0.00045t/a，无组织排放速率为0.0002kg/h；</w:t>
            </w:r>
          </w:p>
          <w:p w14:paraId="14170CB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b w:val="0"/>
                <w:bCs w:val="0"/>
                <w:color w:val="auto"/>
                <w:kern w:val="0"/>
                <w:lang w:val="en-US" w:eastAsia="zh-CN"/>
              </w:rPr>
            </w:pPr>
            <w:r>
              <w:rPr>
                <w:rFonts w:hint="eastAsia"/>
                <w:b w:val="0"/>
                <w:bCs w:val="0"/>
                <w:color w:val="auto"/>
                <w:kern w:val="0"/>
                <w:lang w:val="en-US" w:eastAsia="zh-CN"/>
              </w:rPr>
              <w:t>颗粒物有组织产生量为0.19655t/a，有组织产生速率为0.082kg/h；有组织排放量为0.019655t/a，有组织排放速率为0.0082kg/h；无组织排放量为0.00401t/a，无组织排放速率为0.0017kg/h。</w:t>
            </w:r>
          </w:p>
          <w:p w14:paraId="68C7C944">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b/>
                <w:bCs/>
                <w:color w:val="auto"/>
                <w:kern w:val="0"/>
                <w:lang w:val="en-US" w:eastAsia="zh-CN"/>
              </w:rPr>
            </w:pPr>
            <w:r>
              <w:rPr>
                <w:rFonts w:hint="eastAsia"/>
                <w:b/>
                <w:bCs/>
                <w:color w:val="auto"/>
                <w:kern w:val="0"/>
                <w:lang w:val="en-US" w:eastAsia="zh-CN"/>
              </w:rPr>
              <w:t>磨光粉尘（G2-9、G2-14）</w:t>
            </w:r>
          </w:p>
          <w:p w14:paraId="56B1236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b w:val="0"/>
                <w:bCs w:val="0"/>
                <w:color w:val="auto"/>
                <w:kern w:val="0"/>
                <w:lang w:val="en-US" w:eastAsia="zh-CN"/>
              </w:rPr>
            </w:pPr>
            <w:r>
              <w:rPr>
                <w:rFonts w:hint="eastAsia"/>
                <w:b w:val="0"/>
                <w:bCs w:val="0"/>
                <w:color w:val="auto"/>
                <w:kern w:val="0"/>
                <w:lang w:val="en-US" w:eastAsia="zh-CN"/>
              </w:rPr>
              <w:t>本项目喷/刷底漆后需要用砂纸进行磨光处理，磨光工序在密闭打磨房中进行（收集效率98%），磨光粉尘产生量按照附着在木材表面底漆中固体成分的3%计算，根据前文分析，底漆固体成分含量为0.7825t/a，附着率为75%，则粉尘产生量约为0.0176t/a。</w:t>
            </w:r>
          </w:p>
          <w:p w14:paraId="1871E7A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b w:val="0"/>
                <w:bCs w:val="0"/>
                <w:color w:val="auto"/>
                <w:kern w:val="0"/>
                <w:lang w:val="en-US" w:eastAsia="zh-CN"/>
              </w:rPr>
            </w:pPr>
            <w:r>
              <w:rPr>
                <w:rFonts w:hint="eastAsia"/>
                <w:b w:val="0"/>
                <w:bCs w:val="0"/>
                <w:color w:val="auto"/>
                <w:kern w:val="0"/>
                <w:lang w:val="en-US" w:eastAsia="zh-CN"/>
              </w:rPr>
              <w:t>本项目打磨房采用负压式设计，磨光粉尘气体由环保型脉冲干式内循环打磨处理器进风囗进入下箱体，通过滤筒进行过滤，由于滤筒的各种效应作用将粉尘、气体分离开。粉尘被吸附在滤筒上，而气体穿过滤筒由管路进入上箱体，净化后的空气可以直接通过除尘器的回风口排出回到打磨房内部，完成整个系统循环。无组织排放量约为0.0004t/a，无组织排放速率为0.0002kg/h，其余0.0172t/a不断内循环全部收集至干式内循环打磨处理器滤筒中。</w:t>
            </w:r>
          </w:p>
          <w:p w14:paraId="560BFAB0">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eastAsia="宋体"/>
                <w:b/>
                <w:bCs/>
                <w:color w:val="auto"/>
                <w:kern w:val="0"/>
                <w:lang w:val="en-US" w:eastAsia="zh-CN"/>
              </w:rPr>
            </w:pPr>
            <w:r>
              <w:rPr>
                <w:rFonts w:hint="eastAsia"/>
                <w:b/>
                <w:bCs/>
                <w:color w:val="auto"/>
                <w:kern w:val="0"/>
                <w:lang w:val="en-US" w:eastAsia="zh-CN"/>
              </w:rPr>
              <w:t>喷枪清洗废气</w:t>
            </w:r>
          </w:p>
          <w:p w14:paraId="5D10EB65">
            <w:pPr>
              <w:pStyle w:val="6"/>
              <w:adjustRightInd w:val="0"/>
              <w:snapToGrid w:val="0"/>
              <w:spacing w:before="0" w:after="0" w:line="360" w:lineRule="auto"/>
              <w:ind w:firstLine="420" w:firstLineChars="200"/>
              <w:rPr>
                <w:rFonts w:hint="eastAsia"/>
                <w:b w:val="0"/>
                <w:bCs w:val="0"/>
                <w:color w:val="auto"/>
                <w:kern w:val="0"/>
                <w:sz w:val="21"/>
                <w:szCs w:val="21"/>
              </w:rPr>
            </w:pPr>
            <w:r>
              <w:rPr>
                <w:rFonts w:hint="eastAsia"/>
                <w:b w:val="0"/>
                <w:bCs w:val="0"/>
                <w:color w:val="auto"/>
                <w:kern w:val="0"/>
                <w:sz w:val="21"/>
                <w:szCs w:val="21"/>
              </w:rPr>
              <w:t>本项目喷枪需要每日清洗，喷枪采用稀释剂浸泡清洗，清洗过程中会产生少量的有机废气，废气产生量约为使用量的10%，</w:t>
            </w:r>
            <w:r>
              <w:rPr>
                <w:rFonts w:hint="eastAsia"/>
                <w:b w:val="0"/>
                <w:bCs w:val="0"/>
                <w:color w:val="auto"/>
                <w:kern w:val="0"/>
                <w:sz w:val="21"/>
                <w:szCs w:val="21"/>
                <w:lang w:val="en-US" w:eastAsia="zh-CN"/>
              </w:rPr>
              <w:t>稀释剂</w:t>
            </w:r>
            <w:r>
              <w:rPr>
                <w:rFonts w:hint="eastAsia"/>
                <w:b w:val="0"/>
                <w:bCs w:val="0"/>
                <w:color w:val="auto"/>
                <w:kern w:val="0"/>
                <w:sz w:val="21"/>
                <w:szCs w:val="21"/>
              </w:rPr>
              <w:t>使用量为0.</w:t>
            </w:r>
            <w:r>
              <w:rPr>
                <w:rFonts w:hint="eastAsia"/>
                <w:b w:val="0"/>
                <w:bCs w:val="0"/>
                <w:color w:val="auto"/>
                <w:kern w:val="0"/>
                <w:sz w:val="21"/>
                <w:szCs w:val="21"/>
                <w:lang w:val="en-US" w:eastAsia="zh-CN"/>
              </w:rPr>
              <w:t>05</w:t>
            </w:r>
            <w:r>
              <w:rPr>
                <w:rFonts w:hint="eastAsia"/>
                <w:b w:val="0"/>
                <w:bCs w:val="0"/>
                <w:color w:val="auto"/>
                <w:kern w:val="0"/>
                <w:sz w:val="21"/>
                <w:szCs w:val="21"/>
              </w:rPr>
              <w:t>t/a，则喷枪清洗废气产生量为0.0</w:t>
            </w:r>
            <w:r>
              <w:rPr>
                <w:rFonts w:hint="eastAsia"/>
                <w:b w:val="0"/>
                <w:bCs w:val="0"/>
                <w:color w:val="auto"/>
                <w:kern w:val="0"/>
                <w:sz w:val="21"/>
                <w:szCs w:val="21"/>
                <w:lang w:val="en-US" w:eastAsia="zh-CN"/>
              </w:rPr>
              <w:t>05</w:t>
            </w:r>
            <w:r>
              <w:rPr>
                <w:rFonts w:hint="eastAsia"/>
                <w:b w:val="0"/>
                <w:bCs w:val="0"/>
                <w:color w:val="auto"/>
                <w:kern w:val="0"/>
                <w:sz w:val="21"/>
                <w:szCs w:val="21"/>
              </w:rPr>
              <w:t>t/a。</w:t>
            </w:r>
            <w:r>
              <w:rPr>
                <w:rFonts w:hint="eastAsia"/>
                <w:b w:val="0"/>
                <w:bCs w:val="0"/>
                <w:color w:val="auto"/>
                <w:kern w:val="0"/>
                <w:sz w:val="21"/>
                <w:szCs w:val="21"/>
                <w:lang w:val="en-US" w:eastAsia="zh-CN"/>
              </w:rPr>
              <w:t>喷枪</w:t>
            </w:r>
            <w:r>
              <w:rPr>
                <w:rFonts w:hint="eastAsia"/>
                <w:b w:val="0"/>
                <w:bCs w:val="0"/>
                <w:color w:val="auto"/>
                <w:kern w:val="0"/>
                <w:sz w:val="21"/>
                <w:szCs w:val="21"/>
              </w:rPr>
              <w:t>清洗废气经收集后进</w:t>
            </w:r>
            <w:r>
              <w:rPr>
                <w:rFonts w:hint="eastAsia"/>
                <w:b w:val="0"/>
                <w:bCs w:val="0"/>
                <w:color w:val="auto"/>
                <w:kern w:val="0"/>
                <w:sz w:val="21"/>
                <w:szCs w:val="21"/>
                <w:lang w:val="en-US" w:eastAsia="zh-CN"/>
              </w:rPr>
              <w:t>入</w:t>
            </w:r>
            <w:r>
              <w:rPr>
                <w:rFonts w:hint="eastAsia"/>
                <w:b w:val="0"/>
                <w:bCs w:val="0"/>
                <w:color w:val="auto"/>
                <w:kern w:val="0"/>
                <w:sz w:val="21"/>
                <w:szCs w:val="21"/>
              </w:rPr>
              <w:t>一套“</w:t>
            </w:r>
            <w:r>
              <w:rPr>
                <w:rFonts w:hint="eastAsia"/>
                <w:b w:val="0"/>
                <w:bCs w:val="0"/>
                <w:color w:val="auto"/>
                <w:sz w:val="21"/>
                <w:szCs w:val="21"/>
                <w:lang w:val="en-US" w:eastAsia="zh-CN"/>
              </w:rPr>
              <w:t>吸雾毡+二级活性炭装置</w:t>
            </w:r>
            <w:r>
              <w:rPr>
                <w:rFonts w:hint="eastAsia"/>
                <w:b w:val="0"/>
                <w:bCs w:val="0"/>
                <w:color w:val="auto"/>
                <w:kern w:val="0"/>
                <w:sz w:val="21"/>
                <w:szCs w:val="21"/>
              </w:rPr>
              <w:t>”处理后通过1根</w:t>
            </w:r>
            <w:r>
              <w:rPr>
                <w:rFonts w:hint="eastAsia"/>
                <w:b w:val="0"/>
                <w:bCs w:val="0"/>
                <w:color w:val="auto"/>
                <w:kern w:val="0"/>
                <w:sz w:val="21"/>
                <w:szCs w:val="21"/>
                <w:lang w:val="en-US" w:eastAsia="zh-CN"/>
              </w:rPr>
              <w:t>20</w:t>
            </w:r>
            <w:r>
              <w:rPr>
                <w:rFonts w:hint="eastAsia"/>
                <w:b w:val="0"/>
                <w:bCs w:val="0"/>
                <w:color w:val="auto"/>
                <w:kern w:val="0"/>
                <w:sz w:val="21"/>
                <w:szCs w:val="21"/>
              </w:rPr>
              <w:t>米高排气筒DA00</w:t>
            </w:r>
            <w:r>
              <w:rPr>
                <w:rFonts w:hint="eastAsia"/>
                <w:b w:val="0"/>
                <w:bCs w:val="0"/>
                <w:color w:val="auto"/>
                <w:kern w:val="0"/>
                <w:sz w:val="21"/>
                <w:szCs w:val="21"/>
                <w:lang w:val="en-US" w:eastAsia="zh-CN"/>
              </w:rPr>
              <w:t>1</w:t>
            </w:r>
            <w:r>
              <w:rPr>
                <w:rFonts w:hint="eastAsia"/>
                <w:b w:val="0"/>
                <w:bCs w:val="0"/>
                <w:color w:val="auto"/>
                <w:kern w:val="0"/>
                <w:sz w:val="21"/>
                <w:szCs w:val="21"/>
              </w:rPr>
              <w:t>排放。本项目喷枪清洗在喷漆房内进行，废气收集效率9</w:t>
            </w:r>
            <w:r>
              <w:rPr>
                <w:rFonts w:hint="eastAsia"/>
                <w:b w:val="0"/>
                <w:bCs w:val="0"/>
                <w:color w:val="auto"/>
                <w:kern w:val="0"/>
                <w:sz w:val="21"/>
                <w:szCs w:val="21"/>
                <w:lang w:val="en-US" w:eastAsia="zh-CN"/>
              </w:rPr>
              <w:t>8</w:t>
            </w:r>
            <w:r>
              <w:rPr>
                <w:rFonts w:hint="eastAsia"/>
                <w:b w:val="0"/>
                <w:bCs w:val="0"/>
                <w:color w:val="auto"/>
                <w:kern w:val="0"/>
                <w:sz w:val="21"/>
                <w:szCs w:val="21"/>
              </w:rPr>
              <w:t>%，有机废气去除效率90%。</w:t>
            </w:r>
          </w:p>
          <w:p w14:paraId="1423CA5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lang w:val="en-US" w:eastAsia="zh-CN"/>
              </w:rPr>
            </w:pPr>
            <w:r>
              <w:rPr>
                <w:rFonts w:hint="eastAsia"/>
                <w:color w:val="auto"/>
                <w:lang w:val="en-US" w:eastAsia="zh-CN"/>
              </w:rPr>
              <w:t>非甲烷总烃有组织产生量为0.0049t/a，有组织产生速率为0.002kg/h；有组织排放量为0.00049t/a，有组织产生速率为0.0002kg/h；无组织排放量为0.0001t/a，无组织排放速率为0.00004kg/h。</w:t>
            </w:r>
          </w:p>
          <w:p w14:paraId="20A22E58">
            <w:pPr>
              <w:pStyle w:val="6"/>
              <w:adjustRightInd w:val="0"/>
              <w:snapToGrid w:val="0"/>
              <w:spacing w:before="0" w:after="0" w:line="360" w:lineRule="auto"/>
              <w:ind w:firstLine="422" w:firstLineChars="200"/>
              <w:rPr>
                <w:rFonts w:hint="default" w:eastAsia="宋体"/>
                <w:color w:val="auto"/>
                <w:kern w:val="0"/>
                <w:sz w:val="21"/>
                <w:szCs w:val="21"/>
                <w:lang w:val="en-US" w:eastAsia="zh-CN"/>
              </w:rPr>
            </w:pPr>
            <w:r>
              <w:rPr>
                <w:rFonts w:hint="eastAsia"/>
                <w:color w:val="auto"/>
                <w:kern w:val="0"/>
                <w:sz w:val="21"/>
                <w:szCs w:val="21"/>
                <w:lang w:val="en-US" w:eastAsia="zh-CN"/>
              </w:rPr>
              <w:t>危废仓库废气</w:t>
            </w:r>
          </w:p>
          <w:p w14:paraId="1A87A24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s="Times New Roman"/>
                <w:color w:val="auto"/>
                <w:kern w:val="0"/>
                <w:sz w:val="21"/>
                <w:lang w:val="en-US" w:eastAsia="zh-CN"/>
              </w:rPr>
            </w:pPr>
            <w:r>
              <w:rPr>
                <w:rFonts w:hint="eastAsia"/>
                <w:b w:val="0"/>
                <w:bCs w:val="0"/>
                <w:color w:val="auto"/>
                <w:kern w:val="0"/>
                <w:sz w:val="21"/>
                <w:szCs w:val="21"/>
                <w:lang w:val="en-US" w:eastAsia="zh-CN"/>
              </w:rPr>
              <w:t>本项目危废仓库设置气体导出装置，挥发的少量非甲烷总烃（仅识别产生，有机废气产生量已在前文废气中说明）经导出装置进入活性炭装置处理达标后无组织排放，污染防治设施持续运行。</w:t>
            </w:r>
          </w:p>
          <w:p w14:paraId="586D4C1E">
            <w:pPr>
              <w:pStyle w:val="6"/>
              <w:adjustRightInd w:val="0"/>
              <w:snapToGrid w:val="0"/>
              <w:spacing w:before="0" w:after="0" w:line="360" w:lineRule="auto"/>
              <w:ind w:firstLine="422" w:firstLineChars="200"/>
              <w:rPr>
                <w:color w:val="auto"/>
                <w:kern w:val="0"/>
                <w:sz w:val="21"/>
                <w:szCs w:val="21"/>
              </w:rPr>
            </w:pPr>
            <w:r>
              <w:rPr>
                <w:rFonts w:hint="eastAsia"/>
                <w:color w:val="auto"/>
                <w:kern w:val="0"/>
                <w:sz w:val="21"/>
                <w:szCs w:val="21"/>
              </w:rPr>
              <w:t>（2）非正常排放</w:t>
            </w:r>
          </w:p>
          <w:p w14:paraId="160074B9">
            <w:pPr>
              <w:adjustRightInd w:val="0"/>
              <w:snapToGrid w:val="0"/>
              <w:spacing w:line="360" w:lineRule="auto"/>
              <w:ind w:firstLine="420" w:firstLineChars="200"/>
              <w:rPr>
                <w:color w:val="auto"/>
                <w:kern w:val="0"/>
              </w:rPr>
            </w:pPr>
            <w:r>
              <w:rPr>
                <w:rFonts w:hint="eastAsia"/>
                <w:color w:val="auto"/>
                <w:kern w:val="0"/>
              </w:rPr>
              <w:t>非正常排放一般包括开停车、检修、环保设施不达标三种情况。设备检修以及突发性故障（如区域性停电时的停车），企业会事先调整生产计划。因此，本项目非正常工况考虑废气环保设施运行不正常的情况，本报告按最不利的情况考虑，</w:t>
            </w:r>
            <w:r>
              <w:rPr>
                <w:bCs/>
                <w:color w:val="auto"/>
                <w:kern w:val="0"/>
              </w:rPr>
              <w:t>即风机故障，</w:t>
            </w:r>
            <w:r>
              <w:rPr>
                <w:rFonts w:hint="eastAsia"/>
                <w:bCs/>
                <w:color w:val="auto"/>
                <w:kern w:val="0"/>
              </w:rPr>
              <w:t>废气全部无组织排放</w:t>
            </w:r>
            <w:r>
              <w:rPr>
                <w:rFonts w:hint="eastAsia"/>
                <w:color w:val="auto"/>
                <w:kern w:val="0"/>
              </w:rPr>
              <w:t>，见下表。</w:t>
            </w:r>
          </w:p>
          <w:p w14:paraId="193876D9">
            <w:pPr>
              <w:adjustRightInd w:val="0"/>
              <w:snapToGrid w:val="0"/>
              <w:jc w:val="center"/>
              <w:rPr>
                <w:b/>
                <w:bCs/>
                <w:color w:val="auto"/>
                <w:kern w:val="0"/>
              </w:rPr>
            </w:pPr>
            <w:r>
              <w:rPr>
                <w:rFonts w:hint="eastAsia"/>
                <w:b/>
                <w:bCs/>
                <w:color w:val="auto"/>
                <w:kern w:val="0"/>
              </w:rPr>
              <w:t>表4-</w:t>
            </w:r>
            <w:r>
              <w:rPr>
                <w:rFonts w:hint="eastAsia"/>
                <w:b/>
                <w:bCs/>
                <w:color w:val="auto"/>
                <w:kern w:val="0"/>
                <w:lang w:val="en-US" w:eastAsia="zh-CN"/>
              </w:rPr>
              <w:t>3</w:t>
            </w:r>
            <w:r>
              <w:rPr>
                <w:rFonts w:hint="eastAsia"/>
                <w:b/>
                <w:bCs/>
                <w:color w:val="auto"/>
                <w:kern w:val="0"/>
              </w:rPr>
              <w:t xml:space="preserve">   非正常工况排气筒排放情况</w:t>
            </w:r>
          </w:p>
          <w:tbl>
            <w:tblPr>
              <w:tblStyle w:val="59"/>
              <w:tblW w:w="4997"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205"/>
              <w:gridCol w:w="1288"/>
              <w:gridCol w:w="1400"/>
              <w:gridCol w:w="1347"/>
              <w:gridCol w:w="1251"/>
              <w:gridCol w:w="1079"/>
              <w:gridCol w:w="1286"/>
            </w:tblGrid>
            <w:tr w14:paraId="0F356F5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80" w:type="pct"/>
                  <w:vAlign w:val="center"/>
                </w:tcPr>
                <w:p w14:paraId="1B36A39E">
                  <w:pPr>
                    <w:adjustRightInd w:val="0"/>
                    <w:snapToGrid w:val="0"/>
                    <w:jc w:val="center"/>
                    <w:rPr>
                      <w:b/>
                      <w:bCs/>
                      <w:color w:val="auto"/>
                      <w:kern w:val="0"/>
                    </w:rPr>
                  </w:pPr>
                  <w:r>
                    <w:rPr>
                      <w:rFonts w:hint="eastAsia"/>
                      <w:b/>
                      <w:bCs/>
                      <w:color w:val="auto"/>
                      <w:kern w:val="0"/>
                    </w:rPr>
                    <w:t>排放源</w:t>
                  </w:r>
                </w:p>
              </w:tc>
              <w:tc>
                <w:tcPr>
                  <w:tcW w:w="727" w:type="pct"/>
                  <w:vAlign w:val="center"/>
                </w:tcPr>
                <w:p w14:paraId="4956195D">
                  <w:pPr>
                    <w:adjustRightInd w:val="0"/>
                    <w:snapToGrid w:val="0"/>
                    <w:jc w:val="center"/>
                    <w:rPr>
                      <w:b/>
                      <w:bCs/>
                      <w:color w:val="auto"/>
                      <w:kern w:val="0"/>
                    </w:rPr>
                  </w:pPr>
                  <w:r>
                    <w:rPr>
                      <w:rFonts w:hint="eastAsia"/>
                      <w:b/>
                      <w:bCs/>
                      <w:color w:val="auto"/>
                      <w:kern w:val="0"/>
                    </w:rPr>
                    <w:t>非正常排放原因</w:t>
                  </w:r>
                </w:p>
              </w:tc>
              <w:tc>
                <w:tcPr>
                  <w:tcW w:w="790" w:type="pct"/>
                  <w:vAlign w:val="center"/>
                </w:tcPr>
                <w:p w14:paraId="1ADA7B1F">
                  <w:pPr>
                    <w:adjustRightInd w:val="0"/>
                    <w:snapToGrid w:val="0"/>
                    <w:jc w:val="center"/>
                    <w:rPr>
                      <w:b/>
                      <w:bCs/>
                      <w:color w:val="auto"/>
                      <w:kern w:val="0"/>
                    </w:rPr>
                  </w:pPr>
                  <w:r>
                    <w:rPr>
                      <w:rFonts w:hint="eastAsia"/>
                      <w:b/>
                      <w:bCs/>
                      <w:color w:val="auto"/>
                      <w:kern w:val="0"/>
                    </w:rPr>
                    <w:t>污染物</w:t>
                  </w:r>
                </w:p>
              </w:tc>
              <w:tc>
                <w:tcPr>
                  <w:tcW w:w="760" w:type="pct"/>
                  <w:vAlign w:val="center"/>
                </w:tcPr>
                <w:p w14:paraId="1553F904">
                  <w:pPr>
                    <w:adjustRightInd w:val="0"/>
                    <w:snapToGrid w:val="0"/>
                    <w:jc w:val="center"/>
                    <w:rPr>
                      <w:b/>
                      <w:bCs/>
                      <w:color w:val="auto"/>
                      <w:kern w:val="0"/>
                    </w:rPr>
                  </w:pPr>
                  <w:r>
                    <w:rPr>
                      <w:rFonts w:hint="eastAsia"/>
                      <w:b/>
                      <w:bCs/>
                      <w:color w:val="auto"/>
                      <w:kern w:val="0"/>
                    </w:rPr>
                    <w:t>非正常排放速率kg/h</w:t>
                  </w:r>
                </w:p>
              </w:tc>
              <w:tc>
                <w:tcPr>
                  <w:tcW w:w="706" w:type="pct"/>
                  <w:vAlign w:val="center"/>
                </w:tcPr>
                <w:p w14:paraId="2E824FC5">
                  <w:pPr>
                    <w:adjustRightInd w:val="0"/>
                    <w:snapToGrid w:val="0"/>
                    <w:jc w:val="center"/>
                    <w:rPr>
                      <w:b/>
                      <w:bCs/>
                      <w:color w:val="auto"/>
                      <w:kern w:val="0"/>
                    </w:rPr>
                  </w:pPr>
                  <w:r>
                    <w:rPr>
                      <w:rFonts w:hint="eastAsia"/>
                      <w:b/>
                      <w:bCs/>
                      <w:color w:val="auto"/>
                      <w:kern w:val="0"/>
                    </w:rPr>
                    <w:t>单次持续时间h</w:t>
                  </w:r>
                </w:p>
              </w:tc>
              <w:tc>
                <w:tcPr>
                  <w:tcW w:w="609" w:type="pct"/>
                  <w:vAlign w:val="center"/>
                </w:tcPr>
                <w:p w14:paraId="394BBFC2">
                  <w:pPr>
                    <w:adjustRightInd w:val="0"/>
                    <w:snapToGrid w:val="0"/>
                    <w:jc w:val="center"/>
                    <w:rPr>
                      <w:b/>
                      <w:bCs/>
                      <w:color w:val="auto"/>
                      <w:kern w:val="0"/>
                    </w:rPr>
                  </w:pPr>
                  <w:r>
                    <w:rPr>
                      <w:rFonts w:hint="eastAsia"/>
                      <w:b/>
                      <w:bCs/>
                      <w:color w:val="auto"/>
                      <w:kern w:val="0"/>
                    </w:rPr>
                    <w:t>年发生频次</w:t>
                  </w:r>
                </w:p>
              </w:tc>
              <w:tc>
                <w:tcPr>
                  <w:tcW w:w="726" w:type="pct"/>
                  <w:vAlign w:val="center"/>
                </w:tcPr>
                <w:p w14:paraId="6A4B1B72">
                  <w:pPr>
                    <w:adjustRightInd w:val="0"/>
                    <w:snapToGrid w:val="0"/>
                    <w:jc w:val="center"/>
                    <w:rPr>
                      <w:b/>
                      <w:bCs/>
                      <w:color w:val="auto"/>
                      <w:kern w:val="0"/>
                    </w:rPr>
                  </w:pPr>
                  <w:r>
                    <w:rPr>
                      <w:rFonts w:hint="eastAsia"/>
                      <w:b/>
                      <w:bCs/>
                      <w:color w:val="auto"/>
                      <w:kern w:val="0"/>
                    </w:rPr>
                    <w:t>非正常排放量kg/a</w:t>
                  </w:r>
                </w:p>
              </w:tc>
            </w:tr>
            <w:tr w14:paraId="3921206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80" w:type="pct"/>
                  <w:vMerge w:val="restart"/>
                  <w:vAlign w:val="center"/>
                </w:tcPr>
                <w:p w14:paraId="11B035E0">
                  <w:pPr>
                    <w:topLinePunct/>
                    <w:adjustRightInd w:val="0"/>
                    <w:snapToGrid w:val="0"/>
                    <w:jc w:val="center"/>
                    <w:rPr>
                      <w:color w:val="auto"/>
                      <w:kern w:val="0"/>
                    </w:rPr>
                  </w:pPr>
                  <w:r>
                    <w:rPr>
                      <w:rFonts w:hint="eastAsia"/>
                      <w:color w:val="auto"/>
                      <w:kern w:val="0"/>
                    </w:rPr>
                    <w:t>DA001</w:t>
                  </w:r>
                </w:p>
              </w:tc>
              <w:tc>
                <w:tcPr>
                  <w:tcW w:w="727" w:type="pct"/>
                  <w:vMerge w:val="restart"/>
                  <w:vAlign w:val="center"/>
                </w:tcPr>
                <w:p w14:paraId="7D92D34D">
                  <w:pPr>
                    <w:topLinePunct/>
                    <w:adjustRightInd w:val="0"/>
                    <w:snapToGrid w:val="0"/>
                    <w:jc w:val="center"/>
                    <w:rPr>
                      <w:color w:val="auto"/>
                      <w:kern w:val="0"/>
                    </w:rPr>
                  </w:pPr>
                  <w:r>
                    <w:rPr>
                      <w:rFonts w:hint="eastAsia"/>
                      <w:color w:val="auto"/>
                      <w:kern w:val="0"/>
                    </w:rPr>
                    <w:t>废气处理装置故障</w:t>
                  </w:r>
                </w:p>
              </w:tc>
              <w:tc>
                <w:tcPr>
                  <w:tcW w:w="790" w:type="pct"/>
                  <w:vAlign w:val="center"/>
                </w:tcPr>
                <w:p w14:paraId="78278C64">
                  <w:pPr>
                    <w:adjustRightInd w:val="0"/>
                    <w:snapToGrid w:val="0"/>
                    <w:jc w:val="center"/>
                    <w:rPr>
                      <w:color w:val="auto"/>
                      <w:kern w:val="0"/>
                    </w:rPr>
                  </w:pPr>
                  <w:r>
                    <w:rPr>
                      <w:rFonts w:hint="eastAsia"/>
                      <w:color w:val="auto"/>
                      <w:kern w:val="0"/>
                    </w:rPr>
                    <w:t>非甲烷总烃</w:t>
                  </w:r>
                </w:p>
              </w:tc>
              <w:tc>
                <w:tcPr>
                  <w:tcW w:w="760" w:type="pct"/>
                  <w:vAlign w:val="center"/>
                </w:tcPr>
                <w:p w14:paraId="4924F613">
                  <w:pPr>
                    <w:adjustRightInd w:val="0"/>
                    <w:snapToGrid w:val="0"/>
                    <w:jc w:val="center"/>
                    <w:rPr>
                      <w:rFonts w:hint="default" w:eastAsia="宋体"/>
                      <w:color w:val="auto"/>
                      <w:kern w:val="0"/>
                      <w:lang w:val="en-US" w:eastAsia="zh-CN"/>
                    </w:rPr>
                  </w:pPr>
                  <w:r>
                    <w:rPr>
                      <w:rFonts w:hint="eastAsia"/>
                      <w:color w:val="auto"/>
                      <w:kern w:val="0"/>
                      <w:lang w:val="en-US" w:eastAsia="zh-CN"/>
                    </w:rPr>
                    <w:t>0.83</w:t>
                  </w:r>
                </w:p>
              </w:tc>
              <w:tc>
                <w:tcPr>
                  <w:tcW w:w="706" w:type="pct"/>
                  <w:vAlign w:val="center"/>
                </w:tcPr>
                <w:p w14:paraId="2EE9352A">
                  <w:pPr>
                    <w:adjustRightInd w:val="0"/>
                    <w:snapToGrid w:val="0"/>
                    <w:jc w:val="center"/>
                    <w:rPr>
                      <w:color w:val="auto"/>
                      <w:kern w:val="0"/>
                    </w:rPr>
                  </w:pPr>
                  <w:r>
                    <w:rPr>
                      <w:rFonts w:hint="eastAsia"/>
                      <w:color w:val="auto"/>
                      <w:kern w:val="0"/>
                    </w:rPr>
                    <w:t>0.5</w:t>
                  </w:r>
                </w:p>
              </w:tc>
              <w:tc>
                <w:tcPr>
                  <w:tcW w:w="609" w:type="pct"/>
                  <w:vAlign w:val="center"/>
                </w:tcPr>
                <w:p w14:paraId="4E4B44E7">
                  <w:pPr>
                    <w:adjustRightInd w:val="0"/>
                    <w:snapToGrid w:val="0"/>
                    <w:jc w:val="center"/>
                    <w:rPr>
                      <w:color w:val="auto"/>
                      <w:kern w:val="0"/>
                    </w:rPr>
                  </w:pPr>
                  <w:r>
                    <w:rPr>
                      <w:color w:val="auto"/>
                      <w:kern w:val="0"/>
                    </w:rPr>
                    <w:t>1</w:t>
                  </w:r>
                </w:p>
              </w:tc>
              <w:tc>
                <w:tcPr>
                  <w:tcW w:w="1286" w:type="dxa"/>
                  <w:vAlign w:val="center"/>
                </w:tcPr>
                <w:p w14:paraId="512EAF32">
                  <w:pPr>
                    <w:keepNext w:val="0"/>
                    <w:keepLines w:val="0"/>
                    <w:widowControl/>
                    <w:suppressLineNumbers w:val="0"/>
                    <w:jc w:val="center"/>
                    <w:textAlignment w:val="center"/>
                    <w:rPr>
                      <w:rFonts w:hint="default" w:eastAsia="宋体"/>
                      <w:color w:val="auto"/>
                      <w:kern w:val="0"/>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0.415</w:t>
                  </w:r>
                </w:p>
              </w:tc>
            </w:tr>
            <w:tr w14:paraId="42CD75B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80" w:type="pct"/>
                  <w:vMerge w:val="continue"/>
                  <w:vAlign w:val="center"/>
                </w:tcPr>
                <w:p w14:paraId="3AFB85FB">
                  <w:pPr>
                    <w:topLinePunct/>
                    <w:adjustRightInd w:val="0"/>
                    <w:snapToGrid w:val="0"/>
                    <w:jc w:val="center"/>
                    <w:rPr>
                      <w:rFonts w:hint="eastAsia"/>
                      <w:color w:val="auto"/>
                      <w:kern w:val="0"/>
                    </w:rPr>
                  </w:pPr>
                </w:p>
              </w:tc>
              <w:tc>
                <w:tcPr>
                  <w:tcW w:w="727" w:type="pct"/>
                  <w:vMerge w:val="continue"/>
                  <w:vAlign w:val="center"/>
                </w:tcPr>
                <w:p w14:paraId="1C4C2FC3">
                  <w:pPr>
                    <w:topLinePunct/>
                    <w:adjustRightInd w:val="0"/>
                    <w:snapToGrid w:val="0"/>
                    <w:jc w:val="center"/>
                    <w:rPr>
                      <w:rFonts w:hint="eastAsia"/>
                      <w:color w:val="auto"/>
                      <w:kern w:val="0"/>
                    </w:rPr>
                  </w:pPr>
                </w:p>
              </w:tc>
              <w:tc>
                <w:tcPr>
                  <w:tcW w:w="790" w:type="pct"/>
                  <w:vAlign w:val="center"/>
                </w:tcPr>
                <w:p w14:paraId="089F5F6D">
                  <w:pPr>
                    <w:adjustRightInd w:val="0"/>
                    <w:snapToGrid w:val="0"/>
                    <w:jc w:val="center"/>
                    <w:rPr>
                      <w:rFonts w:hint="eastAsia" w:eastAsia="宋体"/>
                      <w:color w:val="auto"/>
                      <w:kern w:val="0"/>
                      <w:lang w:val="en-US" w:eastAsia="zh-CN"/>
                    </w:rPr>
                  </w:pPr>
                  <w:r>
                    <w:rPr>
                      <w:rFonts w:hint="eastAsia"/>
                      <w:color w:val="auto"/>
                      <w:kern w:val="0"/>
                      <w:lang w:val="en-US" w:eastAsia="zh-CN"/>
                    </w:rPr>
                    <w:t>苯系物</w:t>
                  </w:r>
                </w:p>
              </w:tc>
              <w:tc>
                <w:tcPr>
                  <w:tcW w:w="760" w:type="pct"/>
                  <w:vAlign w:val="center"/>
                </w:tcPr>
                <w:p w14:paraId="4D5D9454">
                  <w:pPr>
                    <w:adjustRightInd w:val="0"/>
                    <w:snapToGrid w:val="0"/>
                    <w:jc w:val="center"/>
                    <w:rPr>
                      <w:rFonts w:hint="default"/>
                      <w:color w:val="auto"/>
                      <w:kern w:val="0"/>
                      <w:lang w:val="en-US" w:eastAsia="zh-CN"/>
                    </w:rPr>
                  </w:pPr>
                  <w:r>
                    <w:rPr>
                      <w:rFonts w:hint="eastAsia"/>
                      <w:color w:val="auto"/>
                      <w:kern w:val="0"/>
                      <w:lang w:val="en-US" w:eastAsia="zh-CN"/>
                    </w:rPr>
                    <w:t>0.25</w:t>
                  </w:r>
                </w:p>
              </w:tc>
              <w:tc>
                <w:tcPr>
                  <w:tcW w:w="706" w:type="pct"/>
                  <w:vAlign w:val="center"/>
                </w:tcPr>
                <w:p w14:paraId="2EEA6788">
                  <w:pPr>
                    <w:adjustRightInd w:val="0"/>
                    <w:snapToGrid w:val="0"/>
                    <w:jc w:val="center"/>
                    <w:rPr>
                      <w:rFonts w:hint="eastAsia"/>
                      <w:color w:val="auto"/>
                      <w:kern w:val="0"/>
                    </w:rPr>
                  </w:pPr>
                  <w:r>
                    <w:rPr>
                      <w:rFonts w:hint="eastAsia"/>
                      <w:color w:val="auto"/>
                      <w:kern w:val="0"/>
                    </w:rPr>
                    <w:t>0.5</w:t>
                  </w:r>
                </w:p>
              </w:tc>
              <w:tc>
                <w:tcPr>
                  <w:tcW w:w="609" w:type="pct"/>
                  <w:vAlign w:val="center"/>
                </w:tcPr>
                <w:p w14:paraId="21B7EFD1">
                  <w:pPr>
                    <w:adjustRightInd w:val="0"/>
                    <w:snapToGrid w:val="0"/>
                    <w:jc w:val="center"/>
                    <w:rPr>
                      <w:color w:val="auto"/>
                      <w:kern w:val="0"/>
                    </w:rPr>
                  </w:pPr>
                  <w:r>
                    <w:rPr>
                      <w:color w:val="auto"/>
                      <w:kern w:val="0"/>
                    </w:rPr>
                    <w:t>1</w:t>
                  </w:r>
                </w:p>
              </w:tc>
              <w:tc>
                <w:tcPr>
                  <w:tcW w:w="1286" w:type="dxa"/>
                  <w:vAlign w:val="center"/>
                </w:tcPr>
                <w:p w14:paraId="401390DC">
                  <w:pPr>
                    <w:keepNext w:val="0"/>
                    <w:keepLines w:val="0"/>
                    <w:widowControl/>
                    <w:suppressLineNumbers w:val="0"/>
                    <w:jc w:val="center"/>
                    <w:textAlignment w:val="center"/>
                    <w:rPr>
                      <w:rFonts w:hint="default"/>
                      <w:color w:val="auto"/>
                      <w:kern w:val="0"/>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0.125</w:t>
                  </w:r>
                </w:p>
              </w:tc>
            </w:tr>
            <w:tr w14:paraId="4ACD401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80" w:type="pct"/>
                  <w:vMerge w:val="continue"/>
                  <w:vAlign w:val="center"/>
                </w:tcPr>
                <w:p w14:paraId="6665E7D7">
                  <w:pPr>
                    <w:topLinePunct/>
                    <w:adjustRightInd w:val="0"/>
                    <w:snapToGrid w:val="0"/>
                    <w:jc w:val="center"/>
                    <w:rPr>
                      <w:rFonts w:hint="eastAsia"/>
                      <w:color w:val="auto"/>
                      <w:kern w:val="0"/>
                    </w:rPr>
                  </w:pPr>
                </w:p>
              </w:tc>
              <w:tc>
                <w:tcPr>
                  <w:tcW w:w="727" w:type="pct"/>
                  <w:vMerge w:val="continue"/>
                  <w:vAlign w:val="center"/>
                </w:tcPr>
                <w:p w14:paraId="3405732E">
                  <w:pPr>
                    <w:topLinePunct/>
                    <w:adjustRightInd w:val="0"/>
                    <w:snapToGrid w:val="0"/>
                    <w:jc w:val="center"/>
                    <w:rPr>
                      <w:rFonts w:hint="eastAsia"/>
                      <w:color w:val="auto"/>
                      <w:kern w:val="0"/>
                    </w:rPr>
                  </w:pPr>
                </w:p>
              </w:tc>
              <w:tc>
                <w:tcPr>
                  <w:tcW w:w="790" w:type="pct"/>
                  <w:vAlign w:val="center"/>
                </w:tcPr>
                <w:p w14:paraId="71768C48">
                  <w:pPr>
                    <w:adjustRightInd w:val="0"/>
                    <w:snapToGrid w:val="0"/>
                    <w:jc w:val="center"/>
                    <w:rPr>
                      <w:rFonts w:hint="eastAsia" w:eastAsia="宋体"/>
                      <w:color w:val="auto"/>
                      <w:kern w:val="0"/>
                      <w:lang w:val="en-US" w:eastAsia="zh-CN"/>
                    </w:rPr>
                  </w:pPr>
                  <w:r>
                    <w:rPr>
                      <w:rFonts w:hint="eastAsia"/>
                      <w:color w:val="auto"/>
                      <w:kern w:val="0"/>
                      <w:lang w:val="en-US" w:eastAsia="zh-CN"/>
                    </w:rPr>
                    <w:t>二甲苯</w:t>
                  </w:r>
                </w:p>
              </w:tc>
              <w:tc>
                <w:tcPr>
                  <w:tcW w:w="1347" w:type="dxa"/>
                  <w:vAlign w:val="center"/>
                </w:tcPr>
                <w:p w14:paraId="5536B1E9">
                  <w:pPr>
                    <w:adjustRightInd w:val="0"/>
                    <w:snapToGrid w:val="0"/>
                    <w:jc w:val="center"/>
                    <w:rPr>
                      <w:rFonts w:hint="default"/>
                      <w:color w:val="auto"/>
                      <w:kern w:val="0"/>
                      <w:lang w:val="en-US" w:eastAsia="zh-CN"/>
                    </w:rPr>
                  </w:pPr>
                  <w:r>
                    <w:rPr>
                      <w:rFonts w:hint="eastAsia"/>
                      <w:color w:val="auto"/>
                      <w:kern w:val="0"/>
                      <w:lang w:val="en-US" w:eastAsia="zh-CN"/>
                    </w:rPr>
                    <w:t>0.24</w:t>
                  </w:r>
                </w:p>
              </w:tc>
              <w:tc>
                <w:tcPr>
                  <w:tcW w:w="706" w:type="pct"/>
                  <w:vAlign w:val="center"/>
                </w:tcPr>
                <w:p w14:paraId="30E29FEE">
                  <w:pPr>
                    <w:adjustRightInd w:val="0"/>
                    <w:snapToGrid w:val="0"/>
                    <w:jc w:val="center"/>
                    <w:rPr>
                      <w:rFonts w:hint="eastAsia"/>
                      <w:color w:val="auto"/>
                      <w:kern w:val="0"/>
                    </w:rPr>
                  </w:pPr>
                  <w:r>
                    <w:rPr>
                      <w:rFonts w:hint="eastAsia"/>
                      <w:color w:val="auto"/>
                      <w:kern w:val="0"/>
                    </w:rPr>
                    <w:t>0.5</w:t>
                  </w:r>
                </w:p>
              </w:tc>
              <w:tc>
                <w:tcPr>
                  <w:tcW w:w="609" w:type="pct"/>
                  <w:vAlign w:val="center"/>
                </w:tcPr>
                <w:p w14:paraId="61CCE06B">
                  <w:pPr>
                    <w:adjustRightInd w:val="0"/>
                    <w:snapToGrid w:val="0"/>
                    <w:jc w:val="center"/>
                    <w:rPr>
                      <w:color w:val="auto"/>
                      <w:kern w:val="0"/>
                    </w:rPr>
                  </w:pPr>
                  <w:r>
                    <w:rPr>
                      <w:color w:val="auto"/>
                      <w:kern w:val="0"/>
                    </w:rPr>
                    <w:t>1</w:t>
                  </w:r>
                </w:p>
              </w:tc>
              <w:tc>
                <w:tcPr>
                  <w:tcW w:w="1286" w:type="dxa"/>
                  <w:vAlign w:val="center"/>
                </w:tcPr>
                <w:p w14:paraId="658E6FDC">
                  <w:pPr>
                    <w:keepNext w:val="0"/>
                    <w:keepLines w:val="0"/>
                    <w:widowControl/>
                    <w:suppressLineNumbers w:val="0"/>
                    <w:jc w:val="center"/>
                    <w:textAlignment w:val="center"/>
                    <w:rPr>
                      <w:rFonts w:hint="default"/>
                      <w:color w:val="auto"/>
                      <w:kern w:val="0"/>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0.12</w:t>
                  </w:r>
                </w:p>
              </w:tc>
            </w:tr>
            <w:tr w14:paraId="44B0F88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80" w:type="pct"/>
                  <w:vMerge w:val="continue"/>
                  <w:vAlign w:val="center"/>
                </w:tcPr>
                <w:p w14:paraId="397FD389">
                  <w:pPr>
                    <w:topLinePunct/>
                    <w:adjustRightInd w:val="0"/>
                    <w:snapToGrid w:val="0"/>
                    <w:jc w:val="center"/>
                    <w:rPr>
                      <w:rFonts w:hint="eastAsia"/>
                      <w:color w:val="auto"/>
                      <w:kern w:val="0"/>
                    </w:rPr>
                  </w:pPr>
                </w:p>
              </w:tc>
              <w:tc>
                <w:tcPr>
                  <w:tcW w:w="727" w:type="pct"/>
                  <w:vMerge w:val="continue"/>
                  <w:vAlign w:val="center"/>
                </w:tcPr>
                <w:p w14:paraId="3E9206D1">
                  <w:pPr>
                    <w:topLinePunct/>
                    <w:adjustRightInd w:val="0"/>
                    <w:snapToGrid w:val="0"/>
                    <w:jc w:val="center"/>
                    <w:rPr>
                      <w:rFonts w:hint="eastAsia"/>
                      <w:color w:val="auto"/>
                      <w:kern w:val="0"/>
                    </w:rPr>
                  </w:pPr>
                </w:p>
              </w:tc>
              <w:tc>
                <w:tcPr>
                  <w:tcW w:w="790" w:type="pct"/>
                  <w:vAlign w:val="center"/>
                </w:tcPr>
                <w:p w14:paraId="110F18D5">
                  <w:pPr>
                    <w:adjustRightInd w:val="0"/>
                    <w:snapToGrid w:val="0"/>
                    <w:jc w:val="center"/>
                    <w:rPr>
                      <w:rFonts w:hint="eastAsia" w:eastAsia="宋体"/>
                      <w:color w:val="auto"/>
                      <w:kern w:val="0"/>
                      <w:lang w:val="en-US" w:eastAsia="zh-CN"/>
                    </w:rPr>
                  </w:pPr>
                  <w:r>
                    <w:rPr>
                      <w:rFonts w:hint="eastAsia"/>
                      <w:color w:val="auto"/>
                      <w:kern w:val="0"/>
                      <w:lang w:val="en-US" w:eastAsia="zh-CN"/>
                    </w:rPr>
                    <w:t>三甲苯</w:t>
                  </w:r>
                </w:p>
              </w:tc>
              <w:tc>
                <w:tcPr>
                  <w:tcW w:w="1347" w:type="dxa"/>
                  <w:vAlign w:val="center"/>
                </w:tcPr>
                <w:p w14:paraId="1E98A03F">
                  <w:pPr>
                    <w:adjustRightInd w:val="0"/>
                    <w:snapToGrid w:val="0"/>
                    <w:jc w:val="center"/>
                    <w:rPr>
                      <w:rFonts w:hint="default"/>
                      <w:color w:val="auto"/>
                      <w:kern w:val="0"/>
                      <w:lang w:val="en-US" w:eastAsia="zh-CN"/>
                    </w:rPr>
                  </w:pPr>
                  <w:r>
                    <w:rPr>
                      <w:rFonts w:hint="eastAsia"/>
                      <w:color w:val="auto"/>
                      <w:kern w:val="0"/>
                      <w:lang w:val="en-US" w:eastAsia="zh-CN"/>
                    </w:rPr>
                    <w:t>0.0094</w:t>
                  </w:r>
                </w:p>
              </w:tc>
              <w:tc>
                <w:tcPr>
                  <w:tcW w:w="706" w:type="pct"/>
                  <w:vAlign w:val="center"/>
                </w:tcPr>
                <w:p w14:paraId="1EF42C7D">
                  <w:pPr>
                    <w:adjustRightInd w:val="0"/>
                    <w:snapToGrid w:val="0"/>
                    <w:jc w:val="center"/>
                    <w:rPr>
                      <w:rFonts w:hint="eastAsia"/>
                      <w:color w:val="auto"/>
                      <w:kern w:val="0"/>
                    </w:rPr>
                  </w:pPr>
                  <w:r>
                    <w:rPr>
                      <w:rFonts w:hint="eastAsia"/>
                      <w:color w:val="auto"/>
                      <w:kern w:val="0"/>
                    </w:rPr>
                    <w:t>0.5</w:t>
                  </w:r>
                </w:p>
              </w:tc>
              <w:tc>
                <w:tcPr>
                  <w:tcW w:w="609" w:type="pct"/>
                  <w:vAlign w:val="center"/>
                </w:tcPr>
                <w:p w14:paraId="2F6066E0">
                  <w:pPr>
                    <w:adjustRightInd w:val="0"/>
                    <w:snapToGrid w:val="0"/>
                    <w:jc w:val="center"/>
                    <w:rPr>
                      <w:color w:val="auto"/>
                      <w:kern w:val="0"/>
                    </w:rPr>
                  </w:pPr>
                  <w:r>
                    <w:rPr>
                      <w:color w:val="auto"/>
                      <w:kern w:val="0"/>
                    </w:rPr>
                    <w:t>1</w:t>
                  </w:r>
                </w:p>
              </w:tc>
              <w:tc>
                <w:tcPr>
                  <w:tcW w:w="1286" w:type="dxa"/>
                  <w:vAlign w:val="center"/>
                </w:tcPr>
                <w:p w14:paraId="78D992DF">
                  <w:pPr>
                    <w:keepNext w:val="0"/>
                    <w:keepLines w:val="0"/>
                    <w:widowControl/>
                    <w:suppressLineNumbers w:val="0"/>
                    <w:jc w:val="center"/>
                    <w:textAlignment w:val="center"/>
                    <w:rPr>
                      <w:rFonts w:hint="default"/>
                      <w:color w:val="auto"/>
                      <w:kern w:val="0"/>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0.0047</w:t>
                  </w:r>
                </w:p>
              </w:tc>
            </w:tr>
            <w:tr w14:paraId="498E2AD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80" w:type="pct"/>
                  <w:vMerge w:val="continue"/>
                  <w:vAlign w:val="center"/>
                </w:tcPr>
                <w:p w14:paraId="489D82E3">
                  <w:pPr>
                    <w:topLinePunct/>
                    <w:adjustRightInd w:val="0"/>
                    <w:snapToGrid w:val="0"/>
                    <w:jc w:val="center"/>
                    <w:rPr>
                      <w:rFonts w:hint="eastAsia"/>
                      <w:color w:val="auto"/>
                      <w:kern w:val="0"/>
                    </w:rPr>
                  </w:pPr>
                </w:p>
              </w:tc>
              <w:tc>
                <w:tcPr>
                  <w:tcW w:w="727" w:type="pct"/>
                  <w:vMerge w:val="continue"/>
                  <w:vAlign w:val="center"/>
                </w:tcPr>
                <w:p w14:paraId="25E4914C">
                  <w:pPr>
                    <w:topLinePunct/>
                    <w:adjustRightInd w:val="0"/>
                    <w:snapToGrid w:val="0"/>
                    <w:jc w:val="center"/>
                    <w:rPr>
                      <w:rFonts w:hint="eastAsia"/>
                      <w:color w:val="auto"/>
                      <w:kern w:val="0"/>
                    </w:rPr>
                  </w:pPr>
                </w:p>
              </w:tc>
              <w:tc>
                <w:tcPr>
                  <w:tcW w:w="790" w:type="pct"/>
                  <w:vAlign w:val="center"/>
                </w:tcPr>
                <w:p w14:paraId="43CD64F2">
                  <w:pPr>
                    <w:adjustRightInd w:val="0"/>
                    <w:snapToGrid w:val="0"/>
                    <w:jc w:val="center"/>
                    <w:rPr>
                      <w:rFonts w:hint="eastAsia" w:eastAsia="宋体"/>
                      <w:color w:val="auto"/>
                      <w:kern w:val="0"/>
                      <w:lang w:val="en-US" w:eastAsia="zh-CN"/>
                    </w:rPr>
                  </w:pPr>
                  <w:r>
                    <w:rPr>
                      <w:rFonts w:hint="eastAsia"/>
                      <w:color w:val="auto"/>
                      <w:kern w:val="0"/>
                      <w:lang w:val="en-US" w:eastAsia="zh-CN"/>
                    </w:rPr>
                    <w:t>颗粒物</w:t>
                  </w:r>
                </w:p>
              </w:tc>
              <w:tc>
                <w:tcPr>
                  <w:tcW w:w="1347" w:type="dxa"/>
                  <w:vAlign w:val="center"/>
                </w:tcPr>
                <w:p w14:paraId="3DDEBFD6">
                  <w:pPr>
                    <w:adjustRightInd w:val="0"/>
                    <w:snapToGrid w:val="0"/>
                    <w:jc w:val="center"/>
                    <w:rPr>
                      <w:rFonts w:hint="default"/>
                      <w:color w:val="auto"/>
                      <w:kern w:val="0"/>
                      <w:lang w:val="en-US" w:eastAsia="zh-CN"/>
                    </w:rPr>
                  </w:pPr>
                  <w:r>
                    <w:rPr>
                      <w:rFonts w:hint="eastAsia"/>
                      <w:color w:val="auto"/>
                      <w:kern w:val="0"/>
                      <w:lang w:val="en-US" w:eastAsia="zh-CN"/>
                    </w:rPr>
                    <w:t>0.082</w:t>
                  </w:r>
                </w:p>
              </w:tc>
              <w:tc>
                <w:tcPr>
                  <w:tcW w:w="706" w:type="pct"/>
                  <w:vAlign w:val="center"/>
                </w:tcPr>
                <w:p w14:paraId="4E05E3AE">
                  <w:pPr>
                    <w:adjustRightInd w:val="0"/>
                    <w:snapToGrid w:val="0"/>
                    <w:jc w:val="center"/>
                    <w:rPr>
                      <w:rFonts w:hint="eastAsia"/>
                      <w:color w:val="auto"/>
                      <w:kern w:val="0"/>
                    </w:rPr>
                  </w:pPr>
                  <w:r>
                    <w:rPr>
                      <w:rFonts w:hint="eastAsia"/>
                      <w:color w:val="auto"/>
                      <w:kern w:val="0"/>
                    </w:rPr>
                    <w:t>0.5</w:t>
                  </w:r>
                </w:p>
              </w:tc>
              <w:tc>
                <w:tcPr>
                  <w:tcW w:w="609" w:type="pct"/>
                  <w:vAlign w:val="center"/>
                </w:tcPr>
                <w:p w14:paraId="6E60636C">
                  <w:pPr>
                    <w:adjustRightInd w:val="0"/>
                    <w:snapToGrid w:val="0"/>
                    <w:jc w:val="center"/>
                    <w:rPr>
                      <w:color w:val="auto"/>
                      <w:kern w:val="0"/>
                    </w:rPr>
                  </w:pPr>
                  <w:r>
                    <w:rPr>
                      <w:color w:val="auto"/>
                      <w:kern w:val="0"/>
                    </w:rPr>
                    <w:t>1</w:t>
                  </w:r>
                </w:p>
              </w:tc>
              <w:tc>
                <w:tcPr>
                  <w:tcW w:w="1286" w:type="dxa"/>
                  <w:vAlign w:val="center"/>
                </w:tcPr>
                <w:p w14:paraId="342B0323">
                  <w:pPr>
                    <w:keepNext w:val="0"/>
                    <w:keepLines w:val="0"/>
                    <w:widowControl/>
                    <w:suppressLineNumbers w:val="0"/>
                    <w:jc w:val="center"/>
                    <w:textAlignment w:val="center"/>
                    <w:rPr>
                      <w:rFonts w:hint="default"/>
                      <w:color w:val="auto"/>
                      <w:kern w:val="0"/>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0.0</w:t>
                  </w:r>
                  <w:r>
                    <w:rPr>
                      <w:rFonts w:hint="eastAsia" w:cs="Times New Roman"/>
                      <w:i w:val="0"/>
                      <w:iCs w:val="0"/>
                      <w:snapToGrid w:val="0"/>
                      <w:color w:val="auto"/>
                      <w:kern w:val="0"/>
                      <w:sz w:val="21"/>
                      <w:szCs w:val="21"/>
                      <w:u w:val="none"/>
                      <w:lang w:val="en-US" w:eastAsia="zh-CN" w:bidi="ar"/>
                    </w:rPr>
                    <w:t>41</w:t>
                  </w:r>
                </w:p>
              </w:tc>
            </w:tr>
          </w:tbl>
          <w:p w14:paraId="14E7373A">
            <w:pPr>
              <w:pStyle w:val="695"/>
              <w:snapToGrid w:val="0"/>
              <w:spacing w:line="360" w:lineRule="auto"/>
              <w:ind w:firstLine="420" w:firstLineChars="200"/>
              <w:jc w:val="both"/>
              <w:rPr>
                <w:rFonts w:ascii="Times New Roman"/>
                <w:color w:val="auto"/>
                <w:szCs w:val="21"/>
              </w:rPr>
            </w:pPr>
            <w:r>
              <w:rPr>
                <w:rFonts w:ascii="Times New Roman"/>
                <w:color w:val="auto"/>
                <w:szCs w:val="21"/>
              </w:rPr>
              <w:t>由上表可知，非正常工况下</w:t>
            </w:r>
            <w:r>
              <w:rPr>
                <w:rFonts w:hint="eastAsia" w:ascii="Times New Roman"/>
                <w:color w:val="auto"/>
                <w:szCs w:val="21"/>
              </w:rPr>
              <w:t>污染因子</w:t>
            </w:r>
            <w:r>
              <w:rPr>
                <w:rFonts w:ascii="Times New Roman"/>
                <w:color w:val="auto"/>
                <w:szCs w:val="21"/>
              </w:rPr>
              <w:t>排</w:t>
            </w:r>
            <w:r>
              <w:rPr>
                <w:rFonts w:hint="eastAsia" w:ascii="Times New Roman"/>
                <w:color w:val="auto"/>
                <w:szCs w:val="21"/>
              </w:rPr>
              <w:t>放</w:t>
            </w:r>
            <w:r>
              <w:rPr>
                <w:rFonts w:ascii="Times New Roman"/>
                <w:color w:val="auto"/>
                <w:szCs w:val="21"/>
              </w:rPr>
              <w:t>量</w:t>
            </w:r>
            <w:r>
              <w:rPr>
                <w:rFonts w:hint="eastAsia" w:ascii="Times New Roman"/>
                <w:color w:val="auto"/>
                <w:szCs w:val="21"/>
              </w:rPr>
              <w:t>均有所</w:t>
            </w:r>
            <w:r>
              <w:rPr>
                <w:rFonts w:ascii="Times New Roman"/>
                <w:color w:val="auto"/>
                <w:szCs w:val="21"/>
              </w:rPr>
              <w:t>增加，为确保项目废气处理装置正常运行，建设方在日常运行过程中，拟采取如下措施：</w:t>
            </w:r>
          </w:p>
          <w:p w14:paraId="4448EAFC">
            <w:pPr>
              <w:pStyle w:val="695"/>
              <w:snapToGrid w:val="0"/>
              <w:spacing w:line="360" w:lineRule="auto"/>
              <w:ind w:firstLine="420" w:firstLineChars="200"/>
              <w:jc w:val="both"/>
              <w:rPr>
                <w:rFonts w:ascii="Times New Roman"/>
                <w:color w:val="auto"/>
                <w:szCs w:val="21"/>
              </w:rPr>
            </w:pPr>
            <w:r>
              <w:rPr>
                <w:rFonts w:ascii="Times New Roman"/>
                <w:color w:val="auto"/>
                <w:szCs w:val="21"/>
              </w:rPr>
              <w:t>①由公司委派专人负责每日巡检废气处理装置，做好巡检记录；</w:t>
            </w:r>
          </w:p>
          <w:p w14:paraId="2C999ED3">
            <w:pPr>
              <w:pStyle w:val="695"/>
              <w:snapToGrid w:val="0"/>
              <w:spacing w:line="360" w:lineRule="auto"/>
              <w:ind w:firstLine="420" w:firstLineChars="200"/>
              <w:jc w:val="both"/>
              <w:rPr>
                <w:rFonts w:ascii="Times New Roman"/>
                <w:color w:val="auto"/>
                <w:szCs w:val="21"/>
              </w:rPr>
            </w:pPr>
            <w:r>
              <w:rPr>
                <w:rFonts w:ascii="Times New Roman"/>
                <w:color w:val="auto"/>
                <w:szCs w:val="21"/>
              </w:rPr>
              <w:t>②当发现废气处理设施故障并导致废气非正常排放时，应立即停止生产，待废气处理装置故障排除后并可正常运行时方可恢复加工生产；</w:t>
            </w:r>
          </w:p>
          <w:p w14:paraId="2E70D6FF">
            <w:pPr>
              <w:pStyle w:val="695"/>
              <w:snapToGrid w:val="0"/>
              <w:spacing w:line="360" w:lineRule="auto"/>
              <w:ind w:firstLine="420" w:firstLineChars="200"/>
              <w:jc w:val="both"/>
              <w:rPr>
                <w:rFonts w:ascii="Times New Roman"/>
                <w:color w:val="auto"/>
                <w:szCs w:val="21"/>
              </w:rPr>
            </w:pPr>
            <w:r>
              <w:rPr>
                <w:rFonts w:ascii="Times New Roman"/>
                <w:color w:val="auto"/>
                <w:szCs w:val="21"/>
              </w:rPr>
              <w:t>③定期对二级活性炭吸附装置进行更换及维护保养，保证废气处理装置的正常运行，以减少废气的非正常排放；</w:t>
            </w:r>
          </w:p>
          <w:p w14:paraId="3554AA4C">
            <w:pPr>
              <w:pStyle w:val="2"/>
              <w:widowControl w:val="0"/>
              <w:ind w:firstLine="420" w:firstLineChars="200"/>
              <w:rPr>
                <w:color w:val="auto"/>
                <w:sz w:val="21"/>
                <w:szCs w:val="21"/>
              </w:rPr>
            </w:pPr>
            <w:r>
              <w:rPr>
                <w:color w:val="auto"/>
                <w:sz w:val="21"/>
                <w:szCs w:val="21"/>
              </w:rPr>
              <w:fldChar w:fldCharType="begin"/>
            </w:r>
            <w:r>
              <w:rPr>
                <w:color w:val="auto"/>
                <w:sz w:val="21"/>
                <w:szCs w:val="21"/>
              </w:rPr>
              <w:instrText xml:space="preserve"> = 4 \* GB3 \* MERGEFORMAT </w:instrText>
            </w:r>
            <w:r>
              <w:rPr>
                <w:color w:val="auto"/>
                <w:sz w:val="21"/>
                <w:szCs w:val="21"/>
              </w:rPr>
              <w:fldChar w:fldCharType="separate"/>
            </w:r>
            <w:r>
              <w:rPr>
                <w:color w:val="auto"/>
                <w:sz w:val="21"/>
                <w:szCs w:val="21"/>
              </w:rPr>
              <w:t>④</w:t>
            </w:r>
            <w:r>
              <w:rPr>
                <w:color w:val="auto"/>
                <w:sz w:val="21"/>
                <w:szCs w:val="21"/>
              </w:rPr>
              <w:fldChar w:fldCharType="end"/>
            </w:r>
            <w:r>
              <w:rPr>
                <w:color w:val="auto"/>
                <w:sz w:val="21"/>
                <w:szCs w:val="21"/>
              </w:rPr>
              <w:t>建立废气处理装置运行管理台账，由专人负责记录。</w:t>
            </w:r>
          </w:p>
          <w:p w14:paraId="1AC37669">
            <w:pPr>
              <w:adjustRightInd w:val="0"/>
              <w:snapToGrid w:val="0"/>
              <w:spacing w:line="360" w:lineRule="auto"/>
              <w:ind w:firstLine="422" w:firstLineChars="200"/>
              <w:jc w:val="left"/>
              <w:rPr>
                <w:color w:val="auto"/>
                <w:kern w:val="0"/>
              </w:rPr>
            </w:pPr>
            <w:r>
              <w:rPr>
                <w:rFonts w:hint="eastAsia"/>
                <w:b/>
                <w:bCs/>
                <w:color w:val="auto"/>
                <w:kern w:val="0"/>
              </w:rPr>
              <w:t>（3）废气排放源基本情况</w:t>
            </w:r>
          </w:p>
          <w:p w14:paraId="3931005C">
            <w:pPr>
              <w:jc w:val="center"/>
              <w:rPr>
                <w:b/>
                <w:color w:val="auto"/>
                <w:kern w:val="0"/>
                <w:lang w:bidi="ar"/>
              </w:rPr>
            </w:pPr>
            <w:r>
              <w:rPr>
                <w:rFonts w:hint="eastAsia"/>
                <w:b/>
                <w:color w:val="auto"/>
                <w:kern w:val="0"/>
                <w:lang w:bidi="ar"/>
              </w:rPr>
              <w:t>表4-</w:t>
            </w:r>
            <w:r>
              <w:rPr>
                <w:rFonts w:hint="eastAsia"/>
                <w:b/>
                <w:color w:val="auto"/>
                <w:kern w:val="0"/>
                <w:lang w:val="en-US" w:eastAsia="zh-CN" w:bidi="ar"/>
              </w:rPr>
              <w:t>4</w:t>
            </w:r>
            <w:r>
              <w:rPr>
                <w:rFonts w:hint="eastAsia"/>
                <w:b/>
                <w:color w:val="auto"/>
                <w:kern w:val="0"/>
                <w:lang w:bidi="ar"/>
              </w:rPr>
              <w:t xml:space="preserve">   点源参数表</w:t>
            </w:r>
          </w:p>
          <w:tbl>
            <w:tblPr>
              <w:tblStyle w:val="59"/>
              <w:tblW w:w="4997"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587"/>
              <w:gridCol w:w="603"/>
              <w:gridCol w:w="614"/>
              <w:gridCol w:w="783"/>
              <w:gridCol w:w="978"/>
              <w:gridCol w:w="631"/>
              <w:gridCol w:w="769"/>
              <w:gridCol w:w="964"/>
              <w:gridCol w:w="599"/>
              <w:gridCol w:w="1155"/>
              <w:gridCol w:w="1173"/>
            </w:tblGrid>
            <w:tr w14:paraId="3C7EDE4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332" w:type="pct"/>
                  <w:vMerge w:val="restart"/>
                  <w:tcBorders>
                    <w:tl2br w:val="nil"/>
                    <w:tr2bl w:val="nil"/>
                  </w:tcBorders>
                  <w:shd w:val="clear" w:color="auto" w:fill="auto"/>
                  <w:vAlign w:val="center"/>
                </w:tcPr>
                <w:p w14:paraId="6CC0D8A8">
                  <w:pPr>
                    <w:adjustRightInd w:val="0"/>
                    <w:snapToGrid w:val="0"/>
                    <w:jc w:val="center"/>
                    <w:rPr>
                      <w:b/>
                      <w:color w:val="auto"/>
                      <w:kern w:val="0"/>
                      <w:sz w:val="18"/>
                      <w:szCs w:val="18"/>
                      <w:lang w:bidi="ar"/>
                    </w:rPr>
                  </w:pPr>
                  <w:r>
                    <w:rPr>
                      <w:rFonts w:hint="eastAsia"/>
                      <w:b/>
                      <w:color w:val="auto"/>
                      <w:kern w:val="0"/>
                      <w:sz w:val="18"/>
                      <w:szCs w:val="18"/>
                      <w:lang w:bidi="ar"/>
                    </w:rPr>
                    <w:t>名称</w:t>
                  </w:r>
                </w:p>
              </w:tc>
              <w:tc>
                <w:tcPr>
                  <w:tcW w:w="688" w:type="pct"/>
                  <w:gridSpan w:val="2"/>
                  <w:tcBorders>
                    <w:tl2br w:val="nil"/>
                    <w:tr2bl w:val="nil"/>
                  </w:tcBorders>
                  <w:shd w:val="clear" w:color="auto" w:fill="auto"/>
                  <w:vAlign w:val="center"/>
                </w:tcPr>
                <w:p w14:paraId="40501162">
                  <w:pPr>
                    <w:adjustRightInd w:val="0"/>
                    <w:snapToGrid w:val="0"/>
                    <w:jc w:val="center"/>
                    <w:rPr>
                      <w:b/>
                      <w:color w:val="auto"/>
                      <w:kern w:val="0"/>
                      <w:sz w:val="18"/>
                      <w:szCs w:val="18"/>
                      <w:lang w:bidi="ar"/>
                    </w:rPr>
                  </w:pPr>
                  <w:r>
                    <w:rPr>
                      <w:rFonts w:hint="eastAsia"/>
                      <w:b/>
                      <w:color w:val="auto"/>
                      <w:kern w:val="0"/>
                      <w:sz w:val="18"/>
                      <w:szCs w:val="18"/>
                      <w:lang w:bidi="ar"/>
                    </w:rPr>
                    <w:t>排气筒底部中心坐标m</w:t>
                  </w:r>
                </w:p>
              </w:tc>
              <w:tc>
                <w:tcPr>
                  <w:tcW w:w="442" w:type="pct"/>
                  <w:vMerge w:val="restart"/>
                  <w:tcBorders>
                    <w:tl2br w:val="nil"/>
                    <w:tr2bl w:val="nil"/>
                  </w:tcBorders>
                  <w:shd w:val="clear" w:color="auto" w:fill="auto"/>
                  <w:vAlign w:val="center"/>
                </w:tcPr>
                <w:p w14:paraId="0BB3EFAA">
                  <w:pPr>
                    <w:adjustRightInd w:val="0"/>
                    <w:snapToGrid w:val="0"/>
                    <w:jc w:val="center"/>
                    <w:rPr>
                      <w:b/>
                      <w:color w:val="auto"/>
                      <w:kern w:val="0"/>
                      <w:sz w:val="18"/>
                      <w:szCs w:val="18"/>
                      <w:lang w:bidi="ar"/>
                    </w:rPr>
                  </w:pPr>
                  <w:r>
                    <w:rPr>
                      <w:rFonts w:hint="eastAsia"/>
                      <w:b/>
                      <w:color w:val="auto"/>
                      <w:kern w:val="0"/>
                      <w:sz w:val="18"/>
                      <w:szCs w:val="18"/>
                      <w:lang w:bidi="ar"/>
                    </w:rPr>
                    <w:t>排气筒高度m</w:t>
                  </w:r>
                </w:p>
              </w:tc>
              <w:tc>
                <w:tcPr>
                  <w:tcW w:w="552" w:type="pct"/>
                  <w:vMerge w:val="restart"/>
                  <w:tcBorders>
                    <w:tl2br w:val="nil"/>
                    <w:tr2bl w:val="nil"/>
                  </w:tcBorders>
                  <w:shd w:val="clear" w:color="auto" w:fill="auto"/>
                  <w:vAlign w:val="center"/>
                </w:tcPr>
                <w:p w14:paraId="345F1A8A">
                  <w:pPr>
                    <w:adjustRightInd w:val="0"/>
                    <w:snapToGrid w:val="0"/>
                    <w:jc w:val="center"/>
                    <w:rPr>
                      <w:b/>
                      <w:color w:val="auto"/>
                      <w:kern w:val="0"/>
                      <w:sz w:val="18"/>
                      <w:szCs w:val="18"/>
                      <w:lang w:bidi="ar"/>
                    </w:rPr>
                  </w:pPr>
                  <w:r>
                    <w:rPr>
                      <w:rFonts w:hint="eastAsia"/>
                      <w:b/>
                      <w:color w:val="auto"/>
                      <w:kern w:val="0"/>
                      <w:sz w:val="18"/>
                      <w:szCs w:val="18"/>
                      <w:lang w:bidi="ar"/>
                    </w:rPr>
                    <w:t>排气筒出口内径m</w:t>
                  </w:r>
                </w:p>
              </w:tc>
              <w:tc>
                <w:tcPr>
                  <w:tcW w:w="356" w:type="pct"/>
                  <w:vMerge w:val="restart"/>
                  <w:tcBorders>
                    <w:tl2br w:val="nil"/>
                    <w:tr2bl w:val="nil"/>
                  </w:tcBorders>
                  <w:shd w:val="clear" w:color="auto" w:fill="auto"/>
                  <w:vAlign w:val="center"/>
                </w:tcPr>
                <w:p w14:paraId="2BA73AA5">
                  <w:pPr>
                    <w:adjustRightInd w:val="0"/>
                    <w:snapToGrid w:val="0"/>
                    <w:jc w:val="center"/>
                    <w:rPr>
                      <w:b/>
                      <w:color w:val="auto"/>
                      <w:kern w:val="0"/>
                      <w:sz w:val="18"/>
                      <w:szCs w:val="18"/>
                      <w:lang w:bidi="ar"/>
                    </w:rPr>
                  </w:pPr>
                  <w:r>
                    <w:rPr>
                      <w:b/>
                      <w:color w:val="auto"/>
                      <w:kern w:val="0"/>
                      <w:sz w:val="18"/>
                      <w:szCs w:val="18"/>
                      <w:lang w:bidi="ar"/>
                    </w:rPr>
                    <w:t>温度/℃</w:t>
                  </w:r>
                </w:p>
              </w:tc>
              <w:tc>
                <w:tcPr>
                  <w:tcW w:w="434" w:type="pct"/>
                  <w:vMerge w:val="restart"/>
                  <w:tcBorders>
                    <w:tl2br w:val="nil"/>
                    <w:tr2bl w:val="nil"/>
                  </w:tcBorders>
                  <w:shd w:val="clear" w:color="auto" w:fill="auto"/>
                  <w:vAlign w:val="center"/>
                </w:tcPr>
                <w:p w14:paraId="19F01A7B">
                  <w:pPr>
                    <w:adjustRightInd w:val="0"/>
                    <w:snapToGrid w:val="0"/>
                    <w:jc w:val="center"/>
                    <w:rPr>
                      <w:b/>
                      <w:color w:val="auto"/>
                      <w:kern w:val="0"/>
                      <w:sz w:val="18"/>
                      <w:szCs w:val="18"/>
                      <w:lang w:bidi="ar"/>
                    </w:rPr>
                  </w:pPr>
                  <w:r>
                    <w:rPr>
                      <w:rFonts w:hint="eastAsia"/>
                      <w:b/>
                      <w:color w:val="auto"/>
                      <w:kern w:val="0"/>
                      <w:sz w:val="18"/>
                      <w:szCs w:val="18"/>
                      <w:lang w:bidi="ar"/>
                    </w:rPr>
                    <w:t>烟气流速m/s</w:t>
                  </w:r>
                </w:p>
              </w:tc>
              <w:tc>
                <w:tcPr>
                  <w:tcW w:w="544" w:type="pct"/>
                  <w:vMerge w:val="restart"/>
                  <w:tcBorders>
                    <w:tl2br w:val="nil"/>
                    <w:tr2bl w:val="nil"/>
                  </w:tcBorders>
                  <w:shd w:val="clear" w:color="auto" w:fill="auto"/>
                  <w:vAlign w:val="center"/>
                </w:tcPr>
                <w:p w14:paraId="00182DC5">
                  <w:pPr>
                    <w:adjustRightInd w:val="0"/>
                    <w:snapToGrid w:val="0"/>
                    <w:jc w:val="center"/>
                    <w:rPr>
                      <w:b/>
                      <w:color w:val="auto"/>
                      <w:kern w:val="0"/>
                      <w:sz w:val="18"/>
                      <w:szCs w:val="18"/>
                      <w:lang w:bidi="ar"/>
                    </w:rPr>
                  </w:pPr>
                  <w:r>
                    <w:rPr>
                      <w:rFonts w:hint="eastAsia"/>
                      <w:b/>
                      <w:color w:val="auto"/>
                      <w:kern w:val="0"/>
                      <w:sz w:val="18"/>
                      <w:szCs w:val="18"/>
                      <w:lang w:bidi="ar"/>
                    </w:rPr>
                    <w:t>年排放小时数/h</w:t>
                  </w:r>
                </w:p>
              </w:tc>
              <w:tc>
                <w:tcPr>
                  <w:tcW w:w="338" w:type="pct"/>
                  <w:vMerge w:val="restart"/>
                  <w:tcBorders>
                    <w:tl2br w:val="nil"/>
                    <w:tr2bl w:val="nil"/>
                  </w:tcBorders>
                  <w:shd w:val="clear" w:color="auto" w:fill="auto"/>
                  <w:vAlign w:val="center"/>
                </w:tcPr>
                <w:p w14:paraId="1B6A55E2">
                  <w:pPr>
                    <w:adjustRightInd w:val="0"/>
                    <w:snapToGrid w:val="0"/>
                    <w:jc w:val="center"/>
                    <w:rPr>
                      <w:b/>
                      <w:color w:val="auto"/>
                      <w:kern w:val="0"/>
                      <w:sz w:val="18"/>
                      <w:szCs w:val="18"/>
                      <w:lang w:bidi="ar"/>
                    </w:rPr>
                  </w:pPr>
                  <w:r>
                    <w:rPr>
                      <w:rFonts w:hint="eastAsia"/>
                      <w:b/>
                      <w:color w:val="auto"/>
                      <w:kern w:val="0"/>
                      <w:sz w:val="18"/>
                      <w:szCs w:val="18"/>
                      <w:lang w:bidi="ar"/>
                    </w:rPr>
                    <w:t>排放工况</w:t>
                  </w:r>
                </w:p>
              </w:tc>
              <w:tc>
                <w:tcPr>
                  <w:tcW w:w="652" w:type="pct"/>
                  <w:vMerge w:val="restart"/>
                  <w:tcBorders>
                    <w:tl2br w:val="nil"/>
                    <w:tr2bl w:val="nil"/>
                  </w:tcBorders>
                  <w:shd w:val="clear" w:color="auto" w:fill="auto"/>
                  <w:vAlign w:val="center"/>
                </w:tcPr>
                <w:p w14:paraId="1DD2EC1B">
                  <w:pPr>
                    <w:adjustRightInd w:val="0"/>
                    <w:snapToGrid w:val="0"/>
                    <w:jc w:val="center"/>
                    <w:rPr>
                      <w:rFonts w:hint="eastAsia" w:eastAsia="宋体"/>
                      <w:b/>
                      <w:color w:val="auto"/>
                      <w:kern w:val="0"/>
                      <w:sz w:val="18"/>
                      <w:szCs w:val="18"/>
                      <w:lang w:val="en-US" w:eastAsia="zh-CN" w:bidi="ar"/>
                    </w:rPr>
                  </w:pPr>
                  <w:r>
                    <w:rPr>
                      <w:rFonts w:hint="eastAsia"/>
                      <w:b/>
                      <w:color w:val="auto"/>
                      <w:kern w:val="0"/>
                      <w:sz w:val="18"/>
                      <w:szCs w:val="18"/>
                      <w:lang w:val="en-US" w:eastAsia="zh-CN" w:bidi="ar"/>
                    </w:rPr>
                    <w:t>污染因子</w:t>
                  </w:r>
                </w:p>
              </w:tc>
              <w:tc>
                <w:tcPr>
                  <w:tcW w:w="659" w:type="pct"/>
                  <w:vMerge w:val="restart"/>
                  <w:tcBorders>
                    <w:tl2br w:val="nil"/>
                    <w:tr2bl w:val="nil"/>
                  </w:tcBorders>
                  <w:shd w:val="clear" w:color="auto" w:fill="auto"/>
                  <w:vAlign w:val="center"/>
                </w:tcPr>
                <w:p w14:paraId="00CEDC5C">
                  <w:pPr>
                    <w:adjustRightInd w:val="0"/>
                    <w:snapToGrid w:val="0"/>
                    <w:jc w:val="center"/>
                    <w:rPr>
                      <w:rFonts w:hint="eastAsia"/>
                      <w:b/>
                      <w:color w:val="auto"/>
                      <w:kern w:val="0"/>
                      <w:sz w:val="18"/>
                      <w:szCs w:val="18"/>
                      <w:lang w:bidi="ar"/>
                    </w:rPr>
                  </w:pPr>
                  <w:r>
                    <w:rPr>
                      <w:rFonts w:hint="eastAsia"/>
                      <w:b/>
                      <w:color w:val="auto"/>
                      <w:kern w:val="0"/>
                      <w:sz w:val="18"/>
                      <w:szCs w:val="18"/>
                      <w:lang w:bidi="ar"/>
                    </w:rPr>
                    <w:t>污染物排放速率kg/h</w:t>
                  </w:r>
                </w:p>
              </w:tc>
            </w:tr>
            <w:tr w14:paraId="06F94B6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332" w:type="pct"/>
                  <w:vMerge w:val="continue"/>
                  <w:tcBorders>
                    <w:tl2br w:val="nil"/>
                    <w:tr2bl w:val="nil"/>
                  </w:tcBorders>
                  <w:shd w:val="clear" w:color="auto" w:fill="auto"/>
                  <w:vAlign w:val="center"/>
                </w:tcPr>
                <w:p w14:paraId="217CFCE4">
                  <w:pPr>
                    <w:adjustRightInd w:val="0"/>
                    <w:snapToGrid w:val="0"/>
                    <w:jc w:val="center"/>
                    <w:rPr>
                      <w:b/>
                      <w:color w:val="auto"/>
                      <w:kern w:val="0"/>
                      <w:sz w:val="18"/>
                      <w:szCs w:val="18"/>
                      <w:lang w:bidi="ar"/>
                    </w:rPr>
                  </w:pPr>
                </w:p>
              </w:tc>
              <w:tc>
                <w:tcPr>
                  <w:tcW w:w="341" w:type="pct"/>
                  <w:tcBorders>
                    <w:tl2br w:val="nil"/>
                    <w:tr2bl w:val="nil"/>
                  </w:tcBorders>
                  <w:shd w:val="clear" w:color="auto" w:fill="auto"/>
                  <w:vAlign w:val="center"/>
                </w:tcPr>
                <w:p w14:paraId="48B425D2">
                  <w:pPr>
                    <w:adjustRightInd w:val="0"/>
                    <w:snapToGrid w:val="0"/>
                    <w:jc w:val="center"/>
                    <w:rPr>
                      <w:b/>
                      <w:color w:val="auto"/>
                      <w:kern w:val="0"/>
                      <w:sz w:val="18"/>
                      <w:szCs w:val="18"/>
                      <w:lang w:bidi="ar"/>
                    </w:rPr>
                  </w:pPr>
                  <w:r>
                    <w:rPr>
                      <w:rFonts w:hint="eastAsia"/>
                      <w:b/>
                      <w:color w:val="auto"/>
                      <w:kern w:val="0"/>
                      <w:sz w:val="18"/>
                      <w:szCs w:val="18"/>
                      <w:lang w:bidi="ar"/>
                    </w:rPr>
                    <w:t>x</w:t>
                  </w:r>
                </w:p>
              </w:tc>
              <w:tc>
                <w:tcPr>
                  <w:tcW w:w="346" w:type="pct"/>
                  <w:tcBorders>
                    <w:tl2br w:val="nil"/>
                    <w:tr2bl w:val="nil"/>
                  </w:tcBorders>
                  <w:shd w:val="clear" w:color="auto" w:fill="auto"/>
                  <w:vAlign w:val="center"/>
                </w:tcPr>
                <w:p w14:paraId="40053866">
                  <w:pPr>
                    <w:adjustRightInd w:val="0"/>
                    <w:snapToGrid w:val="0"/>
                    <w:jc w:val="center"/>
                    <w:rPr>
                      <w:b/>
                      <w:color w:val="auto"/>
                      <w:kern w:val="0"/>
                      <w:sz w:val="18"/>
                      <w:szCs w:val="18"/>
                      <w:lang w:bidi="ar"/>
                    </w:rPr>
                  </w:pPr>
                  <w:r>
                    <w:rPr>
                      <w:rFonts w:hint="eastAsia"/>
                      <w:b/>
                      <w:color w:val="auto"/>
                      <w:kern w:val="0"/>
                      <w:sz w:val="18"/>
                      <w:szCs w:val="18"/>
                      <w:lang w:bidi="ar"/>
                    </w:rPr>
                    <w:t>y</w:t>
                  </w:r>
                </w:p>
              </w:tc>
              <w:tc>
                <w:tcPr>
                  <w:tcW w:w="442" w:type="pct"/>
                  <w:vMerge w:val="continue"/>
                  <w:tcBorders>
                    <w:tl2br w:val="nil"/>
                    <w:tr2bl w:val="nil"/>
                  </w:tcBorders>
                  <w:shd w:val="clear" w:color="auto" w:fill="auto"/>
                  <w:vAlign w:val="center"/>
                </w:tcPr>
                <w:p w14:paraId="300925DC">
                  <w:pPr>
                    <w:adjustRightInd w:val="0"/>
                    <w:snapToGrid w:val="0"/>
                    <w:jc w:val="center"/>
                    <w:rPr>
                      <w:b/>
                      <w:color w:val="auto"/>
                      <w:kern w:val="0"/>
                      <w:sz w:val="18"/>
                      <w:szCs w:val="18"/>
                      <w:lang w:bidi="ar"/>
                    </w:rPr>
                  </w:pPr>
                </w:p>
              </w:tc>
              <w:tc>
                <w:tcPr>
                  <w:tcW w:w="552" w:type="pct"/>
                  <w:vMerge w:val="continue"/>
                  <w:tcBorders>
                    <w:tl2br w:val="nil"/>
                    <w:tr2bl w:val="nil"/>
                  </w:tcBorders>
                  <w:shd w:val="clear" w:color="auto" w:fill="auto"/>
                  <w:vAlign w:val="center"/>
                </w:tcPr>
                <w:p w14:paraId="0C3ED850">
                  <w:pPr>
                    <w:adjustRightInd w:val="0"/>
                    <w:snapToGrid w:val="0"/>
                    <w:jc w:val="center"/>
                    <w:rPr>
                      <w:b/>
                      <w:color w:val="auto"/>
                      <w:kern w:val="0"/>
                      <w:sz w:val="18"/>
                      <w:szCs w:val="18"/>
                      <w:lang w:bidi="ar"/>
                    </w:rPr>
                  </w:pPr>
                </w:p>
              </w:tc>
              <w:tc>
                <w:tcPr>
                  <w:tcW w:w="356" w:type="pct"/>
                  <w:vMerge w:val="continue"/>
                  <w:tcBorders>
                    <w:tl2br w:val="nil"/>
                    <w:tr2bl w:val="nil"/>
                  </w:tcBorders>
                  <w:shd w:val="clear" w:color="auto" w:fill="auto"/>
                  <w:vAlign w:val="center"/>
                </w:tcPr>
                <w:p w14:paraId="5FEBADBB">
                  <w:pPr>
                    <w:adjustRightInd w:val="0"/>
                    <w:snapToGrid w:val="0"/>
                    <w:jc w:val="center"/>
                    <w:rPr>
                      <w:b/>
                      <w:color w:val="auto"/>
                      <w:kern w:val="0"/>
                      <w:sz w:val="18"/>
                      <w:szCs w:val="18"/>
                      <w:lang w:bidi="ar"/>
                    </w:rPr>
                  </w:pPr>
                </w:p>
              </w:tc>
              <w:tc>
                <w:tcPr>
                  <w:tcW w:w="434" w:type="pct"/>
                  <w:vMerge w:val="continue"/>
                  <w:tcBorders>
                    <w:tl2br w:val="nil"/>
                    <w:tr2bl w:val="nil"/>
                  </w:tcBorders>
                  <w:shd w:val="clear" w:color="auto" w:fill="auto"/>
                  <w:vAlign w:val="center"/>
                </w:tcPr>
                <w:p w14:paraId="6E2A0DB4">
                  <w:pPr>
                    <w:adjustRightInd w:val="0"/>
                    <w:snapToGrid w:val="0"/>
                    <w:jc w:val="center"/>
                    <w:rPr>
                      <w:b/>
                      <w:color w:val="auto"/>
                      <w:kern w:val="0"/>
                      <w:sz w:val="18"/>
                      <w:szCs w:val="18"/>
                      <w:lang w:bidi="ar"/>
                    </w:rPr>
                  </w:pPr>
                </w:p>
              </w:tc>
              <w:tc>
                <w:tcPr>
                  <w:tcW w:w="544" w:type="pct"/>
                  <w:vMerge w:val="continue"/>
                  <w:tcBorders>
                    <w:tl2br w:val="nil"/>
                    <w:tr2bl w:val="nil"/>
                  </w:tcBorders>
                  <w:shd w:val="clear" w:color="auto" w:fill="auto"/>
                  <w:vAlign w:val="center"/>
                </w:tcPr>
                <w:p w14:paraId="309D2FEC">
                  <w:pPr>
                    <w:adjustRightInd w:val="0"/>
                    <w:snapToGrid w:val="0"/>
                    <w:jc w:val="center"/>
                    <w:rPr>
                      <w:b/>
                      <w:color w:val="auto"/>
                      <w:kern w:val="0"/>
                      <w:sz w:val="18"/>
                      <w:szCs w:val="18"/>
                      <w:lang w:bidi="ar"/>
                    </w:rPr>
                  </w:pPr>
                </w:p>
              </w:tc>
              <w:tc>
                <w:tcPr>
                  <w:tcW w:w="338" w:type="pct"/>
                  <w:vMerge w:val="continue"/>
                  <w:tcBorders>
                    <w:tl2br w:val="nil"/>
                    <w:tr2bl w:val="nil"/>
                  </w:tcBorders>
                  <w:shd w:val="clear" w:color="auto" w:fill="auto"/>
                  <w:vAlign w:val="center"/>
                </w:tcPr>
                <w:p w14:paraId="1D90A0A4">
                  <w:pPr>
                    <w:adjustRightInd w:val="0"/>
                    <w:snapToGrid w:val="0"/>
                    <w:jc w:val="center"/>
                    <w:rPr>
                      <w:b/>
                      <w:color w:val="auto"/>
                      <w:kern w:val="0"/>
                      <w:sz w:val="18"/>
                      <w:szCs w:val="18"/>
                      <w:lang w:bidi="ar"/>
                    </w:rPr>
                  </w:pPr>
                </w:p>
              </w:tc>
              <w:tc>
                <w:tcPr>
                  <w:tcW w:w="652" w:type="pct"/>
                  <w:vMerge w:val="continue"/>
                  <w:tcBorders>
                    <w:tl2br w:val="nil"/>
                    <w:tr2bl w:val="nil"/>
                  </w:tcBorders>
                  <w:shd w:val="clear" w:color="auto" w:fill="auto"/>
                  <w:vAlign w:val="center"/>
                </w:tcPr>
                <w:p w14:paraId="02255EA4">
                  <w:pPr>
                    <w:adjustRightInd w:val="0"/>
                    <w:snapToGrid w:val="0"/>
                    <w:jc w:val="center"/>
                    <w:rPr>
                      <w:b/>
                      <w:color w:val="auto"/>
                      <w:kern w:val="0"/>
                      <w:sz w:val="18"/>
                      <w:szCs w:val="18"/>
                      <w:lang w:bidi="ar"/>
                    </w:rPr>
                  </w:pPr>
                </w:p>
              </w:tc>
              <w:tc>
                <w:tcPr>
                  <w:tcW w:w="659" w:type="pct"/>
                  <w:vMerge w:val="continue"/>
                  <w:tcBorders>
                    <w:tl2br w:val="nil"/>
                    <w:tr2bl w:val="nil"/>
                  </w:tcBorders>
                  <w:shd w:val="clear" w:color="auto" w:fill="auto"/>
                  <w:vAlign w:val="center"/>
                </w:tcPr>
                <w:p w14:paraId="1A4B32CB">
                  <w:pPr>
                    <w:adjustRightInd w:val="0"/>
                    <w:snapToGrid w:val="0"/>
                    <w:jc w:val="center"/>
                    <w:rPr>
                      <w:b/>
                      <w:color w:val="auto"/>
                      <w:kern w:val="0"/>
                      <w:sz w:val="18"/>
                      <w:szCs w:val="18"/>
                      <w:lang w:bidi="ar"/>
                    </w:rPr>
                  </w:pPr>
                </w:p>
              </w:tc>
            </w:tr>
            <w:tr w14:paraId="6887CC5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332" w:type="pct"/>
                  <w:vMerge w:val="restart"/>
                  <w:tcBorders>
                    <w:tl2br w:val="nil"/>
                    <w:tr2bl w:val="nil"/>
                  </w:tcBorders>
                  <w:shd w:val="clear" w:color="auto" w:fill="auto"/>
                  <w:vAlign w:val="center"/>
                </w:tcPr>
                <w:p w14:paraId="451EAF65">
                  <w:pPr>
                    <w:adjustRightInd w:val="0"/>
                    <w:snapToGrid w:val="0"/>
                    <w:jc w:val="center"/>
                    <w:rPr>
                      <w:rFonts w:hint="default" w:eastAsia="宋体"/>
                      <w:bCs/>
                      <w:color w:val="auto"/>
                      <w:kern w:val="0"/>
                      <w:sz w:val="18"/>
                      <w:szCs w:val="18"/>
                      <w:lang w:val="en-US" w:eastAsia="zh-CN" w:bidi="ar"/>
                    </w:rPr>
                  </w:pPr>
                  <w:r>
                    <w:rPr>
                      <w:rFonts w:hint="eastAsia"/>
                      <w:bCs/>
                      <w:color w:val="auto"/>
                      <w:kern w:val="0"/>
                      <w:sz w:val="18"/>
                      <w:szCs w:val="18"/>
                      <w:lang w:val="en-US" w:eastAsia="zh-CN" w:bidi="ar"/>
                    </w:rPr>
                    <w:t>DA001</w:t>
                  </w:r>
                </w:p>
              </w:tc>
              <w:tc>
                <w:tcPr>
                  <w:tcW w:w="341" w:type="pct"/>
                  <w:vMerge w:val="restart"/>
                  <w:tcBorders>
                    <w:tl2br w:val="nil"/>
                    <w:tr2bl w:val="nil"/>
                  </w:tcBorders>
                  <w:shd w:val="clear" w:color="auto" w:fill="auto"/>
                  <w:vAlign w:val="center"/>
                </w:tcPr>
                <w:p w14:paraId="65550B5F">
                  <w:pPr>
                    <w:adjustRightInd w:val="0"/>
                    <w:snapToGrid w:val="0"/>
                    <w:jc w:val="center"/>
                    <w:rPr>
                      <w:rFonts w:hint="default" w:eastAsia="宋体"/>
                      <w:bCs/>
                      <w:color w:val="auto"/>
                      <w:kern w:val="0"/>
                      <w:sz w:val="18"/>
                      <w:szCs w:val="18"/>
                      <w:lang w:val="en-US" w:eastAsia="zh-CN" w:bidi="ar"/>
                    </w:rPr>
                  </w:pPr>
                  <w:r>
                    <w:rPr>
                      <w:rFonts w:hint="eastAsia"/>
                      <w:bCs/>
                      <w:color w:val="auto"/>
                      <w:kern w:val="0"/>
                      <w:sz w:val="18"/>
                      <w:szCs w:val="18"/>
                      <w:lang w:val="en-US" w:eastAsia="zh-CN" w:bidi="ar"/>
                    </w:rPr>
                    <w:t>123</w:t>
                  </w:r>
                </w:p>
              </w:tc>
              <w:tc>
                <w:tcPr>
                  <w:tcW w:w="346" w:type="pct"/>
                  <w:vMerge w:val="restart"/>
                  <w:tcBorders>
                    <w:tl2br w:val="nil"/>
                    <w:tr2bl w:val="nil"/>
                  </w:tcBorders>
                  <w:shd w:val="clear" w:color="auto" w:fill="auto"/>
                  <w:vAlign w:val="center"/>
                </w:tcPr>
                <w:p w14:paraId="313B44A6">
                  <w:pPr>
                    <w:adjustRightInd w:val="0"/>
                    <w:snapToGrid w:val="0"/>
                    <w:jc w:val="center"/>
                    <w:rPr>
                      <w:rFonts w:hint="default" w:eastAsia="宋体"/>
                      <w:bCs/>
                      <w:color w:val="auto"/>
                      <w:kern w:val="0"/>
                      <w:sz w:val="18"/>
                      <w:szCs w:val="18"/>
                      <w:lang w:val="en-US" w:eastAsia="zh-CN" w:bidi="ar"/>
                    </w:rPr>
                  </w:pPr>
                  <w:r>
                    <w:rPr>
                      <w:rFonts w:hint="eastAsia"/>
                      <w:bCs/>
                      <w:color w:val="auto"/>
                      <w:kern w:val="0"/>
                      <w:sz w:val="18"/>
                      <w:szCs w:val="18"/>
                      <w:lang w:val="en-US" w:eastAsia="zh-CN" w:bidi="ar"/>
                    </w:rPr>
                    <w:t>36</w:t>
                  </w:r>
                </w:p>
              </w:tc>
              <w:tc>
                <w:tcPr>
                  <w:tcW w:w="442" w:type="pct"/>
                  <w:vMerge w:val="restart"/>
                  <w:tcBorders>
                    <w:tl2br w:val="nil"/>
                    <w:tr2bl w:val="nil"/>
                  </w:tcBorders>
                  <w:shd w:val="clear" w:color="auto" w:fill="auto"/>
                  <w:vAlign w:val="center"/>
                </w:tcPr>
                <w:p w14:paraId="2A805C79">
                  <w:pPr>
                    <w:adjustRightInd w:val="0"/>
                    <w:snapToGrid w:val="0"/>
                    <w:jc w:val="center"/>
                    <w:rPr>
                      <w:rFonts w:hint="default" w:eastAsia="宋体"/>
                      <w:bCs/>
                      <w:color w:val="auto"/>
                      <w:kern w:val="0"/>
                      <w:sz w:val="18"/>
                      <w:szCs w:val="18"/>
                      <w:lang w:val="en-US" w:eastAsia="zh-CN" w:bidi="ar"/>
                    </w:rPr>
                  </w:pPr>
                  <w:r>
                    <w:rPr>
                      <w:rFonts w:hint="eastAsia"/>
                      <w:bCs/>
                      <w:color w:val="auto"/>
                      <w:kern w:val="0"/>
                      <w:sz w:val="18"/>
                      <w:szCs w:val="18"/>
                      <w:lang w:val="en-US" w:eastAsia="zh-CN" w:bidi="ar"/>
                    </w:rPr>
                    <w:t>20</w:t>
                  </w:r>
                </w:p>
              </w:tc>
              <w:tc>
                <w:tcPr>
                  <w:tcW w:w="552" w:type="pct"/>
                  <w:vMerge w:val="restart"/>
                  <w:tcBorders>
                    <w:tl2br w:val="nil"/>
                    <w:tr2bl w:val="nil"/>
                  </w:tcBorders>
                  <w:shd w:val="clear" w:color="auto" w:fill="auto"/>
                  <w:vAlign w:val="center"/>
                </w:tcPr>
                <w:p w14:paraId="052DF0DE">
                  <w:pPr>
                    <w:adjustRightInd w:val="0"/>
                    <w:snapToGrid w:val="0"/>
                    <w:jc w:val="center"/>
                    <w:rPr>
                      <w:rFonts w:hint="default" w:eastAsia="宋体"/>
                      <w:bCs/>
                      <w:color w:val="auto"/>
                      <w:kern w:val="0"/>
                      <w:sz w:val="18"/>
                      <w:szCs w:val="18"/>
                      <w:lang w:val="en-US" w:eastAsia="zh-CN" w:bidi="ar"/>
                    </w:rPr>
                  </w:pPr>
                  <w:r>
                    <w:rPr>
                      <w:rFonts w:hint="eastAsia"/>
                      <w:bCs/>
                      <w:color w:val="auto"/>
                      <w:kern w:val="0"/>
                      <w:sz w:val="18"/>
                      <w:szCs w:val="18"/>
                      <w:lang w:val="en-US" w:eastAsia="zh-CN" w:bidi="ar"/>
                    </w:rPr>
                    <w:t>0.8</w:t>
                  </w:r>
                </w:p>
              </w:tc>
              <w:tc>
                <w:tcPr>
                  <w:tcW w:w="356" w:type="pct"/>
                  <w:vMerge w:val="restart"/>
                  <w:tcBorders>
                    <w:tl2br w:val="nil"/>
                    <w:tr2bl w:val="nil"/>
                  </w:tcBorders>
                  <w:shd w:val="clear" w:color="auto" w:fill="auto"/>
                  <w:vAlign w:val="center"/>
                </w:tcPr>
                <w:p w14:paraId="5AE2C237">
                  <w:pPr>
                    <w:adjustRightInd w:val="0"/>
                    <w:snapToGrid w:val="0"/>
                    <w:jc w:val="center"/>
                    <w:rPr>
                      <w:bCs/>
                      <w:color w:val="auto"/>
                      <w:kern w:val="0"/>
                      <w:sz w:val="18"/>
                      <w:szCs w:val="18"/>
                      <w:lang w:bidi="ar"/>
                    </w:rPr>
                  </w:pPr>
                  <w:r>
                    <w:rPr>
                      <w:rFonts w:hint="eastAsia"/>
                      <w:bCs/>
                      <w:color w:val="auto"/>
                      <w:kern w:val="0"/>
                      <w:sz w:val="18"/>
                      <w:szCs w:val="18"/>
                      <w:lang w:bidi="ar"/>
                    </w:rPr>
                    <w:t>25</w:t>
                  </w:r>
                </w:p>
              </w:tc>
              <w:tc>
                <w:tcPr>
                  <w:tcW w:w="434" w:type="pct"/>
                  <w:vMerge w:val="restart"/>
                  <w:tcBorders>
                    <w:tl2br w:val="nil"/>
                    <w:tr2bl w:val="nil"/>
                  </w:tcBorders>
                  <w:shd w:val="clear" w:color="auto" w:fill="auto"/>
                  <w:vAlign w:val="center"/>
                </w:tcPr>
                <w:p w14:paraId="137EDA25">
                  <w:pPr>
                    <w:adjustRightInd w:val="0"/>
                    <w:snapToGrid w:val="0"/>
                    <w:jc w:val="center"/>
                    <w:rPr>
                      <w:rFonts w:hint="default" w:eastAsia="宋体"/>
                      <w:bCs/>
                      <w:color w:val="auto"/>
                      <w:kern w:val="0"/>
                      <w:sz w:val="18"/>
                      <w:szCs w:val="18"/>
                      <w:lang w:val="en-US" w:eastAsia="zh-CN" w:bidi="ar"/>
                    </w:rPr>
                  </w:pPr>
                  <w:r>
                    <w:rPr>
                      <w:rFonts w:hint="eastAsia"/>
                      <w:bCs/>
                      <w:color w:val="auto"/>
                      <w:kern w:val="0"/>
                      <w:sz w:val="18"/>
                      <w:szCs w:val="18"/>
                      <w:lang w:val="en-US" w:eastAsia="zh-CN" w:bidi="ar"/>
                    </w:rPr>
                    <w:t>13.8</w:t>
                  </w:r>
                </w:p>
              </w:tc>
              <w:tc>
                <w:tcPr>
                  <w:tcW w:w="544" w:type="pct"/>
                  <w:vMerge w:val="restart"/>
                  <w:tcBorders>
                    <w:tl2br w:val="nil"/>
                    <w:tr2bl w:val="nil"/>
                  </w:tcBorders>
                  <w:shd w:val="clear" w:color="auto" w:fill="auto"/>
                  <w:vAlign w:val="center"/>
                </w:tcPr>
                <w:p w14:paraId="3AB72152">
                  <w:pPr>
                    <w:adjustRightInd w:val="0"/>
                    <w:snapToGrid w:val="0"/>
                    <w:jc w:val="center"/>
                    <w:rPr>
                      <w:rFonts w:hint="default" w:eastAsia="宋体"/>
                      <w:bCs/>
                      <w:color w:val="auto"/>
                      <w:kern w:val="0"/>
                      <w:sz w:val="18"/>
                      <w:szCs w:val="18"/>
                      <w:lang w:val="en-US" w:eastAsia="zh-CN" w:bidi="ar"/>
                    </w:rPr>
                  </w:pPr>
                  <w:r>
                    <w:rPr>
                      <w:rFonts w:hint="eastAsia"/>
                      <w:bCs/>
                      <w:color w:val="auto"/>
                      <w:kern w:val="0"/>
                      <w:sz w:val="18"/>
                      <w:szCs w:val="18"/>
                      <w:lang w:val="en-US" w:eastAsia="zh-CN" w:bidi="ar"/>
                    </w:rPr>
                    <w:t>2400</w:t>
                  </w:r>
                </w:p>
              </w:tc>
              <w:tc>
                <w:tcPr>
                  <w:tcW w:w="338" w:type="pct"/>
                  <w:vMerge w:val="restart"/>
                  <w:tcBorders>
                    <w:tl2br w:val="nil"/>
                    <w:tr2bl w:val="nil"/>
                  </w:tcBorders>
                  <w:shd w:val="clear" w:color="auto" w:fill="auto"/>
                  <w:vAlign w:val="center"/>
                </w:tcPr>
                <w:p w14:paraId="0D6FD264">
                  <w:pPr>
                    <w:adjustRightInd w:val="0"/>
                    <w:snapToGrid w:val="0"/>
                    <w:jc w:val="center"/>
                    <w:rPr>
                      <w:bCs/>
                      <w:color w:val="auto"/>
                      <w:kern w:val="0"/>
                      <w:sz w:val="18"/>
                      <w:szCs w:val="18"/>
                      <w:lang w:bidi="ar"/>
                    </w:rPr>
                  </w:pPr>
                  <w:r>
                    <w:rPr>
                      <w:rFonts w:hint="eastAsia"/>
                      <w:bCs/>
                      <w:color w:val="auto"/>
                      <w:kern w:val="0"/>
                      <w:sz w:val="18"/>
                      <w:szCs w:val="18"/>
                      <w:lang w:bidi="ar"/>
                    </w:rPr>
                    <w:t>连续</w:t>
                  </w:r>
                </w:p>
              </w:tc>
              <w:tc>
                <w:tcPr>
                  <w:tcW w:w="652" w:type="pct"/>
                  <w:tcBorders>
                    <w:tl2br w:val="nil"/>
                    <w:tr2bl w:val="nil"/>
                  </w:tcBorders>
                  <w:shd w:val="clear" w:color="auto" w:fill="auto"/>
                  <w:vAlign w:val="center"/>
                </w:tcPr>
                <w:p w14:paraId="56B6B454">
                  <w:pPr>
                    <w:adjustRightInd w:val="0"/>
                    <w:snapToGrid w:val="0"/>
                    <w:jc w:val="center"/>
                    <w:rPr>
                      <w:rFonts w:hint="default" w:eastAsia="宋体"/>
                      <w:bCs/>
                      <w:color w:val="auto"/>
                      <w:kern w:val="0"/>
                      <w:sz w:val="18"/>
                      <w:szCs w:val="18"/>
                      <w:lang w:val="en-US" w:eastAsia="zh-CN" w:bidi="ar"/>
                    </w:rPr>
                  </w:pPr>
                  <w:r>
                    <w:rPr>
                      <w:rFonts w:hint="eastAsia"/>
                      <w:b w:val="0"/>
                      <w:bCs/>
                      <w:color w:val="auto"/>
                      <w:kern w:val="0"/>
                      <w:sz w:val="18"/>
                      <w:szCs w:val="18"/>
                      <w:lang w:bidi="ar"/>
                    </w:rPr>
                    <w:t>非甲烷总烃</w:t>
                  </w:r>
                </w:p>
              </w:tc>
              <w:tc>
                <w:tcPr>
                  <w:tcW w:w="659" w:type="pct"/>
                  <w:tcBorders>
                    <w:tl2br w:val="nil"/>
                    <w:tr2bl w:val="nil"/>
                  </w:tcBorders>
                  <w:shd w:val="clear" w:color="auto" w:fill="auto"/>
                  <w:vAlign w:val="center"/>
                </w:tcPr>
                <w:p w14:paraId="5534EA02">
                  <w:pPr>
                    <w:pStyle w:val="656"/>
                    <w:snapToGrid w:val="0"/>
                    <w:rPr>
                      <w:rFonts w:hint="default" w:ascii="Times New Roman" w:hAnsi="Times New Roman" w:eastAsia="宋体" w:cs="Times New Roman"/>
                      <w:snapToGrid w:val="0"/>
                      <w:color w:val="auto"/>
                      <w:kern w:val="0"/>
                      <w:sz w:val="18"/>
                      <w:szCs w:val="18"/>
                      <w:lang w:val="en-US" w:eastAsia="zh-CN" w:bidi="ar-SA"/>
                    </w:rPr>
                  </w:pPr>
                  <w:r>
                    <w:rPr>
                      <w:rFonts w:hint="eastAsia" w:eastAsia="宋体" w:cs="Times New Roman"/>
                      <w:snapToGrid w:val="0"/>
                      <w:color w:val="auto"/>
                      <w:kern w:val="0"/>
                      <w:sz w:val="18"/>
                      <w:szCs w:val="18"/>
                      <w:lang w:val="en-US" w:eastAsia="zh-CN" w:bidi="ar-SA"/>
                    </w:rPr>
                    <w:t>0.081</w:t>
                  </w:r>
                </w:p>
              </w:tc>
            </w:tr>
            <w:tr w14:paraId="040B581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332" w:type="pct"/>
                  <w:vMerge w:val="continue"/>
                  <w:tcBorders>
                    <w:tl2br w:val="nil"/>
                    <w:tr2bl w:val="nil"/>
                  </w:tcBorders>
                  <w:shd w:val="clear" w:color="auto" w:fill="auto"/>
                  <w:vAlign w:val="center"/>
                </w:tcPr>
                <w:p w14:paraId="67C5463C">
                  <w:pPr>
                    <w:adjustRightInd w:val="0"/>
                    <w:snapToGrid w:val="0"/>
                    <w:jc w:val="center"/>
                    <w:rPr>
                      <w:rFonts w:hint="eastAsia"/>
                      <w:bCs/>
                      <w:color w:val="auto"/>
                      <w:kern w:val="0"/>
                      <w:sz w:val="18"/>
                      <w:szCs w:val="18"/>
                      <w:lang w:val="en-US" w:eastAsia="zh-CN" w:bidi="ar"/>
                    </w:rPr>
                  </w:pPr>
                </w:p>
              </w:tc>
              <w:tc>
                <w:tcPr>
                  <w:tcW w:w="341" w:type="pct"/>
                  <w:vMerge w:val="continue"/>
                  <w:tcBorders>
                    <w:tl2br w:val="nil"/>
                    <w:tr2bl w:val="nil"/>
                  </w:tcBorders>
                  <w:shd w:val="clear" w:color="auto" w:fill="auto"/>
                  <w:vAlign w:val="center"/>
                </w:tcPr>
                <w:p w14:paraId="17989742">
                  <w:pPr>
                    <w:adjustRightInd w:val="0"/>
                    <w:snapToGrid w:val="0"/>
                    <w:jc w:val="center"/>
                    <w:rPr>
                      <w:rFonts w:hint="eastAsia"/>
                      <w:bCs/>
                      <w:color w:val="auto"/>
                      <w:kern w:val="0"/>
                      <w:sz w:val="18"/>
                      <w:szCs w:val="18"/>
                      <w:lang w:val="en-US" w:eastAsia="zh-CN" w:bidi="ar"/>
                    </w:rPr>
                  </w:pPr>
                </w:p>
              </w:tc>
              <w:tc>
                <w:tcPr>
                  <w:tcW w:w="346" w:type="pct"/>
                  <w:vMerge w:val="continue"/>
                  <w:tcBorders>
                    <w:tl2br w:val="nil"/>
                    <w:tr2bl w:val="nil"/>
                  </w:tcBorders>
                  <w:shd w:val="clear" w:color="auto" w:fill="auto"/>
                  <w:vAlign w:val="center"/>
                </w:tcPr>
                <w:p w14:paraId="63BDD7AE">
                  <w:pPr>
                    <w:adjustRightInd w:val="0"/>
                    <w:snapToGrid w:val="0"/>
                    <w:jc w:val="center"/>
                    <w:rPr>
                      <w:rFonts w:hint="eastAsia"/>
                      <w:bCs/>
                      <w:color w:val="auto"/>
                      <w:kern w:val="0"/>
                      <w:sz w:val="18"/>
                      <w:szCs w:val="18"/>
                      <w:lang w:val="en-US" w:eastAsia="zh-CN" w:bidi="ar"/>
                    </w:rPr>
                  </w:pPr>
                </w:p>
              </w:tc>
              <w:tc>
                <w:tcPr>
                  <w:tcW w:w="442" w:type="pct"/>
                  <w:vMerge w:val="continue"/>
                  <w:tcBorders>
                    <w:tl2br w:val="nil"/>
                    <w:tr2bl w:val="nil"/>
                  </w:tcBorders>
                  <w:shd w:val="clear" w:color="auto" w:fill="auto"/>
                  <w:vAlign w:val="center"/>
                </w:tcPr>
                <w:p w14:paraId="52508B54">
                  <w:pPr>
                    <w:adjustRightInd w:val="0"/>
                    <w:snapToGrid w:val="0"/>
                    <w:jc w:val="center"/>
                    <w:rPr>
                      <w:rFonts w:hint="eastAsia"/>
                      <w:bCs/>
                      <w:color w:val="auto"/>
                      <w:kern w:val="0"/>
                      <w:sz w:val="18"/>
                      <w:szCs w:val="18"/>
                      <w:lang w:val="en-US" w:eastAsia="zh-CN" w:bidi="ar"/>
                    </w:rPr>
                  </w:pPr>
                </w:p>
              </w:tc>
              <w:tc>
                <w:tcPr>
                  <w:tcW w:w="552" w:type="pct"/>
                  <w:vMerge w:val="continue"/>
                  <w:tcBorders>
                    <w:tl2br w:val="nil"/>
                    <w:tr2bl w:val="nil"/>
                  </w:tcBorders>
                  <w:shd w:val="clear" w:color="auto" w:fill="auto"/>
                  <w:vAlign w:val="center"/>
                </w:tcPr>
                <w:p w14:paraId="45D0DC9D">
                  <w:pPr>
                    <w:adjustRightInd w:val="0"/>
                    <w:snapToGrid w:val="0"/>
                    <w:jc w:val="center"/>
                    <w:rPr>
                      <w:rFonts w:hint="eastAsia"/>
                      <w:bCs/>
                      <w:color w:val="auto"/>
                      <w:kern w:val="0"/>
                      <w:sz w:val="18"/>
                      <w:szCs w:val="18"/>
                      <w:lang w:val="en-US" w:eastAsia="zh-CN" w:bidi="ar"/>
                    </w:rPr>
                  </w:pPr>
                </w:p>
              </w:tc>
              <w:tc>
                <w:tcPr>
                  <w:tcW w:w="356" w:type="pct"/>
                  <w:vMerge w:val="continue"/>
                  <w:tcBorders>
                    <w:tl2br w:val="nil"/>
                    <w:tr2bl w:val="nil"/>
                  </w:tcBorders>
                  <w:shd w:val="clear" w:color="auto" w:fill="auto"/>
                  <w:vAlign w:val="center"/>
                </w:tcPr>
                <w:p w14:paraId="42566856">
                  <w:pPr>
                    <w:adjustRightInd w:val="0"/>
                    <w:snapToGrid w:val="0"/>
                    <w:jc w:val="center"/>
                    <w:rPr>
                      <w:rFonts w:hint="eastAsia"/>
                      <w:bCs/>
                      <w:color w:val="auto"/>
                      <w:kern w:val="0"/>
                      <w:sz w:val="18"/>
                      <w:szCs w:val="18"/>
                      <w:lang w:bidi="ar"/>
                    </w:rPr>
                  </w:pPr>
                </w:p>
              </w:tc>
              <w:tc>
                <w:tcPr>
                  <w:tcW w:w="434" w:type="pct"/>
                  <w:vMerge w:val="continue"/>
                  <w:tcBorders>
                    <w:tl2br w:val="nil"/>
                    <w:tr2bl w:val="nil"/>
                  </w:tcBorders>
                  <w:shd w:val="clear" w:color="auto" w:fill="auto"/>
                  <w:vAlign w:val="center"/>
                </w:tcPr>
                <w:p w14:paraId="190BB7CB">
                  <w:pPr>
                    <w:adjustRightInd w:val="0"/>
                    <w:snapToGrid w:val="0"/>
                    <w:jc w:val="center"/>
                    <w:rPr>
                      <w:rFonts w:hint="eastAsia"/>
                      <w:bCs/>
                      <w:color w:val="auto"/>
                      <w:kern w:val="0"/>
                      <w:sz w:val="18"/>
                      <w:szCs w:val="18"/>
                      <w:lang w:val="en-US" w:eastAsia="zh-CN" w:bidi="ar"/>
                    </w:rPr>
                  </w:pPr>
                </w:p>
              </w:tc>
              <w:tc>
                <w:tcPr>
                  <w:tcW w:w="544" w:type="pct"/>
                  <w:vMerge w:val="continue"/>
                  <w:tcBorders>
                    <w:tl2br w:val="nil"/>
                    <w:tr2bl w:val="nil"/>
                  </w:tcBorders>
                  <w:shd w:val="clear" w:color="auto" w:fill="auto"/>
                  <w:vAlign w:val="center"/>
                </w:tcPr>
                <w:p w14:paraId="6FEFA75E">
                  <w:pPr>
                    <w:adjustRightInd w:val="0"/>
                    <w:snapToGrid w:val="0"/>
                    <w:jc w:val="center"/>
                    <w:rPr>
                      <w:rFonts w:hint="eastAsia"/>
                      <w:bCs/>
                      <w:color w:val="auto"/>
                      <w:kern w:val="0"/>
                      <w:sz w:val="18"/>
                      <w:szCs w:val="18"/>
                      <w:lang w:val="en-US" w:eastAsia="zh-CN" w:bidi="ar"/>
                    </w:rPr>
                  </w:pPr>
                </w:p>
              </w:tc>
              <w:tc>
                <w:tcPr>
                  <w:tcW w:w="338" w:type="pct"/>
                  <w:vMerge w:val="continue"/>
                  <w:tcBorders>
                    <w:tl2br w:val="nil"/>
                    <w:tr2bl w:val="nil"/>
                  </w:tcBorders>
                  <w:shd w:val="clear" w:color="auto" w:fill="auto"/>
                  <w:vAlign w:val="center"/>
                </w:tcPr>
                <w:p w14:paraId="659F143F">
                  <w:pPr>
                    <w:adjustRightInd w:val="0"/>
                    <w:snapToGrid w:val="0"/>
                    <w:jc w:val="center"/>
                    <w:rPr>
                      <w:rFonts w:hint="eastAsia"/>
                      <w:bCs/>
                      <w:color w:val="auto"/>
                      <w:kern w:val="0"/>
                      <w:sz w:val="18"/>
                      <w:szCs w:val="18"/>
                      <w:lang w:bidi="ar"/>
                    </w:rPr>
                  </w:pPr>
                </w:p>
              </w:tc>
              <w:tc>
                <w:tcPr>
                  <w:tcW w:w="652" w:type="pct"/>
                  <w:tcBorders>
                    <w:tl2br w:val="nil"/>
                    <w:tr2bl w:val="nil"/>
                  </w:tcBorders>
                  <w:shd w:val="clear" w:color="auto" w:fill="auto"/>
                  <w:vAlign w:val="center"/>
                </w:tcPr>
                <w:p w14:paraId="07576D48">
                  <w:pPr>
                    <w:adjustRightInd w:val="0"/>
                    <w:snapToGrid w:val="0"/>
                    <w:jc w:val="center"/>
                    <w:rPr>
                      <w:rFonts w:hint="eastAsia" w:eastAsia="宋体"/>
                      <w:b w:val="0"/>
                      <w:bCs/>
                      <w:color w:val="auto"/>
                      <w:kern w:val="0"/>
                      <w:sz w:val="18"/>
                      <w:szCs w:val="18"/>
                      <w:lang w:val="en-US" w:eastAsia="zh-CN" w:bidi="ar"/>
                    </w:rPr>
                  </w:pPr>
                  <w:r>
                    <w:rPr>
                      <w:rFonts w:hint="eastAsia"/>
                      <w:b w:val="0"/>
                      <w:bCs/>
                      <w:color w:val="auto"/>
                      <w:kern w:val="0"/>
                      <w:sz w:val="18"/>
                      <w:szCs w:val="18"/>
                      <w:lang w:val="en-US" w:eastAsia="zh-CN" w:bidi="ar"/>
                    </w:rPr>
                    <w:t>苯系物</w:t>
                  </w:r>
                </w:p>
              </w:tc>
              <w:tc>
                <w:tcPr>
                  <w:tcW w:w="659" w:type="pct"/>
                  <w:tcBorders>
                    <w:tl2br w:val="nil"/>
                    <w:tr2bl w:val="nil"/>
                  </w:tcBorders>
                  <w:shd w:val="clear" w:color="auto" w:fill="auto"/>
                  <w:vAlign w:val="center"/>
                </w:tcPr>
                <w:p w14:paraId="54175507">
                  <w:pPr>
                    <w:pStyle w:val="656"/>
                    <w:snapToGrid w:val="0"/>
                    <w:rPr>
                      <w:rFonts w:hint="default"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0.025</w:t>
                  </w:r>
                </w:p>
              </w:tc>
            </w:tr>
            <w:tr w14:paraId="700819F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332" w:type="pct"/>
                  <w:vMerge w:val="continue"/>
                  <w:tcBorders>
                    <w:tl2br w:val="nil"/>
                    <w:tr2bl w:val="nil"/>
                  </w:tcBorders>
                  <w:shd w:val="clear" w:color="auto" w:fill="auto"/>
                  <w:vAlign w:val="center"/>
                </w:tcPr>
                <w:p w14:paraId="5C885150">
                  <w:pPr>
                    <w:adjustRightInd w:val="0"/>
                    <w:snapToGrid w:val="0"/>
                    <w:jc w:val="center"/>
                    <w:rPr>
                      <w:rFonts w:hint="eastAsia"/>
                      <w:bCs/>
                      <w:color w:val="auto"/>
                      <w:kern w:val="0"/>
                      <w:sz w:val="18"/>
                      <w:szCs w:val="18"/>
                      <w:lang w:val="en-US" w:eastAsia="zh-CN" w:bidi="ar"/>
                    </w:rPr>
                  </w:pPr>
                </w:p>
              </w:tc>
              <w:tc>
                <w:tcPr>
                  <w:tcW w:w="341" w:type="pct"/>
                  <w:vMerge w:val="continue"/>
                  <w:tcBorders>
                    <w:tl2br w:val="nil"/>
                    <w:tr2bl w:val="nil"/>
                  </w:tcBorders>
                  <w:shd w:val="clear" w:color="auto" w:fill="auto"/>
                  <w:vAlign w:val="center"/>
                </w:tcPr>
                <w:p w14:paraId="4C65C81A">
                  <w:pPr>
                    <w:adjustRightInd w:val="0"/>
                    <w:snapToGrid w:val="0"/>
                    <w:jc w:val="center"/>
                    <w:rPr>
                      <w:rFonts w:hint="eastAsia"/>
                      <w:bCs/>
                      <w:color w:val="auto"/>
                      <w:kern w:val="0"/>
                      <w:sz w:val="18"/>
                      <w:szCs w:val="18"/>
                      <w:lang w:val="en-US" w:eastAsia="zh-CN" w:bidi="ar"/>
                    </w:rPr>
                  </w:pPr>
                </w:p>
              </w:tc>
              <w:tc>
                <w:tcPr>
                  <w:tcW w:w="346" w:type="pct"/>
                  <w:vMerge w:val="continue"/>
                  <w:tcBorders>
                    <w:tl2br w:val="nil"/>
                    <w:tr2bl w:val="nil"/>
                  </w:tcBorders>
                  <w:shd w:val="clear" w:color="auto" w:fill="auto"/>
                  <w:vAlign w:val="center"/>
                </w:tcPr>
                <w:p w14:paraId="7464221E">
                  <w:pPr>
                    <w:adjustRightInd w:val="0"/>
                    <w:snapToGrid w:val="0"/>
                    <w:jc w:val="center"/>
                    <w:rPr>
                      <w:rFonts w:hint="eastAsia"/>
                      <w:bCs/>
                      <w:color w:val="auto"/>
                      <w:kern w:val="0"/>
                      <w:sz w:val="18"/>
                      <w:szCs w:val="18"/>
                      <w:lang w:val="en-US" w:eastAsia="zh-CN" w:bidi="ar"/>
                    </w:rPr>
                  </w:pPr>
                </w:p>
              </w:tc>
              <w:tc>
                <w:tcPr>
                  <w:tcW w:w="442" w:type="pct"/>
                  <w:vMerge w:val="continue"/>
                  <w:tcBorders>
                    <w:tl2br w:val="nil"/>
                    <w:tr2bl w:val="nil"/>
                  </w:tcBorders>
                  <w:shd w:val="clear" w:color="auto" w:fill="auto"/>
                  <w:vAlign w:val="center"/>
                </w:tcPr>
                <w:p w14:paraId="7CDF8423">
                  <w:pPr>
                    <w:adjustRightInd w:val="0"/>
                    <w:snapToGrid w:val="0"/>
                    <w:jc w:val="center"/>
                    <w:rPr>
                      <w:rFonts w:hint="eastAsia"/>
                      <w:bCs/>
                      <w:color w:val="auto"/>
                      <w:kern w:val="0"/>
                      <w:sz w:val="18"/>
                      <w:szCs w:val="18"/>
                      <w:lang w:val="en-US" w:eastAsia="zh-CN" w:bidi="ar"/>
                    </w:rPr>
                  </w:pPr>
                </w:p>
              </w:tc>
              <w:tc>
                <w:tcPr>
                  <w:tcW w:w="552" w:type="pct"/>
                  <w:vMerge w:val="continue"/>
                  <w:tcBorders>
                    <w:tl2br w:val="nil"/>
                    <w:tr2bl w:val="nil"/>
                  </w:tcBorders>
                  <w:shd w:val="clear" w:color="auto" w:fill="auto"/>
                  <w:vAlign w:val="center"/>
                </w:tcPr>
                <w:p w14:paraId="3626BB41">
                  <w:pPr>
                    <w:adjustRightInd w:val="0"/>
                    <w:snapToGrid w:val="0"/>
                    <w:jc w:val="center"/>
                    <w:rPr>
                      <w:rFonts w:hint="eastAsia"/>
                      <w:bCs/>
                      <w:color w:val="auto"/>
                      <w:kern w:val="0"/>
                      <w:sz w:val="18"/>
                      <w:szCs w:val="18"/>
                      <w:lang w:val="en-US" w:eastAsia="zh-CN" w:bidi="ar"/>
                    </w:rPr>
                  </w:pPr>
                </w:p>
              </w:tc>
              <w:tc>
                <w:tcPr>
                  <w:tcW w:w="356" w:type="pct"/>
                  <w:vMerge w:val="continue"/>
                  <w:tcBorders>
                    <w:tl2br w:val="nil"/>
                    <w:tr2bl w:val="nil"/>
                  </w:tcBorders>
                  <w:shd w:val="clear" w:color="auto" w:fill="auto"/>
                  <w:vAlign w:val="center"/>
                </w:tcPr>
                <w:p w14:paraId="2BC43931">
                  <w:pPr>
                    <w:adjustRightInd w:val="0"/>
                    <w:snapToGrid w:val="0"/>
                    <w:jc w:val="center"/>
                    <w:rPr>
                      <w:rFonts w:hint="eastAsia"/>
                      <w:bCs/>
                      <w:color w:val="auto"/>
                      <w:kern w:val="0"/>
                      <w:sz w:val="18"/>
                      <w:szCs w:val="18"/>
                      <w:lang w:bidi="ar"/>
                    </w:rPr>
                  </w:pPr>
                </w:p>
              </w:tc>
              <w:tc>
                <w:tcPr>
                  <w:tcW w:w="434" w:type="pct"/>
                  <w:vMerge w:val="continue"/>
                  <w:tcBorders>
                    <w:tl2br w:val="nil"/>
                    <w:tr2bl w:val="nil"/>
                  </w:tcBorders>
                  <w:shd w:val="clear" w:color="auto" w:fill="auto"/>
                  <w:vAlign w:val="center"/>
                </w:tcPr>
                <w:p w14:paraId="21EDEC4A">
                  <w:pPr>
                    <w:adjustRightInd w:val="0"/>
                    <w:snapToGrid w:val="0"/>
                    <w:jc w:val="center"/>
                    <w:rPr>
                      <w:rFonts w:hint="eastAsia"/>
                      <w:bCs/>
                      <w:color w:val="auto"/>
                      <w:kern w:val="0"/>
                      <w:sz w:val="18"/>
                      <w:szCs w:val="18"/>
                      <w:lang w:val="en-US" w:eastAsia="zh-CN" w:bidi="ar"/>
                    </w:rPr>
                  </w:pPr>
                </w:p>
              </w:tc>
              <w:tc>
                <w:tcPr>
                  <w:tcW w:w="544" w:type="pct"/>
                  <w:vMerge w:val="continue"/>
                  <w:tcBorders>
                    <w:tl2br w:val="nil"/>
                    <w:tr2bl w:val="nil"/>
                  </w:tcBorders>
                  <w:shd w:val="clear" w:color="auto" w:fill="auto"/>
                  <w:vAlign w:val="center"/>
                </w:tcPr>
                <w:p w14:paraId="0614430D">
                  <w:pPr>
                    <w:adjustRightInd w:val="0"/>
                    <w:snapToGrid w:val="0"/>
                    <w:jc w:val="center"/>
                    <w:rPr>
                      <w:rFonts w:hint="eastAsia"/>
                      <w:bCs/>
                      <w:color w:val="auto"/>
                      <w:kern w:val="0"/>
                      <w:sz w:val="18"/>
                      <w:szCs w:val="18"/>
                      <w:lang w:val="en-US" w:eastAsia="zh-CN" w:bidi="ar"/>
                    </w:rPr>
                  </w:pPr>
                </w:p>
              </w:tc>
              <w:tc>
                <w:tcPr>
                  <w:tcW w:w="338" w:type="pct"/>
                  <w:vMerge w:val="continue"/>
                  <w:tcBorders>
                    <w:tl2br w:val="nil"/>
                    <w:tr2bl w:val="nil"/>
                  </w:tcBorders>
                  <w:shd w:val="clear" w:color="auto" w:fill="auto"/>
                  <w:vAlign w:val="center"/>
                </w:tcPr>
                <w:p w14:paraId="7F24190D">
                  <w:pPr>
                    <w:adjustRightInd w:val="0"/>
                    <w:snapToGrid w:val="0"/>
                    <w:jc w:val="center"/>
                    <w:rPr>
                      <w:rFonts w:hint="eastAsia"/>
                      <w:bCs/>
                      <w:color w:val="auto"/>
                      <w:kern w:val="0"/>
                      <w:sz w:val="18"/>
                      <w:szCs w:val="18"/>
                      <w:lang w:bidi="ar"/>
                    </w:rPr>
                  </w:pPr>
                </w:p>
              </w:tc>
              <w:tc>
                <w:tcPr>
                  <w:tcW w:w="652" w:type="pct"/>
                  <w:tcBorders>
                    <w:tl2br w:val="nil"/>
                    <w:tr2bl w:val="nil"/>
                  </w:tcBorders>
                  <w:shd w:val="clear" w:color="auto" w:fill="auto"/>
                  <w:vAlign w:val="center"/>
                </w:tcPr>
                <w:p w14:paraId="08057DBC">
                  <w:pPr>
                    <w:adjustRightInd w:val="0"/>
                    <w:snapToGrid w:val="0"/>
                    <w:jc w:val="center"/>
                    <w:rPr>
                      <w:rFonts w:hint="eastAsia" w:ascii="Times New Roman" w:hAnsi="Times New Roman" w:eastAsia="宋体" w:cs="Times New Roman"/>
                      <w:bCs/>
                      <w:snapToGrid w:val="0"/>
                      <w:color w:val="auto"/>
                      <w:kern w:val="0"/>
                      <w:sz w:val="18"/>
                      <w:szCs w:val="18"/>
                      <w:lang w:val="en-US" w:eastAsia="zh-CN" w:bidi="ar"/>
                    </w:rPr>
                  </w:pPr>
                  <w:r>
                    <w:rPr>
                      <w:rFonts w:hint="eastAsia"/>
                      <w:bCs/>
                      <w:color w:val="auto"/>
                      <w:kern w:val="0"/>
                      <w:sz w:val="18"/>
                      <w:szCs w:val="18"/>
                      <w:lang w:val="en-US" w:eastAsia="zh-CN" w:bidi="ar"/>
                    </w:rPr>
                    <w:t>二甲苯</w:t>
                  </w:r>
                </w:p>
              </w:tc>
              <w:tc>
                <w:tcPr>
                  <w:tcW w:w="659" w:type="pct"/>
                  <w:tcBorders>
                    <w:tl2br w:val="nil"/>
                    <w:tr2bl w:val="nil"/>
                  </w:tcBorders>
                  <w:shd w:val="clear" w:color="auto" w:fill="auto"/>
                  <w:vAlign w:val="center"/>
                </w:tcPr>
                <w:p w14:paraId="3D34736E">
                  <w:pPr>
                    <w:pStyle w:val="656"/>
                    <w:snapToGrid w:val="0"/>
                    <w:rPr>
                      <w:rFonts w:hint="eastAsia"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0.024</w:t>
                  </w:r>
                </w:p>
              </w:tc>
            </w:tr>
            <w:tr w14:paraId="4234C5B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332" w:type="pct"/>
                  <w:vMerge w:val="continue"/>
                  <w:tcBorders>
                    <w:tl2br w:val="nil"/>
                    <w:tr2bl w:val="nil"/>
                  </w:tcBorders>
                  <w:shd w:val="clear" w:color="auto" w:fill="auto"/>
                  <w:vAlign w:val="center"/>
                </w:tcPr>
                <w:p w14:paraId="22FABC6F">
                  <w:pPr>
                    <w:adjustRightInd w:val="0"/>
                    <w:snapToGrid w:val="0"/>
                    <w:jc w:val="center"/>
                    <w:rPr>
                      <w:rFonts w:hint="eastAsia"/>
                      <w:bCs/>
                      <w:color w:val="auto"/>
                      <w:kern w:val="0"/>
                      <w:sz w:val="18"/>
                      <w:szCs w:val="18"/>
                      <w:lang w:val="en-US" w:eastAsia="zh-CN" w:bidi="ar"/>
                    </w:rPr>
                  </w:pPr>
                </w:p>
              </w:tc>
              <w:tc>
                <w:tcPr>
                  <w:tcW w:w="341" w:type="pct"/>
                  <w:vMerge w:val="continue"/>
                  <w:tcBorders>
                    <w:tl2br w:val="nil"/>
                    <w:tr2bl w:val="nil"/>
                  </w:tcBorders>
                  <w:shd w:val="clear" w:color="auto" w:fill="auto"/>
                  <w:vAlign w:val="center"/>
                </w:tcPr>
                <w:p w14:paraId="674CB19F">
                  <w:pPr>
                    <w:adjustRightInd w:val="0"/>
                    <w:snapToGrid w:val="0"/>
                    <w:jc w:val="center"/>
                    <w:rPr>
                      <w:rFonts w:hint="eastAsia"/>
                      <w:bCs/>
                      <w:color w:val="auto"/>
                      <w:kern w:val="0"/>
                      <w:sz w:val="18"/>
                      <w:szCs w:val="18"/>
                      <w:lang w:val="en-US" w:eastAsia="zh-CN" w:bidi="ar"/>
                    </w:rPr>
                  </w:pPr>
                </w:p>
              </w:tc>
              <w:tc>
                <w:tcPr>
                  <w:tcW w:w="346" w:type="pct"/>
                  <w:vMerge w:val="continue"/>
                  <w:tcBorders>
                    <w:tl2br w:val="nil"/>
                    <w:tr2bl w:val="nil"/>
                  </w:tcBorders>
                  <w:shd w:val="clear" w:color="auto" w:fill="auto"/>
                  <w:vAlign w:val="center"/>
                </w:tcPr>
                <w:p w14:paraId="74FA029A">
                  <w:pPr>
                    <w:adjustRightInd w:val="0"/>
                    <w:snapToGrid w:val="0"/>
                    <w:jc w:val="center"/>
                    <w:rPr>
                      <w:rFonts w:hint="eastAsia"/>
                      <w:bCs/>
                      <w:color w:val="auto"/>
                      <w:kern w:val="0"/>
                      <w:sz w:val="18"/>
                      <w:szCs w:val="18"/>
                      <w:lang w:val="en-US" w:eastAsia="zh-CN" w:bidi="ar"/>
                    </w:rPr>
                  </w:pPr>
                </w:p>
              </w:tc>
              <w:tc>
                <w:tcPr>
                  <w:tcW w:w="442" w:type="pct"/>
                  <w:vMerge w:val="continue"/>
                  <w:tcBorders>
                    <w:tl2br w:val="nil"/>
                    <w:tr2bl w:val="nil"/>
                  </w:tcBorders>
                  <w:shd w:val="clear" w:color="auto" w:fill="auto"/>
                  <w:vAlign w:val="center"/>
                </w:tcPr>
                <w:p w14:paraId="5B0516DA">
                  <w:pPr>
                    <w:adjustRightInd w:val="0"/>
                    <w:snapToGrid w:val="0"/>
                    <w:jc w:val="center"/>
                    <w:rPr>
                      <w:rFonts w:hint="eastAsia"/>
                      <w:bCs/>
                      <w:color w:val="auto"/>
                      <w:kern w:val="0"/>
                      <w:sz w:val="18"/>
                      <w:szCs w:val="18"/>
                      <w:lang w:val="en-US" w:eastAsia="zh-CN" w:bidi="ar"/>
                    </w:rPr>
                  </w:pPr>
                </w:p>
              </w:tc>
              <w:tc>
                <w:tcPr>
                  <w:tcW w:w="552" w:type="pct"/>
                  <w:vMerge w:val="continue"/>
                  <w:tcBorders>
                    <w:tl2br w:val="nil"/>
                    <w:tr2bl w:val="nil"/>
                  </w:tcBorders>
                  <w:shd w:val="clear" w:color="auto" w:fill="auto"/>
                  <w:vAlign w:val="center"/>
                </w:tcPr>
                <w:p w14:paraId="3B3AD28B">
                  <w:pPr>
                    <w:adjustRightInd w:val="0"/>
                    <w:snapToGrid w:val="0"/>
                    <w:jc w:val="center"/>
                    <w:rPr>
                      <w:rFonts w:hint="eastAsia"/>
                      <w:bCs/>
                      <w:color w:val="auto"/>
                      <w:kern w:val="0"/>
                      <w:sz w:val="18"/>
                      <w:szCs w:val="18"/>
                      <w:lang w:val="en-US" w:eastAsia="zh-CN" w:bidi="ar"/>
                    </w:rPr>
                  </w:pPr>
                </w:p>
              </w:tc>
              <w:tc>
                <w:tcPr>
                  <w:tcW w:w="356" w:type="pct"/>
                  <w:vMerge w:val="continue"/>
                  <w:tcBorders>
                    <w:tl2br w:val="nil"/>
                    <w:tr2bl w:val="nil"/>
                  </w:tcBorders>
                  <w:shd w:val="clear" w:color="auto" w:fill="auto"/>
                  <w:vAlign w:val="center"/>
                </w:tcPr>
                <w:p w14:paraId="2F43708A">
                  <w:pPr>
                    <w:adjustRightInd w:val="0"/>
                    <w:snapToGrid w:val="0"/>
                    <w:jc w:val="center"/>
                    <w:rPr>
                      <w:rFonts w:hint="eastAsia"/>
                      <w:bCs/>
                      <w:color w:val="auto"/>
                      <w:kern w:val="0"/>
                      <w:sz w:val="18"/>
                      <w:szCs w:val="18"/>
                      <w:lang w:bidi="ar"/>
                    </w:rPr>
                  </w:pPr>
                </w:p>
              </w:tc>
              <w:tc>
                <w:tcPr>
                  <w:tcW w:w="434" w:type="pct"/>
                  <w:vMerge w:val="continue"/>
                  <w:tcBorders>
                    <w:tl2br w:val="nil"/>
                    <w:tr2bl w:val="nil"/>
                  </w:tcBorders>
                  <w:shd w:val="clear" w:color="auto" w:fill="auto"/>
                  <w:vAlign w:val="center"/>
                </w:tcPr>
                <w:p w14:paraId="4C8965D9">
                  <w:pPr>
                    <w:adjustRightInd w:val="0"/>
                    <w:snapToGrid w:val="0"/>
                    <w:jc w:val="center"/>
                    <w:rPr>
                      <w:rFonts w:hint="eastAsia"/>
                      <w:bCs/>
                      <w:color w:val="auto"/>
                      <w:kern w:val="0"/>
                      <w:sz w:val="18"/>
                      <w:szCs w:val="18"/>
                      <w:lang w:val="en-US" w:eastAsia="zh-CN" w:bidi="ar"/>
                    </w:rPr>
                  </w:pPr>
                </w:p>
              </w:tc>
              <w:tc>
                <w:tcPr>
                  <w:tcW w:w="544" w:type="pct"/>
                  <w:vMerge w:val="continue"/>
                  <w:tcBorders>
                    <w:tl2br w:val="nil"/>
                    <w:tr2bl w:val="nil"/>
                  </w:tcBorders>
                  <w:shd w:val="clear" w:color="auto" w:fill="auto"/>
                  <w:vAlign w:val="center"/>
                </w:tcPr>
                <w:p w14:paraId="0347A6D0">
                  <w:pPr>
                    <w:adjustRightInd w:val="0"/>
                    <w:snapToGrid w:val="0"/>
                    <w:jc w:val="center"/>
                    <w:rPr>
                      <w:rFonts w:hint="eastAsia"/>
                      <w:bCs/>
                      <w:color w:val="auto"/>
                      <w:kern w:val="0"/>
                      <w:sz w:val="18"/>
                      <w:szCs w:val="18"/>
                      <w:lang w:val="en-US" w:eastAsia="zh-CN" w:bidi="ar"/>
                    </w:rPr>
                  </w:pPr>
                </w:p>
              </w:tc>
              <w:tc>
                <w:tcPr>
                  <w:tcW w:w="338" w:type="pct"/>
                  <w:vMerge w:val="continue"/>
                  <w:tcBorders>
                    <w:tl2br w:val="nil"/>
                    <w:tr2bl w:val="nil"/>
                  </w:tcBorders>
                  <w:shd w:val="clear" w:color="auto" w:fill="auto"/>
                  <w:vAlign w:val="center"/>
                </w:tcPr>
                <w:p w14:paraId="22C493F7">
                  <w:pPr>
                    <w:adjustRightInd w:val="0"/>
                    <w:snapToGrid w:val="0"/>
                    <w:jc w:val="center"/>
                    <w:rPr>
                      <w:rFonts w:hint="eastAsia"/>
                      <w:bCs/>
                      <w:color w:val="auto"/>
                      <w:kern w:val="0"/>
                      <w:sz w:val="18"/>
                      <w:szCs w:val="18"/>
                      <w:lang w:bidi="ar"/>
                    </w:rPr>
                  </w:pPr>
                </w:p>
              </w:tc>
              <w:tc>
                <w:tcPr>
                  <w:tcW w:w="652" w:type="pct"/>
                  <w:tcBorders>
                    <w:tl2br w:val="nil"/>
                    <w:tr2bl w:val="nil"/>
                  </w:tcBorders>
                  <w:shd w:val="clear" w:color="auto" w:fill="auto"/>
                  <w:vAlign w:val="center"/>
                </w:tcPr>
                <w:p w14:paraId="5EBB34BF">
                  <w:pPr>
                    <w:adjustRightInd w:val="0"/>
                    <w:snapToGrid w:val="0"/>
                    <w:jc w:val="center"/>
                    <w:rPr>
                      <w:rFonts w:hint="eastAsia" w:eastAsia="宋体"/>
                      <w:b w:val="0"/>
                      <w:bCs/>
                      <w:color w:val="auto"/>
                      <w:kern w:val="0"/>
                      <w:sz w:val="18"/>
                      <w:szCs w:val="18"/>
                      <w:lang w:val="en-US" w:eastAsia="zh-CN" w:bidi="ar"/>
                    </w:rPr>
                  </w:pPr>
                  <w:r>
                    <w:rPr>
                      <w:rFonts w:hint="eastAsia"/>
                      <w:b w:val="0"/>
                      <w:bCs/>
                      <w:color w:val="auto"/>
                      <w:kern w:val="0"/>
                      <w:sz w:val="18"/>
                      <w:szCs w:val="18"/>
                      <w:lang w:val="en-US" w:eastAsia="zh-CN" w:bidi="ar"/>
                    </w:rPr>
                    <w:t>三甲苯</w:t>
                  </w:r>
                </w:p>
              </w:tc>
              <w:tc>
                <w:tcPr>
                  <w:tcW w:w="659" w:type="pct"/>
                  <w:tcBorders>
                    <w:tl2br w:val="nil"/>
                    <w:tr2bl w:val="nil"/>
                  </w:tcBorders>
                  <w:shd w:val="clear" w:color="auto" w:fill="auto"/>
                  <w:vAlign w:val="center"/>
                </w:tcPr>
                <w:p w14:paraId="377933DC">
                  <w:pPr>
                    <w:pStyle w:val="656"/>
                    <w:snapToGrid w:val="0"/>
                    <w:rPr>
                      <w:rFonts w:hint="default"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0.0009</w:t>
                  </w:r>
                </w:p>
              </w:tc>
            </w:tr>
            <w:tr w14:paraId="4CE78E1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332" w:type="pct"/>
                  <w:vMerge w:val="continue"/>
                  <w:tcBorders>
                    <w:tl2br w:val="nil"/>
                    <w:tr2bl w:val="nil"/>
                  </w:tcBorders>
                  <w:shd w:val="clear" w:color="auto" w:fill="auto"/>
                  <w:vAlign w:val="center"/>
                </w:tcPr>
                <w:p w14:paraId="3AC3C048">
                  <w:pPr>
                    <w:adjustRightInd w:val="0"/>
                    <w:snapToGrid w:val="0"/>
                    <w:jc w:val="center"/>
                    <w:rPr>
                      <w:bCs/>
                      <w:color w:val="auto"/>
                      <w:kern w:val="0"/>
                      <w:sz w:val="18"/>
                      <w:szCs w:val="18"/>
                      <w:lang w:bidi="ar"/>
                    </w:rPr>
                  </w:pPr>
                </w:p>
              </w:tc>
              <w:tc>
                <w:tcPr>
                  <w:tcW w:w="341" w:type="pct"/>
                  <w:vMerge w:val="continue"/>
                  <w:tcBorders>
                    <w:tl2br w:val="nil"/>
                    <w:tr2bl w:val="nil"/>
                  </w:tcBorders>
                  <w:shd w:val="clear" w:color="auto" w:fill="auto"/>
                  <w:vAlign w:val="center"/>
                </w:tcPr>
                <w:p w14:paraId="1CDF96B4">
                  <w:pPr>
                    <w:adjustRightInd w:val="0"/>
                    <w:snapToGrid w:val="0"/>
                    <w:jc w:val="center"/>
                    <w:rPr>
                      <w:bCs/>
                      <w:color w:val="auto"/>
                      <w:kern w:val="0"/>
                      <w:sz w:val="18"/>
                      <w:szCs w:val="18"/>
                      <w:lang w:bidi="ar"/>
                    </w:rPr>
                  </w:pPr>
                </w:p>
              </w:tc>
              <w:tc>
                <w:tcPr>
                  <w:tcW w:w="346" w:type="pct"/>
                  <w:vMerge w:val="continue"/>
                  <w:tcBorders>
                    <w:tl2br w:val="nil"/>
                    <w:tr2bl w:val="nil"/>
                  </w:tcBorders>
                  <w:shd w:val="clear" w:color="auto" w:fill="auto"/>
                  <w:vAlign w:val="center"/>
                </w:tcPr>
                <w:p w14:paraId="74956A75">
                  <w:pPr>
                    <w:adjustRightInd w:val="0"/>
                    <w:snapToGrid w:val="0"/>
                    <w:jc w:val="center"/>
                    <w:rPr>
                      <w:bCs/>
                      <w:color w:val="auto"/>
                      <w:kern w:val="0"/>
                      <w:sz w:val="18"/>
                      <w:szCs w:val="18"/>
                      <w:lang w:bidi="ar"/>
                    </w:rPr>
                  </w:pPr>
                </w:p>
              </w:tc>
              <w:tc>
                <w:tcPr>
                  <w:tcW w:w="442" w:type="pct"/>
                  <w:vMerge w:val="continue"/>
                  <w:tcBorders>
                    <w:tl2br w:val="nil"/>
                    <w:tr2bl w:val="nil"/>
                  </w:tcBorders>
                  <w:shd w:val="clear" w:color="auto" w:fill="auto"/>
                  <w:vAlign w:val="center"/>
                </w:tcPr>
                <w:p w14:paraId="19060849">
                  <w:pPr>
                    <w:adjustRightInd w:val="0"/>
                    <w:snapToGrid w:val="0"/>
                    <w:jc w:val="center"/>
                    <w:rPr>
                      <w:bCs/>
                      <w:color w:val="auto"/>
                      <w:kern w:val="0"/>
                      <w:sz w:val="18"/>
                      <w:szCs w:val="18"/>
                      <w:lang w:bidi="ar"/>
                    </w:rPr>
                  </w:pPr>
                </w:p>
              </w:tc>
              <w:tc>
                <w:tcPr>
                  <w:tcW w:w="552" w:type="pct"/>
                  <w:vMerge w:val="continue"/>
                  <w:tcBorders>
                    <w:tl2br w:val="nil"/>
                    <w:tr2bl w:val="nil"/>
                  </w:tcBorders>
                  <w:shd w:val="clear" w:color="auto" w:fill="auto"/>
                  <w:vAlign w:val="center"/>
                </w:tcPr>
                <w:p w14:paraId="745DBE4F">
                  <w:pPr>
                    <w:adjustRightInd w:val="0"/>
                    <w:snapToGrid w:val="0"/>
                    <w:jc w:val="center"/>
                    <w:rPr>
                      <w:bCs/>
                      <w:color w:val="auto"/>
                      <w:kern w:val="0"/>
                      <w:sz w:val="18"/>
                      <w:szCs w:val="18"/>
                      <w:lang w:bidi="ar"/>
                    </w:rPr>
                  </w:pPr>
                </w:p>
              </w:tc>
              <w:tc>
                <w:tcPr>
                  <w:tcW w:w="356" w:type="pct"/>
                  <w:vMerge w:val="continue"/>
                  <w:tcBorders>
                    <w:tl2br w:val="nil"/>
                    <w:tr2bl w:val="nil"/>
                  </w:tcBorders>
                  <w:shd w:val="clear" w:color="auto" w:fill="auto"/>
                  <w:vAlign w:val="center"/>
                </w:tcPr>
                <w:p w14:paraId="4511E1DC">
                  <w:pPr>
                    <w:adjustRightInd w:val="0"/>
                    <w:snapToGrid w:val="0"/>
                    <w:jc w:val="center"/>
                    <w:rPr>
                      <w:bCs/>
                      <w:color w:val="auto"/>
                      <w:kern w:val="0"/>
                      <w:sz w:val="18"/>
                      <w:szCs w:val="18"/>
                      <w:lang w:bidi="ar"/>
                    </w:rPr>
                  </w:pPr>
                </w:p>
              </w:tc>
              <w:tc>
                <w:tcPr>
                  <w:tcW w:w="434" w:type="pct"/>
                  <w:vMerge w:val="continue"/>
                  <w:tcBorders>
                    <w:tl2br w:val="nil"/>
                    <w:tr2bl w:val="nil"/>
                  </w:tcBorders>
                  <w:shd w:val="clear" w:color="auto" w:fill="auto"/>
                  <w:vAlign w:val="center"/>
                </w:tcPr>
                <w:p w14:paraId="431D21FF">
                  <w:pPr>
                    <w:adjustRightInd w:val="0"/>
                    <w:snapToGrid w:val="0"/>
                    <w:jc w:val="center"/>
                    <w:rPr>
                      <w:bCs/>
                      <w:color w:val="auto"/>
                      <w:kern w:val="0"/>
                      <w:sz w:val="18"/>
                      <w:szCs w:val="18"/>
                      <w:lang w:bidi="ar"/>
                    </w:rPr>
                  </w:pPr>
                </w:p>
              </w:tc>
              <w:tc>
                <w:tcPr>
                  <w:tcW w:w="544" w:type="pct"/>
                  <w:vMerge w:val="continue"/>
                  <w:tcBorders>
                    <w:tl2br w:val="nil"/>
                    <w:tr2bl w:val="nil"/>
                  </w:tcBorders>
                  <w:shd w:val="clear" w:color="auto" w:fill="auto"/>
                  <w:vAlign w:val="center"/>
                </w:tcPr>
                <w:p w14:paraId="4DA2040F">
                  <w:pPr>
                    <w:adjustRightInd w:val="0"/>
                    <w:snapToGrid w:val="0"/>
                    <w:jc w:val="center"/>
                    <w:rPr>
                      <w:bCs/>
                      <w:color w:val="auto"/>
                      <w:kern w:val="0"/>
                      <w:sz w:val="18"/>
                      <w:szCs w:val="18"/>
                      <w:lang w:bidi="ar"/>
                    </w:rPr>
                  </w:pPr>
                </w:p>
              </w:tc>
              <w:tc>
                <w:tcPr>
                  <w:tcW w:w="338" w:type="pct"/>
                  <w:vMerge w:val="continue"/>
                  <w:tcBorders>
                    <w:tl2br w:val="nil"/>
                    <w:tr2bl w:val="nil"/>
                  </w:tcBorders>
                  <w:shd w:val="clear" w:color="auto" w:fill="auto"/>
                  <w:vAlign w:val="center"/>
                </w:tcPr>
                <w:p w14:paraId="312B8F72">
                  <w:pPr>
                    <w:adjustRightInd w:val="0"/>
                    <w:snapToGrid w:val="0"/>
                    <w:jc w:val="center"/>
                    <w:rPr>
                      <w:bCs/>
                      <w:color w:val="auto"/>
                      <w:kern w:val="0"/>
                      <w:sz w:val="18"/>
                      <w:szCs w:val="18"/>
                      <w:lang w:bidi="ar"/>
                    </w:rPr>
                  </w:pPr>
                </w:p>
              </w:tc>
              <w:tc>
                <w:tcPr>
                  <w:tcW w:w="652" w:type="pct"/>
                  <w:tcBorders>
                    <w:tl2br w:val="nil"/>
                    <w:tr2bl w:val="nil"/>
                  </w:tcBorders>
                  <w:shd w:val="clear" w:color="auto" w:fill="auto"/>
                  <w:vAlign w:val="center"/>
                </w:tcPr>
                <w:p w14:paraId="7106ECB9">
                  <w:pPr>
                    <w:adjustRightInd w:val="0"/>
                    <w:snapToGrid w:val="0"/>
                    <w:jc w:val="center"/>
                    <w:rPr>
                      <w:rFonts w:hint="default" w:ascii="Times New Roman" w:hAnsi="Times New Roman" w:eastAsia="宋体" w:cs="Times New Roman"/>
                      <w:bCs/>
                      <w:snapToGrid w:val="0"/>
                      <w:color w:val="auto"/>
                      <w:kern w:val="0"/>
                      <w:sz w:val="18"/>
                      <w:szCs w:val="18"/>
                      <w:lang w:val="en-US" w:eastAsia="zh-CN" w:bidi="ar"/>
                    </w:rPr>
                  </w:pPr>
                  <w:r>
                    <w:rPr>
                      <w:rFonts w:hint="eastAsia"/>
                      <w:bCs/>
                      <w:color w:val="auto"/>
                      <w:kern w:val="0"/>
                      <w:sz w:val="18"/>
                      <w:szCs w:val="18"/>
                      <w:lang w:val="en-US" w:eastAsia="zh-CN" w:bidi="ar"/>
                    </w:rPr>
                    <w:t>颗粒物</w:t>
                  </w:r>
                </w:p>
              </w:tc>
              <w:tc>
                <w:tcPr>
                  <w:tcW w:w="659" w:type="pct"/>
                  <w:tcBorders>
                    <w:tl2br w:val="nil"/>
                    <w:tr2bl w:val="nil"/>
                  </w:tcBorders>
                  <w:shd w:val="clear" w:color="auto" w:fill="auto"/>
                  <w:vAlign w:val="center"/>
                </w:tcPr>
                <w:p w14:paraId="44A7B015">
                  <w:pPr>
                    <w:pStyle w:val="656"/>
                    <w:snapToGrid w:val="0"/>
                    <w:rPr>
                      <w:rFonts w:hint="default"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0.0082</w:t>
                  </w:r>
                </w:p>
              </w:tc>
            </w:tr>
            <w:tr w14:paraId="616F310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000" w:type="pct"/>
                  <w:gridSpan w:val="11"/>
                  <w:tcBorders>
                    <w:tl2br w:val="nil"/>
                    <w:tr2bl w:val="nil"/>
                  </w:tcBorders>
                  <w:shd w:val="clear" w:color="auto" w:fill="auto"/>
                  <w:vAlign w:val="center"/>
                </w:tcPr>
                <w:p w14:paraId="00280B35">
                  <w:pPr>
                    <w:adjustRightInd w:val="0"/>
                    <w:snapToGrid w:val="0"/>
                    <w:jc w:val="left"/>
                    <w:rPr>
                      <w:b/>
                      <w:color w:val="auto"/>
                      <w:kern w:val="0"/>
                      <w:sz w:val="18"/>
                      <w:szCs w:val="18"/>
                      <w:lang w:bidi="ar"/>
                    </w:rPr>
                  </w:pPr>
                  <w:r>
                    <w:rPr>
                      <w:rFonts w:hint="eastAsia"/>
                      <w:b/>
                      <w:color w:val="auto"/>
                      <w:kern w:val="0"/>
                      <w:sz w:val="18"/>
                      <w:szCs w:val="18"/>
                      <w:lang w:bidi="ar"/>
                    </w:rPr>
                    <w:t>注：坐标以</w:t>
                  </w:r>
                  <w:r>
                    <w:rPr>
                      <w:rFonts w:hint="eastAsia"/>
                      <w:b/>
                      <w:color w:val="auto"/>
                      <w:kern w:val="0"/>
                      <w:sz w:val="18"/>
                      <w:szCs w:val="18"/>
                      <w:lang w:val="en-US" w:eastAsia="zh-CN" w:bidi="ar"/>
                    </w:rPr>
                    <w:t>厂房</w:t>
                  </w:r>
                  <w:r>
                    <w:rPr>
                      <w:rFonts w:hint="eastAsia"/>
                      <w:b/>
                      <w:color w:val="auto"/>
                      <w:kern w:val="0"/>
                      <w:sz w:val="18"/>
                      <w:szCs w:val="18"/>
                      <w:lang w:bidi="ar"/>
                    </w:rPr>
                    <w:t>左下角为原点（0,0）</w:t>
                  </w:r>
                  <w:r>
                    <w:rPr>
                      <w:rFonts w:hint="eastAsia"/>
                      <w:b/>
                      <w:color w:val="auto"/>
                      <w:kern w:val="0"/>
                      <w:sz w:val="18"/>
                      <w:szCs w:val="18"/>
                      <w:lang w:eastAsia="zh-CN" w:bidi="ar"/>
                    </w:rPr>
                    <w:t>，</w:t>
                  </w:r>
                  <w:r>
                    <w:rPr>
                      <w:rFonts w:hint="eastAsia"/>
                      <w:b/>
                      <w:color w:val="auto"/>
                      <w:kern w:val="0"/>
                      <w:sz w:val="18"/>
                      <w:szCs w:val="18"/>
                      <w:lang w:bidi="ar"/>
                    </w:rPr>
                    <w:t>非甲烷总烃中包含</w:t>
                  </w:r>
                  <w:r>
                    <w:rPr>
                      <w:rFonts w:hint="eastAsia"/>
                      <w:b/>
                      <w:color w:val="auto"/>
                      <w:kern w:val="0"/>
                      <w:sz w:val="18"/>
                      <w:szCs w:val="18"/>
                      <w:lang w:val="en-US" w:eastAsia="zh-CN" w:bidi="ar"/>
                    </w:rPr>
                    <w:t>苯系物（其中包含二甲苯、三甲苯）</w:t>
                  </w:r>
                  <w:r>
                    <w:rPr>
                      <w:rFonts w:hint="eastAsia"/>
                      <w:b/>
                      <w:color w:val="auto"/>
                      <w:kern w:val="0"/>
                      <w:sz w:val="18"/>
                      <w:szCs w:val="18"/>
                      <w:lang w:eastAsia="zh-CN" w:bidi="ar"/>
                    </w:rPr>
                    <w:t>。</w:t>
                  </w:r>
                </w:p>
              </w:tc>
            </w:tr>
          </w:tbl>
          <w:p w14:paraId="6590657A">
            <w:pPr>
              <w:adjustRightInd w:val="0"/>
              <w:snapToGrid w:val="0"/>
              <w:jc w:val="center"/>
              <w:rPr>
                <w:b/>
                <w:bCs/>
                <w:color w:val="auto"/>
                <w:kern w:val="0"/>
              </w:rPr>
            </w:pPr>
            <w:r>
              <w:rPr>
                <w:rFonts w:hint="eastAsia"/>
                <w:b/>
                <w:bCs/>
                <w:color w:val="auto"/>
                <w:kern w:val="0"/>
              </w:rPr>
              <w:t>表4-</w:t>
            </w:r>
            <w:r>
              <w:rPr>
                <w:rFonts w:hint="eastAsia"/>
                <w:b/>
                <w:bCs/>
                <w:color w:val="auto"/>
                <w:kern w:val="0"/>
                <w:lang w:val="en-US" w:eastAsia="zh-CN"/>
              </w:rPr>
              <w:t>5</w:t>
            </w:r>
            <w:r>
              <w:rPr>
                <w:rFonts w:hint="eastAsia"/>
                <w:b/>
                <w:bCs/>
                <w:color w:val="auto"/>
                <w:kern w:val="0"/>
              </w:rPr>
              <w:t xml:space="preserve">   矩形面源参数表</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35"/>
              <w:gridCol w:w="508"/>
              <w:gridCol w:w="512"/>
              <w:gridCol w:w="774"/>
              <w:gridCol w:w="774"/>
              <w:gridCol w:w="875"/>
              <w:gridCol w:w="854"/>
              <w:gridCol w:w="912"/>
              <w:gridCol w:w="615"/>
              <w:gridCol w:w="1139"/>
              <w:gridCol w:w="1158"/>
            </w:tblGrid>
            <w:tr w14:paraId="7A67098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15" w:type="pct"/>
                  <w:vMerge w:val="restart"/>
                  <w:tcBorders>
                    <w:tl2br w:val="nil"/>
                    <w:tr2bl w:val="nil"/>
                  </w:tcBorders>
                  <w:shd w:val="clear" w:color="auto" w:fill="auto"/>
                  <w:vAlign w:val="center"/>
                </w:tcPr>
                <w:p w14:paraId="2B7C60F8">
                  <w:pPr>
                    <w:adjustRightInd w:val="0"/>
                    <w:snapToGrid w:val="0"/>
                    <w:jc w:val="center"/>
                    <w:rPr>
                      <w:b/>
                      <w:bCs/>
                      <w:color w:val="auto"/>
                      <w:kern w:val="0"/>
                      <w:sz w:val="18"/>
                      <w:szCs w:val="18"/>
                    </w:rPr>
                  </w:pPr>
                  <w:r>
                    <w:rPr>
                      <w:b/>
                      <w:bCs/>
                      <w:color w:val="auto"/>
                      <w:kern w:val="0"/>
                      <w:sz w:val="18"/>
                      <w:szCs w:val="18"/>
                    </w:rPr>
                    <w:t>名称</w:t>
                  </w:r>
                </w:p>
              </w:tc>
              <w:tc>
                <w:tcPr>
                  <w:tcW w:w="576" w:type="pct"/>
                  <w:gridSpan w:val="2"/>
                  <w:tcBorders>
                    <w:tl2br w:val="nil"/>
                    <w:tr2bl w:val="nil"/>
                  </w:tcBorders>
                  <w:shd w:val="clear" w:color="auto" w:fill="auto"/>
                  <w:vAlign w:val="center"/>
                </w:tcPr>
                <w:p w14:paraId="03ECFDF0">
                  <w:pPr>
                    <w:adjustRightInd w:val="0"/>
                    <w:snapToGrid w:val="0"/>
                    <w:jc w:val="center"/>
                    <w:rPr>
                      <w:b/>
                      <w:bCs/>
                      <w:color w:val="auto"/>
                      <w:kern w:val="0"/>
                      <w:sz w:val="18"/>
                      <w:szCs w:val="18"/>
                    </w:rPr>
                  </w:pPr>
                  <w:r>
                    <w:rPr>
                      <w:b/>
                      <w:bCs/>
                      <w:color w:val="auto"/>
                      <w:kern w:val="0"/>
                      <w:sz w:val="18"/>
                      <w:szCs w:val="18"/>
                    </w:rPr>
                    <w:t>面源起点坐标m</w:t>
                  </w:r>
                </w:p>
              </w:tc>
              <w:tc>
                <w:tcPr>
                  <w:tcW w:w="437" w:type="pct"/>
                  <w:vMerge w:val="restart"/>
                  <w:tcBorders>
                    <w:tl2br w:val="nil"/>
                    <w:tr2bl w:val="nil"/>
                  </w:tcBorders>
                  <w:shd w:val="clear" w:color="auto" w:fill="auto"/>
                  <w:vAlign w:val="center"/>
                </w:tcPr>
                <w:p w14:paraId="04D7DAF7">
                  <w:pPr>
                    <w:adjustRightInd w:val="0"/>
                    <w:snapToGrid w:val="0"/>
                    <w:jc w:val="center"/>
                    <w:rPr>
                      <w:b/>
                      <w:bCs/>
                      <w:color w:val="auto"/>
                      <w:kern w:val="0"/>
                      <w:sz w:val="18"/>
                      <w:szCs w:val="18"/>
                    </w:rPr>
                  </w:pPr>
                  <w:r>
                    <w:rPr>
                      <w:b/>
                      <w:bCs/>
                      <w:color w:val="auto"/>
                      <w:kern w:val="0"/>
                      <w:sz w:val="18"/>
                      <w:szCs w:val="18"/>
                    </w:rPr>
                    <w:t>面源长度m</w:t>
                  </w:r>
                </w:p>
              </w:tc>
              <w:tc>
                <w:tcPr>
                  <w:tcW w:w="437" w:type="pct"/>
                  <w:vMerge w:val="restart"/>
                  <w:tcBorders>
                    <w:tl2br w:val="nil"/>
                    <w:tr2bl w:val="nil"/>
                  </w:tcBorders>
                  <w:shd w:val="clear" w:color="auto" w:fill="auto"/>
                  <w:vAlign w:val="center"/>
                </w:tcPr>
                <w:p w14:paraId="1670AC9C">
                  <w:pPr>
                    <w:adjustRightInd w:val="0"/>
                    <w:snapToGrid w:val="0"/>
                    <w:jc w:val="center"/>
                    <w:rPr>
                      <w:b/>
                      <w:bCs/>
                      <w:color w:val="auto"/>
                      <w:kern w:val="0"/>
                      <w:sz w:val="18"/>
                      <w:szCs w:val="18"/>
                    </w:rPr>
                  </w:pPr>
                  <w:r>
                    <w:rPr>
                      <w:b/>
                      <w:bCs/>
                      <w:color w:val="auto"/>
                      <w:kern w:val="0"/>
                      <w:sz w:val="18"/>
                      <w:szCs w:val="18"/>
                    </w:rPr>
                    <w:t>面源宽度m</w:t>
                  </w:r>
                </w:p>
              </w:tc>
              <w:tc>
                <w:tcPr>
                  <w:tcW w:w="494" w:type="pct"/>
                  <w:vMerge w:val="restart"/>
                  <w:tcBorders>
                    <w:tl2br w:val="nil"/>
                    <w:tr2bl w:val="nil"/>
                  </w:tcBorders>
                  <w:shd w:val="clear" w:color="auto" w:fill="auto"/>
                  <w:vAlign w:val="center"/>
                </w:tcPr>
                <w:p w14:paraId="3BF78A8A">
                  <w:pPr>
                    <w:adjustRightInd w:val="0"/>
                    <w:snapToGrid w:val="0"/>
                    <w:jc w:val="center"/>
                    <w:rPr>
                      <w:b/>
                      <w:bCs/>
                      <w:color w:val="auto"/>
                      <w:kern w:val="0"/>
                      <w:sz w:val="18"/>
                      <w:szCs w:val="18"/>
                    </w:rPr>
                  </w:pPr>
                  <w:r>
                    <w:rPr>
                      <w:b/>
                      <w:bCs/>
                      <w:color w:val="auto"/>
                      <w:kern w:val="0"/>
                      <w:sz w:val="18"/>
                      <w:szCs w:val="18"/>
                    </w:rPr>
                    <w:t>与正北向夹角°</w:t>
                  </w:r>
                </w:p>
              </w:tc>
              <w:tc>
                <w:tcPr>
                  <w:tcW w:w="482" w:type="pct"/>
                  <w:vMerge w:val="restart"/>
                  <w:tcBorders>
                    <w:tl2br w:val="nil"/>
                    <w:tr2bl w:val="nil"/>
                  </w:tcBorders>
                  <w:shd w:val="clear" w:color="auto" w:fill="auto"/>
                  <w:vAlign w:val="center"/>
                </w:tcPr>
                <w:p w14:paraId="234B9957">
                  <w:pPr>
                    <w:adjustRightInd w:val="0"/>
                    <w:snapToGrid w:val="0"/>
                    <w:jc w:val="center"/>
                    <w:rPr>
                      <w:b/>
                      <w:bCs/>
                      <w:color w:val="auto"/>
                      <w:kern w:val="0"/>
                      <w:sz w:val="18"/>
                      <w:szCs w:val="18"/>
                    </w:rPr>
                  </w:pPr>
                  <w:r>
                    <w:rPr>
                      <w:b/>
                      <w:bCs/>
                      <w:color w:val="auto"/>
                      <w:kern w:val="0"/>
                      <w:sz w:val="18"/>
                      <w:szCs w:val="18"/>
                    </w:rPr>
                    <w:t>面源有效排放高度m</w:t>
                  </w:r>
                </w:p>
              </w:tc>
              <w:tc>
                <w:tcPr>
                  <w:tcW w:w="515" w:type="pct"/>
                  <w:vMerge w:val="restart"/>
                  <w:tcBorders>
                    <w:tl2br w:val="nil"/>
                    <w:tr2bl w:val="nil"/>
                  </w:tcBorders>
                  <w:shd w:val="clear" w:color="auto" w:fill="auto"/>
                  <w:vAlign w:val="center"/>
                </w:tcPr>
                <w:p w14:paraId="21A84180">
                  <w:pPr>
                    <w:adjustRightInd w:val="0"/>
                    <w:snapToGrid w:val="0"/>
                    <w:jc w:val="center"/>
                    <w:rPr>
                      <w:b/>
                      <w:bCs/>
                      <w:color w:val="auto"/>
                      <w:kern w:val="0"/>
                      <w:sz w:val="18"/>
                      <w:szCs w:val="18"/>
                    </w:rPr>
                  </w:pPr>
                  <w:r>
                    <w:rPr>
                      <w:b/>
                      <w:bCs/>
                      <w:color w:val="auto"/>
                      <w:kern w:val="0"/>
                      <w:sz w:val="18"/>
                      <w:szCs w:val="18"/>
                    </w:rPr>
                    <w:t>年排放小时数h</w:t>
                  </w:r>
                </w:p>
              </w:tc>
              <w:tc>
                <w:tcPr>
                  <w:tcW w:w="347" w:type="pct"/>
                  <w:vMerge w:val="restart"/>
                  <w:tcBorders>
                    <w:tl2br w:val="nil"/>
                    <w:tr2bl w:val="nil"/>
                  </w:tcBorders>
                  <w:shd w:val="clear" w:color="auto" w:fill="auto"/>
                  <w:vAlign w:val="center"/>
                </w:tcPr>
                <w:p w14:paraId="4BFD1DC2">
                  <w:pPr>
                    <w:adjustRightInd w:val="0"/>
                    <w:snapToGrid w:val="0"/>
                    <w:jc w:val="center"/>
                    <w:rPr>
                      <w:b/>
                      <w:bCs/>
                      <w:color w:val="auto"/>
                      <w:kern w:val="0"/>
                      <w:sz w:val="18"/>
                      <w:szCs w:val="18"/>
                    </w:rPr>
                  </w:pPr>
                  <w:r>
                    <w:rPr>
                      <w:b/>
                      <w:bCs/>
                      <w:color w:val="auto"/>
                      <w:kern w:val="0"/>
                      <w:sz w:val="18"/>
                      <w:szCs w:val="18"/>
                    </w:rPr>
                    <w:t>排放工况</w:t>
                  </w:r>
                </w:p>
              </w:tc>
              <w:tc>
                <w:tcPr>
                  <w:tcW w:w="643" w:type="pct"/>
                  <w:vMerge w:val="restart"/>
                  <w:tcBorders>
                    <w:tl2br w:val="nil"/>
                    <w:tr2bl w:val="nil"/>
                  </w:tcBorders>
                  <w:shd w:val="clear" w:color="auto" w:fill="auto"/>
                  <w:vAlign w:val="center"/>
                </w:tcPr>
                <w:p w14:paraId="17F25F25">
                  <w:pPr>
                    <w:adjustRightInd w:val="0"/>
                    <w:snapToGrid w:val="0"/>
                    <w:jc w:val="center"/>
                    <w:rPr>
                      <w:rFonts w:hint="eastAsia" w:eastAsia="宋体"/>
                      <w:b/>
                      <w:bCs/>
                      <w:color w:val="auto"/>
                      <w:kern w:val="0"/>
                      <w:sz w:val="18"/>
                      <w:szCs w:val="18"/>
                      <w:lang w:val="en-US" w:eastAsia="zh-CN"/>
                    </w:rPr>
                  </w:pPr>
                  <w:r>
                    <w:rPr>
                      <w:rFonts w:hint="eastAsia"/>
                      <w:b/>
                      <w:bCs/>
                      <w:color w:val="auto"/>
                      <w:kern w:val="0"/>
                      <w:sz w:val="18"/>
                      <w:szCs w:val="18"/>
                      <w:lang w:val="en-US" w:eastAsia="zh-CN"/>
                    </w:rPr>
                    <w:t>污染因子</w:t>
                  </w:r>
                </w:p>
              </w:tc>
              <w:tc>
                <w:tcPr>
                  <w:tcW w:w="649" w:type="pct"/>
                  <w:vMerge w:val="restart"/>
                  <w:tcBorders>
                    <w:tl2br w:val="nil"/>
                    <w:tr2bl w:val="nil"/>
                  </w:tcBorders>
                  <w:shd w:val="clear" w:color="auto" w:fill="auto"/>
                  <w:vAlign w:val="center"/>
                </w:tcPr>
                <w:p w14:paraId="37A149E8">
                  <w:pPr>
                    <w:adjustRightInd w:val="0"/>
                    <w:snapToGrid w:val="0"/>
                    <w:jc w:val="center"/>
                    <w:rPr>
                      <w:b/>
                      <w:bCs/>
                      <w:color w:val="auto"/>
                      <w:kern w:val="0"/>
                      <w:sz w:val="18"/>
                      <w:szCs w:val="18"/>
                    </w:rPr>
                  </w:pPr>
                  <w:r>
                    <w:rPr>
                      <w:b/>
                      <w:bCs/>
                      <w:color w:val="auto"/>
                      <w:kern w:val="0"/>
                      <w:sz w:val="18"/>
                      <w:szCs w:val="18"/>
                    </w:rPr>
                    <w:t>污染物排放速率kg/h</w:t>
                  </w:r>
                </w:p>
              </w:tc>
            </w:tr>
            <w:tr w14:paraId="125AE9A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15" w:type="pct"/>
                  <w:vMerge w:val="continue"/>
                  <w:tcBorders>
                    <w:tl2br w:val="nil"/>
                    <w:tr2bl w:val="nil"/>
                  </w:tcBorders>
                  <w:shd w:val="clear" w:color="auto" w:fill="auto"/>
                  <w:vAlign w:val="center"/>
                </w:tcPr>
                <w:p w14:paraId="6EE0C3FD">
                  <w:pPr>
                    <w:adjustRightInd w:val="0"/>
                    <w:snapToGrid w:val="0"/>
                    <w:jc w:val="center"/>
                    <w:rPr>
                      <w:color w:val="auto"/>
                      <w:kern w:val="0"/>
                      <w:sz w:val="18"/>
                      <w:szCs w:val="18"/>
                    </w:rPr>
                  </w:pPr>
                </w:p>
              </w:tc>
              <w:tc>
                <w:tcPr>
                  <w:tcW w:w="287" w:type="pct"/>
                  <w:tcBorders>
                    <w:tl2br w:val="nil"/>
                    <w:tr2bl w:val="nil"/>
                  </w:tcBorders>
                  <w:shd w:val="clear" w:color="auto" w:fill="auto"/>
                  <w:vAlign w:val="center"/>
                </w:tcPr>
                <w:p w14:paraId="657C1CD1">
                  <w:pPr>
                    <w:adjustRightInd w:val="0"/>
                    <w:snapToGrid w:val="0"/>
                    <w:jc w:val="center"/>
                    <w:rPr>
                      <w:b/>
                      <w:bCs/>
                      <w:color w:val="auto"/>
                      <w:kern w:val="0"/>
                      <w:sz w:val="18"/>
                      <w:szCs w:val="18"/>
                    </w:rPr>
                  </w:pPr>
                  <w:r>
                    <w:rPr>
                      <w:b/>
                      <w:bCs/>
                      <w:color w:val="auto"/>
                      <w:kern w:val="0"/>
                      <w:sz w:val="18"/>
                      <w:szCs w:val="18"/>
                    </w:rPr>
                    <w:t>x</w:t>
                  </w:r>
                </w:p>
              </w:tc>
              <w:tc>
                <w:tcPr>
                  <w:tcW w:w="288" w:type="pct"/>
                  <w:tcBorders>
                    <w:tl2br w:val="nil"/>
                    <w:tr2bl w:val="nil"/>
                  </w:tcBorders>
                  <w:shd w:val="clear" w:color="auto" w:fill="auto"/>
                  <w:vAlign w:val="center"/>
                </w:tcPr>
                <w:p w14:paraId="048CBC39">
                  <w:pPr>
                    <w:adjustRightInd w:val="0"/>
                    <w:snapToGrid w:val="0"/>
                    <w:jc w:val="center"/>
                    <w:rPr>
                      <w:b/>
                      <w:bCs/>
                      <w:color w:val="auto"/>
                      <w:kern w:val="0"/>
                      <w:sz w:val="18"/>
                      <w:szCs w:val="18"/>
                    </w:rPr>
                  </w:pPr>
                  <w:r>
                    <w:rPr>
                      <w:b/>
                      <w:bCs/>
                      <w:color w:val="auto"/>
                      <w:kern w:val="0"/>
                      <w:sz w:val="18"/>
                      <w:szCs w:val="18"/>
                    </w:rPr>
                    <w:t>y</w:t>
                  </w:r>
                </w:p>
              </w:tc>
              <w:tc>
                <w:tcPr>
                  <w:tcW w:w="437" w:type="pct"/>
                  <w:vMerge w:val="continue"/>
                  <w:tcBorders>
                    <w:tl2br w:val="nil"/>
                    <w:tr2bl w:val="nil"/>
                  </w:tcBorders>
                  <w:shd w:val="clear" w:color="auto" w:fill="auto"/>
                  <w:vAlign w:val="center"/>
                </w:tcPr>
                <w:p w14:paraId="7B541D0F">
                  <w:pPr>
                    <w:adjustRightInd w:val="0"/>
                    <w:snapToGrid w:val="0"/>
                    <w:jc w:val="center"/>
                    <w:rPr>
                      <w:b/>
                      <w:bCs/>
                      <w:color w:val="auto"/>
                      <w:kern w:val="0"/>
                      <w:sz w:val="18"/>
                      <w:szCs w:val="18"/>
                    </w:rPr>
                  </w:pPr>
                </w:p>
              </w:tc>
              <w:tc>
                <w:tcPr>
                  <w:tcW w:w="437" w:type="pct"/>
                  <w:vMerge w:val="continue"/>
                  <w:tcBorders>
                    <w:tl2br w:val="nil"/>
                    <w:tr2bl w:val="nil"/>
                  </w:tcBorders>
                  <w:shd w:val="clear" w:color="auto" w:fill="auto"/>
                  <w:vAlign w:val="center"/>
                </w:tcPr>
                <w:p w14:paraId="67E98284">
                  <w:pPr>
                    <w:adjustRightInd w:val="0"/>
                    <w:snapToGrid w:val="0"/>
                    <w:jc w:val="center"/>
                    <w:rPr>
                      <w:b/>
                      <w:bCs/>
                      <w:color w:val="auto"/>
                      <w:kern w:val="0"/>
                      <w:sz w:val="18"/>
                      <w:szCs w:val="18"/>
                    </w:rPr>
                  </w:pPr>
                </w:p>
              </w:tc>
              <w:tc>
                <w:tcPr>
                  <w:tcW w:w="494" w:type="pct"/>
                  <w:vMerge w:val="continue"/>
                  <w:tcBorders>
                    <w:tl2br w:val="nil"/>
                    <w:tr2bl w:val="nil"/>
                  </w:tcBorders>
                  <w:shd w:val="clear" w:color="auto" w:fill="auto"/>
                  <w:vAlign w:val="center"/>
                </w:tcPr>
                <w:p w14:paraId="694638FE">
                  <w:pPr>
                    <w:adjustRightInd w:val="0"/>
                    <w:snapToGrid w:val="0"/>
                    <w:jc w:val="center"/>
                    <w:rPr>
                      <w:b/>
                      <w:bCs/>
                      <w:color w:val="auto"/>
                      <w:kern w:val="0"/>
                      <w:sz w:val="18"/>
                      <w:szCs w:val="18"/>
                    </w:rPr>
                  </w:pPr>
                </w:p>
              </w:tc>
              <w:tc>
                <w:tcPr>
                  <w:tcW w:w="482" w:type="pct"/>
                  <w:vMerge w:val="continue"/>
                  <w:tcBorders>
                    <w:tl2br w:val="nil"/>
                    <w:tr2bl w:val="nil"/>
                  </w:tcBorders>
                  <w:shd w:val="clear" w:color="auto" w:fill="auto"/>
                  <w:vAlign w:val="center"/>
                </w:tcPr>
                <w:p w14:paraId="4238C322">
                  <w:pPr>
                    <w:adjustRightInd w:val="0"/>
                    <w:snapToGrid w:val="0"/>
                    <w:jc w:val="center"/>
                    <w:rPr>
                      <w:b/>
                      <w:bCs/>
                      <w:color w:val="auto"/>
                      <w:kern w:val="0"/>
                      <w:sz w:val="18"/>
                      <w:szCs w:val="18"/>
                    </w:rPr>
                  </w:pPr>
                </w:p>
              </w:tc>
              <w:tc>
                <w:tcPr>
                  <w:tcW w:w="515" w:type="pct"/>
                  <w:vMerge w:val="continue"/>
                  <w:tcBorders>
                    <w:tl2br w:val="nil"/>
                    <w:tr2bl w:val="nil"/>
                  </w:tcBorders>
                  <w:shd w:val="clear" w:color="auto" w:fill="auto"/>
                  <w:vAlign w:val="center"/>
                </w:tcPr>
                <w:p w14:paraId="638FD582">
                  <w:pPr>
                    <w:adjustRightInd w:val="0"/>
                    <w:snapToGrid w:val="0"/>
                    <w:jc w:val="center"/>
                    <w:rPr>
                      <w:b/>
                      <w:bCs/>
                      <w:color w:val="auto"/>
                      <w:kern w:val="0"/>
                      <w:sz w:val="18"/>
                      <w:szCs w:val="18"/>
                    </w:rPr>
                  </w:pPr>
                </w:p>
              </w:tc>
              <w:tc>
                <w:tcPr>
                  <w:tcW w:w="347" w:type="pct"/>
                  <w:vMerge w:val="continue"/>
                  <w:tcBorders>
                    <w:tl2br w:val="nil"/>
                    <w:tr2bl w:val="nil"/>
                  </w:tcBorders>
                  <w:shd w:val="clear" w:color="auto" w:fill="auto"/>
                  <w:vAlign w:val="center"/>
                </w:tcPr>
                <w:p w14:paraId="619E25BE">
                  <w:pPr>
                    <w:adjustRightInd w:val="0"/>
                    <w:snapToGrid w:val="0"/>
                    <w:jc w:val="center"/>
                    <w:rPr>
                      <w:b/>
                      <w:bCs/>
                      <w:color w:val="auto"/>
                      <w:kern w:val="0"/>
                      <w:sz w:val="18"/>
                      <w:szCs w:val="18"/>
                    </w:rPr>
                  </w:pPr>
                </w:p>
              </w:tc>
              <w:tc>
                <w:tcPr>
                  <w:tcW w:w="643" w:type="pct"/>
                  <w:vMerge w:val="continue"/>
                  <w:tcBorders>
                    <w:tl2br w:val="nil"/>
                    <w:tr2bl w:val="nil"/>
                  </w:tcBorders>
                  <w:shd w:val="clear" w:color="auto" w:fill="auto"/>
                  <w:vAlign w:val="center"/>
                </w:tcPr>
                <w:p w14:paraId="6032484F">
                  <w:pPr>
                    <w:adjustRightInd w:val="0"/>
                    <w:snapToGrid w:val="0"/>
                    <w:jc w:val="center"/>
                    <w:rPr>
                      <w:b/>
                      <w:bCs/>
                      <w:color w:val="auto"/>
                      <w:kern w:val="0"/>
                      <w:sz w:val="18"/>
                      <w:szCs w:val="18"/>
                    </w:rPr>
                  </w:pPr>
                </w:p>
              </w:tc>
              <w:tc>
                <w:tcPr>
                  <w:tcW w:w="649" w:type="pct"/>
                  <w:vMerge w:val="continue"/>
                  <w:tcBorders>
                    <w:tl2br w:val="nil"/>
                    <w:tr2bl w:val="nil"/>
                  </w:tcBorders>
                  <w:shd w:val="clear" w:color="auto" w:fill="auto"/>
                  <w:vAlign w:val="center"/>
                </w:tcPr>
                <w:p w14:paraId="7CDC88F3">
                  <w:pPr>
                    <w:adjustRightInd w:val="0"/>
                    <w:snapToGrid w:val="0"/>
                    <w:jc w:val="center"/>
                    <w:rPr>
                      <w:b/>
                      <w:bCs/>
                      <w:color w:val="auto"/>
                      <w:kern w:val="0"/>
                      <w:sz w:val="18"/>
                      <w:szCs w:val="18"/>
                    </w:rPr>
                  </w:pPr>
                </w:p>
              </w:tc>
            </w:tr>
            <w:tr w14:paraId="1E9A540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15" w:type="pct"/>
                  <w:vMerge w:val="restart"/>
                  <w:tcBorders>
                    <w:tl2br w:val="nil"/>
                    <w:tr2bl w:val="nil"/>
                  </w:tcBorders>
                  <w:shd w:val="clear" w:color="auto" w:fill="auto"/>
                  <w:vAlign w:val="center"/>
                </w:tcPr>
                <w:p w14:paraId="48DE255D">
                  <w:pPr>
                    <w:adjustRightInd w:val="0"/>
                    <w:snapToGrid w:val="0"/>
                    <w:jc w:val="center"/>
                    <w:rPr>
                      <w:rFonts w:hint="eastAsia" w:eastAsia="宋体"/>
                      <w:color w:val="auto"/>
                      <w:kern w:val="0"/>
                      <w:sz w:val="18"/>
                      <w:szCs w:val="18"/>
                      <w:lang w:eastAsia="zh-CN"/>
                    </w:rPr>
                  </w:pPr>
                  <w:r>
                    <w:rPr>
                      <w:rFonts w:hint="eastAsia"/>
                      <w:color w:val="auto"/>
                      <w:kern w:val="0"/>
                      <w:sz w:val="18"/>
                      <w:szCs w:val="18"/>
                      <w:lang w:val="en-US" w:eastAsia="zh-CN"/>
                    </w:rPr>
                    <w:t>生产车间</w:t>
                  </w:r>
                </w:p>
              </w:tc>
              <w:tc>
                <w:tcPr>
                  <w:tcW w:w="287" w:type="pct"/>
                  <w:vMerge w:val="restart"/>
                  <w:tcBorders>
                    <w:tl2br w:val="nil"/>
                    <w:tr2bl w:val="nil"/>
                  </w:tcBorders>
                  <w:shd w:val="clear" w:color="auto" w:fill="auto"/>
                  <w:vAlign w:val="center"/>
                </w:tcPr>
                <w:p w14:paraId="3BD2C1DF">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0</w:t>
                  </w:r>
                </w:p>
              </w:tc>
              <w:tc>
                <w:tcPr>
                  <w:tcW w:w="288" w:type="pct"/>
                  <w:vMerge w:val="restart"/>
                  <w:tcBorders>
                    <w:tl2br w:val="nil"/>
                    <w:tr2bl w:val="nil"/>
                  </w:tcBorders>
                  <w:shd w:val="clear" w:color="auto" w:fill="auto"/>
                  <w:vAlign w:val="center"/>
                </w:tcPr>
                <w:p w14:paraId="7256B6D6">
                  <w:pPr>
                    <w:adjustRightInd w:val="0"/>
                    <w:snapToGrid w:val="0"/>
                    <w:jc w:val="center"/>
                    <w:rPr>
                      <w:rFonts w:hint="eastAsia" w:eastAsia="宋体"/>
                      <w:color w:val="auto"/>
                      <w:kern w:val="0"/>
                      <w:sz w:val="18"/>
                      <w:szCs w:val="18"/>
                      <w:lang w:eastAsia="zh-CN"/>
                    </w:rPr>
                  </w:pPr>
                  <w:r>
                    <w:rPr>
                      <w:rFonts w:hint="eastAsia"/>
                      <w:color w:val="auto"/>
                      <w:kern w:val="0"/>
                      <w:sz w:val="18"/>
                      <w:szCs w:val="18"/>
                      <w:lang w:val="en-US" w:eastAsia="zh-CN"/>
                    </w:rPr>
                    <w:t>0</w:t>
                  </w:r>
                </w:p>
              </w:tc>
              <w:tc>
                <w:tcPr>
                  <w:tcW w:w="437" w:type="pct"/>
                  <w:vMerge w:val="restart"/>
                  <w:tcBorders>
                    <w:tl2br w:val="nil"/>
                    <w:tr2bl w:val="nil"/>
                  </w:tcBorders>
                  <w:shd w:val="clear" w:color="auto" w:fill="auto"/>
                  <w:vAlign w:val="center"/>
                </w:tcPr>
                <w:p w14:paraId="1098CF99">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100.33</w:t>
                  </w:r>
                </w:p>
              </w:tc>
              <w:tc>
                <w:tcPr>
                  <w:tcW w:w="437" w:type="pct"/>
                  <w:vMerge w:val="restart"/>
                  <w:tcBorders>
                    <w:tl2br w:val="nil"/>
                    <w:tr2bl w:val="nil"/>
                  </w:tcBorders>
                  <w:shd w:val="clear" w:color="auto" w:fill="auto"/>
                  <w:vAlign w:val="center"/>
                </w:tcPr>
                <w:p w14:paraId="6618BEE1">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28.5</w:t>
                  </w:r>
                </w:p>
              </w:tc>
              <w:tc>
                <w:tcPr>
                  <w:tcW w:w="494" w:type="pct"/>
                  <w:vMerge w:val="restart"/>
                  <w:tcBorders>
                    <w:tl2br w:val="nil"/>
                    <w:tr2bl w:val="nil"/>
                  </w:tcBorders>
                  <w:shd w:val="clear" w:color="auto" w:fill="auto"/>
                  <w:vAlign w:val="center"/>
                </w:tcPr>
                <w:p w14:paraId="2C71BBD1">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-14</w:t>
                  </w:r>
                </w:p>
              </w:tc>
              <w:tc>
                <w:tcPr>
                  <w:tcW w:w="482" w:type="pct"/>
                  <w:vMerge w:val="restart"/>
                  <w:tcBorders>
                    <w:tl2br w:val="nil"/>
                    <w:tr2bl w:val="nil"/>
                  </w:tcBorders>
                  <w:shd w:val="clear" w:color="auto" w:fill="auto"/>
                  <w:vAlign w:val="center"/>
                </w:tcPr>
                <w:p w14:paraId="541DBA46">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4</w:t>
                  </w:r>
                </w:p>
              </w:tc>
              <w:tc>
                <w:tcPr>
                  <w:tcW w:w="515" w:type="pct"/>
                  <w:vMerge w:val="restart"/>
                  <w:tcBorders>
                    <w:tl2br w:val="nil"/>
                    <w:tr2bl w:val="nil"/>
                  </w:tcBorders>
                  <w:shd w:val="clear" w:color="auto" w:fill="auto"/>
                  <w:vAlign w:val="center"/>
                </w:tcPr>
                <w:p w14:paraId="012BC8C4">
                  <w:pPr>
                    <w:adjustRightInd w:val="0"/>
                    <w:snapToGrid w:val="0"/>
                    <w:jc w:val="center"/>
                    <w:rPr>
                      <w:rFonts w:hint="default" w:eastAsia="宋体"/>
                      <w:color w:val="auto"/>
                      <w:kern w:val="0"/>
                      <w:sz w:val="18"/>
                      <w:szCs w:val="18"/>
                      <w:lang w:val="en-US" w:eastAsia="zh-CN"/>
                    </w:rPr>
                  </w:pPr>
                  <w:r>
                    <w:rPr>
                      <w:rFonts w:hint="eastAsia"/>
                      <w:bCs/>
                      <w:color w:val="auto"/>
                      <w:kern w:val="0"/>
                      <w:sz w:val="18"/>
                      <w:szCs w:val="18"/>
                      <w:lang w:val="en-US" w:eastAsia="zh-CN" w:bidi="ar"/>
                    </w:rPr>
                    <w:t>2400</w:t>
                  </w:r>
                </w:p>
              </w:tc>
              <w:tc>
                <w:tcPr>
                  <w:tcW w:w="347" w:type="pct"/>
                  <w:vMerge w:val="restart"/>
                  <w:tcBorders>
                    <w:tl2br w:val="nil"/>
                    <w:tr2bl w:val="nil"/>
                  </w:tcBorders>
                  <w:shd w:val="clear" w:color="auto" w:fill="auto"/>
                  <w:vAlign w:val="center"/>
                </w:tcPr>
                <w:p w14:paraId="79ED147E">
                  <w:pPr>
                    <w:adjustRightInd w:val="0"/>
                    <w:snapToGrid w:val="0"/>
                    <w:jc w:val="center"/>
                    <w:rPr>
                      <w:bCs/>
                      <w:color w:val="auto"/>
                      <w:kern w:val="0"/>
                      <w:sz w:val="18"/>
                      <w:szCs w:val="18"/>
                      <w:lang w:bidi="ar"/>
                    </w:rPr>
                  </w:pPr>
                  <w:r>
                    <w:rPr>
                      <w:rFonts w:hint="eastAsia"/>
                      <w:bCs/>
                      <w:color w:val="auto"/>
                      <w:kern w:val="0"/>
                      <w:sz w:val="18"/>
                      <w:szCs w:val="18"/>
                      <w:lang w:bidi="ar"/>
                    </w:rPr>
                    <w:t>连续</w:t>
                  </w:r>
                </w:p>
              </w:tc>
              <w:tc>
                <w:tcPr>
                  <w:tcW w:w="643" w:type="pct"/>
                  <w:tcBorders>
                    <w:tl2br w:val="nil"/>
                    <w:tr2bl w:val="nil"/>
                  </w:tcBorders>
                  <w:shd w:val="clear" w:color="auto" w:fill="auto"/>
                  <w:vAlign w:val="center"/>
                </w:tcPr>
                <w:p w14:paraId="201B279D">
                  <w:pPr>
                    <w:adjustRightInd w:val="0"/>
                    <w:snapToGrid w:val="0"/>
                    <w:jc w:val="center"/>
                    <w:rPr>
                      <w:rFonts w:hint="default"/>
                      <w:b w:val="0"/>
                      <w:bCs/>
                      <w:color w:val="auto"/>
                      <w:kern w:val="0"/>
                      <w:sz w:val="18"/>
                      <w:szCs w:val="18"/>
                      <w:lang w:val="en-US" w:eastAsia="zh-CN" w:bidi="ar"/>
                    </w:rPr>
                  </w:pPr>
                  <w:r>
                    <w:rPr>
                      <w:rFonts w:hint="eastAsia"/>
                      <w:b w:val="0"/>
                      <w:bCs/>
                      <w:color w:val="auto"/>
                      <w:kern w:val="0"/>
                      <w:sz w:val="18"/>
                      <w:szCs w:val="18"/>
                      <w:lang w:val="en-US" w:eastAsia="zh-CN" w:bidi="ar"/>
                    </w:rPr>
                    <w:t>非甲烷总烃</w:t>
                  </w:r>
                </w:p>
              </w:tc>
              <w:tc>
                <w:tcPr>
                  <w:tcW w:w="649" w:type="pct"/>
                  <w:tcBorders>
                    <w:tl2br w:val="nil"/>
                    <w:tr2bl w:val="nil"/>
                  </w:tcBorders>
                  <w:shd w:val="clear" w:color="auto" w:fill="auto"/>
                  <w:vAlign w:val="center"/>
                </w:tcPr>
                <w:p w14:paraId="160F0070">
                  <w:pPr>
                    <w:pStyle w:val="656"/>
                    <w:snapToGrid w:val="0"/>
                    <w:rPr>
                      <w:rFonts w:hint="default" w:ascii="Times New Roman" w:hAnsi="Times New Roman" w:eastAsia="宋体" w:cs="Times New Roman"/>
                      <w:snapToGrid w:val="0"/>
                      <w:color w:val="auto"/>
                      <w:kern w:val="0"/>
                      <w:sz w:val="18"/>
                      <w:szCs w:val="18"/>
                      <w:lang w:val="en-US" w:eastAsia="zh-CN" w:bidi="ar-SA"/>
                    </w:rPr>
                  </w:pPr>
                  <w:r>
                    <w:rPr>
                      <w:rFonts w:hint="default" w:ascii="Times New Roman" w:hAnsi="Times New Roman" w:eastAsia="宋体" w:cs="Times New Roman"/>
                      <w:b w:val="0"/>
                      <w:bCs w:val="0"/>
                      <w:i w:val="0"/>
                      <w:iCs w:val="0"/>
                      <w:snapToGrid w:val="0"/>
                      <w:color w:val="auto"/>
                      <w:kern w:val="0"/>
                      <w:sz w:val="18"/>
                      <w:szCs w:val="18"/>
                      <w:u w:val="none"/>
                      <w:lang w:val="en-US" w:eastAsia="zh-CN" w:bidi="ar"/>
                    </w:rPr>
                    <w:t>0.02</w:t>
                  </w:r>
                  <w:r>
                    <w:rPr>
                      <w:rFonts w:hint="eastAsia" w:eastAsia="宋体" w:cs="Times New Roman"/>
                      <w:b w:val="0"/>
                      <w:bCs w:val="0"/>
                      <w:i w:val="0"/>
                      <w:iCs w:val="0"/>
                      <w:snapToGrid w:val="0"/>
                      <w:color w:val="auto"/>
                      <w:kern w:val="0"/>
                      <w:sz w:val="18"/>
                      <w:szCs w:val="18"/>
                      <w:u w:val="none"/>
                      <w:lang w:val="en-US" w:eastAsia="zh-CN" w:bidi="ar"/>
                    </w:rPr>
                    <w:t>2</w:t>
                  </w:r>
                </w:p>
              </w:tc>
            </w:tr>
            <w:tr w14:paraId="0E4D0BF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15" w:type="pct"/>
                  <w:vMerge w:val="continue"/>
                  <w:tcBorders>
                    <w:tl2br w:val="nil"/>
                    <w:tr2bl w:val="nil"/>
                  </w:tcBorders>
                  <w:shd w:val="clear" w:color="auto" w:fill="auto"/>
                  <w:vAlign w:val="center"/>
                </w:tcPr>
                <w:p w14:paraId="6FBB140B">
                  <w:pPr>
                    <w:adjustRightInd w:val="0"/>
                    <w:snapToGrid w:val="0"/>
                    <w:jc w:val="center"/>
                    <w:rPr>
                      <w:rFonts w:hint="eastAsia"/>
                      <w:color w:val="auto"/>
                      <w:kern w:val="0"/>
                      <w:sz w:val="18"/>
                      <w:szCs w:val="18"/>
                      <w:lang w:val="en-US" w:eastAsia="zh-CN"/>
                    </w:rPr>
                  </w:pPr>
                </w:p>
              </w:tc>
              <w:tc>
                <w:tcPr>
                  <w:tcW w:w="287" w:type="pct"/>
                  <w:vMerge w:val="continue"/>
                  <w:tcBorders>
                    <w:tl2br w:val="nil"/>
                    <w:tr2bl w:val="nil"/>
                  </w:tcBorders>
                  <w:shd w:val="clear" w:color="auto" w:fill="auto"/>
                  <w:vAlign w:val="center"/>
                </w:tcPr>
                <w:p w14:paraId="58831CEA">
                  <w:pPr>
                    <w:adjustRightInd w:val="0"/>
                    <w:snapToGrid w:val="0"/>
                    <w:jc w:val="center"/>
                    <w:rPr>
                      <w:rFonts w:hint="eastAsia"/>
                      <w:color w:val="auto"/>
                      <w:kern w:val="0"/>
                      <w:sz w:val="18"/>
                      <w:szCs w:val="18"/>
                      <w:lang w:val="en-US" w:eastAsia="zh-CN"/>
                    </w:rPr>
                  </w:pPr>
                </w:p>
              </w:tc>
              <w:tc>
                <w:tcPr>
                  <w:tcW w:w="288" w:type="pct"/>
                  <w:vMerge w:val="continue"/>
                  <w:tcBorders>
                    <w:tl2br w:val="nil"/>
                    <w:tr2bl w:val="nil"/>
                  </w:tcBorders>
                  <w:shd w:val="clear" w:color="auto" w:fill="auto"/>
                  <w:vAlign w:val="center"/>
                </w:tcPr>
                <w:p w14:paraId="6DAD421F">
                  <w:pPr>
                    <w:adjustRightInd w:val="0"/>
                    <w:snapToGrid w:val="0"/>
                    <w:jc w:val="center"/>
                    <w:rPr>
                      <w:rFonts w:hint="eastAsia"/>
                      <w:color w:val="auto"/>
                      <w:kern w:val="0"/>
                      <w:sz w:val="18"/>
                      <w:szCs w:val="18"/>
                      <w:lang w:val="en-US" w:eastAsia="zh-CN"/>
                    </w:rPr>
                  </w:pPr>
                </w:p>
              </w:tc>
              <w:tc>
                <w:tcPr>
                  <w:tcW w:w="437" w:type="pct"/>
                  <w:vMerge w:val="continue"/>
                  <w:tcBorders>
                    <w:tl2br w:val="nil"/>
                    <w:tr2bl w:val="nil"/>
                  </w:tcBorders>
                  <w:shd w:val="clear" w:color="auto" w:fill="auto"/>
                  <w:vAlign w:val="center"/>
                </w:tcPr>
                <w:p w14:paraId="237E2B09">
                  <w:pPr>
                    <w:adjustRightInd w:val="0"/>
                    <w:snapToGrid w:val="0"/>
                    <w:jc w:val="center"/>
                    <w:rPr>
                      <w:rFonts w:hint="eastAsia"/>
                      <w:color w:val="auto"/>
                      <w:kern w:val="0"/>
                      <w:sz w:val="18"/>
                      <w:szCs w:val="18"/>
                      <w:lang w:val="en-US" w:eastAsia="zh-CN"/>
                    </w:rPr>
                  </w:pPr>
                </w:p>
              </w:tc>
              <w:tc>
                <w:tcPr>
                  <w:tcW w:w="437" w:type="pct"/>
                  <w:vMerge w:val="continue"/>
                  <w:tcBorders>
                    <w:tl2br w:val="nil"/>
                    <w:tr2bl w:val="nil"/>
                  </w:tcBorders>
                  <w:shd w:val="clear" w:color="auto" w:fill="auto"/>
                  <w:vAlign w:val="center"/>
                </w:tcPr>
                <w:p w14:paraId="3FDCD4CA">
                  <w:pPr>
                    <w:adjustRightInd w:val="0"/>
                    <w:snapToGrid w:val="0"/>
                    <w:jc w:val="center"/>
                    <w:rPr>
                      <w:rFonts w:hint="eastAsia"/>
                      <w:color w:val="auto"/>
                      <w:kern w:val="0"/>
                      <w:sz w:val="18"/>
                      <w:szCs w:val="18"/>
                      <w:lang w:val="en-US" w:eastAsia="zh-CN"/>
                    </w:rPr>
                  </w:pPr>
                </w:p>
              </w:tc>
              <w:tc>
                <w:tcPr>
                  <w:tcW w:w="494" w:type="pct"/>
                  <w:vMerge w:val="continue"/>
                  <w:tcBorders>
                    <w:tl2br w:val="nil"/>
                    <w:tr2bl w:val="nil"/>
                  </w:tcBorders>
                  <w:shd w:val="clear" w:color="auto" w:fill="auto"/>
                  <w:vAlign w:val="center"/>
                </w:tcPr>
                <w:p w14:paraId="3A2C727D">
                  <w:pPr>
                    <w:adjustRightInd w:val="0"/>
                    <w:snapToGrid w:val="0"/>
                    <w:jc w:val="center"/>
                    <w:rPr>
                      <w:rFonts w:hint="eastAsia"/>
                      <w:color w:val="auto"/>
                      <w:kern w:val="0"/>
                      <w:sz w:val="18"/>
                      <w:szCs w:val="18"/>
                      <w:lang w:val="en-US" w:eastAsia="zh-CN"/>
                    </w:rPr>
                  </w:pPr>
                </w:p>
              </w:tc>
              <w:tc>
                <w:tcPr>
                  <w:tcW w:w="482" w:type="pct"/>
                  <w:vMerge w:val="continue"/>
                  <w:tcBorders>
                    <w:tl2br w:val="nil"/>
                    <w:tr2bl w:val="nil"/>
                  </w:tcBorders>
                  <w:shd w:val="clear" w:color="auto" w:fill="auto"/>
                  <w:vAlign w:val="center"/>
                </w:tcPr>
                <w:p w14:paraId="47FB2169">
                  <w:pPr>
                    <w:adjustRightInd w:val="0"/>
                    <w:snapToGrid w:val="0"/>
                    <w:jc w:val="center"/>
                    <w:rPr>
                      <w:rFonts w:hint="eastAsia"/>
                      <w:color w:val="auto"/>
                      <w:kern w:val="0"/>
                      <w:sz w:val="18"/>
                      <w:szCs w:val="18"/>
                      <w:lang w:val="en-US" w:eastAsia="zh-CN"/>
                    </w:rPr>
                  </w:pPr>
                </w:p>
              </w:tc>
              <w:tc>
                <w:tcPr>
                  <w:tcW w:w="515" w:type="pct"/>
                  <w:vMerge w:val="continue"/>
                  <w:tcBorders>
                    <w:tl2br w:val="nil"/>
                    <w:tr2bl w:val="nil"/>
                  </w:tcBorders>
                  <w:shd w:val="clear" w:color="auto" w:fill="auto"/>
                  <w:vAlign w:val="center"/>
                </w:tcPr>
                <w:p w14:paraId="7CF3812A">
                  <w:pPr>
                    <w:adjustRightInd w:val="0"/>
                    <w:snapToGrid w:val="0"/>
                    <w:jc w:val="center"/>
                    <w:rPr>
                      <w:rFonts w:hint="eastAsia"/>
                      <w:bCs/>
                      <w:color w:val="auto"/>
                      <w:kern w:val="0"/>
                      <w:sz w:val="18"/>
                      <w:szCs w:val="18"/>
                      <w:lang w:val="en-US" w:eastAsia="zh-CN" w:bidi="ar"/>
                    </w:rPr>
                  </w:pPr>
                </w:p>
              </w:tc>
              <w:tc>
                <w:tcPr>
                  <w:tcW w:w="347" w:type="pct"/>
                  <w:vMerge w:val="continue"/>
                  <w:tcBorders>
                    <w:tl2br w:val="nil"/>
                    <w:tr2bl w:val="nil"/>
                  </w:tcBorders>
                  <w:shd w:val="clear" w:color="auto" w:fill="auto"/>
                  <w:vAlign w:val="center"/>
                </w:tcPr>
                <w:p w14:paraId="5F9964DC">
                  <w:pPr>
                    <w:adjustRightInd w:val="0"/>
                    <w:snapToGrid w:val="0"/>
                    <w:jc w:val="center"/>
                    <w:rPr>
                      <w:rFonts w:hint="eastAsia"/>
                      <w:bCs/>
                      <w:color w:val="auto"/>
                      <w:kern w:val="0"/>
                      <w:sz w:val="18"/>
                      <w:szCs w:val="18"/>
                      <w:lang w:bidi="ar"/>
                    </w:rPr>
                  </w:pPr>
                </w:p>
              </w:tc>
              <w:tc>
                <w:tcPr>
                  <w:tcW w:w="643" w:type="pct"/>
                  <w:tcBorders>
                    <w:tl2br w:val="nil"/>
                    <w:tr2bl w:val="nil"/>
                  </w:tcBorders>
                  <w:shd w:val="clear" w:color="auto" w:fill="auto"/>
                  <w:vAlign w:val="center"/>
                </w:tcPr>
                <w:p w14:paraId="16051FC2">
                  <w:pPr>
                    <w:adjustRightInd w:val="0"/>
                    <w:snapToGrid w:val="0"/>
                    <w:jc w:val="center"/>
                    <w:rPr>
                      <w:rFonts w:hint="default"/>
                      <w:b w:val="0"/>
                      <w:bCs/>
                      <w:color w:val="auto"/>
                      <w:kern w:val="0"/>
                      <w:sz w:val="18"/>
                      <w:szCs w:val="18"/>
                      <w:lang w:val="en-US" w:eastAsia="zh-CN" w:bidi="ar"/>
                    </w:rPr>
                  </w:pPr>
                  <w:r>
                    <w:rPr>
                      <w:rFonts w:hint="eastAsia"/>
                      <w:b w:val="0"/>
                      <w:bCs/>
                      <w:color w:val="auto"/>
                      <w:kern w:val="0"/>
                      <w:sz w:val="18"/>
                      <w:szCs w:val="18"/>
                      <w:lang w:val="en-US" w:eastAsia="zh-CN" w:bidi="ar"/>
                    </w:rPr>
                    <w:t>苯系物</w:t>
                  </w:r>
                </w:p>
              </w:tc>
              <w:tc>
                <w:tcPr>
                  <w:tcW w:w="1151" w:type="dxa"/>
                  <w:tcBorders>
                    <w:tl2br w:val="nil"/>
                    <w:tr2bl w:val="nil"/>
                  </w:tcBorders>
                  <w:shd w:val="clear" w:color="auto" w:fill="auto"/>
                  <w:vAlign w:val="center"/>
                </w:tcPr>
                <w:p w14:paraId="13F3DC7F">
                  <w:pPr>
                    <w:pStyle w:val="656"/>
                    <w:snapToGrid w:val="0"/>
                    <w:rPr>
                      <w:rFonts w:hint="default"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0.005</w:t>
                  </w:r>
                </w:p>
              </w:tc>
            </w:tr>
            <w:tr w14:paraId="7FED394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15" w:type="pct"/>
                  <w:vMerge w:val="continue"/>
                  <w:tcBorders>
                    <w:tl2br w:val="nil"/>
                    <w:tr2bl w:val="nil"/>
                  </w:tcBorders>
                  <w:shd w:val="clear" w:color="auto" w:fill="auto"/>
                  <w:vAlign w:val="center"/>
                </w:tcPr>
                <w:p w14:paraId="5AF36621">
                  <w:pPr>
                    <w:adjustRightInd w:val="0"/>
                    <w:snapToGrid w:val="0"/>
                    <w:jc w:val="center"/>
                    <w:rPr>
                      <w:rFonts w:hint="eastAsia"/>
                      <w:color w:val="auto"/>
                      <w:kern w:val="0"/>
                      <w:sz w:val="18"/>
                      <w:szCs w:val="18"/>
                      <w:lang w:val="en-US" w:eastAsia="zh-CN"/>
                    </w:rPr>
                  </w:pPr>
                </w:p>
              </w:tc>
              <w:tc>
                <w:tcPr>
                  <w:tcW w:w="287" w:type="pct"/>
                  <w:vMerge w:val="continue"/>
                  <w:tcBorders>
                    <w:tl2br w:val="nil"/>
                    <w:tr2bl w:val="nil"/>
                  </w:tcBorders>
                  <w:shd w:val="clear" w:color="auto" w:fill="auto"/>
                  <w:vAlign w:val="center"/>
                </w:tcPr>
                <w:p w14:paraId="45E90BEC">
                  <w:pPr>
                    <w:adjustRightInd w:val="0"/>
                    <w:snapToGrid w:val="0"/>
                    <w:jc w:val="center"/>
                    <w:rPr>
                      <w:rFonts w:hint="eastAsia"/>
                      <w:color w:val="auto"/>
                      <w:kern w:val="0"/>
                      <w:sz w:val="18"/>
                      <w:szCs w:val="18"/>
                      <w:lang w:val="en-US" w:eastAsia="zh-CN"/>
                    </w:rPr>
                  </w:pPr>
                </w:p>
              </w:tc>
              <w:tc>
                <w:tcPr>
                  <w:tcW w:w="288" w:type="pct"/>
                  <w:vMerge w:val="continue"/>
                  <w:tcBorders>
                    <w:tl2br w:val="nil"/>
                    <w:tr2bl w:val="nil"/>
                  </w:tcBorders>
                  <w:shd w:val="clear" w:color="auto" w:fill="auto"/>
                  <w:vAlign w:val="center"/>
                </w:tcPr>
                <w:p w14:paraId="7A40D60F">
                  <w:pPr>
                    <w:adjustRightInd w:val="0"/>
                    <w:snapToGrid w:val="0"/>
                    <w:jc w:val="center"/>
                    <w:rPr>
                      <w:rFonts w:hint="eastAsia"/>
                      <w:color w:val="auto"/>
                      <w:kern w:val="0"/>
                      <w:sz w:val="18"/>
                      <w:szCs w:val="18"/>
                      <w:lang w:val="en-US" w:eastAsia="zh-CN"/>
                    </w:rPr>
                  </w:pPr>
                </w:p>
              </w:tc>
              <w:tc>
                <w:tcPr>
                  <w:tcW w:w="437" w:type="pct"/>
                  <w:vMerge w:val="continue"/>
                  <w:tcBorders>
                    <w:tl2br w:val="nil"/>
                    <w:tr2bl w:val="nil"/>
                  </w:tcBorders>
                  <w:shd w:val="clear" w:color="auto" w:fill="auto"/>
                  <w:vAlign w:val="center"/>
                </w:tcPr>
                <w:p w14:paraId="512CA1E9">
                  <w:pPr>
                    <w:adjustRightInd w:val="0"/>
                    <w:snapToGrid w:val="0"/>
                    <w:jc w:val="center"/>
                    <w:rPr>
                      <w:rFonts w:hint="eastAsia"/>
                      <w:color w:val="auto"/>
                      <w:kern w:val="0"/>
                      <w:sz w:val="18"/>
                      <w:szCs w:val="18"/>
                      <w:lang w:val="en-US" w:eastAsia="zh-CN"/>
                    </w:rPr>
                  </w:pPr>
                </w:p>
              </w:tc>
              <w:tc>
                <w:tcPr>
                  <w:tcW w:w="437" w:type="pct"/>
                  <w:vMerge w:val="continue"/>
                  <w:tcBorders>
                    <w:tl2br w:val="nil"/>
                    <w:tr2bl w:val="nil"/>
                  </w:tcBorders>
                  <w:shd w:val="clear" w:color="auto" w:fill="auto"/>
                  <w:vAlign w:val="center"/>
                </w:tcPr>
                <w:p w14:paraId="7616C00A">
                  <w:pPr>
                    <w:adjustRightInd w:val="0"/>
                    <w:snapToGrid w:val="0"/>
                    <w:jc w:val="center"/>
                    <w:rPr>
                      <w:rFonts w:hint="eastAsia"/>
                      <w:color w:val="auto"/>
                      <w:kern w:val="0"/>
                      <w:sz w:val="18"/>
                      <w:szCs w:val="18"/>
                      <w:lang w:val="en-US" w:eastAsia="zh-CN"/>
                    </w:rPr>
                  </w:pPr>
                </w:p>
              </w:tc>
              <w:tc>
                <w:tcPr>
                  <w:tcW w:w="494" w:type="pct"/>
                  <w:vMerge w:val="continue"/>
                  <w:tcBorders>
                    <w:tl2br w:val="nil"/>
                    <w:tr2bl w:val="nil"/>
                  </w:tcBorders>
                  <w:shd w:val="clear" w:color="auto" w:fill="auto"/>
                  <w:vAlign w:val="center"/>
                </w:tcPr>
                <w:p w14:paraId="7BA06B02">
                  <w:pPr>
                    <w:adjustRightInd w:val="0"/>
                    <w:snapToGrid w:val="0"/>
                    <w:jc w:val="center"/>
                    <w:rPr>
                      <w:rFonts w:hint="eastAsia"/>
                      <w:color w:val="auto"/>
                      <w:kern w:val="0"/>
                      <w:sz w:val="18"/>
                      <w:szCs w:val="18"/>
                      <w:lang w:val="en-US" w:eastAsia="zh-CN"/>
                    </w:rPr>
                  </w:pPr>
                </w:p>
              </w:tc>
              <w:tc>
                <w:tcPr>
                  <w:tcW w:w="482" w:type="pct"/>
                  <w:vMerge w:val="continue"/>
                  <w:tcBorders>
                    <w:tl2br w:val="nil"/>
                    <w:tr2bl w:val="nil"/>
                  </w:tcBorders>
                  <w:shd w:val="clear" w:color="auto" w:fill="auto"/>
                  <w:vAlign w:val="center"/>
                </w:tcPr>
                <w:p w14:paraId="5A1F63B7">
                  <w:pPr>
                    <w:adjustRightInd w:val="0"/>
                    <w:snapToGrid w:val="0"/>
                    <w:jc w:val="center"/>
                    <w:rPr>
                      <w:rFonts w:hint="eastAsia"/>
                      <w:color w:val="auto"/>
                      <w:kern w:val="0"/>
                      <w:sz w:val="18"/>
                      <w:szCs w:val="18"/>
                      <w:lang w:val="en-US" w:eastAsia="zh-CN"/>
                    </w:rPr>
                  </w:pPr>
                </w:p>
              </w:tc>
              <w:tc>
                <w:tcPr>
                  <w:tcW w:w="515" w:type="pct"/>
                  <w:vMerge w:val="continue"/>
                  <w:tcBorders>
                    <w:tl2br w:val="nil"/>
                    <w:tr2bl w:val="nil"/>
                  </w:tcBorders>
                  <w:shd w:val="clear" w:color="auto" w:fill="auto"/>
                  <w:vAlign w:val="center"/>
                </w:tcPr>
                <w:p w14:paraId="28C8799E">
                  <w:pPr>
                    <w:adjustRightInd w:val="0"/>
                    <w:snapToGrid w:val="0"/>
                    <w:jc w:val="center"/>
                    <w:rPr>
                      <w:rFonts w:hint="eastAsia"/>
                      <w:bCs/>
                      <w:color w:val="auto"/>
                      <w:kern w:val="0"/>
                      <w:sz w:val="18"/>
                      <w:szCs w:val="18"/>
                      <w:lang w:val="en-US" w:eastAsia="zh-CN" w:bidi="ar"/>
                    </w:rPr>
                  </w:pPr>
                </w:p>
              </w:tc>
              <w:tc>
                <w:tcPr>
                  <w:tcW w:w="347" w:type="pct"/>
                  <w:vMerge w:val="continue"/>
                  <w:tcBorders>
                    <w:tl2br w:val="nil"/>
                    <w:tr2bl w:val="nil"/>
                  </w:tcBorders>
                  <w:shd w:val="clear" w:color="auto" w:fill="auto"/>
                  <w:vAlign w:val="center"/>
                </w:tcPr>
                <w:p w14:paraId="0C7B388C">
                  <w:pPr>
                    <w:adjustRightInd w:val="0"/>
                    <w:snapToGrid w:val="0"/>
                    <w:jc w:val="center"/>
                    <w:rPr>
                      <w:rFonts w:hint="eastAsia"/>
                      <w:bCs/>
                      <w:color w:val="auto"/>
                      <w:kern w:val="0"/>
                      <w:sz w:val="18"/>
                      <w:szCs w:val="18"/>
                      <w:lang w:bidi="ar"/>
                    </w:rPr>
                  </w:pPr>
                </w:p>
              </w:tc>
              <w:tc>
                <w:tcPr>
                  <w:tcW w:w="643" w:type="pct"/>
                  <w:tcBorders>
                    <w:tl2br w:val="nil"/>
                    <w:tr2bl w:val="nil"/>
                  </w:tcBorders>
                  <w:shd w:val="clear" w:color="auto" w:fill="auto"/>
                  <w:vAlign w:val="center"/>
                </w:tcPr>
                <w:p w14:paraId="3356B533">
                  <w:pPr>
                    <w:adjustRightInd w:val="0"/>
                    <w:snapToGrid w:val="0"/>
                    <w:jc w:val="center"/>
                    <w:rPr>
                      <w:rFonts w:hint="eastAsia" w:ascii="Times New Roman" w:hAnsi="Times New Roman" w:eastAsia="宋体" w:cs="Times New Roman"/>
                      <w:snapToGrid w:val="0"/>
                      <w:color w:val="auto"/>
                      <w:kern w:val="0"/>
                      <w:sz w:val="18"/>
                      <w:szCs w:val="18"/>
                      <w:lang w:val="en-US" w:eastAsia="zh-CN" w:bidi="ar-SA"/>
                    </w:rPr>
                  </w:pPr>
                  <w:r>
                    <w:rPr>
                      <w:rFonts w:hint="eastAsia"/>
                      <w:color w:val="auto"/>
                      <w:kern w:val="0"/>
                      <w:sz w:val="18"/>
                      <w:szCs w:val="18"/>
                      <w:lang w:val="en-US" w:eastAsia="zh-CN"/>
                    </w:rPr>
                    <w:t>二甲苯</w:t>
                  </w:r>
                </w:p>
              </w:tc>
              <w:tc>
                <w:tcPr>
                  <w:tcW w:w="1151" w:type="dxa"/>
                  <w:tcBorders>
                    <w:tl2br w:val="nil"/>
                    <w:tr2bl w:val="nil"/>
                  </w:tcBorders>
                  <w:shd w:val="clear" w:color="auto" w:fill="auto"/>
                  <w:vAlign w:val="center"/>
                </w:tcPr>
                <w:p w14:paraId="0142A314">
                  <w:pPr>
                    <w:pStyle w:val="656"/>
                    <w:snapToGrid w:val="0"/>
                    <w:rPr>
                      <w:rFonts w:hint="eastAsia"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0.005</w:t>
                  </w:r>
                </w:p>
              </w:tc>
            </w:tr>
            <w:tr w14:paraId="3C05B86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15" w:type="pct"/>
                  <w:vMerge w:val="continue"/>
                  <w:tcBorders>
                    <w:tl2br w:val="nil"/>
                    <w:tr2bl w:val="nil"/>
                  </w:tcBorders>
                  <w:shd w:val="clear" w:color="auto" w:fill="auto"/>
                  <w:vAlign w:val="center"/>
                </w:tcPr>
                <w:p w14:paraId="69B5A6E4">
                  <w:pPr>
                    <w:adjustRightInd w:val="0"/>
                    <w:snapToGrid w:val="0"/>
                    <w:jc w:val="center"/>
                    <w:rPr>
                      <w:rFonts w:hint="eastAsia"/>
                      <w:color w:val="auto"/>
                      <w:kern w:val="0"/>
                      <w:sz w:val="18"/>
                      <w:szCs w:val="18"/>
                      <w:lang w:val="en-US" w:eastAsia="zh-CN"/>
                    </w:rPr>
                  </w:pPr>
                </w:p>
              </w:tc>
              <w:tc>
                <w:tcPr>
                  <w:tcW w:w="287" w:type="pct"/>
                  <w:vMerge w:val="continue"/>
                  <w:tcBorders>
                    <w:tl2br w:val="nil"/>
                    <w:tr2bl w:val="nil"/>
                  </w:tcBorders>
                  <w:shd w:val="clear" w:color="auto" w:fill="auto"/>
                  <w:vAlign w:val="center"/>
                </w:tcPr>
                <w:p w14:paraId="739E31AF">
                  <w:pPr>
                    <w:adjustRightInd w:val="0"/>
                    <w:snapToGrid w:val="0"/>
                    <w:jc w:val="center"/>
                    <w:rPr>
                      <w:rFonts w:hint="eastAsia"/>
                      <w:color w:val="auto"/>
                      <w:kern w:val="0"/>
                      <w:sz w:val="18"/>
                      <w:szCs w:val="18"/>
                      <w:lang w:val="en-US" w:eastAsia="zh-CN"/>
                    </w:rPr>
                  </w:pPr>
                </w:p>
              </w:tc>
              <w:tc>
                <w:tcPr>
                  <w:tcW w:w="288" w:type="pct"/>
                  <w:vMerge w:val="continue"/>
                  <w:tcBorders>
                    <w:tl2br w:val="nil"/>
                    <w:tr2bl w:val="nil"/>
                  </w:tcBorders>
                  <w:shd w:val="clear" w:color="auto" w:fill="auto"/>
                  <w:vAlign w:val="center"/>
                </w:tcPr>
                <w:p w14:paraId="13DC8E1D">
                  <w:pPr>
                    <w:adjustRightInd w:val="0"/>
                    <w:snapToGrid w:val="0"/>
                    <w:jc w:val="center"/>
                    <w:rPr>
                      <w:rFonts w:hint="eastAsia"/>
                      <w:color w:val="auto"/>
                      <w:kern w:val="0"/>
                      <w:sz w:val="18"/>
                      <w:szCs w:val="18"/>
                      <w:lang w:val="en-US" w:eastAsia="zh-CN"/>
                    </w:rPr>
                  </w:pPr>
                </w:p>
              </w:tc>
              <w:tc>
                <w:tcPr>
                  <w:tcW w:w="437" w:type="pct"/>
                  <w:vMerge w:val="continue"/>
                  <w:tcBorders>
                    <w:tl2br w:val="nil"/>
                    <w:tr2bl w:val="nil"/>
                  </w:tcBorders>
                  <w:shd w:val="clear" w:color="auto" w:fill="auto"/>
                  <w:vAlign w:val="center"/>
                </w:tcPr>
                <w:p w14:paraId="02928823">
                  <w:pPr>
                    <w:adjustRightInd w:val="0"/>
                    <w:snapToGrid w:val="0"/>
                    <w:jc w:val="center"/>
                    <w:rPr>
                      <w:rFonts w:hint="eastAsia"/>
                      <w:color w:val="auto"/>
                      <w:kern w:val="0"/>
                      <w:sz w:val="18"/>
                      <w:szCs w:val="18"/>
                      <w:lang w:val="en-US" w:eastAsia="zh-CN"/>
                    </w:rPr>
                  </w:pPr>
                </w:p>
              </w:tc>
              <w:tc>
                <w:tcPr>
                  <w:tcW w:w="437" w:type="pct"/>
                  <w:vMerge w:val="continue"/>
                  <w:tcBorders>
                    <w:tl2br w:val="nil"/>
                    <w:tr2bl w:val="nil"/>
                  </w:tcBorders>
                  <w:shd w:val="clear" w:color="auto" w:fill="auto"/>
                  <w:vAlign w:val="center"/>
                </w:tcPr>
                <w:p w14:paraId="62E1CEFC">
                  <w:pPr>
                    <w:adjustRightInd w:val="0"/>
                    <w:snapToGrid w:val="0"/>
                    <w:jc w:val="center"/>
                    <w:rPr>
                      <w:rFonts w:hint="eastAsia"/>
                      <w:color w:val="auto"/>
                      <w:kern w:val="0"/>
                      <w:sz w:val="18"/>
                      <w:szCs w:val="18"/>
                      <w:lang w:val="en-US" w:eastAsia="zh-CN"/>
                    </w:rPr>
                  </w:pPr>
                </w:p>
              </w:tc>
              <w:tc>
                <w:tcPr>
                  <w:tcW w:w="494" w:type="pct"/>
                  <w:vMerge w:val="continue"/>
                  <w:tcBorders>
                    <w:tl2br w:val="nil"/>
                    <w:tr2bl w:val="nil"/>
                  </w:tcBorders>
                  <w:shd w:val="clear" w:color="auto" w:fill="auto"/>
                  <w:vAlign w:val="center"/>
                </w:tcPr>
                <w:p w14:paraId="2E03F4C8">
                  <w:pPr>
                    <w:adjustRightInd w:val="0"/>
                    <w:snapToGrid w:val="0"/>
                    <w:jc w:val="center"/>
                    <w:rPr>
                      <w:rFonts w:hint="eastAsia"/>
                      <w:color w:val="auto"/>
                      <w:kern w:val="0"/>
                      <w:sz w:val="18"/>
                      <w:szCs w:val="18"/>
                      <w:lang w:val="en-US" w:eastAsia="zh-CN"/>
                    </w:rPr>
                  </w:pPr>
                </w:p>
              </w:tc>
              <w:tc>
                <w:tcPr>
                  <w:tcW w:w="482" w:type="pct"/>
                  <w:vMerge w:val="continue"/>
                  <w:tcBorders>
                    <w:tl2br w:val="nil"/>
                    <w:tr2bl w:val="nil"/>
                  </w:tcBorders>
                  <w:shd w:val="clear" w:color="auto" w:fill="auto"/>
                  <w:vAlign w:val="center"/>
                </w:tcPr>
                <w:p w14:paraId="0EFAD180">
                  <w:pPr>
                    <w:adjustRightInd w:val="0"/>
                    <w:snapToGrid w:val="0"/>
                    <w:jc w:val="center"/>
                    <w:rPr>
                      <w:rFonts w:hint="eastAsia"/>
                      <w:color w:val="auto"/>
                      <w:kern w:val="0"/>
                      <w:sz w:val="18"/>
                      <w:szCs w:val="18"/>
                      <w:lang w:val="en-US" w:eastAsia="zh-CN"/>
                    </w:rPr>
                  </w:pPr>
                </w:p>
              </w:tc>
              <w:tc>
                <w:tcPr>
                  <w:tcW w:w="515" w:type="pct"/>
                  <w:vMerge w:val="continue"/>
                  <w:tcBorders>
                    <w:tl2br w:val="nil"/>
                    <w:tr2bl w:val="nil"/>
                  </w:tcBorders>
                  <w:shd w:val="clear" w:color="auto" w:fill="auto"/>
                  <w:vAlign w:val="center"/>
                </w:tcPr>
                <w:p w14:paraId="3E5F65E7">
                  <w:pPr>
                    <w:adjustRightInd w:val="0"/>
                    <w:snapToGrid w:val="0"/>
                    <w:jc w:val="center"/>
                    <w:rPr>
                      <w:rFonts w:hint="eastAsia"/>
                      <w:bCs/>
                      <w:color w:val="auto"/>
                      <w:kern w:val="0"/>
                      <w:sz w:val="18"/>
                      <w:szCs w:val="18"/>
                      <w:lang w:val="en-US" w:eastAsia="zh-CN" w:bidi="ar"/>
                    </w:rPr>
                  </w:pPr>
                </w:p>
              </w:tc>
              <w:tc>
                <w:tcPr>
                  <w:tcW w:w="347" w:type="pct"/>
                  <w:vMerge w:val="continue"/>
                  <w:tcBorders>
                    <w:tl2br w:val="nil"/>
                    <w:tr2bl w:val="nil"/>
                  </w:tcBorders>
                  <w:shd w:val="clear" w:color="auto" w:fill="auto"/>
                  <w:vAlign w:val="center"/>
                </w:tcPr>
                <w:p w14:paraId="76932CB6">
                  <w:pPr>
                    <w:adjustRightInd w:val="0"/>
                    <w:snapToGrid w:val="0"/>
                    <w:jc w:val="center"/>
                    <w:rPr>
                      <w:rFonts w:hint="eastAsia"/>
                      <w:bCs/>
                      <w:color w:val="auto"/>
                      <w:kern w:val="0"/>
                      <w:sz w:val="18"/>
                      <w:szCs w:val="18"/>
                      <w:lang w:bidi="ar"/>
                    </w:rPr>
                  </w:pPr>
                </w:p>
              </w:tc>
              <w:tc>
                <w:tcPr>
                  <w:tcW w:w="643" w:type="pct"/>
                  <w:tcBorders>
                    <w:tl2br w:val="nil"/>
                    <w:tr2bl w:val="nil"/>
                  </w:tcBorders>
                  <w:shd w:val="clear" w:color="auto" w:fill="auto"/>
                  <w:vAlign w:val="center"/>
                </w:tcPr>
                <w:p w14:paraId="5D98E8CE">
                  <w:pPr>
                    <w:adjustRightInd w:val="0"/>
                    <w:snapToGrid w:val="0"/>
                    <w:jc w:val="center"/>
                    <w:rPr>
                      <w:rFonts w:hint="default"/>
                      <w:b w:val="0"/>
                      <w:bCs/>
                      <w:color w:val="auto"/>
                      <w:kern w:val="0"/>
                      <w:sz w:val="18"/>
                      <w:szCs w:val="18"/>
                      <w:lang w:val="en-US" w:eastAsia="zh-CN" w:bidi="ar"/>
                    </w:rPr>
                  </w:pPr>
                  <w:r>
                    <w:rPr>
                      <w:rFonts w:hint="eastAsia"/>
                      <w:b w:val="0"/>
                      <w:bCs/>
                      <w:color w:val="auto"/>
                      <w:kern w:val="0"/>
                      <w:sz w:val="18"/>
                      <w:szCs w:val="18"/>
                      <w:lang w:val="en-US" w:eastAsia="zh-CN" w:bidi="ar"/>
                    </w:rPr>
                    <w:t>三甲苯</w:t>
                  </w:r>
                </w:p>
              </w:tc>
              <w:tc>
                <w:tcPr>
                  <w:tcW w:w="1151" w:type="dxa"/>
                  <w:tcBorders>
                    <w:tl2br w:val="nil"/>
                    <w:tr2bl w:val="nil"/>
                  </w:tcBorders>
                  <w:shd w:val="clear" w:color="auto" w:fill="auto"/>
                  <w:vAlign w:val="center"/>
                </w:tcPr>
                <w:p w14:paraId="6A11FBD6">
                  <w:pPr>
                    <w:pStyle w:val="656"/>
                    <w:snapToGrid w:val="0"/>
                    <w:rPr>
                      <w:rFonts w:hint="default"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0.0002</w:t>
                  </w:r>
                </w:p>
              </w:tc>
            </w:tr>
            <w:tr w14:paraId="65E1240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15" w:type="pct"/>
                  <w:vMerge w:val="continue"/>
                  <w:tcBorders>
                    <w:tl2br w:val="nil"/>
                    <w:tr2bl w:val="nil"/>
                  </w:tcBorders>
                  <w:shd w:val="clear" w:color="auto" w:fill="auto"/>
                  <w:vAlign w:val="center"/>
                </w:tcPr>
                <w:p w14:paraId="7598FF93">
                  <w:pPr>
                    <w:adjustRightInd w:val="0"/>
                    <w:snapToGrid w:val="0"/>
                    <w:jc w:val="center"/>
                    <w:rPr>
                      <w:color w:val="auto"/>
                      <w:kern w:val="0"/>
                      <w:sz w:val="18"/>
                      <w:szCs w:val="18"/>
                    </w:rPr>
                  </w:pPr>
                </w:p>
              </w:tc>
              <w:tc>
                <w:tcPr>
                  <w:tcW w:w="287" w:type="pct"/>
                  <w:vMerge w:val="continue"/>
                  <w:tcBorders>
                    <w:tl2br w:val="nil"/>
                    <w:tr2bl w:val="nil"/>
                  </w:tcBorders>
                  <w:shd w:val="clear" w:color="auto" w:fill="auto"/>
                  <w:vAlign w:val="center"/>
                </w:tcPr>
                <w:p w14:paraId="38413D5B">
                  <w:pPr>
                    <w:adjustRightInd w:val="0"/>
                    <w:snapToGrid w:val="0"/>
                    <w:jc w:val="center"/>
                    <w:rPr>
                      <w:color w:val="auto"/>
                      <w:kern w:val="0"/>
                      <w:sz w:val="18"/>
                      <w:szCs w:val="18"/>
                    </w:rPr>
                  </w:pPr>
                </w:p>
              </w:tc>
              <w:tc>
                <w:tcPr>
                  <w:tcW w:w="288" w:type="pct"/>
                  <w:vMerge w:val="continue"/>
                  <w:tcBorders>
                    <w:tl2br w:val="nil"/>
                    <w:tr2bl w:val="nil"/>
                  </w:tcBorders>
                  <w:shd w:val="clear" w:color="auto" w:fill="auto"/>
                  <w:vAlign w:val="center"/>
                </w:tcPr>
                <w:p w14:paraId="4C18610A">
                  <w:pPr>
                    <w:adjustRightInd w:val="0"/>
                    <w:snapToGrid w:val="0"/>
                    <w:jc w:val="center"/>
                    <w:rPr>
                      <w:color w:val="auto"/>
                      <w:kern w:val="0"/>
                      <w:sz w:val="18"/>
                      <w:szCs w:val="18"/>
                    </w:rPr>
                  </w:pPr>
                </w:p>
              </w:tc>
              <w:tc>
                <w:tcPr>
                  <w:tcW w:w="437" w:type="pct"/>
                  <w:vMerge w:val="continue"/>
                  <w:tcBorders>
                    <w:tl2br w:val="nil"/>
                    <w:tr2bl w:val="nil"/>
                  </w:tcBorders>
                  <w:shd w:val="clear" w:color="auto" w:fill="auto"/>
                  <w:vAlign w:val="center"/>
                </w:tcPr>
                <w:p w14:paraId="3EA4501B">
                  <w:pPr>
                    <w:adjustRightInd w:val="0"/>
                    <w:snapToGrid w:val="0"/>
                    <w:jc w:val="center"/>
                    <w:rPr>
                      <w:color w:val="auto"/>
                      <w:kern w:val="0"/>
                      <w:sz w:val="18"/>
                      <w:szCs w:val="18"/>
                    </w:rPr>
                  </w:pPr>
                </w:p>
              </w:tc>
              <w:tc>
                <w:tcPr>
                  <w:tcW w:w="437" w:type="pct"/>
                  <w:vMerge w:val="continue"/>
                  <w:tcBorders>
                    <w:tl2br w:val="nil"/>
                    <w:tr2bl w:val="nil"/>
                  </w:tcBorders>
                  <w:shd w:val="clear" w:color="auto" w:fill="auto"/>
                  <w:vAlign w:val="center"/>
                </w:tcPr>
                <w:p w14:paraId="66368C79">
                  <w:pPr>
                    <w:adjustRightInd w:val="0"/>
                    <w:snapToGrid w:val="0"/>
                    <w:jc w:val="center"/>
                    <w:rPr>
                      <w:color w:val="auto"/>
                      <w:kern w:val="0"/>
                      <w:sz w:val="18"/>
                      <w:szCs w:val="18"/>
                    </w:rPr>
                  </w:pPr>
                </w:p>
              </w:tc>
              <w:tc>
                <w:tcPr>
                  <w:tcW w:w="494" w:type="pct"/>
                  <w:vMerge w:val="continue"/>
                  <w:tcBorders>
                    <w:tl2br w:val="nil"/>
                    <w:tr2bl w:val="nil"/>
                  </w:tcBorders>
                  <w:shd w:val="clear" w:color="auto" w:fill="auto"/>
                  <w:vAlign w:val="center"/>
                </w:tcPr>
                <w:p w14:paraId="28D4DF0C">
                  <w:pPr>
                    <w:adjustRightInd w:val="0"/>
                    <w:snapToGrid w:val="0"/>
                    <w:jc w:val="center"/>
                    <w:rPr>
                      <w:color w:val="auto"/>
                      <w:kern w:val="0"/>
                      <w:sz w:val="18"/>
                      <w:szCs w:val="18"/>
                    </w:rPr>
                  </w:pPr>
                </w:p>
              </w:tc>
              <w:tc>
                <w:tcPr>
                  <w:tcW w:w="482" w:type="pct"/>
                  <w:vMerge w:val="continue"/>
                  <w:tcBorders>
                    <w:tl2br w:val="nil"/>
                    <w:tr2bl w:val="nil"/>
                  </w:tcBorders>
                  <w:shd w:val="clear" w:color="auto" w:fill="auto"/>
                  <w:vAlign w:val="center"/>
                </w:tcPr>
                <w:p w14:paraId="19BB84E2">
                  <w:pPr>
                    <w:adjustRightInd w:val="0"/>
                    <w:snapToGrid w:val="0"/>
                    <w:jc w:val="center"/>
                    <w:rPr>
                      <w:color w:val="auto"/>
                      <w:kern w:val="0"/>
                      <w:sz w:val="18"/>
                      <w:szCs w:val="18"/>
                    </w:rPr>
                  </w:pPr>
                </w:p>
              </w:tc>
              <w:tc>
                <w:tcPr>
                  <w:tcW w:w="515" w:type="pct"/>
                  <w:vMerge w:val="continue"/>
                  <w:tcBorders>
                    <w:tl2br w:val="nil"/>
                    <w:tr2bl w:val="nil"/>
                  </w:tcBorders>
                  <w:shd w:val="clear" w:color="auto" w:fill="auto"/>
                  <w:vAlign w:val="center"/>
                </w:tcPr>
                <w:p w14:paraId="7CCCE5F7">
                  <w:pPr>
                    <w:adjustRightInd w:val="0"/>
                    <w:snapToGrid w:val="0"/>
                    <w:jc w:val="center"/>
                    <w:rPr>
                      <w:color w:val="auto"/>
                      <w:kern w:val="0"/>
                      <w:sz w:val="18"/>
                      <w:szCs w:val="18"/>
                    </w:rPr>
                  </w:pPr>
                </w:p>
              </w:tc>
              <w:tc>
                <w:tcPr>
                  <w:tcW w:w="347" w:type="pct"/>
                  <w:vMerge w:val="continue"/>
                  <w:tcBorders>
                    <w:tl2br w:val="nil"/>
                    <w:tr2bl w:val="nil"/>
                  </w:tcBorders>
                  <w:shd w:val="clear" w:color="auto" w:fill="auto"/>
                  <w:vAlign w:val="center"/>
                </w:tcPr>
                <w:p w14:paraId="48043BED">
                  <w:pPr>
                    <w:adjustRightInd w:val="0"/>
                    <w:snapToGrid w:val="0"/>
                    <w:jc w:val="center"/>
                    <w:rPr>
                      <w:color w:val="auto"/>
                      <w:kern w:val="0"/>
                      <w:sz w:val="18"/>
                      <w:szCs w:val="18"/>
                    </w:rPr>
                  </w:pPr>
                </w:p>
              </w:tc>
              <w:tc>
                <w:tcPr>
                  <w:tcW w:w="643" w:type="pct"/>
                  <w:tcBorders>
                    <w:tl2br w:val="nil"/>
                    <w:tr2bl w:val="nil"/>
                  </w:tcBorders>
                  <w:shd w:val="clear" w:color="auto" w:fill="auto"/>
                  <w:vAlign w:val="center"/>
                </w:tcPr>
                <w:p w14:paraId="22022815">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颗粒物</w:t>
                  </w:r>
                </w:p>
              </w:tc>
              <w:tc>
                <w:tcPr>
                  <w:tcW w:w="1151" w:type="dxa"/>
                  <w:tcBorders>
                    <w:tl2br w:val="nil"/>
                    <w:tr2bl w:val="nil"/>
                  </w:tcBorders>
                  <w:shd w:val="clear" w:color="auto" w:fill="auto"/>
                  <w:vAlign w:val="center"/>
                </w:tcPr>
                <w:p w14:paraId="578676F9">
                  <w:pPr>
                    <w:pStyle w:val="656"/>
                    <w:snapToGrid w:val="0"/>
                    <w:rPr>
                      <w:rFonts w:hint="default" w:eastAsia="宋体"/>
                      <w:color w:val="auto"/>
                      <w:kern w:val="0"/>
                      <w:sz w:val="18"/>
                      <w:szCs w:val="18"/>
                      <w:lang w:val="en-US" w:eastAsia="zh-CN"/>
                    </w:rPr>
                  </w:pPr>
                  <w:r>
                    <w:rPr>
                      <w:rFonts w:hint="eastAsia" w:eastAsia="宋体"/>
                      <w:color w:val="auto"/>
                      <w:kern w:val="0"/>
                      <w:sz w:val="18"/>
                      <w:szCs w:val="18"/>
                      <w:lang w:val="en-US" w:eastAsia="zh-CN"/>
                    </w:rPr>
                    <w:t>0.014</w:t>
                  </w:r>
                </w:p>
              </w:tc>
            </w:tr>
            <w:tr w14:paraId="2DDA3BD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000" w:type="pct"/>
                  <w:gridSpan w:val="11"/>
                  <w:tcBorders>
                    <w:tl2br w:val="nil"/>
                    <w:tr2bl w:val="nil"/>
                  </w:tcBorders>
                  <w:shd w:val="clear" w:color="auto" w:fill="auto"/>
                  <w:vAlign w:val="center"/>
                </w:tcPr>
                <w:p w14:paraId="71CBB7FB">
                  <w:pPr>
                    <w:adjustRightInd w:val="0"/>
                    <w:snapToGrid w:val="0"/>
                    <w:jc w:val="left"/>
                    <w:rPr>
                      <w:b/>
                      <w:color w:val="auto"/>
                      <w:kern w:val="0"/>
                      <w:sz w:val="18"/>
                      <w:szCs w:val="18"/>
                      <w:lang w:bidi="ar"/>
                    </w:rPr>
                  </w:pPr>
                  <w:r>
                    <w:rPr>
                      <w:b/>
                      <w:color w:val="auto"/>
                      <w:kern w:val="0"/>
                      <w:sz w:val="18"/>
                      <w:szCs w:val="18"/>
                      <w:lang w:bidi="ar"/>
                    </w:rPr>
                    <w:t>注：坐标以</w:t>
                  </w:r>
                  <w:r>
                    <w:rPr>
                      <w:rFonts w:hint="eastAsia"/>
                      <w:b/>
                      <w:color w:val="auto"/>
                      <w:kern w:val="0"/>
                      <w:sz w:val="18"/>
                      <w:szCs w:val="18"/>
                      <w:lang w:val="en-US" w:eastAsia="zh-CN" w:bidi="ar"/>
                    </w:rPr>
                    <w:t>厂房</w:t>
                  </w:r>
                  <w:r>
                    <w:rPr>
                      <w:rFonts w:hint="eastAsia"/>
                      <w:b/>
                      <w:color w:val="auto"/>
                      <w:kern w:val="0"/>
                      <w:sz w:val="18"/>
                      <w:szCs w:val="18"/>
                      <w:lang w:bidi="ar"/>
                    </w:rPr>
                    <w:t>左</w:t>
                  </w:r>
                  <w:r>
                    <w:rPr>
                      <w:b/>
                      <w:color w:val="auto"/>
                      <w:kern w:val="0"/>
                      <w:sz w:val="18"/>
                      <w:szCs w:val="18"/>
                      <w:lang w:bidi="ar"/>
                    </w:rPr>
                    <w:t>下角为原点（0,0）</w:t>
                  </w:r>
                  <w:r>
                    <w:rPr>
                      <w:rFonts w:hint="eastAsia"/>
                      <w:b/>
                      <w:color w:val="auto"/>
                      <w:kern w:val="0"/>
                      <w:sz w:val="18"/>
                      <w:szCs w:val="18"/>
                      <w:lang w:eastAsia="zh-CN" w:bidi="ar"/>
                    </w:rPr>
                    <w:t>，</w:t>
                  </w:r>
                  <w:r>
                    <w:rPr>
                      <w:rFonts w:hint="eastAsia"/>
                      <w:b/>
                      <w:color w:val="auto"/>
                      <w:kern w:val="0"/>
                      <w:sz w:val="18"/>
                      <w:szCs w:val="18"/>
                      <w:lang w:bidi="ar"/>
                    </w:rPr>
                    <w:t>非甲烷总烃中包含</w:t>
                  </w:r>
                  <w:r>
                    <w:rPr>
                      <w:rFonts w:hint="eastAsia"/>
                      <w:b/>
                      <w:color w:val="auto"/>
                      <w:kern w:val="0"/>
                      <w:sz w:val="18"/>
                      <w:szCs w:val="18"/>
                      <w:lang w:val="en-US" w:eastAsia="zh-CN" w:bidi="ar"/>
                    </w:rPr>
                    <w:t>苯系物（其中包含二甲苯、三甲苯）</w:t>
                  </w:r>
                  <w:r>
                    <w:rPr>
                      <w:rFonts w:hint="eastAsia"/>
                      <w:b/>
                      <w:color w:val="auto"/>
                      <w:kern w:val="0"/>
                      <w:sz w:val="18"/>
                      <w:szCs w:val="18"/>
                      <w:lang w:eastAsia="zh-CN" w:bidi="ar"/>
                    </w:rPr>
                    <w:t>。</w:t>
                  </w:r>
                </w:p>
              </w:tc>
            </w:tr>
          </w:tbl>
          <w:p w14:paraId="5F10075C">
            <w:pPr>
              <w:pStyle w:val="5"/>
              <w:adjustRightInd w:val="0"/>
              <w:snapToGrid w:val="0"/>
              <w:spacing w:line="360" w:lineRule="auto"/>
              <w:ind w:firstLine="422" w:firstLineChars="200"/>
              <w:rPr>
                <w:b/>
                <w:color w:val="auto"/>
                <w:kern w:val="0"/>
                <w:szCs w:val="21"/>
              </w:rPr>
            </w:pPr>
            <w:r>
              <w:rPr>
                <w:rFonts w:hint="eastAsia"/>
                <w:b/>
                <w:color w:val="auto"/>
                <w:kern w:val="0"/>
                <w:szCs w:val="21"/>
              </w:rPr>
              <w:t>（4）污染治理措施可行性分析</w:t>
            </w:r>
          </w:p>
          <w:p w14:paraId="0525C8B8">
            <w:pPr>
              <w:pStyle w:val="5"/>
              <w:adjustRightInd w:val="0"/>
              <w:snapToGrid w:val="0"/>
              <w:spacing w:line="360" w:lineRule="auto"/>
              <w:ind w:firstLine="422" w:firstLineChars="200"/>
              <w:rPr>
                <w:b/>
                <w:color w:val="auto"/>
                <w:kern w:val="0"/>
                <w:szCs w:val="21"/>
              </w:rPr>
            </w:pPr>
            <w:r>
              <w:rPr>
                <w:rFonts w:hint="eastAsia"/>
                <w:b/>
                <w:color w:val="auto"/>
                <w:kern w:val="0"/>
                <w:szCs w:val="21"/>
              </w:rPr>
              <w:t>①废气治理措施简述</w:t>
            </w:r>
          </w:p>
          <w:p w14:paraId="5D93C52F">
            <w:pPr>
              <w:adjustRightInd w:val="0"/>
              <w:snapToGrid w:val="0"/>
              <w:spacing w:line="360" w:lineRule="auto"/>
              <w:ind w:firstLine="420" w:firstLineChars="200"/>
              <w:rPr>
                <w:color w:val="auto"/>
                <w:kern w:val="0"/>
                <w:shd w:val="clear" w:color="auto" w:fill="FFFFFF"/>
              </w:rPr>
            </w:pPr>
            <w:r>
              <w:rPr>
                <w:rFonts w:hint="eastAsia"/>
                <w:color w:val="auto"/>
                <w:kern w:val="0"/>
              </w:rPr>
              <w:t>本</w:t>
            </w:r>
            <w:r>
              <w:rPr>
                <w:rFonts w:hint="eastAsia"/>
                <w:bCs/>
                <w:color w:val="auto"/>
                <w:kern w:val="0"/>
                <w:lang w:eastAsia="zh-CN"/>
              </w:rPr>
              <w:t>项目</w:t>
            </w:r>
            <w:r>
              <w:rPr>
                <w:rFonts w:hint="eastAsia"/>
                <w:bCs/>
                <w:color w:val="auto"/>
                <w:kern w:val="0"/>
                <w:lang w:val="en-US" w:eastAsia="zh-CN"/>
              </w:rPr>
              <w:t>擦色、调漆、喷漆、刷漆、晾干、喷枪清洗产生的有机废气经调漆房、底漆房、面漆房、晾干房负压收集；喷漆产生的颗粒物经底漆房、面漆房负压收集，颗粒物经水帘装置处理后和</w:t>
            </w:r>
            <w:r>
              <w:rPr>
                <w:rFonts w:hint="eastAsia"/>
                <w:bCs/>
                <w:color w:val="auto"/>
                <w:kern w:val="0"/>
                <w:lang w:eastAsia="zh-CN"/>
              </w:rPr>
              <w:t>有机废气</w:t>
            </w:r>
            <w:r>
              <w:rPr>
                <w:rFonts w:hint="eastAsia"/>
                <w:bCs/>
                <w:color w:val="auto"/>
                <w:kern w:val="0"/>
                <w:lang w:val="en-US" w:eastAsia="zh-CN"/>
              </w:rPr>
              <w:t>一起经吸雾毡去除水分后</w:t>
            </w:r>
            <w:r>
              <w:rPr>
                <w:rFonts w:hint="eastAsia"/>
                <w:bCs/>
                <w:color w:val="auto"/>
                <w:kern w:val="0"/>
                <w:lang w:eastAsia="zh-CN"/>
              </w:rPr>
              <w:t>进入1套“二级活性炭装置”处理后通过1根</w:t>
            </w:r>
            <w:r>
              <w:rPr>
                <w:rFonts w:hint="eastAsia"/>
                <w:bCs/>
                <w:color w:val="auto"/>
                <w:kern w:val="0"/>
                <w:lang w:val="en-US" w:eastAsia="zh-CN"/>
              </w:rPr>
              <w:t>20</w:t>
            </w:r>
            <w:r>
              <w:rPr>
                <w:rFonts w:hint="eastAsia"/>
                <w:bCs/>
                <w:color w:val="auto"/>
                <w:kern w:val="0"/>
                <w:lang w:eastAsia="zh-CN"/>
              </w:rPr>
              <w:t>m高的排气筒DA001排放；</w:t>
            </w:r>
            <w:r>
              <w:rPr>
                <w:rFonts w:hint="eastAsia"/>
                <w:bCs/>
                <w:color w:val="auto"/>
                <w:kern w:val="0"/>
                <w:lang w:val="en-US" w:eastAsia="zh-CN"/>
              </w:rPr>
              <w:t>开料、刨平、铣型、砂磨、齐边精裁、钻孔粉尘经移动式布袋除尘器收集处理后于车间内无组织排放；磨光粉尘经干式内循环打磨处理器收集处理后于车间内无组织排放</w:t>
            </w:r>
            <w:r>
              <w:rPr>
                <w:rFonts w:hint="eastAsia"/>
                <w:color w:val="auto"/>
                <w:kern w:val="0"/>
                <w:shd w:val="clear" w:color="auto" w:fill="FFFFFF"/>
                <w:lang w:eastAsia="zh-CN"/>
              </w:rPr>
              <w:t>；</w:t>
            </w:r>
            <w:r>
              <w:rPr>
                <w:rFonts w:hint="eastAsia"/>
                <w:bCs/>
                <w:color w:val="auto"/>
                <w:kern w:val="0"/>
                <w:lang w:val="en-US" w:eastAsia="zh-CN"/>
              </w:rPr>
              <w:t>白乳胶挥发</w:t>
            </w:r>
            <w:r>
              <w:rPr>
                <w:rFonts w:hint="eastAsia"/>
                <w:bCs/>
                <w:color w:val="auto"/>
                <w:kern w:val="0"/>
                <w:lang w:eastAsia="zh-CN"/>
              </w:rPr>
              <w:t>、</w:t>
            </w:r>
            <w:r>
              <w:rPr>
                <w:rFonts w:hint="eastAsia"/>
                <w:bCs/>
                <w:color w:val="auto"/>
                <w:kern w:val="0"/>
                <w:lang w:val="en-US" w:eastAsia="zh-CN"/>
              </w:rPr>
              <w:t>热熔胶挥发</w:t>
            </w:r>
            <w:r>
              <w:rPr>
                <w:rFonts w:hint="eastAsia"/>
                <w:bCs/>
                <w:color w:val="auto"/>
                <w:kern w:val="0"/>
                <w:lang w:eastAsia="zh-CN"/>
              </w:rPr>
              <w:t>产生的有机废气</w:t>
            </w:r>
            <w:r>
              <w:rPr>
                <w:rFonts w:hint="eastAsia"/>
                <w:bCs/>
                <w:color w:val="auto"/>
                <w:kern w:val="0"/>
                <w:lang w:val="en-US" w:eastAsia="zh-CN"/>
              </w:rPr>
              <w:t>无组织排放</w:t>
            </w:r>
            <w:r>
              <w:rPr>
                <w:rFonts w:hint="eastAsia"/>
                <w:bCs/>
                <w:color w:val="auto"/>
                <w:kern w:val="0"/>
                <w:lang w:eastAsia="zh-CN"/>
              </w:rPr>
              <w:t>。</w:t>
            </w:r>
          </w:p>
          <w:p w14:paraId="324C16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kern w:val="0"/>
              </w:rPr>
            </w:pPr>
            <w:r>
              <w:rPr>
                <w:b/>
                <w:bCs/>
                <w:color w:val="auto"/>
                <w:kern w:val="0"/>
              </w:rPr>
              <w:object>
                <v:shape id="_x0000_i1036" o:spt="75" type="#_x0000_t75" style="height:283.85pt;width:425.9pt;" o:ole="t" filled="f" o:preferrelative="t" stroked="f" coordsize="21600,21600">
                  <v:path/>
                  <v:fill on="f" focussize="0,0"/>
                  <v:stroke on="f"/>
                  <v:imagedata r:id="rId35" o:title=""/>
                  <o:lock v:ext="edit" aspectratio="f"/>
                  <w10:wrap type="none"/>
                  <w10:anchorlock/>
                </v:shape>
                <o:OLEObject Type="Embed" ProgID="Visio.Drawing.11" ShapeID="_x0000_i1036" DrawAspect="Content" ObjectID="_1468075736" r:id="rId34">
                  <o:LockedField>false</o:LockedField>
                </o:OLEObject>
              </w:object>
            </w:r>
          </w:p>
          <w:p w14:paraId="093A080B">
            <w:pPr>
              <w:pStyle w:val="6"/>
              <w:adjustRightInd w:val="0"/>
              <w:snapToGrid w:val="0"/>
              <w:spacing w:before="0" w:after="0" w:line="360" w:lineRule="auto"/>
              <w:jc w:val="center"/>
              <w:rPr>
                <w:color w:val="auto"/>
                <w:kern w:val="0"/>
                <w:sz w:val="21"/>
                <w:szCs w:val="21"/>
              </w:rPr>
            </w:pPr>
            <w:r>
              <w:rPr>
                <w:rFonts w:hint="eastAsia"/>
                <w:color w:val="auto"/>
                <w:kern w:val="0"/>
                <w:sz w:val="21"/>
                <w:szCs w:val="21"/>
              </w:rPr>
              <w:t>图4-1   废气处置方案</w:t>
            </w:r>
          </w:p>
          <w:p w14:paraId="016AA2F4">
            <w:pPr>
              <w:adjustRightInd w:val="0"/>
              <w:snapToGrid w:val="0"/>
              <w:spacing w:line="360" w:lineRule="auto"/>
              <w:ind w:firstLine="422" w:firstLineChars="200"/>
              <w:rPr>
                <w:b/>
                <w:bCs/>
                <w:color w:val="auto"/>
                <w:kern w:val="0"/>
              </w:rPr>
            </w:pPr>
            <w:r>
              <w:rPr>
                <w:rFonts w:hint="eastAsia"/>
                <w:b/>
                <w:bCs/>
                <w:color w:val="auto"/>
                <w:kern w:val="0"/>
                <w:lang w:val="en-US" w:eastAsia="zh-CN"/>
              </w:rPr>
              <w:t>②</w:t>
            </w:r>
            <w:r>
              <w:rPr>
                <w:rFonts w:hint="eastAsia"/>
                <w:b/>
                <w:bCs/>
                <w:color w:val="auto"/>
                <w:kern w:val="0"/>
              </w:rPr>
              <w:t>技术可行性分析</w:t>
            </w:r>
          </w:p>
          <w:p w14:paraId="6FCEAB69">
            <w:pPr>
              <w:autoSpaceDE w:val="0"/>
              <w:autoSpaceDN w:val="0"/>
              <w:adjustRightInd w:val="0"/>
              <w:snapToGrid w:val="0"/>
              <w:spacing w:line="360" w:lineRule="auto"/>
              <w:ind w:firstLine="422" w:firstLineChars="200"/>
              <w:rPr>
                <w:b/>
                <w:color w:val="auto"/>
                <w:kern w:val="0"/>
              </w:rPr>
            </w:pPr>
            <w:r>
              <w:rPr>
                <w:rFonts w:hint="eastAsia"/>
                <w:b/>
                <w:color w:val="auto"/>
                <w:kern w:val="0"/>
                <w:lang w:val="en-US" w:eastAsia="zh-CN"/>
              </w:rPr>
              <w:t>1）</w:t>
            </w:r>
            <w:r>
              <w:rPr>
                <w:rFonts w:hint="eastAsia"/>
                <w:b/>
                <w:color w:val="auto"/>
                <w:kern w:val="0"/>
              </w:rPr>
              <w:t>废气处理装置运行原理</w:t>
            </w:r>
          </w:p>
          <w:p w14:paraId="388724AC">
            <w:pPr>
              <w:adjustRightInd w:val="0"/>
              <w:snapToGrid w:val="0"/>
              <w:spacing w:line="360" w:lineRule="auto"/>
              <w:ind w:firstLine="420" w:firstLineChars="200"/>
              <w:rPr>
                <w:bCs/>
                <w:color w:val="auto"/>
                <w:kern w:val="0"/>
              </w:rPr>
            </w:pPr>
            <w:r>
              <w:rPr>
                <w:bCs/>
                <w:color w:val="auto"/>
                <w:kern w:val="0"/>
              </w:rPr>
              <w:t>活性炭吸附原理：活性炭吸附是利用活性炭的多孔性，存在吸引力的原理而开发的。由于固体表面上存在着未平衡饱和的分子力或化学键力，因此当此固体表面与气体接触时，就能吸引气体分子，使其浓集并保持在固体表面，这种现象就是吸附现象。本工艺所采用的活性炭吸附法就是利用固体表面的这种性质，当废气与大表面积的多孔性活性炭相接触，废气中的污染物被吸附在活性炭固体表面，从而与气体混合物分离，达到净化的目的。</w:t>
            </w:r>
          </w:p>
          <w:p w14:paraId="0A915C88">
            <w:pPr>
              <w:adjustRightInd w:val="0"/>
              <w:snapToGrid w:val="0"/>
              <w:jc w:val="center"/>
              <w:rPr>
                <w:b/>
                <w:bCs/>
                <w:color w:val="auto"/>
                <w:kern w:val="0"/>
              </w:rPr>
            </w:pPr>
            <w:r>
              <w:rPr>
                <w:b/>
                <w:bCs/>
                <w:color w:val="auto"/>
                <w:kern w:val="0"/>
              </w:rPr>
              <w:t>表4</w:t>
            </w:r>
            <w:r>
              <w:rPr>
                <w:rFonts w:hint="eastAsia"/>
                <w:b/>
                <w:bCs/>
                <w:color w:val="auto"/>
                <w:kern w:val="0"/>
              </w:rPr>
              <w:t>-</w:t>
            </w:r>
            <w:r>
              <w:rPr>
                <w:rFonts w:hint="eastAsia"/>
                <w:b/>
                <w:bCs/>
                <w:color w:val="auto"/>
                <w:kern w:val="0"/>
                <w:lang w:val="en-US" w:eastAsia="zh-CN"/>
              </w:rPr>
              <w:t>6</w:t>
            </w:r>
            <w:r>
              <w:rPr>
                <w:rFonts w:hint="eastAsia"/>
                <w:b/>
                <w:bCs/>
                <w:color w:val="auto"/>
                <w:kern w:val="0"/>
              </w:rPr>
              <w:t xml:space="preserve">   </w:t>
            </w:r>
            <w:r>
              <w:rPr>
                <w:b/>
                <w:bCs/>
                <w:color w:val="auto"/>
                <w:kern w:val="0"/>
              </w:rPr>
              <w:t>活性炭技术参数</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040"/>
              <w:gridCol w:w="3010"/>
              <w:gridCol w:w="1634"/>
              <w:gridCol w:w="3173"/>
            </w:tblGrid>
            <w:tr w14:paraId="3FC827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587" w:type="pct"/>
                  <w:tcBorders>
                    <w:tl2br w:val="nil"/>
                    <w:tr2bl w:val="nil"/>
                  </w:tcBorders>
                  <w:tcMar>
                    <w:top w:w="0" w:type="dxa"/>
                    <w:left w:w="0" w:type="dxa"/>
                    <w:bottom w:w="0" w:type="dxa"/>
                    <w:right w:w="0" w:type="dxa"/>
                  </w:tcMar>
                  <w:vAlign w:val="center"/>
                </w:tcPr>
                <w:p w14:paraId="31E5146B">
                  <w:pPr>
                    <w:adjustRightInd w:val="0"/>
                    <w:snapToGrid w:val="0"/>
                    <w:jc w:val="center"/>
                    <w:rPr>
                      <w:b/>
                      <w:color w:val="auto"/>
                      <w:kern w:val="0"/>
                    </w:rPr>
                  </w:pPr>
                  <w:r>
                    <w:rPr>
                      <w:b/>
                      <w:color w:val="auto"/>
                      <w:kern w:val="0"/>
                    </w:rPr>
                    <w:t>序号</w:t>
                  </w:r>
                </w:p>
              </w:tc>
              <w:tc>
                <w:tcPr>
                  <w:tcW w:w="1698" w:type="pct"/>
                  <w:tcBorders>
                    <w:tl2br w:val="nil"/>
                    <w:tr2bl w:val="nil"/>
                  </w:tcBorders>
                  <w:tcMar>
                    <w:top w:w="0" w:type="dxa"/>
                    <w:left w:w="0" w:type="dxa"/>
                    <w:bottom w:w="0" w:type="dxa"/>
                    <w:right w:w="0" w:type="dxa"/>
                  </w:tcMar>
                  <w:vAlign w:val="center"/>
                </w:tcPr>
                <w:p w14:paraId="782D7278">
                  <w:pPr>
                    <w:adjustRightInd w:val="0"/>
                    <w:snapToGrid w:val="0"/>
                    <w:jc w:val="center"/>
                    <w:rPr>
                      <w:b/>
                      <w:color w:val="auto"/>
                      <w:kern w:val="0"/>
                    </w:rPr>
                  </w:pPr>
                  <w:r>
                    <w:rPr>
                      <w:b/>
                      <w:color w:val="auto"/>
                      <w:kern w:val="0"/>
                    </w:rPr>
                    <w:t>项目</w:t>
                  </w:r>
                </w:p>
              </w:tc>
              <w:tc>
                <w:tcPr>
                  <w:tcW w:w="922" w:type="pct"/>
                  <w:tcBorders>
                    <w:tl2br w:val="nil"/>
                    <w:tr2bl w:val="nil"/>
                  </w:tcBorders>
                  <w:tcMar>
                    <w:top w:w="0" w:type="dxa"/>
                    <w:left w:w="0" w:type="dxa"/>
                    <w:bottom w:w="0" w:type="dxa"/>
                    <w:right w:w="0" w:type="dxa"/>
                  </w:tcMar>
                  <w:vAlign w:val="center"/>
                </w:tcPr>
                <w:p w14:paraId="19490141">
                  <w:pPr>
                    <w:adjustRightInd w:val="0"/>
                    <w:snapToGrid w:val="0"/>
                    <w:jc w:val="center"/>
                    <w:rPr>
                      <w:b/>
                      <w:color w:val="auto"/>
                      <w:kern w:val="0"/>
                    </w:rPr>
                  </w:pPr>
                  <w:r>
                    <w:rPr>
                      <w:b/>
                      <w:color w:val="auto"/>
                      <w:kern w:val="0"/>
                    </w:rPr>
                    <w:t>单位</w:t>
                  </w:r>
                </w:p>
              </w:tc>
              <w:tc>
                <w:tcPr>
                  <w:tcW w:w="1790" w:type="pct"/>
                  <w:tcBorders>
                    <w:tl2br w:val="nil"/>
                    <w:tr2bl w:val="nil"/>
                  </w:tcBorders>
                  <w:tcMar>
                    <w:top w:w="0" w:type="dxa"/>
                    <w:left w:w="0" w:type="dxa"/>
                    <w:bottom w:w="0" w:type="dxa"/>
                    <w:right w:w="0" w:type="dxa"/>
                  </w:tcMar>
                  <w:vAlign w:val="center"/>
                </w:tcPr>
                <w:p w14:paraId="709643B7">
                  <w:pPr>
                    <w:adjustRightInd w:val="0"/>
                    <w:snapToGrid w:val="0"/>
                    <w:jc w:val="center"/>
                    <w:rPr>
                      <w:b/>
                      <w:color w:val="auto"/>
                      <w:kern w:val="0"/>
                    </w:rPr>
                  </w:pPr>
                  <w:r>
                    <w:rPr>
                      <w:b/>
                      <w:color w:val="auto"/>
                      <w:kern w:val="0"/>
                    </w:rPr>
                    <w:t>技术指标</w:t>
                  </w:r>
                </w:p>
              </w:tc>
            </w:tr>
            <w:tr w14:paraId="4670A2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587" w:type="pct"/>
                  <w:tcBorders>
                    <w:tl2br w:val="nil"/>
                    <w:tr2bl w:val="nil"/>
                  </w:tcBorders>
                  <w:tcMar>
                    <w:top w:w="0" w:type="dxa"/>
                    <w:left w:w="0" w:type="dxa"/>
                    <w:bottom w:w="0" w:type="dxa"/>
                    <w:right w:w="0" w:type="dxa"/>
                  </w:tcMar>
                  <w:vAlign w:val="center"/>
                </w:tcPr>
                <w:p w14:paraId="57D6C210">
                  <w:pPr>
                    <w:adjustRightInd w:val="0"/>
                    <w:snapToGrid w:val="0"/>
                    <w:jc w:val="center"/>
                    <w:rPr>
                      <w:color w:val="auto"/>
                      <w:kern w:val="0"/>
                    </w:rPr>
                  </w:pPr>
                  <w:r>
                    <w:rPr>
                      <w:color w:val="auto"/>
                      <w:kern w:val="0"/>
                    </w:rPr>
                    <w:t>1</w:t>
                  </w:r>
                </w:p>
              </w:tc>
              <w:tc>
                <w:tcPr>
                  <w:tcW w:w="1698" w:type="pct"/>
                  <w:tcBorders>
                    <w:tl2br w:val="nil"/>
                    <w:tr2bl w:val="nil"/>
                  </w:tcBorders>
                  <w:tcMar>
                    <w:top w:w="0" w:type="dxa"/>
                    <w:left w:w="0" w:type="dxa"/>
                    <w:bottom w:w="0" w:type="dxa"/>
                    <w:right w:w="0" w:type="dxa"/>
                  </w:tcMar>
                  <w:vAlign w:val="center"/>
                </w:tcPr>
                <w:p w14:paraId="4FC52466">
                  <w:pPr>
                    <w:adjustRightInd w:val="0"/>
                    <w:snapToGrid w:val="0"/>
                    <w:jc w:val="center"/>
                    <w:rPr>
                      <w:color w:val="auto"/>
                      <w:kern w:val="0"/>
                    </w:rPr>
                  </w:pPr>
                  <w:r>
                    <w:rPr>
                      <w:color w:val="auto"/>
                      <w:kern w:val="0"/>
                    </w:rPr>
                    <w:t>单级活性炭吸附箱尺寸</w:t>
                  </w:r>
                </w:p>
              </w:tc>
              <w:tc>
                <w:tcPr>
                  <w:tcW w:w="922" w:type="pct"/>
                  <w:tcBorders>
                    <w:tl2br w:val="nil"/>
                    <w:tr2bl w:val="nil"/>
                  </w:tcBorders>
                  <w:tcMar>
                    <w:top w:w="0" w:type="dxa"/>
                    <w:left w:w="0" w:type="dxa"/>
                    <w:bottom w:w="0" w:type="dxa"/>
                    <w:right w:w="0" w:type="dxa"/>
                  </w:tcMar>
                  <w:vAlign w:val="center"/>
                </w:tcPr>
                <w:p w14:paraId="43F6187A">
                  <w:pPr>
                    <w:adjustRightInd w:val="0"/>
                    <w:snapToGrid w:val="0"/>
                    <w:jc w:val="center"/>
                    <w:rPr>
                      <w:color w:val="auto"/>
                      <w:kern w:val="0"/>
                    </w:rPr>
                  </w:pPr>
                  <w:r>
                    <w:rPr>
                      <w:color w:val="auto"/>
                      <w:kern w:val="0"/>
                    </w:rPr>
                    <w:t>m</w:t>
                  </w:r>
                </w:p>
              </w:tc>
              <w:tc>
                <w:tcPr>
                  <w:tcW w:w="1790" w:type="pct"/>
                  <w:tcBorders>
                    <w:tl2br w:val="nil"/>
                    <w:tr2bl w:val="nil"/>
                  </w:tcBorders>
                  <w:tcMar>
                    <w:top w:w="0" w:type="dxa"/>
                    <w:left w:w="0" w:type="dxa"/>
                    <w:bottom w:w="0" w:type="dxa"/>
                    <w:right w:w="0" w:type="dxa"/>
                  </w:tcMar>
                  <w:vAlign w:val="center"/>
                </w:tcPr>
                <w:p w14:paraId="2849E45F">
                  <w:pPr>
                    <w:adjustRightInd w:val="0"/>
                    <w:snapToGrid w:val="0"/>
                    <w:jc w:val="center"/>
                    <w:rPr>
                      <w:color w:val="auto"/>
                      <w:kern w:val="0"/>
                    </w:rPr>
                  </w:pPr>
                  <w:r>
                    <w:rPr>
                      <w:rFonts w:hint="eastAsia"/>
                      <w:color w:val="auto"/>
                      <w:kern w:val="0"/>
                    </w:rPr>
                    <w:t>2</w:t>
                  </w:r>
                  <w:r>
                    <w:rPr>
                      <w:rFonts w:hint="eastAsia"/>
                      <w:color w:val="auto"/>
                      <w:kern w:val="0"/>
                      <w:lang w:val="en-US" w:eastAsia="zh-CN"/>
                    </w:rPr>
                    <w:t>.5</w:t>
                  </w:r>
                  <w:r>
                    <w:rPr>
                      <w:color w:val="auto"/>
                      <w:kern w:val="0"/>
                    </w:rPr>
                    <w:t>m*</w:t>
                  </w:r>
                  <w:r>
                    <w:rPr>
                      <w:rFonts w:hint="eastAsia"/>
                      <w:color w:val="auto"/>
                      <w:kern w:val="0"/>
                    </w:rPr>
                    <w:t>2</w:t>
                  </w:r>
                  <w:r>
                    <w:rPr>
                      <w:rFonts w:hint="eastAsia"/>
                      <w:color w:val="auto"/>
                      <w:kern w:val="0"/>
                      <w:lang w:val="en-US" w:eastAsia="zh-CN"/>
                    </w:rPr>
                    <w:t>.5</w:t>
                  </w:r>
                  <w:r>
                    <w:rPr>
                      <w:color w:val="auto"/>
                      <w:kern w:val="0"/>
                    </w:rPr>
                    <w:t>m*</w:t>
                  </w:r>
                  <w:r>
                    <w:rPr>
                      <w:rFonts w:hint="eastAsia"/>
                      <w:color w:val="auto"/>
                      <w:kern w:val="0"/>
                    </w:rPr>
                    <w:t>1.5</w:t>
                  </w:r>
                  <w:r>
                    <w:rPr>
                      <w:color w:val="auto"/>
                      <w:kern w:val="0"/>
                    </w:rPr>
                    <w:t>m</w:t>
                  </w:r>
                </w:p>
              </w:tc>
            </w:tr>
            <w:tr w14:paraId="46AB11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587" w:type="pct"/>
                  <w:tcBorders>
                    <w:tl2br w:val="nil"/>
                    <w:tr2bl w:val="nil"/>
                  </w:tcBorders>
                  <w:tcMar>
                    <w:top w:w="0" w:type="dxa"/>
                    <w:left w:w="0" w:type="dxa"/>
                    <w:bottom w:w="0" w:type="dxa"/>
                    <w:right w:w="0" w:type="dxa"/>
                  </w:tcMar>
                  <w:vAlign w:val="center"/>
                </w:tcPr>
                <w:p w14:paraId="292881D8">
                  <w:pPr>
                    <w:adjustRightInd w:val="0"/>
                    <w:snapToGrid w:val="0"/>
                    <w:jc w:val="center"/>
                    <w:rPr>
                      <w:color w:val="auto"/>
                      <w:kern w:val="0"/>
                    </w:rPr>
                  </w:pPr>
                  <w:r>
                    <w:rPr>
                      <w:color w:val="auto"/>
                      <w:kern w:val="0"/>
                    </w:rPr>
                    <w:t>2</w:t>
                  </w:r>
                </w:p>
              </w:tc>
              <w:tc>
                <w:tcPr>
                  <w:tcW w:w="1698" w:type="pct"/>
                  <w:tcBorders>
                    <w:tl2br w:val="nil"/>
                    <w:tr2bl w:val="nil"/>
                  </w:tcBorders>
                  <w:tcMar>
                    <w:top w:w="0" w:type="dxa"/>
                    <w:left w:w="0" w:type="dxa"/>
                    <w:bottom w:w="0" w:type="dxa"/>
                    <w:right w:w="0" w:type="dxa"/>
                  </w:tcMar>
                  <w:vAlign w:val="center"/>
                </w:tcPr>
                <w:p w14:paraId="12FA5BA3">
                  <w:pPr>
                    <w:adjustRightInd w:val="0"/>
                    <w:snapToGrid w:val="0"/>
                    <w:jc w:val="center"/>
                    <w:rPr>
                      <w:color w:val="auto"/>
                      <w:kern w:val="0"/>
                    </w:rPr>
                  </w:pPr>
                  <w:r>
                    <w:rPr>
                      <w:color w:val="auto"/>
                      <w:kern w:val="0"/>
                    </w:rPr>
                    <w:t>填充物</w:t>
                  </w:r>
                </w:p>
              </w:tc>
              <w:tc>
                <w:tcPr>
                  <w:tcW w:w="922" w:type="pct"/>
                  <w:tcBorders>
                    <w:tl2br w:val="nil"/>
                    <w:tr2bl w:val="nil"/>
                  </w:tcBorders>
                  <w:tcMar>
                    <w:top w:w="0" w:type="dxa"/>
                    <w:left w:w="0" w:type="dxa"/>
                    <w:bottom w:w="0" w:type="dxa"/>
                    <w:right w:w="0" w:type="dxa"/>
                  </w:tcMar>
                  <w:vAlign w:val="center"/>
                </w:tcPr>
                <w:p w14:paraId="69C7E738">
                  <w:pPr>
                    <w:adjustRightInd w:val="0"/>
                    <w:snapToGrid w:val="0"/>
                    <w:jc w:val="center"/>
                    <w:rPr>
                      <w:color w:val="auto"/>
                      <w:kern w:val="0"/>
                    </w:rPr>
                  </w:pPr>
                  <w:r>
                    <w:rPr>
                      <w:color w:val="auto"/>
                      <w:kern w:val="0"/>
                    </w:rPr>
                    <w:t>—</w:t>
                  </w:r>
                </w:p>
              </w:tc>
              <w:tc>
                <w:tcPr>
                  <w:tcW w:w="1790" w:type="pct"/>
                  <w:tcBorders>
                    <w:tl2br w:val="nil"/>
                    <w:tr2bl w:val="nil"/>
                  </w:tcBorders>
                  <w:tcMar>
                    <w:top w:w="0" w:type="dxa"/>
                    <w:left w:w="0" w:type="dxa"/>
                    <w:bottom w:w="0" w:type="dxa"/>
                    <w:right w:w="0" w:type="dxa"/>
                  </w:tcMar>
                  <w:vAlign w:val="center"/>
                </w:tcPr>
                <w:p w14:paraId="3BD2FACD">
                  <w:pPr>
                    <w:adjustRightInd w:val="0"/>
                    <w:snapToGrid w:val="0"/>
                    <w:jc w:val="center"/>
                    <w:rPr>
                      <w:color w:val="auto"/>
                      <w:kern w:val="0"/>
                    </w:rPr>
                  </w:pPr>
                  <w:r>
                    <w:rPr>
                      <w:color w:val="auto"/>
                      <w:kern w:val="0"/>
                    </w:rPr>
                    <w:t>蜂窝式活性炭</w:t>
                  </w:r>
                </w:p>
              </w:tc>
            </w:tr>
            <w:tr w14:paraId="3E1046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587" w:type="pct"/>
                  <w:tcBorders>
                    <w:tl2br w:val="nil"/>
                    <w:tr2bl w:val="nil"/>
                  </w:tcBorders>
                  <w:tcMar>
                    <w:top w:w="0" w:type="dxa"/>
                    <w:left w:w="0" w:type="dxa"/>
                    <w:bottom w:w="0" w:type="dxa"/>
                    <w:right w:w="0" w:type="dxa"/>
                  </w:tcMar>
                  <w:vAlign w:val="center"/>
                </w:tcPr>
                <w:p w14:paraId="1379B8FF">
                  <w:pPr>
                    <w:adjustRightInd w:val="0"/>
                    <w:snapToGrid w:val="0"/>
                    <w:jc w:val="center"/>
                    <w:rPr>
                      <w:color w:val="auto"/>
                      <w:kern w:val="0"/>
                    </w:rPr>
                  </w:pPr>
                  <w:r>
                    <w:rPr>
                      <w:color w:val="auto"/>
                      <w:kern w:val="0"/>
                    </w:rPr>
                    <w:t>3</w:t>
                  </w:r>
                </w:p>
              </w:tc>
              <w:tc>
                <w:tcPr>
                  <w:tcW w:w="1698" w:type="pct"/>
                  <w:tcBorders>
                    <w:tl2br w:val="nil"/>
                    <w:tr2bl w:val="nil"/>
                  </w:tcBorders>
                  <w:tcMar>
                    <w:top w:w="0" w:type="dxa"/>
                    <w:left w:w="0" w:type="dxa"/>
                    <w:bottom w:w="0" w:type="dxa"/>
                    <w:right w:w="0" w:type="dxa"/>
                  </w:tcMar>
                  <w:vAlign w:val="center"/>
                </w:tcPr>
                <w:p w14:paraId="7C678627">
                  <w:pPr>
                    <w:adjustRightInd w:val="0"/>
                    <w:snapToGrid w:val="0"/>
                    <w:jc w:val="center"/>
                    <w:rPr>
                      <w:color w:val="auto"/>
                      <w:kern w:val="0"/>
                    </w:rPr>
                  </w:pPr>
                  <w:r>
                    <w:rPr>
                      <w:color w:val="auto"/>
                      <w:kern w:val="0"/>
                    </w:rPr>
                    <w:t>活性炭碘值</w:t>
                  </w:r>
                </w:p>
              </w:tc>
              <w:tc>
                <w:tcPr>
                  <w:tcW w:w="922" w:type="pct"/>
                  <w:tcBorders>
                    <w:tl2br w:val="nil"/>
                    <w:tr2bl w:val="nil"/>
                  </w:tcBorders>
                  <w:tcMar>
                    <w:top w:w="0" w:type="dxa"/>
                    <w:left w:w="0" w:type="dxa"/>
                    <w:bottom w:w="0" w:type="dxa"/>
                    <w:right w:w="0" w:type="dxa"/>
                  </w:tcMar>
                  <w:vAlign w:val="center"/>
                </w:tcPr>
                <w:p w14:paraId="0E83D04D">
                  <w:pPr>
                    <w:adjustRightInd w:val="0"/>
                    <w:snapToGrid w:val="0"/>
                    <w:jc w:val="center"/>
                    <w:rPr>
                      <w:color w:val="auto"/>
                      <w:kern w:val="0"/>
                    </w:rPr>
                  </w:pPr>
                  <w:r>
                    <w:rPr>
                      <w:color w:val="auto"/>
                      <w:kern w:val="0"/>
                    </w:rPr>
                    <w:t>mg/g</w:t>
                  </w:r>
                </w:p>
              </w:tc>
              <w:tc>
                <w:tcPr>
                  <w:tcW w:w="1790" w:type="pct"/>
                  <w:tcBorders>
                    <w:tl2br w:val="nil"/>
                    <w:tr2bl w:val="nil"/>
                  </w:tcBorders>
                  <w:tcMar>
                    <w:top w:w="0" w:type="dxa"/>
                    <w:left w:w="0" w:type="dxa"/>
                    <w:bottom w:w="0" w:type="dxa"/>
                    <w:right w:w="0" w:type="dxa"/>
                  </w:tcMar>
                  <w:vAlign w:val="center"/>
                </w:tcPr>
                <w:p w14:paraId="45EC5BB3">
                  <w:pPr>
                    <w:adjustRightInd w:val="0"/>
                    <w:snapToGrid w:val="0"/>
                    <w:jc w:val="center"/>
                    <w:rPr>
                      <w:color w:val="auto"/>
                      <w:kern w:val="0"/>
                    </w:rPr>
                  </w:pPr>
                  <w:r>
                    <w:rPr>
                      <w:rFonts w:hint="eastAsia"/>
                      <w:color w:val="auto"/>
                      <w:kern w:val="0"/>
                    </w:rPr>
                    <w:t>650</w:t>
                  </w:r>
                </w:p>
              </w:tc>
            </w:tr>
            <w:tr w14:paraId="3545EA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587" w:type="pct"/>
                  <w:tcBorders>
                    <w:tl2br w:val="nil"/>
                    <w:tr2bl w:val="nil"/>
                  </w:tcBorders>
                  <w:tcMar>
                    <w:top w:w="0" w:type="dxa"/>
                    <w:left w:w="0" w:type="dxa"/>
                    <w:bottom w:w="0" w:type="dxa"/>
                    <w:right w:w="0" w:type="dxa"/>
                  </w:tcMar>
                  <w:vAlign w:val="center"/>
                </w:tcPr>
                <w:p w14:paraId="5D2CDB9A">
                  <w:pPr>
                    <w:adjustRightInd w:val="0"/>
                    <w:snapToGrid w:val="0"/>
                    <w:jc w:val="center"/>
                    <w:rPr>
                      <w:color w:val="auto"/>
                      <w:kern w:val="0"/>
                    </w:rPr>
                  </w:pPr>
                  <w:r>
                    <w:rPr>
                      <w:color w:val="auto"/>
                      <w:kern w:val="0"/>
                    </w:rPr>
                    <w:t>4</w:t>
                  </w:r>
                </w:p>
              </w:tc>
              <w:tc>
                <w:tcPr>
                  <w:tcW w:w="1698" w:type="pct"/>
                  <w:tcBorders>
                    <w:tl2br w:val="nil"/>
                    <w:tr2bl w:val="nil"/>
                  </w:tcBorders>
                  <w:tcMar>
                    <w:top w:w="0" w:type="dxa"/>
                    <w:left w:w="0" w:type="dxa"/>
                    <w:bottom w:w="0" w:type="dxa"/>
                    <w:right w:w="0" w:type="dxa"/>
                  </w:tcMar>
                  <w:vAlign w:val="center"/>
                </w:tcPr>
                <w:p w14:paraId="7689A7B7">
                  <w:pPr>
                    <w:adjustRightInd w:val="0"/>
                    <w:snapToGrid w:val="0"/>
                    <w:jc w:val="center"/>
                    <w:rPr>
                      <w:color w:val="auto"/>
                      <w:kern w:val="0"/>
                    </w:rPr>
                  </w:pPr>
                  <w:r>
                    <w:rPr>
                      <w:color w:val="auto"/>
                      <w:kern w:val="0"/>
                    </w:rPr>
                    <w:t>活性炭密度</w:t>
                  </w:r>
                </w:p>
              </w:tc>
              <w:tc>
                <w:tcPr>
                  <w:tcW w:w="922" w:type="pct"/>
                  <w:tcBorders>
                    <w:tl2br w:val="nil"/>
                    <w:tr2bl w:val="nil"/>
                  </w:tcBorders>
                  <w:tcMar>
                    <w:top w:w="0" w:type="dxa"/>
                    <w:left w:w="0" w:type="dxa"/>
                    <w:bottom w:w="0" w:type="dxa"/>
                    <w:right w:w="0" w:type="dxa"/>
                  </w:tcMar>
                  <w:vAlign w:val="center"/>
                </w:tcPr>
                <w:p w14:paraId="65C4F11B">
                  <w:pPr>
                    <w:adjustRightInd w:val="0"/>
                    <w:snapToGrid w:val="0"/>
                    <w:jc w:val="center"/>
                    <w:rPr>
                      <w:color w:val="auto"/>
                      <w:kern w:val="0"/>
                    </w:rPr>
                  </w:pPr>
                  <w:r>
                    <w:rPr>
                      <w:color w:val="auto"/>
                      <w:kern w:val="0"/>
                    </w:rPr>
                    <w:t>g/cm</w:t>
                  </w:r>
                  <w:r>
                    <w:rPr>
                      <w:color w:val="auto"/>
                      <w:kern w:val="0"/>
                      <w:vertAlign w:val="superscript"/>
                    </w:rPr>
                    <w:t>3</w:t>
                  </w:r>
                </w:p>
              </w:tc>
              <w:tc>
                <w:tcPr>
                  <w:tcW w:w="1790" w:type="pct"/>
                  <w:tcBorders>
                    <w:tl2br w:val="nil"/>
                    <w:tr2bl w:val="nil"/>
                  </w:tcBorders>
                  <w:tcMar>
                    <w:top w:w="0" w:type="dxa"/>
                    <w:left w:w="0" w:type="dxa"/>
                    <w:bottom w:w="0" w:type="dxa"/>
                    <w:right w:w="0" w:type="dxa"/>
                  </w:tcMar>
                  <w:vAlign w:val="center"/>
                </w:tcPr>
                <w:p w14:paraId="22AF3DE8">
                  <w:pPr>
                    <w:adjustRightInd w:val="0"/>
                    <w:snapToGrid w:val="0"/>
                    <w:jc w:val="center"/>
                    <w:rPr>
                      <w:color w:val="auto"/>
                      <w:kern w:val="0"/>
                    </w:rPr>
                  </w:pPr>
                  <w:r>
                    <w:rPr>
                      <w:rFonts w:hint="eastAsia"/>
                      <w:color w:val="auto"/>
                      <w:kern w:val="0"/>
                    </w:rPr>
                    <w:t>0.4</w:t>
                  </w:r>
                </w:p>
              </w:tc>
            </w:tr>
            <w:tr w14:paraId="7010D7C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587" w:type="pct"/>
                  <w:tcBorders>
                    <w:tl2br w:val="nil"/>
                    <w:tr2bl w:val="nil"/>
                  </w:tcBorders>
                  <w:tcMar>
                    <w:top w:w="0" w:type="dxa"/>
                    <w:left w:w="0" w:type="dxa"/>
                    <w:bottom w:w="0" w:type="dxa"/>
                    <w:right w:w="0" w:type="dxa"/>
                  </w:tcMar>
                  <w:vAlign w:val="center"/>
                </w:tcPr>
                <w:p w14:paraId="0B1D9B6A">
                  <w:pPr>
                    <w:adjustRightInd w:val="0"/>
                    <w:snapToGrid w:val="0"/>
                    <w:jc w:val="center"/>
                    <w:rPr>
                      <w:color w:val="auto"/>
                      <w:kern w:val="0"/>
                    </w:rPr>
                  </w:pPr>
                  <w:r>
                    <w:rPr>
                      <w:color w:val="auto"/>
                      <w:kern w:val="0"/>
                    </w:rPr>
                    <w:t>5</w:t>
                  </w:r>
                </w:p>
              </w:tc>
              <w:tc>
                <w:tcPr>
                  <w:tcW w:w="1698" w:type="pct"/>
                  <w:tcBorders>
                    <w:tl2br w:val="nil"/>
                    <w:tr2bl w:val="nil"/>
                  </w:tcBorders>
                  <w:tcMar>
                    <w:top w:w="0" w:type="dxa"/>
                    <w:left w:w="0" w:type="dxa"/>
                    <w:bottom w:w="0" w:type="dxa"/>
                    <w:right w:w="0" w:type="dxa"/>
                  </w:tcMar>
                  <w:vAlign w:val="center"/>
                </w:tcPr>
                <w:p w14:paraId="5E66A9A8">
                  <w:pPr>
                    <w:adjustRightInd w:val="0"/>
                    <w:snapToGrid w:val="0"/>
                    <w:jc w:val="center"/>
                    <w:rPr>
                      <w:color w:val="auto"/>
                      <w:kern w:val="0"/>
                    </w:rPr>
                  </w:pPr>
                  <w:r>
                    <w:rPr>
                      <w:color w:val="auto"/>
                      <w:kern w:val="0"/>
                    </w:rPr>
                    <w:t>过滤风速</w:t>
                  </w:r>
                </w:p>
              </w:tc>
              <w:tc>
                <w:tcPr>
                  <w:tcW w:w="922" w:type="pct"/>
                  <w:tcBorders>
                    <w:tl2br w:val="nil"/>
                    <w:tr2bl w:val="nil"/>
                  </w:tcBorders>
                  <w:tcMar>
                    <w:top w:w="0" w:type="dxa"/>
                    <w:left w:w="0" w:type="dxa"/>
                    <w:bottom w:w="0" w:type="dxa"/>
                    <w:right w:w="0" w:type="dxa"/>
                  </w:tcMar>
                  <w:vAlign w:val="center"/>
                </w:tcPr>
                <w:p w14:paraId="00F7A03F">
                  <w:pPr>
                    <w:adjustRightInd w:val="0"/>
                    <w:snapToGrid w:val="0"/>
                    <w:jc w:val="center"/>
                    <w:rPr>
                      <w:color w:val="auto"/>
                      <w:kern w:val="0"/>
                    </w:rPr>
                  </w:pPr>
                  <w:r>
                    <w:rPr>
                      <w:color w:val="auto"/>
                      <w:kern w:val="0"/>
                    </w:rPr>
                    <w:t>m/s</w:t>
                  </w:r>
                </w:p>
              </w:tc>
              <w:tc>
                <w:tcPr>
                  <w:tcW w:w="1790" w:type="pct"/>
                  <w:tcBorders>
                    <w:tl2br w:val="nil"/>
                    <w:tr2bl w:val="nil"/>
                  </w:tcBorders>
                  <w:tcMar>
                    <w:top w:w="0" w:type="dxa"/>
                    <w:left w:w="0" w:type="dxa"/>
                    <w:bottom w:w="0" w:type="dxa"/>
                    <w:right w:w="0" w:type="dxa"/>
                  </w:tcMar>
                  <w:vAlign w:val="center"/>
                </w:tcPr>
                <w:p w14:paraId="63B7BB1D">
                  <w:pPr>
                    <w:adjustRightInd w:val="0"/>
                    <w:snapToGrid w:val="0"/>
                    <w:jc w:val="center"/>
                    <w:rPr>
                      <w:color w:val="auto"/>
                      <w:kern w:val="0"/>
                    </w:rPr>
                  </w:pPr>
                  <w:r>
                    <w:rPr>
                      <w:rFonts w:hint="eastAsia"/>
                      <w:color w:val="auto"/>
                      <w:kern w:val="0"/>
                    </w:rPr>
                    <w:t>1.04</w:t>
                  </w:r>
                </w:p>
              </w:tc>
            </w:tr>
            <w:tr w14:paraId="17D3CA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587" w:type="pct"/>
                  <w:tcBorders>
                    <w:tl2br w:val="nil"/>
                    <w:tr2bl w:val="nil"/>
                  </w:tcBorders>
                  <w:tcMar>
                    <w:top w:w="0" w:type="dxa"/>
                    <w:left w:w="0" w:type="dxa"/>
                    <w:bottom w:w="0" w:type="dxa"/>
                    <w:right w:w="0" w:type="dxa"/>
                  </w:tcMar>
                  <w:vAlign w:val="center"/>
                </w:tcPr>
                <w:p w14:paraId="05A95C83">
                  <w:pPr>
                    <w:adjustRightInd w:val="0"/>
                    <w:snapToGrid w:val="0"/>
                    <w:jc w:val="center"/>
                    <w:rPr>
                      <w:color w:val="auto"/>
                      <w:kern w:val="0"/>
                    </w:rPr>
                  </w:pPr>
                  <w:r>
                    <w:rPr>
                      <w:color w:val="auto"/>
                      <w:kern w:val="0"/>
                    </w:rPr>
                    <w:t>6</w:t>
                  </w:r>
                </w:p>
              </w:tc>
              <w:tc>
                <w:tcPr>
                  <w:tcW w:w="1698" w:type="pct"/>
                  <w:tcBorders>
                    <w:tl2br w:val="nil"/>
                    <w:tr2bl w:val="nil"/>
                  </w:tcBorders>
                  <w:tcMar>
                    <w:top w:w="0" w:type="dxa"/>
                    <w:left w:w="0" w:type="dxa"/>
                    <w:bottom w:w="0" w:type="dxa"/>
                    <w:right w:w="0" w:type="dxa"/>
                  </w:tcMar>
                  <w:vAlign w:val="center"/>
                </w:tcPr>
                <w:p w14:paraId="6D473B93">
                  <w:pPr>
                    <w:adjustRightInd w:val="0"/>
                    <w:snapToGrid w:val="0"/>
                    <w:jc w:val="center"/>
                    <w:rPr>
                      <w:color w:val="auto"/>
                      <w:kern w:val="0"/>
                    </w:rPr>
                  </w:pPr>
                  <w:r>
                    <w:rPr>
                      <w:color w:val="auto"/>
                      <w:kern w:val="0"/>
                    </w:rPr>
                    <w:t>设备数量</w:t>
                  </w:r>
                </w:p>
              </w:tc>
              <w:tc>
                <w:tcPr>
                  <w:tcW w:w="922" w:type="pct"/>
                  <w:tcBorders>
                    <w:tl2br w:val="nil"/>
                    <w:tr2bl w:val="nil"/>
                  </w:tcBorders>
                  <w:tcMar>
                    <w:top w:w="0" w:type="dxa"/>
                    <w:left w:w="0" w:type="dxa"/>
                    <w:bottom w:w="0" w:type="dxa"/>
                    <w:right w:w="0" w:type="dxa"/>
                  </w:tcMar>
                  <w:vAlign w:val="center"/>
                </w:tcPr>
                <w:p w14:paraId="71972193">
                  <w:pPr>
                    <w:adjustRightInd w:val="0"/>
                    <w:snapToGrid w:val="0"/>
                    <w:jc w:val="center"/>
                    <w:rPr>
                      <w:color w:val="auto"/>
                      <w:kern w:val="0"/>
                    </w:rPr>
                  </w:pPr>
                  <w:r>
                    <w:rPr>
                      <w:color w:val="auto"/>
                      <w:kern w:val="0"/>
                    </w:rPr>
                    <w:t>台</w:t>
                  </w:r>
                </w:p>
              </w:tc>
              <w:tc>
                <w:tcPr>
                  <w:tcW w:w="1790" w:type="pct"/>
                  <w:tcBorders>
                    <w:tl2br w:val="nil"/>
                    <w:tr2bl w:val="nil"/>
                  </w:tcBorders>
                  <w:tcMar>
                    <w:top w:w="0" w:type="dxa"/>
                    <w:left w:w="0" w:type="dxa"/>
                    <w:bottom w:w="0" w:type="dxa"/>
                    <w:right w:w="0" w:type="dxa"/>
                  </w:tcMar>
                  <w:vAlign w:val="center"/>
                </w:tcPr>
                <w:p w14:paraId="41E76BCF">
                  <w:pPr>
                    <w:adjustRightInd w:val="0"/>
                    <w:snapToGrid w:val="0"/>
                    <w:jc w:val="center"/>
                    <w:rPr>
                      <w:color w:val="auto"/>
                      <w:kern w:val="0"/>
                    </w:rPr>
                  </w:pPr>
                  <w:r>
                    <w:rPr>
                      <w:color w:val="auto"/>
                      <w:kern w:val="0"/>
                    </w:rPr>
                    <w:t>2</w:t>
                  </w:r>
                </w:p>
              </w:tc>
            </w:tr>
            <w:tr w14:paraId="2516ED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587" w:type="pct"/>
                  <w:tcBorders>
                    <w:tl2br w:val="nil"/>
                    <w:tr2bl w:val="nil"/>
                  </w:tcBorders>
                  <w:tcMar>
                    <w:top w:w="0" w:type="dxa"/>
                    <w:left w:w="0" w:type="dxa"/>
                    <w:bottom w:w="0" w:type="dxa"/>
                    <w:right w:w="0" w:type="dxa"/>
                  </w:tcMar>
                  <w:vAlign w:val="center"/>
                </w:tcPr>
                <w:p w14:paraId="32FD1B5E">
                  <w:pPr>
                    <w:adjustRightInd w:val="0"/>
                    <w:snapToGrid w:val="0"/>
                    <w:jc w:val="center"/>
                    <w:rPr>
                      <w:color w:val="auto"/>
                      <w:kern w:val="0"/>
                    </w:rPr>
                  </w:pPr>
                  <w:r>
                    <w:rPr>
                      <w:color w:val="auto"/>
                      <w:kern w:val="0"/>
                    </w:rPr>
                    <w:t>7</w:t>
                  </w:r>
                </w:p>
              </w:tc>
              <w:tc>
                <w:tcPr>
                  <w:tcW w:w="1698" w:type="pct"/>
                  <w:tcBorders>
                    <w:tl2br w:val="nil"/>
                    <w:tr2bl w:val="nil"/>
                  </w:tcBorders>
                  <w:tcMar>
                    <w:top w:w="0" w:type="dxa"/>
                    <w:left w:w="0" w:type="dxa"/>
                    <w:bottom w:w="0" w:type="dxa"/>
                    <w:right w:w="0" w:type="dxa"/>
                  </w:tcMar>
                  <w:vAlign w:val="center"/>
                </w:tcPr>
                <w:p w14:paraId="004DDDDD">
                  <w:pPr>
                    <w:adjustRightInd w:val="0"/>
                    <w:snapToGrid w:val="0"/>
                    <w:jc w:val="center"/>
                    <w:rPr>
                      <w:color w:val="auto"/>
                      <w:kern w:val="0"/>
                    </w:rPr>
                  </w:pPr>
                  <w:r>
                    <w:rPr>
                      <w:color w:val="auto"/>
                      <w:kern w:val="0"/>
                    </w:rPr>
                    <w:t>填充量</w:t>
                  </w:r>
                </w:p>
              </w:tc>
              <w:tc>
                <w:tcPr>
                  <w:tcW w:w="922" w:type="pct"/>
                  <w:tcBorders>
                    <w:tl2br w:val="nil"/>
                    <w:tr2bl w:val="nil"/>
                  </w:tcBorders>
                  <w:tcMar>
                    <w:top w:w="0" w:type="dxa"/>
                    <w:left w:w="0" w:type="dxa"/>
                    <w:bottom w:w="0" w:type="dxa"/>
                    <w:right w:w="0" w:type="dxa"/>
                  </w:tcMar>
                  <w:vAlign w:val="center"/>
                </w:tcPr>
                <w:p w14:paraId="26C2C013">
                  <w:pPr>
                    <w:adjustRightInd w:val="0"/>
                    <w:snapToGrid w:val="0"/>
                    <w:jc w:val="center"/>
                    <w:rPr>
                      <w:color w:val="auto"/>
                      <w:kern w:val="0"/>
                    </w:rPr>
                  </w:pPr>
                  <w:r>
                    <w:rPr>
                      <w:rFonts w:hint="eastAsia"/>
                      <w:color w:val="auto"/>
                      <w:kern w:val="0"/>
                    </w:rPr>
                    <w:t>kg</w:t>
                  </w:r>
                </w:p>
              </w:tc>
              <w:tc>
                <w:tcPr>
                  <w:tcW w:w="1790" w:type="pct"/>
                  <w:tcBorders>
                    <w:tl2br w:val="nil"/>
                    <w:tr2bl w:val="nil"/>
                  </w:tcBorders>
                  <w:tcMar>
                    <w:top w:w="0" w:type="dxa"/>
                    <w:left w:w="0" w:type="dxa"/>
                    <w:bottom w:w="0" w:type="dxa"/>
                    <w:right w:w="0" w:type="dxa"/>
                  </w:tcMar>
                  <w:vAlign w:val="center"/>
                </w:tcPr>
                <w:p w14:paraId="26CD08B6">
                  <w:pPr>
                    <w:adjustRightInd w:val="0"/>
                    <w:snapToGrid w:val="0"/>
                    <w:jc w:val="center"/>
                    <w:rPr>
                      <w:color w:val="auto"/>
                      <w:kern w:val="0"/>
                    </w:rPr>
                  </w:pPr>
                  <w:r>
                    <w:rPr>
                      <w:color w:val="auto"/>
                      <w:kern w:val="0"/>
                    </w:rPr>
                    <w:t>二级，每级</w:t>
                  </w:r>
                  <w:r>
                    <w:rPr>
                      <w:rFonts w:hint="eastAsia"/>
                      <w:color w:val="auto"/>
                      <w:kern w:val="0"/>
                      <w:lang w:val="en-US" w:eastAsia="zh-CN"/>
                    </w:rPr>
                    <w:t>250</w:t>
                  </w:r>
                  <w:r>
                    <w:rPr>
                      <w:rFonts w:hint="eastAsia"/>
                      <w:color w:val="auto"/>
                      <w:kern w:val="0"/>
                    </w:rPr>
                    <w:t>kg</w:t>
                  </w:r>
                </w:p>
              </w:tc>
            </w:tr>
            <w:tr w14:paraId="7DF67C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587" w:type="pct"/>
                  <w:tcBorders>
                    <w:tl2br w:val="nil"/>
                    <w:tr2bl w:val="nil"/>
                  </w:tcBorders>
                  <w:tcMar>
                    <w:top w:w="0" w:type="dxa"/>
                    <w:left w:w="0" w:type="dxa"/>
                    <w:bottom w:w="0" w:type="dxa"/>
                    <w:right w:w="0" w:type="dxa"/>
                  </w:tcMar>
                  <w:vAlign w:val="center"/>
                </w:tcPr>
                <w:p w14:paraId="31FD31D2">
                  <w:pPr>
                    <w:adjustRightInd w:val="0"/>
                    <w:snapToGrid w:val="0"/>
                    <w:jc w:val="center"/>
                    <w:rPr>
                      <w:color w:val="auto"/>
                      <w:kern w:val="0"/>
                    </w:rPr>
                  </w:pPr>
                  <w:r>
                    <w:rPr>
                      <w:color w:val="auto"/>
                      <w:kern w:val="0"/>
                    </w:rPr>
                    <w:t>8</w:t>
                  </w:r>
                </w:p>
              </w:tc>
              <w:tc>
                <w:tcPr>
                  <w:tcW w:w="1698" w:type="pct"/>
                  <w:tcBorders>
                    <w:tl2br w:val="nil"/>
                    <w:tr2bl w:val="nil"/>
                  </w:tcBorders>
                  <w:tcMar>
                    <w:top w:w="0" w:type="dxa"/>
                    <w:left w:w="0" w:type="dxa"/>
                    <w:bottom w:w="0" w:type="dxa"/>
                    <w:right w:w="0" w:type="dxa"/>
                  </w:tcMar>
                  <w:vAlign w:val="center"/>
                </w:tcPr>
                <w:p w14:paraId="7582204F">
                  <w:pPr>
                    <w:adjustRightInd w:val="0"/>
                    <w:snapToGrid w:val="0"/>
                    <w:jc w:val="center"/>
                    <w:rPr>
                      <w:color w:val="auto"/>
                      <w:kern w:val="0"/>
                    </w:rPr>
                  </w:pPr>
                  <w:r>
                    <w:rPr>
                      <w:color w:val="auto"/>
                      <w:kern w:val="0"/>
                    </w:rPr>
                    <w:t>填充层</w:t>
                  </w:r>
                </w:p>
              </w:tc>
              <w:tc>
                <w:tcPr>
                  <w:tcW w:w="922" w:type="pct"/>
                  <w:tcBorders>
                    <w:tl2br w:val="nil"/>
                    <w:tr2bl w:val="nil"/>
                  </w:tcBorders>
                  <w:tcMar>
                    <w:top w:w="0" w:type="dxa"/>
                    <w:left w:w="0" w:type="dxa"/>
                    <w:bottom w:w="0" w:type="dxa"/>
                    <w:right w:w="0" w:type="dxa"/>
                  </w:tcMar>
                  <w:vAlign w:val="center"/>
                </w:tcPr>
                <w:p w14:paraId="7AED9DA4">
                  <w:pPr>
                    <w:adjustRightInd w:val="0"/>
                    <w:snapToGrid w:val="0"/>
                    <w:jc w:val="center"/>
                    <w:rPr>
                      <w:color w:val="auto"/>
                      <w:kern w:val="0"/>
                    </w:rPr>
                  </w:pPr>
                  <w:r>
                    <w:rPr>
                      <w:color w:val="auto"/>
                      <w:kern w:val="0"/>
                    </w:rPr>
                    <w:t>层</w:t>
                  </w:r>
                </w:p>
              </w:tc>
              <w:tc>
                <w:tcPr>
                  <w:tcW w:w="1790" w:type="pct"/>
                  <w:tcBorders>
                    <w:tl2br w:val="nil"/>
                    <w:tr2bl w:val="nil"/>
                  </w:tcBorders>
                  <w:tcMar>
                    <w:top w:w="0" w:type="dxa"/>
                    <w:left w:w="0" w:type="dxa"/>
                    <w:bottom w:w="0" w:type="dxa"/>
                    <w:right w:w="0" w:type="dxa"/>
                  </w:tcMar>
                  <w:vAlign w:val="center"/>
                </w:tcPr>
                <w:p w14:paraId="144BD149">
                  <w:pPr>
                    <w:adjustRightInd w:val="0"/>
                    <w:snapToGrid w:val="0"/>
                    <w:jc w:val="center"/>
                    <w:rPr>
                      <w:color w:val="auto"/>
                      <w:kern w:val="0"/>
                    </w:rPr>
                  </w:pPr>
                  <w:r>
                    <w:rPr>
                      <w:color w:val="auto"/>
                      <w:kern w:val="0"/>
                    </w:rPr>
                    <w:t>2</w:t>
                  </w:r>
                </w:p>
              </w:tc>
            </w:tr>
            <w:tr w14:paraId="06E18D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587" w:type="pct"/>
                  <w:tcBorders>
                    <w:tl2br w:val="nil"/>
                    <w:tr2bl w:val="nil"/>
                  </w:tcBorders>
                  <w:tcMar>
                    <w:top w:w="0" w:type="dxa"/>
                    <w:left w:w="0" w:type="dxa"/>
                    <w:bottom w:w="0" w:type="dxa"/>
                    <w:right w:w="0" w:type="dxa"/>
                  </w:tcMar>
                  <w:vAlign w:val="center"/>
                </w:tcPr>
                <w:p w14:paraId="65518AF5">
                  <w:pPr>
                    <w:adjustRightInd w:val="0"/>
                    <w:snapToGrid w:val="0"/>
                    <w:jc w:val="center"/>
                    <w:rPr>
                      <w:color w:val="auto"/>
                      <w:kern w:val="0"/>
                    </w:rPr>
                  </w:pPr>
                  <w:r>
                    <w:rPr>
                      <w:color w:val="auto"/>
                      <w:kern w:val="0"/>
                    </w:rPr>
                    <w:t>9</w:t>
                  </w:r>
                </w:p>
              </w:tc>
              <w:tc>
                <w:tcPr>
                  <w:tcW w:w="1698" w:type="pct"/>
                  <w:tcBorders>
                    <w:tl2br w:val="nil"/>
                    <w:tr2bl w:val="nil"/>
                  </w:tcBorders>
                  <w:tcMar>
                    <w:top w:w="0" w:type="dxa"/>
                    <w:left w:w="0" w:type="dxa"/>
                    <w:bottom w:w="0" w:type="dxa"/>
                    <w:right w:w="0" w:type="dxa"/>
                  </w:tcMar>
                  <w:vAlign w:val="center"/>
                </w:tcPr>
                <w:p w14:paraId="58021729">
                  <w:pPr>
                    <w:adjustRightInd w:val="0"/>
                    <w:snapToGrid w:val="0"/>
                    <w:jc w:val="center"/>
                    <w:rPr>
                      <w:color w:val="auto"/>
                      <w:kern w:val="0"/>
                    </w:rPr>
                  </w:pPr>
                  <w:r>
                    <w:rPr>
                      <w:color w:val="auto"/>
                      <w:kern w:val="0"/>
                    </w:rPr>
                    <w:t>更换周期</w:t>
                  </w:r>
                </w:p>
              </w:tc>
              <w:tc>
                <w:tcPr>
                  <w:tcW w:w="922" w:type="pct"/>
                  <w:tcBorders>
                    <w:tl2br w:val="nil"/>
                    <w:tr2bl w:val="nil"/>
                  </w:tcBorders>
                  <w:tcMar>
                    <w:top w:w="0" w:type="dxa"/>
                    <w:left w:w="0" w:type="dxa"/>
                    <w:bottom w:w="0" w:type="dxa"/>
                    <w:right w:w="0" w:type="dxa"/>
                  </w:tcMar>
                  <w:vAlign w:val="center"/>
                </w:tcPr>
                <w:p w14:paraId="5431BEB5">
                  <w:pPr>
                    <w:adjustRightInd w:val="0"/>
                    <w:snapToGrid w:val="0"/>
                    <w:jc w:val="center"/>
                    <w:rPr>
                      <w:color w:val="auto"/>
                      <w:kern w:val="0"/>
                    </w:rPr>
                  </w:pPr>
                  <w:r>
                    <w:rPr>
                      <w:color w:val="auto"/>
                      <w:kern w:val="0"/>
                    </w:rPr>
                    <w:t>—</w:t>
                  </w:r>
                </w:p>
              </w:tc>
              <w:tc>
                <w:tcPr>
                  <w:tcW w:w="1790" w:type="pct"/>
                  <w:tcBorders>
                    <w:tl2br w:val="nil"/>
                    <w:tr2bl w:val="nil"/>
                  </w:tcBorders>
                  <w:tcMar>
                    <w:top w:w="0" w:type="dxa"/>
                    <w:left w:w="0" w:type="dxa"/>
                    <w:bottom w:w="0" w:type="dxa"/>
                    <w:right w:w="0" w:type="dxa"/>
                  </w:tcMar>
                  <w:vAlign w:val="center"/>
                </w:tcPr>
                <w:p w14:paraId="12839700">
                  <w:pPr>
                    <w:adjustRightInd w:val="0"/>
                    <w:snapToGrid w:val="0"/>
                    <w:jc w:val="center"/>
                    <w:rPr>
                      <w:rFonts w:hint="default" w:eastAsia="宋体"/>
                      <w:color w:val="auto"/>
                      <w:kern w:val="0"/>
                      <w:lang w:val="en-US" w:eastAsia="zh-CN"/>
                    </w:rPr>
                  </w:pPr>
                  <w:r>
                    <w:rPr>
                      <w:color w:val="auto"/>
                      <w:kern w:val="0"/>
                    </w:rPr>
                    <w:t>每</w:t>
                  </w:r>
                  <w:r>
                    <w:rPr>
                      <w:rFonts w:hint="eastAsia"/>
                      <w:color w:val="auto"/>
                      <w:kern w:val="0"/>
                      <w:lang w:val="en-US" w:eastAsia="zh-CN"/>
                    </w:rPr>
                    <w:t>17d更换1次</w:t>
                  </w:r>
                </w:p>
              </w:tc>
            </w:tr>
            <w:tr w14:paraId="3C6F15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587" w:type="pct"/>
                  <w:tcBorders>
                    <w:tl2br w:val="nil"/>
                    <w:tr2bl w:val="nil"/>
                  </w:tcBorders>
                  <w:tcMar>
                    <w:top w:w="0" w:type="dxa"/>
                    <w:left w:w="0" w:type="dxa"/>
                    <w:bottom w:w="0" w:type="dxa"/>
                    <w:right w:w="0" w:type="dxa"/>
                  </w:tcMar>
                  <w:vAlign w:val="center"/>
                </w:tcPr>
                <w:p w14:paraId="51486E8E">
                  <w:pPr>
                    <w:adjustRightInd w:val="0"/>
                    <w:snapToGrid w:val="0"/>
                    <w:jc w:val="center"/>
                    <w:rPr>
                      <w:color w:val="auto"/>
                      <w:kern w:val="0"/>
                    </w:rPr>
                  </w:pPr>
                  <w:r>
                    <w:rPr>
                      <w:color w:val="auto"/>
                      <w:kern w:val="0"/>
                    </w:rPr>
                    <w:t>10</w:t>
                  </w:r>
                </w:p>
              </w:tc>
              <w:tc>
                <w:tcPr>
                  <w:tcW w:w="1698" w:type="pct"/>
                  <w:vMerge w:val="restart"/>
                  <w:tcBorders>
                    <w:tl2br w:val="nil"/>
                    <w:tr2bl w:val="nil"/>
                  </w:tcBorders>
                  <w:tcMar>
                    <w:top w:w="0" w:type="dxa"/>
                    <w:left w:w="0" w:type="dxa"/>
                    <w:bottom w:w="0" w:type="dxa"/>
                    <w:right w:w="0" w:type="dxa"/>
                  </w:tcMar>
                  <w:vAlign w:val="center"/>
                </w:tcPr>
                <w:p w14:paraId="3CF0A0A4">
                  <w:pPr>
                    <w:adjustRightInd w:val="0"/>
                    <w:snapToGrid w:val="0"/>
                    <w:jc w:val="center"/>
                    <w:rPr>
                      <w:color w:val="auto"/>
                      <w:kern w:val="0"/>
                    </w:rPr>
                  </w:pPr>
                  <w:r>
                    <w:rPr>
                      <w:color w:val="auto"/>
                      <w:kern w:val="0"/>
                    </w:rPr>
                    <w:t>排气筒参数</w:t>
                  </w:r>
                </w:p>
              </w:tc>
              <w:tc>
                <w:tcPr>
                  <w:tcW w:w="922" w:type="pct"/>
                  <w:tcBorders>
                    <w:tl2br w:val="nil"/>
                    <w:tr2bl w:val="nil"/>
                  </w:tcBorders>
                  <w:tcMar>
                    <w:top w:w="0" w:type="dxa"/>
                    <w:left w:w="0" w:type="dxa"/>
                    <w:bottom w:w="0" w:type="dxa"/>
                    <w:right w:w="0" w:type="dxa"/>
                  </w:tcMar>
                  <w:vAlign w:val="center"/>
                </w:tcPr>
                <w:p w14:paraId="3623EE12">
                  <w:pPr>
                    <w:adjustRightInd w:val="0"/>
                    <w:snapToGrid w:val="0"/>
                    <w:jc w:val="center"/>
                    <w:rPr>
                      <w:color w:val="auto"/>
                      <w:kern w:val="0"/>
                    </w:rPr>
                  </w:pPr>
                  <w:r>
                    <w:rPr>
                      <w:color w:val="auto"/>
                      <w:kern w:val="0"/>
                    </w:rPr>
                    <w:t>高度</w:t>
                  </w:r>
                </w:p>
              </w:tc>
              <w:tc>
                <w:tcPr>
                  <w:tcW w:w="1790" w:type="pct"/>
                  <w:tcBorders>
                    <w:tl2br w:val="nil"/>
                    <w:tr2bl w:val="nil"/>
                  </w:tcBorders>
                  <w:tcMar>
                    <w:top w:w="0" w:type="dxa"/>
                    <w:left w:w="0" w:type="dxa"/>
                    <w:bottom w:w="0" w:type="dxa"/>
                    <w:right w:w="0" w:type="dxa"/>
                  </w:tcMar>
                  <w:vAlign w:val="center"/>
                </w:tcPr>
                <w:p w14:paraId="073B1237">
                  <w:pPr>
                    <w:adjustRightInd w:val="0"/>
                    <w:snapToGrid w:val="0"/>
                    <w:jc w:val="center"/>
                    <w:rPr>
                      <w:rFonts w:hint="default" w:eastAsia="宋体"/>
                      <w:color w:val="auto"/>
                      <w:kern w:val="0"/>
                      <w:lang w:val="en-US" w:eastAsia="zh-CN"/>
                    </w:rPr>
                  </w:pPr>
                  <w:r>
                    <w:rPr>
                      <w:rFonts w:hint="eastAsia"/>
                      <w:color w:val="auto"/>
                      <w:kern w:val="0"/>
                      <w:lang w:val="en-US" w:eastAsia="zh-CN"/>
                    </w:rPr>
                    <w:t>20</w:t>
                  </w:r>
                </w:p>
              </w:tc>
            </w:tr>
            <w:tr w14:paraId="5D592E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587" w:type="pct"/>
                  <w:tcBorders>
                    <w:tl2br w:val="nil"/>
                    <w:tr2bl w:val="nil"/>
                  </w:tcBorders>
                  <w:tcMar>
                    <w:top w:w="0" w:type="dxa"/>
                    <w:left w:w="0" w:type="dxa"/>
                    <w:bottom w:w="0" w:type="dxa"/>
                    <w:right w:w="0" w:type="dxa"/>
                  </w:tcMar>
                  <w:vAlign w:val="center"/>
                </w:tcPr>
                <w:p w14:paraId="0ECA624F">
                  <w:pPr>
                    <w:adjustRightInd w:val="0"/>
                    <w:snapToGrid w:val="0"/>
                    <w:jc w:val="center"/>
                    <w:rPr>
                      <w:color w:val="auto"/>
                      <w:kern w:val="0"/>
                    </w:rPr>
                  </w:pPr>
                  <w:r>
                    <w:rPr>
                      <w:color w:val="auto"/>
                      <w:kern w:val="0"/>
                    </w:rPr>
                    <w:t>11</w:t>
                  </w:r>
                </w:p>
              </w:tc>
              <w:tc>
                <w:tcPr>
                  <w:tcW w:w="1698" w:type="pct"/>
                  <w:vMerge w:val="continue"/>
                  <w:tcBorders>
                    <w:tl2br w:val="nil"/>
                    <w:tr2bl w:val="nil"/>
                  </w:tcBorders>
                  <w:tcMar>
                    <w:top w:w="0" w:type="dxa"/>
                    <w:left w:w="0" w:type="dxa"/>
                    <w:bottom w:w="0" w:type="dxa"/>
                    <w:right w:w="0" w:type="dxa"/>
                  </w:tcMar>
                  <w:vAlign w:val="center"/>
                </w:tcPr>
                <w:p w14:paraId="233449F4">
                  <w:pPr>
                    <w:adjustRightInd w:val="0"/>
                    <w:snapToGrid w:val="0"/>
                    <w:jc w:val="center"/>
                    <w:rPr>
                      <w:color w:val="auto"/>
                      <w:kern w:val="0"/>
                    </w:rPr>
                  </w:pPr>
                </w:p>
              </w:tc>
              <w:tc>
                <w:tcPr>
                  <w:tcW w:w="922" w:type="pct"/>
                  <w:tcBorders>
                    <w:tl2br w:val="nil"/>
                    <w:tr2bl w:val="nil"/>
                  </w:tcBorders>
                  <w:tcMar>
                    <w:top w:w="0" w:type="dxa"/>
                    <w:left w:w="0" w:type="dxa"/>
                    <w:bottom w:w="0" w:type="dxa"/>
                    <w:right w:w="0" w:type="dxa"/>
                  </w:tcMar>
                  <w:vAlign w:val="center"/>
                </w:tcPr>
                <w:p w14:paraId="4CF8D937">
                  <w:pPr>
                    <w:adjustRightInd w:val="0"/>
                    <w:snapToGrid w:val="0"/>
                    <w:jc w:val="center"/>
                    <w:rPr>
                      <w:color w:val="auto"/>
                      <w:kern w:val="0"/>
                    </w:rPr>
                  </w:pPr>
                  <w:r>
                    <w:rPr>
                      <w:color w:val="auto"/>
                      <w:kern w:val="0"/>
                    </w:rPr>
                    <w:t>直径</w:t>
                  </w:r>
                </w:p>
              </w:tc>
              <w:tc>
                <w:tcPr>
                  <w:tcW w:w="1790" w:type="pct"/>
                  <w:tcBorders>
                    <w:tl2br w:val="nil"/>
                    <w:tr2bl w:val="nil"/>
                  </w:tcBorders>
                  <w:tcMar>
                    <w:top w:w="0" w:type="dxa"/>
                    <w:left w:w="0" w:type="dxa"/>
                    <w:bottom w:w="0" w:type="dxa"/>
                    <w:right w:w="0" w:type="dxa"/>
                  </w:tcMar>
                  <w:vAlign w:val="center"/>
                </w:tcPr>
                <w:p w14:paraId="30981E33">
                  <w:pPr>
                    <w:adjustRightInd w:val="0"/>
                    <w:snapToGrid w:val="0"/>
                    <w:jc w:val="center"/>
                    <w:rPr>
                      <w:color w:val="auto"/>
                      <w:kern w:val="0"/>
                    </w:rPr>
                  </w:pPr>
                  <w:r>
                    <w:rPr>
                      <w:rFonts w:hint="eastAsia"/>
                      <w:color w:val="auto"/>
                      <w:kern w:val="0"/>
                    </w:rPr>
                    <w:t>0.</w:t>
                  </w:r>
                  <w:r>
                    <w:rPr>
                      <w:rFonts w:hint="eastAsia"/>
                      <w:color w:val="auto"/>
                      <w:kern w:val="0"/>
                      <w:lang w:val="en-US" w:eastAsia="zh-CN"/>
                    </w:rPr>
                    <w:t>8</w:t>
                  </w:r>
                  <w:r>
                    <w:rPr>
                      <w:color w:val="auto"/>
                      <w:kern w:val="0"/>
                    </w:rPr>
                    <w:t>m</w:t>
                  </w:r>
                </w:p>
              </w:tc>
            </w:tr>
            <w:tr w14:paraId="43722D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587" w:type="pct"/>
                  <w:tcBorders>
                    <w:tl2br w:val="nil"/>
                    <w:tr2bl w:val="nil"/>
                  </w:tcBorders>
                  <w:tcMar>
                    <w:top w:w="0" w:type="dxa"/>
                    <w:left w:w="0" w:type="dxa"/>
                    <w:bottom w:w="0" w:type="dxa"/>
                    <w:right w:w="0" w:type="dxa"/>
                  </w:tcMar>
                  <w:vAlign w:val="center"/>
                </w:tcPr>
                <w:p w14:paraId="26072A52">
                  <w:pPr>
                    <w:adjustRightInd w:val="0"/>
                    <w:snapToGrid w:val="0"/>
                    <w:jc w:val="center"/>
                    <w:rPr>
                      <w:color w:val="auto"/>
                      <w:kern w:val="0"/>
                    </w:rPr>
                  </w:pPr>
                  <w:r>
                    <w:rPr>
                      <w:color w:val="auto"/>
                      <w:kern w:val="0"/>
                    </w:rPr>
                    <w:t>12</w:t>
                  </w:r>
                </w:p>
              </w:tc>
              <w:tc>
                <w:tcPr>
                  <w:tcW w:w="1698" w:type="pct"/>
                  <w:vMerge w:val="continue"/>
                  <w:tcBorders>
                    <w:tl2br w:val="nil"/>
                    <w:tr2bl w:val="nil"/>
                  </w:tcBorders>
                  <w:tcMar>
                    <w:top w:w="0" w:type="dxa"/>
                    <w:left w:w="0" w:type="dxa"/>
                    <w:bottom w:w="0" w:type="dxa"/>
                    <w:right w:w="0" w:type="dxa"/>
                  </w:tcMar>
                  <w:vAlign w:val="center"/>
                </w:tcPr>
                <w:p w14:paraId="280183B2">
                  <w:pPr>
                    <w:adjustRightInd w:val="0"/>
                    <w:snapToGrid w:val="0"/>
                    <w:jc w:val="center"/>
                    <w:rPr>
                      <w:color w:val="auto"/>
                      <w:kern w:val="0"/>
                    </w:rPr>
                  </w:pPr>
                </w:p>
              </w:tc>
              <w:tc>
                <w:tcPr>
                  <w:tcW w:w="922" w:type="pct"/>
                  <w:tcBorders>
                    <w:tl2br w:val="nil"/>
                    <w:tr2bl w:val="nil"/>
                  </w:tcBorders>
                  <w:tcMar>
                    <w:top w:w="0" w:type="dxa"/>
                    <w:left w:w="0" w:type="dxa"/>
                    <w:bottom w:w="0" w:type="dxa"/>
                    <w:right w:w="0" w:type="dxa"/>
                  </w:tcMar>
                  <w:vAlign w:val="center"/>
                </w:tcPr>
                <w:p w14:paraId="227BDE4D">
                  <w:pPr>
                    <w:adjustRightInd w:val="0"/>
                    <w:snapToGrid w:val="0"/>
                    <w:jc w:val="center"/>
                    <w:rPr>
                      <w:color w:val="auto"/>
                      <w:kern w:val="0"/>
                    </w:rPr>
                  </w:pPr>
                  <w:r>
                    <w:rPr>
                      <w:color w:val="auto"/>
                      <w:kern w:val="0"/>
                    </w:rPr>
                    <w:t>风量</w:t>
                  </w:r>
                </w:p>
              </w:tc>
              <w:tc>
                <w:tcPr>
                  <w:tcW w:w="1790" w:type="pct"/>
                  <w:tcBorders>
                    <w:tl2br w:val="nil"/>
                    <w:tr2bl w:val="nil"/>
                  </w:tcBorders>
                  <w:tcMar>
                    <w:top w:w="0" w:type="dxa"/>
                    <w:left w:w="0" w:type="dxa"/>
                    <w:bottom w:w="0" w:type="dxa"/>
                    <w:right w:w="0" w:type="dxa"/>
                  </w:tcMar>
                  <w:vAlign w:val="center"/>
                </w:tcPr>
                <w:p w14:paraId="76EAC477">
                  <w:pPr>
                    <w:adjustRightInd w:val="0"/>
                    <w:snapToGrid w:val="0"/>
                    <w:jc w:val="center"/>
                    <w:rPr>
                      <w:color w:val="auto"/>
                      <w:kern w:val="0"/>
                    </w:rPr>
                  </w:pPr>
                  <w:r>
                    <w:rPr>
                      <w:rFonts w:hint="eastAsia"/>
                      <w:color w:val="auto"/>
                      <w:kern w:val="0"/>
                      <w:lang w:val="en-US" w:eastAsia="zh-CN"/>
                    </w:rPr>
                    <w:t>2</w:t>
                  </w:r>
                  <w:r>
                    <w:rPr>
                      <w:rFonts w:hint="eastAsia"/>
                      <w:color w:val="auto"/>
                      <w:kern w:val="0"/>
                      <w:lang w:eastAsia="zh-CN"/>
                    </w:rPr>
                    <w:t>5000</w:t>
                  </w:r>
                  <w:r>
                    <w:rPr>
                      <w:color w:val="auto"/>
                      <w:kern w:val="0"/>
                    </w:rPr>
                    <w:t>m</w:t>
                  </w:r>
                  <w:r>
                    <w:rPr>
                      <w:color w:val="auto"/>
                      <w:kern w:val="0"/>
                      <w:vertAlign w:val="superscript"/>
                    </w:rPr>
                    <w:t>3</w:t>
                  </w:r>
                  <w:r>
                    <w:rPr>
                      <w:color w:val="auto"/>
                      <w:kern w:val="0"/>
                    </w:rPr>
                    <w:t>/h</w:t>
                  </w:r>
                </w:p>
              </w:tc>
            </w:tr>
          </w:tbl>
          <w:p w14:paraId="48F8CB76">
            <w:pPr>
              <w:adjustRightInd w:val="0"/>
              <w:snapToGrid w:val="0"/>
              <w:spacing w:line="360" w:lineRule="auto"/>
              <w:ind w:firstLine="420" w:firstLineChars="200"/>
              <w:rPr>
                <w:bCs/>
                <w:color w:val="auto"/>
                <w:kern w:val="0"/>
                <w:sz w:val="21"/>
              </w:rPr>
            </w:pPr>
            <w:r>
              <w:rPr>
                <w:bCs/>
                <w:color w:val="auto"/>
                <w:kern w:val="0"/>
                <w:sz w:val="21"/>
              </w:rPr>
              <w:t>根据《材料研究与应用》2010年12月第4卷第4期，余倩等人《活性炭吸附技术对VOCs净化处理的研究进展》一文，采用吸附法能够使VOCs的去除率高达90-95%，本项目非甲烷总烃去除率保守估计取</w:t>
            </w:r>
            <w:r>
              <w:rPr>
                <w:rFonts w:hint="eastAsia"/>
                <w:bCs/>
                <w:color w:val="auto"/>
                <w:kern w:val="0"/>
                <w:sz w:val="21"/>
              </w:rPr>
              <w:t>90</w:t>
            </w:r>
            <w:r>
              <w:rPr>
                <w:bCs/>
                <w:color w:val="auto"/>
                <w:kern w:val="0"/>
                <w:sz w:val="21"/>
              </w:rPr>
              <w:t>%。根据</w:t>
            </w:r>
            <w:r>
              <w:rPr>
                <w:color w:val="auto"/>
                <w:kern w:val="0"/>
                <w:sz w:val="21"/>
              </w:rPr>
              <w:t>《省生态环境厅关于深入开展涉VOCs治理重点工作核查的通知》（苏环办【2022】218号）相关要求，采用蜂窝活性炭时，气体流速宜低于1.20m/s</w:t>
            </w:r>
            <w:r>
              <w:rPr>
                <w:rFonts w:hint="eastAsia"/>
                <w:color w:val="auto"/>
                <w:kern w:val="0"/>
                <w:sz w:val="21"/>
              </w:rPr>
              <w:t>，</w:t>
            </w:r>
            <w:r>
              <w:rPr>
                <w:color w:val="auto"/>
                <w:kern w:val="0"/>
                <w:sz w:val="21"/>
                <w:shd w:val="clear" w:color="auto" w:fill="FFFFFF"/>
              </w:rPr>
              <w:t>蜂窝活性炭碘吸附值≥650mg/g，活性炭更换周期一般不应超过累计运行500小时或3个月，进入吸附设备的废气温度应低于40℃，</w:t>
            </w:r>
            <w:r>
              <w:rPr>
                <w:color w:val="auto"/>
                <w:kern w:val="0"/>
                <w:sz w:val="21"/>
              </w:rPr>
              <w:t>本项目设计活性炭过滤风速为</w:t>
            </w:r>
            <w:r>
              <w:rPr>
                <w:rFonts w:hint="eastAsia"/>
                <w:color w:val="auto"/>
                <w:kern w:val="0"/>
                <w:sz w:val="21"/>
              </w:rPr>
              <w:t>1.04</w:t>
            </w:r>
            <w:r>
              <w:rPr>
                <w:color w:val="auto"/>
                <w:kern w:val="0"/>
                <w:sz w:val="21"/>
              </w:rPr>
              <w:t>m/s，</w:t>
            </w:r>
            <w:r>
              <w:rPr>
                <w:color w:val="auto"/>
                <w:kern w:val="0"/>
                <w:sz w:val="21"/>
                <w:shd w:val="clear" w:color="auto" w:fill="FFFFFF"/>
              </w:rPr>
              <w:t>碘吸附值为650mg/g，活性炭设计</w:t>
            </w:r>
            <w:r>
              <w:rPr>
                <w:color w:val="auto"/>
                <w:kern w:val="0"/>
              </w:rPr>
              <w:t>每</w:t>
            </w:r>
            <w:r>
              <w:rPr>
                <w:rFonts w:hint="eastAsia"/>
                <w:color w:val="auto"/>
                <w:kern w:val="0"/>
                <w:lang w:val="en-US" w:eastAsia="zh-CN"/>
              </w:rPr>
              <w:t>17d更换1次</w:t>
            </w:r>
            <w:r>
              <w:rPr>
                <w:color w:val="auto"/>
                <w:kern w:val="0"/>
                <w:sz w:val="21"/>
                <w:shd w:val="clear" w:color="auto" w:fill="FFFFFF"/>
              </w:rPr>
              <w:t>，项目有机废气产生温度较低，经过风机管道等</w:t>
            </w:r>
            <w:r>
              <w:rPr>
                <w:rFonts w:hint="eastAsia"/>
                <w:color w:val="auto"/>
                <w:kern w:val="0"/>
                <w:sz w:val="21"/>
                <w:shd w:val="clear" w:color="auto" w:fill="FFFFFF"/>
              </w:rPr>
              <w:t>冷却后</w:t>
            </w:r>
            <w:r>
              <w:rPr>
                <w:color w:val="auto"/>
                <w:kern w:val="0"/>
                <w:sz w:val="21"/>
                <w:shd w:val="clear" w:color="auto" w:fill="FFFFFF"/>
              </w:rPr>
              <w:t>，进入活性炭箱的温度低于40℃，因此本项目有机废气经过二级活性炭处理</w:t>
            </w:r>
            <w:r>
              <w:rPr>
                <w:color w:val="auto"/>
                <w:kern w:val="0"/>
                <w:sz w:val="21"/>
              </w:rPr>
              <w:t>满足要求。</w:t>
            </w:r>
          </w:p>
          <w:p w14:paraId="1C9B87BD">
            <w:pPr>
              <w:adjustRightInd w:val="0"/>
              <w:snapToGrid w:val="0"/>
              <w:spacing w:line="360" w:lineRule="auto"/>
              <w:ind w:firstLine="422" w:firstLineChars="200"/>
              <w:rPr>
                <w:b/>
                <w:color w:val="auto"/>
                <w:kern w:val="0"/>
              </w:rPr>
            </w:pPr>
            <w:r>
              <w:rPr>
                <w:rFonts w:hint="eastAsia"/>
                <w:b/>
                <w:color w:val="auto"/>
                <w:kern w:val="0"/>
                <w:lang w:val="en-US" w:eastAsia="zh-CN"/>
              </w:rPr>
              <w:t>2</w:t>
            </w:r>
            <w:r>
              <w:rPr>
                <w:rFonts w:hint="eastAsia"/>
                <w:b/>
                <w:color w:val="auto"/>
                <w:kern w:val="0"/>
              </w:rPr>
              <w:t>）</w:t>
            </w:r>
            <w:r>
              <w:rPr>
                <w:b/>
                <w:color w:val="auto"/>
                <w:kern w:val="0"/>
              </w:rPr>
              <w:t>收集可行性分析</w:t>
            </w:r>
          </w:p>
          <w:p w14:paraId="7D35510F">
            <w:pPr>
              <w:adjustRightInd w:val="0"/>
              <w:snapToGrid w:val="0"/>
              <w:spacing w:line="360" w:lineRule="auto"/>
              <w:ind w:firstLine="420" w:firstLineChars="200"/>
              <w:rPr>
                <w:bCs/>
                <w:color w:val="auto"/>
                <w:kern w:val="0"/>
              </w:rPr>
            </w:pPr>
            <w:r>
              <w:rPr>
                <w:rFonts w:hint="eastAsia"/>
                <w:bCs/>
                <w:color w:val="auto"/>
                <w:kern w:val="0"/>
                <w:lang w:eastAsia="zh-CN"/>
              </w:rPr>
              <w:t>项目</w:t>
            </w:r>
            <w:r>
              <w:rPr>
                <w:rFonts w:hint="eastAsia"/>
                <w:bCs/>
                <w:color w:val="auto"/>
                <w:kern w:val="0"/>
                <w:lang w:val="en-US" w:eastAsia="zh-CN"/>
              </w:rPr>
              <w:t>擦色、调漆、喷漆、刷漆、晾干、喷枪清洗产生的有机废气经调漆房、底漆房、面漆房、晾干房负压收集；喷漆产生的颗粒物经底漆房、面漆房负压收集，</w:t>
            </w:r>
            <w:r>
              <w:rPr>
                <w:rFonts w:hint="eastAsia"/>
                <w:bCs/>
                <w:color w:val="auto"/>
                <w:kern w:val="0"/>
                <w:lang w:eastAsia="zh-CN"/>
              </w:rPr>
              <w:t>可将各产污节点的废气收集</w:t>
            </w:r>
            <w:r>
              <w:rPr>
                <w:bCs/>
                <w:color w:val="auto"/>
                <w:kern w:val="0"/>
              </w:rPr>
              <w:t>。</w:t>
            </w:r>
          </w:p>
          <w:p w14:paraId="577B4AC8">
            <w:pPr>
              <w:adjustRightInd w:val="0"/>
              <w:snapToGrid w:val="0"/>
              <w:spacing w:line="360" w:lineRule="auto"/>
              <w:ind w:firstLine="422" w:firstLineChars="200"/>
              <w:rPr>
                <w:b/>
                <w:bCs/>
                <w:color w:val="auto"/>
                <w:kern w:val="0"/>
              </w:rPr>
            </w:pPr>
            <w:r>
              <w:rPr>
                <w:rFonts w:hint="eastAsia"/>
                <w:b/>
                <w:bCs/>
                <w:color w:val="auto"/>
                <w:kern w:val="0"/>
                <w:lang w:val="en-US" w:eastAsia="zh-CN"/>
              </w:rPr>
              <w:t>3</w:t>
            </w:r>
            <w:r>
              <w:rPr>
                <w:rFonts w:hint="eastAsia"/>
                <w:b/>
                <w:bCs/>
                <w:color w:val="auto"/>
                <w:kern w:val="0"/>
              </w:rPr>
              <w:t>）</w:t>
            </w:r>
            <w:r>
              <w:rPr>
                <w:b/>
                <w:bCs/>
                <w:color w:val="auto"/>
                <w:kern w:val="0"/>
              </w:rPr>
              <w:t>废气处理设施技术可行性分析</w:t>
            </w:r>
          </w:p>
          <w:p w14:paraId="01E72F9D">
            <w:pPr>
              <w:autoSpaceDE w:val="0"/>
              <w:autoSpaceDN w:val="0"/>
              <w:adjustRightInd w:val="0"/>
              <w:snapToGrid w:val="0"/>
              <w:spacing w:line="360" w:lineRule="auto"/>
              <w:ind w:firstLine="420" w:firstLineChars="200"/>
              <w:rPr>
                <w:bCs/>
                <w:color w:val="auto"/>
                <w:kern w:val="0"/>
              </w:rPr>
            </w:pPr>
            <w:r>
              <w:rPr>
                <w:bCs/>
                <w:color w:val="auto"/>
              </w:rPr>
              <w:t>参考</w:t>
            </w:r>
            <w:r>
              <w:rPr>
                <w:rFonts w:hint="eastAsia"/>
                <w:bCs/>
                <w:color w:val="auto"/>
                <w:sz w:val="21"/>
                <w:szCs w:val="21"/>
                <w:lang w:eastAsia="zh-CN"/>
              </w:rPr>
              <w:t>《排污许可证申请与核发技术规范 家具制造工业》（HJ 1027-2019），</w:t>
            </w:r>
            <w:r>
              <w:rPr>
                <w:rFonts w:hint="eastAsia"/>
                <w:bCs/>
                <w:color w:val="auto"/>
                <w:lang w:val="en-US" w:eastAsia="zh-CN"/>
              </w:rPr>
              <w:t>颗粒物采用袋式除尘器处理</w:t>
            </w:r>
            <w:r>
              <w:rPr>
                <w:rFonts w:hint="eastAsia"/>
                <w:bCs/>
                <w:color w:val="auto"/>
              </w:rPr>
              <w:t>为可行技术</w:t>
            </w:r>
            <w:r>
              <w:rPr>
                <w:rFonts w:hint="eastAsia"/>
                <w:bCs/>
                <w:color w:val="auto"/>
                <w:lang w:eastAsia="zh-CN"/>
              </w:rPr>
              <w:t>；</w:t>
            </w:r>
            <w:r>
              <w:rPr>
                <w:rFonts w:hint="eastAsia"/>
                <w:bCs/>
                <w:color w:val="auto"/>
                <w:lang w:val="en-US" w:eastAsia="zh-CN"/>
              </w:rPr>
              <w:t xml:space="preserve">参考《排污许可证申请与核发技术规范 </w:t>
            </w:r>
            <w:r>
              <w:rPr>
                <w:rFonts w:hint="eastAsia"/>
                <w:bCs/>
                <w:color w:val="auto"/>
                <w:kern w:val="0"/>
              </w:rPr>
              <w:t>铁路、船舶、航空航天和其他运输设备制造业》（HJ 1124-2020）</w:t>
            </w:r>
            <w:r>
              <w:rPr>
                <w:rFonts w:hint="eastAsia"/>
                <w:bCs/>
                <w:color w:val="auto"/>
                <w:kern w:val="0"/>
                <w:lang w:val="en-US" w:eastAsia="zh-CN"/>
              </w:rPr>
              <w:t>表A.6 表面处理（涂装）排污单位废气污染防治推荐可行技术，采用过滤+吸附为可行技术</w:t>
            </w:r>
            <w:r>
              <w:rPr>
                <w:rFonts w:hint="eastAsia"/>
                <w:bCs/>
                <w:color w:val="auto"/>
              </w:rPr>
              <w:t>。</w:t>
            </w:r>
          </w:p>
          <w:p w14:paraId="026FB810">
            <w:pPr>
              <w:pStyle w:val="5"/>
              <w:adjustRightInd w:val="0"/>
              <w:snapToGrid w:val="0"/>
              <w:spacing w:line="360" w:lineRule="auto"/>
              <w:ind w:firstLine="422" w:firstLineChars="200"/>
              <w:rPr>
                <w:b/>
                <w:bCs/>
                <w:color w:val="auto"/>
                <w:kern w:val="0"/>
                <w:szCs w:val="21"/>
              </w:rPr>
            </w:pPr>
            <w:r>
              <w:rPr>
                <w:rFonts w:hint="eastAsia"/>
                <w:b/>
                <w:bCs/>
                <w:color w:val="auto"/>
                <w:kern w:val="0"/>
                <w:szCs w:val="21"/>
                <w:lang w:val="en-US" w:eastAsia="zh-CN"/>
              </w:rPr>
              <w:t>③</w:t>
            </w:r>
            <w:r>
              <w:rPr>
                <w:b/>
                <w:bCs/>
                <w:color w:val="auto"/>
                <w:kern w:val="0"/>
                <w:szCs w:val="21"/>
              </w:rPr>
              <w:t>排气筒设置合理性分析</w:t>
            </w:r>
          </w:p>
          <w:p w14:paraId="44EBAEF6">
            <w:pPr>
              <w:autoSpaceDE w:val="0"/>
              <w:autoSpaceDN w:val="0"/>
              <w:adjustRightInd w:val="0"/>
              <w:snapToGrid w:val="0"/>
              <w:spacing w:line="360" w:lineRule="auto"/>
              <w:ind w:firstLine="420" w:firstLineChars="200"/>
              <w:rPr>
                <w:bCs/>
                <w:color w:val="auto"/>
                <w:kern w:val="0"/>
                <w:lang w:val="zh-CN"/>
              </w:rPr>
            </w:pPr>
            <w:r>
              <w:rPr>
                <w:bCs/>
                <w:color w:val="auto"/>
                <w:kern w:val="0"/>
                <w:lang w:val="zh-CN"/>
              </w:rPr>
              <w:t>现从车间生产线布局和大气环境影响角度进行排气筒布置、排气筒高度确定及合理性论证，排气筒设置合理性分析如下：</w:t>
            </w:r>
          </w:p>
          <w:p w14:paraId="4A03CA7B">
            <w:pPr>
              <w:autoSpaceDE w:val="0"/>
              <w:autoSpaceDN w:val="0"/>
              <w:adjustRightInd w:val="0"/>
              <w:snapToGrid w:val="0"/>
              <w:spacing w:line="360" w:lineRule="auto"/>
              <w:ind w:firstLine="422" w:firstLineChars="200"/>
              <w:rPr>
                <w:b/>
                <w:color w:val="auto"/>
                <w:kern w:val="0"/>
                <w:lang w:val="zh-CN"/>
              </w:rPr>
            </w:pPr>
            <w:r>
              <w:rPr>
                <w:rFonts w:hint="eastAsia"/>
                <w:b/>
                <w:color w:val="auto"/>
                <w:kern w:val="0"/>
              </w:rPr>
              <w:t>1）</w:t>
            </w:r>
            <w:r>
              <w:rPr>
                <w:b/>
                <w:color w:val="auto"/>
                <w:kern w:val="0"/>
                <w:lang w:val="zh-CN"/>
              </w:rPr>
              <w:t>排气筒高度规定</w:t>
            </w:r>
          </w:p>
          <w:p w14:paraId="4E1BE1E4">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bCs/>
                <w:color w:val="auto"/>
                <w:kern w:val="0"/>
                <w:sz w:val="21"/>
                <w:lang w:val="zh-CN"/>
              </w:rPr>
            </w:pPr>
            <w:r>
              <w:rPr>
                <w:bCs/>
                <w:color w:val="auto"/>
                <w:kern w:val="0"/>
                <w:sz w:val="21"/>
                <w:lang w:val="zh-CN"/>
              </w:rPr>
              <w:t>根据</w:t>
            </w:r>
            <w:r>
              <w:rPr>
                <w:rFonts w:hint="eastAsia"/>
                <w:color w:val="auto"/>
                <w:kern w:val="0"/>
                <w:sz w:val="21"/>
              </w:rPr>
              <w:t>《</w:t>
            </w:r>
            <w:r>
              <w:rPr>
                <w:rFonts w:hint="eastAsia"/>
                <w:color w:val="auto"/>
                <w:kern w:val="0"/>
                <w:sz w:val="21"/>
                <w:lang w:val="en-US" w:eastAsia="zh-CN"/>
              </w:rPr>
              <w:t>工业涂装工序大气污染物排放标准</w:t>
            </w:r>
            <w:r>
              <w:rPr>
                <w:rFonts w:hint="eastAsia"/>
                <w:color w:val="auto"/>
                <w:kern w:val="0"/>
                <w:sz w:val="21"/>
              </w:rPr>
              <w:t>》</w:t>
            </w:r>
            <w:r>
              <w:rPr>
                <w:rFonts w:hint="eastAsia"/>
                <w:color w:val="auto"/>
                <w:kern w:val="0"/>
                <w:sz w:val="21"/>
                <w:lang w:eastAsia="zh-CN"/>
              </w:rPr>
              <w:t>（</w:t>
            </w:r>
            <w:r>
              <w:rPr>
                <w:rFonts w:hint="eastAsia"/>
                <w:color w:val="auto"/>
                <w:kern w:val="0"/>
                <w:sz w:val="21"/>
              </w:rPr>
              <w:t>DB32/4439-2022</w:t>
            </w:r>
            <w:r>
              <w:rPr>
                <w:rFonts w:hint="eastAsia"/>
                <w:color w:val="auto"/>
                <w:kern w:val="0"/>
                <w:sz w:val="21"/>
                <w:lang w:eastAsia="zh-CN"/>
              </w:rPr>
              <w:t>）</w:t>
            </w:r>
            <w:r>
              <w:rPr>
                <w:bCs/>
                <w:color w:val="auto"/>
                <w:kern w:val="0"/>
                <w:sz w:val="21"/>
                <w:lang w:val="zh-CN"/>
              </w:rPr>
              <w:t>要求，</w:t>
            </w:r>
            <w:r>
              <w:rPr>
                <w:rFonts w:hint="eastAsia"/>
                <w:bCs/>
                <w:color w:val="auto"/>
                <w:kern w:val="0"/>
                <w:sz w:val="21"/>
                <w:lang w:val="zh-CN"/>
              </w:rPr>
              <w:t>除因安全考虑或有特殊工艺要求的以外，排气筒高度不应低于15m，具体高度以及与周围建筑物的相关高度关系应根据环境影响评价文件确定。</w:t>
            </w:r>
            <w:r>
              <w:rPr>
                <w:bCs/>
                <w:color w:val="auto"/>
                <w:kern w:val="0"/>
                <w:sz w:val="21"/>
                <w:lang w:val="zh-CN"/>
              </w:rPr>
              <w:t>建设项目设置的</w:t>
            </w:r>
            <w:r>
              <w:rPr>
                <w:rFonts w:hint="eastAsia"/>
                <w:bCs/>
                <w:color w:val="auto"/>
                <w:kern w:val="0"/>
                <w:sz w:val="21"/>
              </w:rPr>
              <w:t>DA001</w:t>
            </w:r>
            <w:r>
              <w:rPr>
                <w:bCs/>
                <w:color w:val="auto"/>
                <w:kern w:val="0"/>
                <w:sz w:val="21"/>
                <w:lang w:val="zh-CN"/>
              </w:rPr>
              <w:t>排气筒</w:t>
            </w:r>
            <w:r>
              <w:rPr>
                <w:rFonts w:hint="eastAsia"/>
                <w:bCs/>
                <w:color w:val="auto"/>
                <w:kern w:val="0"/>
                <w:sz w:val="21"/>
              </w:rPr>
              <w:t>高度为</w:t>
            </w:r>
            <w:r>
              <w:rPr>
                <w:rFonts w:hint="eastAsia"/>
                <w:bCs/>
                <w:color w:val="auto"/>
                <w:kern w:val="0"/>
                <w:sz w:val="21"/>
                <w:lang w:val="en-US" w:eastAsia="zh-CN"/>
              </w:rPr>
              <w:t>20</w:t>
            </w:r>
            <w:r>
              <w:rPr>
                <w:rFonts w:hint="eastAsia"/>
                <w:bCs/>
                <w:color w:val="auto"/>
                <w:kern w:val="0"/>
                <w:sz w:val="21"/>
              </w:rPr>
              <w:t>m</w:t>
            </w:r>
            <w:r>
              <w:rPr>
                <w:rFonts w:hint="eastAsia"/>
                <w:bCs/>
                <w:color w:val="auto"/>
                <w:kern w:val="0"/>
                <w:sz w:val="21"/>
                <w:lang w:val="zh-CN"/>
              </w:rPr>
              <w:t>，</w:t>
            </w:r>
            <w:r>
              <w:rPr>
                <w:bCs/>
                <w:color w:val="auto"/>
                <w:kern w:val="0"/>
                <w:sz w:val="21"/>
                <w:lang w:val="zh-CN"/>
              </w:rPr>
              <w:t>并设置了采样平台及采样孔。因此，项目排气筒高度设置是合理可行的。</w:t>
            </w:r>
          </w:p>
          <w:p w14:paraId="31A698A7">
            <w:pPr>
              <w:autoSpaceDE w:val="0"/>
              <w:autoSpaceDN w:val="0"/>
              <w:adjustRightInd w:val="0"/>
              <w:snapToGrid w:val="0"/>
              <w:spacing w:line="360" w:lineRule="auto"/>
              <w:ind w:firstLine="422" w:firstLineChars="200"/>
              <w:rPr>
                <w:b/>
                <w:color w:val="auto"/>
                <w:kern w:val="0"/>
                <w:lang w:val="zh-CN"/>
              </w:rPr>
            </w:pPr>
            <w:r>
              <w:rPr>
                <w:rFonts w:hint="eastAsia"/>
                <w:b/>
                <w:color w:val="auto"/>
                <w:kern w:val="0"/>
              </w:rPr>
              <w:t>2）</w:t>
            </w:r>
            <w:r>
              <w:rPr>
                <w:b/>
                <w:color w:val="auto"/>
                <w:kern w:val="0"/>
                <w:lang w:val="zh-CN"/>
              </w:rPr>
              <w:t>排气筒数量可行性分析</w:t>
            </w:r>
          </w:p>
          <w:p w14:paraId="0431C468">
            <w:pPr>
              <w:autoSpaceDE w:val="0"/>
              <w:autoSpaceDN w:val="0"/>
              <w:adjustRightInd w:val="0"/>
              <w:snapToGrid w:val="0"/>
              <w:spacing w:line="360" w:lineRule="auto"/>
              <w:ind w:firstLine="420" w:firstLineChars="200"/>
              <w:rPr>
                <w:bCs/>
                <w:color w:val="auto"/>
                <w:kern w:val="0"/>
                <w:lang w:val="zh-CN"/>
              </w:rPr>
            </w:pPr>
            <w:r>
              <w:rPr>
                <w:bCs/>
                <w:color w:val="auto"/>
                <w:kern w:val="0"/>
              </w:rPr>
              <w:t>建设单位在设计过程中综合考虑工艺要求、废气风量、对周围环境的影响等前提下，合理设置排气筒的数量，减少对周边环境的影响。</w:t>
            </w:r>
            <w:r>
              <w:rPr>
                <w:rFonts w:hint="eastAsia"/>
                <w:bCs/>
                <w:color w:val="auto"/>
                <w:kern w:val="0"/>
                <w:lang w:val="en-US" w:eastAsia="zh-CN"/>
              </w:rPr>
              <w:t>擦色、调漆、喷漆、刷漆、晾干、喷枪清洗</w:t>
            </w:r>
            <w:r>
              <w:rPr>
                <w:bCs/>
                <w:color w:val="auto"/>
                <w:kern w:val="0"/>
              </w:rPr>
              <w:t>均含有相同的废气污染物（非甲烷总烃），通过生产车间合理布局，遵循同类排气筒合并的原则，尽量减少排气筒设置。</w:t>
            </w:r>
            <w:r>
              <w:rPr>
                <w:rFonts w:hint="eastAsia"/>
                <w:bCs/>
                <w:color w:val="auto"/>
                <w:kern w:val="0"/>
              </w:rPr>
              <w:t>因此本项目设置了</w:t>
            </w:r>
            <w:r>
              <w:rPr>
                <w:rFonts w:hint="eastAsia"/>
                <w:bCs/>
                <w:color w:val="auto"/>
                <w:kern w:val="0"/>
                <w:lang w:val="en-US" w:eastAsia="zh-CN"/>
              </w:rPr>
              <w:t>1</w:t>
            </w:r>
            <w:r>
              <w:rPr>
                <w:rFonts w:hint="eastAsia"/>
                <w:bCs/>
                <w:color w:val="auto"/>
                <w:kern w:val="0"/>
              </w:rPr>
              <w:t>根排气筒。根据排气筒设计参数可知，项目风机风量为</w:t>
            </w:r>
            <w:r>
              <w:rPr>
                <w:rFonts w:hint="eastAsia"/>
                <w:bCs/>
                <w:color w:val="auto"/>
                <w:kern w:val="0"/>
                <w:lang w:val="en-US" w:eastAsia="zh-CN"/>
              </w:rPr>
              <w:t>25000</w:t>
            </w:r>
            <w:r>
              <w:rPr>
                <w:rFonts w:hint="eastAsia"/>
                <w:bCs/>
                <w:color w:val="auto"/>
                <w:kern w:val="0"/>
              </w:rPr>
              <w:t>m</w:t>
            </w:r>
            <w:r>
              <w:rPr>
                <w:rFonts w:hint="eastAsia"/>
                <w:bCs/>
                <w:color w:val="auto"/>
                <w:kern w:val="0"/>
                <w:vertAlign w:val="superscript"/>
              </w:rPr>
              <w:t>3</w:t>
            </w:r>
            <w:r>
              <w:rPr>
                <w:rFonts w:hint="eastAsia"/>
                <w:bCs/>
                <w:color w:val="auto"/>
                <w:kern w:val="0"/>
              </w:rPr>
              <w:t>/h，满足废气合并要求</w:t>
            </w:r>
            <w:r>
              <w:rPr>
                <w:rFonts w:hint="eastAsia"/>
                <w:bCs/>
                <w:color w:val="auto"/>
                <w:kern w:val="0"/>
                <w:lang w:val="zh-CN"/>
              </w:rPr>
              <w:t>，</w:t>
            </w:r>
            <w:r>
              <w:rPr>
                <w:rFonts w:hint="eastAsia"/>
                <w:bCs/>
                <w:color w:val="auto"/>
                <w:kern w:val="0"/>
              </w:rPr>
              <w:t>因此，</w:t>
            </w:r>
            <w:r>
              <w:rPr>
                <w:bCs/>
                <w:color w:val="auto"/>
                <w:kern w:val="0"/>
                <w:lang w:val="zh-CN"/>
              </w:rPr>
              <w:t>排气筒布置时综合考虑了废气合并处理的适宜性、风量大小、排气筒检修对生产装置带来的影响大小等因素。</w:t>
            </w:r>
          </w:p>
          <w:p w14:paraId="10712806">
            <w:pPr>
              <w:autoSpaceDE w:val="0"/>
              <w:autoSpaceDN w:val="0"/>
              <w:adjustRightInd w:val="0"/>
              <w:snapToGrid w:val="0"/>
              <w:spacing w:line="360" w:lineRule="auto"/>
              <w:ind w:firstLine="422" w:firstLineChars="200"/>
              <w:rPr>
                <w:bCs/>
                <w:color w:val="auto"/>
                <w:kern w:val="0"/>
                <w:lang w:val="zh-CN"/>
              </w:rPr>
            </w:pPr>
            <w:r>
              <w:rPr>
                <w:rFonts w:hint="eastAsia"/>
                <w:b/>
                <w:color w:val="auto"/>
                <w:kern w:val="0"/>
              </w:rPr>
              <w:t>3）</w:t>
            </w:r>
            <w:r>
              <w:rPr>
                <w:b/>
                <w:color w:val="auto"/>
                <w:kern w:val="0"/>
                <w:lang w:val="zh-CN"/>
              </w:rPr>
              <w:t>风量合理性分析</w:t>
            </w:r>
          </w:p>
          <w:p w14:paraId="4ED5A305">
            <w:pPr>
              <w:autoSpaceDE w:val="0"/>
              <w:autoSpaceDN w:val="0"/>
              <w:adjustRightInd w:val="0"/>
              <w:snapToGrid w:val="0"/>
              <w:spacing w:line="360" w:lineRule="auto"/>
              <w:ind w:firstLine="420" w:firstLineChars="200"/>
              <w:rPr>
                <w:bCs/>
                <w:color w:val="auto"/>
                <w:kern w:val="0"/>
                <w:lang w:val="zh-CN"/>
              </w:rPr>
            </w:pPr>
            <w:r>
              <w:rPr>
                <w:bCs/>
                <w:color w:val="auto"/>
                <w:kern w:val="0"/>
                <w:lang w:val="zh-CN"/>
              </w:rPr>
              <w:t>经计算，本项目</w:t>
            </w:r>
            <w:r>
              <w:rPr>
                <w:rFonts w:hint="eastAsia"/>
                <w:bCs/>
                <w:color w:val="auto"/>
                <w:kern w:val="0"/>
              </w:rPr>
              <w:t>DA001</w:t>
            </w:r>
            <w:r>
              <w:rPr>
                <w:bCs/>
                <w:color w:val="auto"/>
                <w:kern w:val="0"/>
                <w:lang w:val="zh-CN"/>
              </w:rPr>
              <w:t>排气筒烟气排放速度为</w:t>
            </w:r>
            <w:r>
              <w:rPr>
                <w:rFonts w:hint="eastAsia"/>
                <w:bCs/>
                <w:color w:val="auto"/>
                <w:kern w:val="0"/>
                <w:lang w:val="en-US" w:eastAsia="zh-CN"/>
              </w:rPr>
              <w:t>13.8</w:t>
            </w:r>
            <w:r>
              <w:rPr>
                <w:bCs/>
                <w:color w:val="auto"/>
                <w:kern w:val="0"/>
                <w:lang w:val="zh-CN"/>
              </w:rPr>
              <w:t>m/s</w:t>
            </w:r>
            <w:r>
              <w:rPr>
                <w:rFonts w:hint="eastAsia"/>
                <w:bCs/>
                <w:color w:val="auto"/>
                <w:kern w:val="0"/>
                <w:lang w:val="en-US" w:eastAsia="zh-CN"/>
              </w:rPr>
              <w:t>，</w:t>
            </w:r>
            <w:r>
              <w:rPr>
                <w:bCs/>
                <w:color w:val="auto"/>
                <w:kern w:val="0"/>
                <w:lang w:val="zh-CN"/>
              </w:rPr>
              <w:t>在15m/s左右，满足《大气污染治理工程技术导则》（HJ2000-2010）第5.3.5节</w:t>
            </w:r>
            <w:r>
              <w:rPr>
                <w:rFonts w:hint="eastAsia"/>
                <w:bCs/>
                <w:color w:val="auto"/>
                <w:kern w:val="0"/>
                <w:lang w:val="zh-CN"/>
              </w:rPr>
              <w:t>“</w:t>
            </w:r>
            <w:r>
              <w:rPr>
                <w:bCs/>
                <w:color w:val="auto"/>
                <w:kern w:val="0"/>
                <w:lang w:val="zh-CN"/>
              </w:rPr>
              <w:t>排气筒的出口直径应根据出口流速确定，流速宜取15m/s左右</w:t>
            </w:r>
            <w:r>
              <w:rPr>
                <w:rFonts w:hint="eastAsia"/>
                <w:bCs/>
                <w:color w:val="auto"/>
                <w:kern w:val="0"/>
                <w:lang w:val="zh-CN"/>
              </w:rPr>
              <w:t>”</w:t>
            </w:r>
            <w:r>
              <w:rPr>
                <w:bCs/>
                <w:color w:val="auto"/>
                <w:kern w:val="0"/>
                <w:lang w:val="zh-CN"/>
              </w:rPr>
              <w:t>的通用技术要求。</w:t>
            </w:r>
          </w:p>
          <w:p w14:paraId="12244BF5">
            <w:pPr>
              <w:pStyle w:val="711"/>
              <w:keepNext w:val="0"/>
              <w:keepLines w:val="0"/>
              <w:pageBreakBefore w:val="0"/>
              <w:widowControl/>
              <w:numPr>
                <w:ilvl w:val="0"/>
                <w:numId w:val="0"/>
              </w:numPr>
              <w:kinsoku/>
              <w:wordWrap/>
              <w:overflowPunct/>
              <w:topLinePunct w:val="0"/>
              <w:autoSpaceDE/>
              <w:autoSpaceDN/>
              <w:bidi w:val="0"/>
              <w:adjustRightInd w:val="0"/>
              <w:snapToGrid w:val="0"/>
              <w:ind w:firstLine="422" w:firstLineChars="200"/>
              <w:jc w:val="both"/>
              <w:textAlignment w:val="auto"/>
              <w:rPr>
                <w:rFonts w:hint="default"/>
                <w:b/>
                <w:bCs/>
                <w:color w:val="auto"/>
                <w:sz w:val="21"/>
                <w:szCs w:val="21"/>
                <w:highlight w:val="none"/>
                <w:lang w:val="en-US" w:eastAsia="zh-CN"/>
              </w:rPr>
            </w:pPr>
            <w:r>
              <w:rPr>
                <w:rFonts w:hint="eastAsia"/>
                <w:b/>
                <w:bCs/>
                <w:color w:val="auto"/>
                <w:sz w:val="21"/>
                <w:szCs w:val="21"/>
                <w:highlight w:val="none"/>
                <w:lang w:val="en-US" w:eastAsia="zh-CN"/>
              </w:rPr>
              <w:t>风量核算：</w:t>
            </w:r>
          </w:p>
          <w:p w14:paraId="776F14BF">
            <w:pPr>
              <w:adjustRightInd w:val="0"/>
              <w:snapToGrid w:val="0"/>
              <w:spacing w:line="360" w:lineRule="auto"/>
              <w:ind w:firstLine="420" w:firstLineChars="200"/>
              <w:rPr>
                <w:rFonts w:hint="default" w:eastAsia="宋体"/>
                <w:bCs/>
                <w:color w:val="auto"/>
                <w:kern w:val="0"/>
                <w:sz w:val="21"/>
                <w:szCs w:val="21"/>
                <w:lang w:val="en-US" w:eastAsia="zh-CN"/>
              </w:rPr>
            </w:pPr>
            <w:r>
              <w:rPr>
                <w:rFonts w:hint="eastAsia"/>
                <w:bCs/>
                <w:color w:val="auto"/>
                <w:kern w:val="0"/>
                <w:sz w:val="21"/>
                <w:szCs w:val="21"/>
                <w:lang w:val="en-US" w:eastAsia="zh-CN"/>
              </w:rPr>
              <w:t>调漆房整体空间为72m</w:t>
            </w:r>
            <w:r>
              <w:rPr>
                <w:rFonts w:hint="eastAsia"/>
                <w:bCs/>
                <w:color w:val="auto"/>
                <w:kern w:val="0"/>
                <w:sz w:val="21"/>
                <w:szCs w:val="21"/>
                <w:vertAlign w:val="superscript"/>
                <w:lang w:val="en-US" w:eastAsia="zh-CN"/>
              </w:rPr>
              <w:t>3</w:t>
            </w:r>
            <w:r>
              <w:rPr>
                <w:rFonts w:hint="default" w:ascii="Times New Roman" w:hAnsi="Times New Roman" w:cs="Times New Roman"/>
                <w:bCs/>
                <w:color w:val="auto"/>
                <w:kern w:val="0"/>
                <w:sz w:val="21"/>
                <w:szCs w:val="21"/>
                <w:lang w:val="en-US" w:eastAsia="zh-CN"/>
              </w:rPr>
              <w:t>（3×8×3m）</w:t>
            </w:r>
            <w:r>
              <w:rPr>
                <w:rFonts w:hint="eastAsia"/>
                <w:bCs/>
                <w:color w:val="auto"/>
                <w:kern w:val="0"/>
                <w:sz w:val="21"/>
                <w:szCs w:val="21"/>
                <w:lang w:val="en-US" w:eastAsia="zh-CN"/>
              </w:rPr>
              <w:t>，每小时换气约30次，则风量为2160m</w:t>
            </w:r>
            <w:r>
              <w:rPr>
                <w:rFonts w:hint="eastAsia"/>
                <w:bCs/>
                <w:color w:val="auto"/>
                <w:kern w:val="0"/>
                <w:sz w:val="21"/>
                <w:szCs w:val="21"/>
                <w:vertAlign w:val="superscript"/>
                <w:lang w:val="en-US" w:eastAsia="zh-CN"/>
              </w:rPr>
              <w:t>3</w:t>
            </w:r>
            <w:r>
              <w:rPr>
                <w:rFonts w:hint="eastAsia"/>
                <w:bCs/>
                <w:color w:val="auto"/>
                <w:kern w:val="0"/>
                <w:sz w:val="21"/>
                <w:szCs w:val="21"/>
                <w:lang w:val="en-US" w:eastAsia="zh-CN"/>
              </w:rPr>
              <w:t>/h；</w:t>
            </w:r>
          </w:p>
          <w:p w14:paraId="5EFFA52D">
            <w:pPr>
              <w:adjustRightInd w:val="0"/>
              <w:snapToGrid w:val="0"/>
              <w:spacing w:line="360" w:lineRule="auto"/>
              <w:ind w:firstLine="420" w:firstLineChars="200"/>
              <w:rPr>
                <w:rFonts w:hint="default" w:eastAsia="宋体"/>
                <w:bCs/>
                <w:color w:val="auto"/>
                <w:kern w:val="0"/>
                <w:lang w:val="en-US" w:eastAsia="zh-CN"/>
              </w:rPr>
            </w:pPr>
            <w:r>
              <w:rPr>
                <w:rFonts w:hint="eastAsia"/>
                <w:bCs/>
                <w:color w:val="auto"/>
                <w:kern w:val="0"/>
                <w:lang w:val="en-US" w:eastAsia="zh-CN"/>
              </w:rPr>
              <w:t>底漆房、面漆房整体空间均为</w:t>
            </w:r>
            <w:r>
              <w:rPr>
                <w:rFonts w:hint="eastAsia"/>
                <w:bCs/>
                <w:color w:val="auto"/>
                <w:kern w:val="0"/>
                <w:sz w:val="21"/>
                <w:szCs w:val="21"/>
                <w:lang w:val="en-US" w:eastAsia="zh-CN"/>
              </w:rPr>
              <w:t>120m</w:t>
            </w:r>
            <w:r>
              <w:rPr>
                <w:rFonts w:hint="eastAsia"/>
                <w:bCs/>
                <w:color w:val="auto"/>
                <w:kern w:val="0"/>
                <w:sz w:val="21"/>
                <w:szCs w:val="21"/>
                <w:vertAlign w:val="superscript"/>
                <w:lang w:val="en-US" w:eastAsia="zh-CN"/>
              </w:rPr>
              <w:t>3</w:t>
            </w:r>
            <w:r>
              <w:rPr>
                <w:rFonts w:hint="default" w:ascii="Times New Roman" w:hAnsi="Times New Roman" w:cs="Times New Roman"/>
                <w:bCs/>
                <w:color w:val="auto"/>
                <w:kern w:val="0"/>
                <w:sz w:val="21"/>
                <w:szCs w:val="21"/>
                <w:lang w:val="en-US" w:eastAsia="zh-CN"/>
              </w:rPr>
              <w:t>（</w:t>
            </w:r>
            <w:r>
              <w:rPr>
                <w:rFonts w:hint="eastAsia" w:cs="Times New Roman"/>
                <w:bCs/>
                <w:color w:val="auto"/>
                <w:kern w:val="0"/>
                <w:sz w:val="21"/>
                <w:szCs w:val="21"/>
                <w:lang w:val="en-US" w:eastAsia="zh-CN"/>
              </w:rPr>
              <w:t>5</w:t>
            </w:r>
            <w:r>
              <w:rPr>
                <w:rFonts w:hint="default" w:ascii="Times New Roman" w:hAnsi="Times New Roman" w:cs="Times New Roman"/>
                <w:bCs/>
                <w:color w:val="auto"/>
                <w:kern w:val="0"/>
                <w:sz w:val="21"/>
                <w:szCs w:val="21"/>
                <w:lang w:val="en-US" w:eastAsia="zh-CN"/>
              </w:rPr>
              <w:t>×8×3m）</w:t>
            </w:r>
            <w:r>
              <w:rPr>
                <w:rFonts w:hint="eastAsia"/>
                <w:bCs/>
                <w:color w:val="auto"/>
                <w:kern w:val="0"/>
                <w:sz w:val="21"/>
                <w:szCs w:val="21"/>
                <w:lang w:val="en-US" w:eastAsia="zh-CN"/>
              </w:rPr>
              <w:t>，每小时换气40次，则风量为9600m</w:t>
            </w:r>
            <w:r>
              <w:rPr>
                <w:rFonts w:hint="eastAsia"/>
                <w:bCs/>
                <w:color w:val="auto"/>
                <w:kern w:val="0"/>
                <w:sz w:val="21"/>
                <w:szCs w:val="21"/>
                <w:vertAlign w:val="superscript"/>
                <w:lang w:val="en-US" w:eastAsia="zh-CN"/>
              </w:rPr>
              <w:t>3</w:t>
            </w:r>
            <w:r>
              <w:rPr>
                <w:rFonts w:hint="eastAsia"/>
                <w:bCs/>
                <w:color w:val="auto"/>
                <w:kern w:val="0"/>
                <w:sz w:val="21"/>
                <w:szCs w:val="21"/>
                <w:lang w:val="en-US" w:eastAsia="zh-CN"/>
              </w:rPr>
              <w:t>/h；</w:t>
            </w:r>
          </w:p>
          <w:p w14:paraId="0650BC43">
            <w:pPr>
              <w:adjustRightInd w:val="0"/>
              <w:snapToGrid w:val="0"/>
              <w:spacing w:line="360" w:lineRule="auto"/>
              <w:ind w:firstLine="420" w:firstLineChars="200"/>
              <w:rPr>
                <w:rFonts w:hint="default" w:eastAsia="宋体"/>
                <w:bCs/>
                <w:color w:val="auto"/>
                <w:kern w:val="0"/>
                <w:lang w:val="en-US" w:eastAsia="zh-CN"/>
              </w:rPr>
            </w:pPr>
            <w:r>
              <w:rPr>
                <w:rFonts w:hint="eastAsia"/>
                <w:bCs/>
                <w:color w:val="auto"/>
                <w:kern w:val="0"/>
                <w:lang w:val="en-US" w:eastAsia="zh-CN"/>
              </w:rPr>
              <w:t>晾干房整体空间为</w:t>
            </w:r>
            <w:r>
              <w:rPr>
                <w:rFonts w:hint="eastAsia"/>
                <w:bCs/>
                <w:color w:val="auto"/>
                <w:kern w:val="0"/>
                <w:sz w:val="21"/>
                <w:szCs w:val="21"/>
                <w:lang w:val="en-US" w:eastAsia="zh-CN"/>
              </w:rPr>
              <w:t>192m</w:t>
            </w:r>
            <w:r>
              <w:rPr>
                <w:rFonts w:hint="eastAsia"/>
                <w:bCs/>
                <w:color w:val="auto"/>
                <w:kern w:val="0"/>
                <w:sz w:val="21"/>
                <w:szCs w:val="21"/>
                <w:vertAlign w:val="superscript"/>
                <w:lang w:val="en-US" w:eastAsia="zh-CN"/>
              </w:rPr>
              <w:t>3</w:t>
            </w:r>
            <w:r>
              <w:rPr>
                <w:rFonts w:hint="default" w:ascii="Times New Roman" w:hAnsi="Times New Roman" w:cs="Times New Roman"/>
                <w:bCs/>
                <w:color w:val="auto"/>
                <w:kern w:val="0"/>
                <w:sz w:val="21"/>
                <w:szCs w:val="21"/>
                <w:lang w:val="en-US" w:eastAsia="zh-CN"/>
              </w:rPr>
              <w:t>（</w:t>
            </w:r>
            <w:r>
              <w:rPr>
                <w:rFonts w:hint="eastAsia" w:cs="Times New Roman"/>
                <w:bCs/>
                <w:color w:val="auto"/>
                <w:kern w:val="0"/>
                <w:sz w:val="21"/>
                <w:szCs w:val="21"/>
                <w:lang w:val="en-US" w:eastAsia="zh-CN"/>
              </w:rPr>
              <w:t>8</w:t>
            </w:r>
            <w:r>
              <w:rPr>
                <w:rFonts w:hint="default" w:ascii="Times New Roman" w:hAnsi="Times New Roman" w:cs="Times New Roman"/>
                <w:bCs/>
                <w:color w:val="auto"/>
                <w:kern w:val="0"/>
                <w:sz w:val="21"/>
                <w:szCs w:val="21"/>
                <w:lang w:val="en-US" w:eastAsia="zh-CN"/>
              </w:rPr>
              <w:t>×8×3m）</w:t>
            </w:r>
            <w:r>
              <w:rPr>
                <w:rFonts w:hint="eastAsia" w:ascii="Times New Roman" w:hAnsi="Times New Roman" w:cs="Times New Roman"/>
                <w:bCs/>
                <w:color w:val="auto"/>
                <w:kern w:val="0"/>
                <w:sz w:val="21"/>
                <w:szCs w:val="21"/>
                <w:lang w:val="en-US" w:eastAsia="zh-CN"/>
              </w:rPr>
              <w:t>，每小时换气</w:t>
            </w:r>
            <w:r>
              <w:rPr>
                <w:rFonts w:hint="eastAsia" w:cs="Times New Roman"/>
                <w:bCs/>
                <w:color w:val="auto"/>
                <w:kern w:val="0"/>
                <w:sz w:val="21"/>
                <w:szCs w:val="21"/>
                <w:lang w:val="en-US" w:eastAsia="zh-CN"/>
              </w:rPr>
              <w:t>4</w:t>
            </w:r>
            <w:r>
              <w:rPr>
                <w:rFonts w:hint="eastAsia" w:ascii="Times New Roman" w:hAnsi="Times New Roman" w:cs="Times New Roman"/>
                <w:bCs/>
                <w:color w:val="auto"/>
                <w:kern w:val="0"/>
                <w:sz w:val="21"/>
                <w:szCs w:val="21"/>
                <w:lang w:val="en-US" w:eastAsia="zh-CN"/>
              </w:rPr>
              <w:t>0次，则风量为</w:t>
            </w:r>
            <w:r>
              <w:rPr>
                <w:rFonts w:hint="eastAsia" w:cs="Times New Roman"/>
                <w:bCs/>
                <w:color w:val="auto"/>
                <w:kern w:val="0"/>
                <w:sz w:val="21"/>
                <w:szCs w:val="21"/>
                <w:lang w:val="en-US" w:eastAsia="zh-CN"/>
              </w:rPr>
              <w:t>7680</w:t>
            </w:r>
            <w:r>
              <w:rPr>
                <w:rFonts w:hint="eastAsia"/>
                <w:bCs/>
                <w:color w:val="auto"/>
                <w:kern w:val="0"/>
                <w:sz w:val="21"/>
                <w:szCs w:val="21"/>
                <w:lang w:val="en-US" w:eastAsia="zh-CN"/>
              </w:rPr>
              <w:t>m</w:t>
            </w:r>
            <w:r>
              <w:rPr>
                <w:rFonts w:hint="eastAsia"/>
                <w:bCs/>
                <w:color w:val="auto"/>
                <w:kern w:val="0"/>
                <w:sz w:val="21"/>
                <w:szCs w:val="21"/>
                <w:vertAlign w:val="superscript"/>
                <w:lang w:val="en-US" w:eastAsia="zh-CN"/>
              </w:rPr>
              <w:t>3</w:t>
            </w:r>
            <w:r>
              <w:rPr>
                <w:rFonts w:hint="eastAsia"/>
                <w:bCs/>
                <w:color w:val="auto"/>
                <w:kern w:val="0"/>
                <w:sz w:val="21"/>
                <w:szCs w:val="21"/>
                <w:lang w:val="en-US" w:eastAsia="zh-CN"/>
              </w:rPr>
              <w:t>/h。</w:t>
            </w:r>
          </w:p>
          <w:p w14:paraId="04FE9F98">
            <w:pPr>
              <w:adjustRightInd w:val="0"/>
              <w:snapToGrid w:val="0"/>
              <w:spacing w:line="360" w:lineRule="auto"/>
              <w:ind w:firstLine="422" w:firstLineChars="200"/>
              <w:rPr>
                <w:rFonts w:hint="default" w:eastAsia="宋体"/>
                <w:b/>
                <w:bCs w:val="0"/>
                <w:color w:val="auto"/>
                <w:kern w:val="0"/>
                <w:lang w:val="en-US" w:eastAsia="zh-CN"/>
              </w:rPr>
            </w:pPr>
            <w:r>
              <w:rPr>
                <w:rFonts w:hint="eastAsia"/>
                <w:b/>
                <w:bCs w:val="0"/>
                <w:color w:val="auto"/>
                <w:kern w:val="0"/>
                <w:lang w:val="en-US" w:eastAsia="zh-CN"/>
              </w:rPr>
              <w:t>DA001排气筒总风量需求为19440</w:t>
            </w:r>
            <w:r>
              <w:rPr>
                <w:rFonts w:hint="eastAsia"/>
                <w:b/>
                <w:bCs w:val="0"/>
                <w:color w:val="auto"/>
                <w:kern w:val="0"/>
                <w:sz w:val="21"/>
                <w:szCs w:val="21"/>
                <w:lang w:val="en-US" w:eastAsia="zh-CN"/>
              </w:rPr>
              <w:t>m</w:t>
            </w:r>
            <w:r>
              <w:rPr>
                <w:rFonts w:hint="eastAsia"/>
                <w:b/>
                <w:bCs w:val="0"/>
                <w:color w:val="auto"/>
                <w:kern w:val="0"/>
                <w:sz w:val="21"/>
                <w:szCs w:val="21"/>
                <w:vertAlign w:val="superscript"/>
                <w:lang w:val="en-US" w:eastAsia="zh-CN"/>
              </w:rPr>
              <w:t>3</w:t>
            </w:r>
            <w:r>
              <w:rPr>
                <w:rFonts w:hint="eastAsia"/>
                <w:b/>
                <w:bCs w:val="0"/>
                <w:color w:val="auto"/>
                <w:kern w:val="0"/>
                <w:sz w:val="21"/>
                <w:szCs w:val="21"/>
                <w:lang w:val="en-US" w:eastAsia="zh-CN"/>
              </w:rPr>
              <w:t>/h</w:t>
            </w:r>
            <w:r>
              <w:rPr>
                <w:rFonts w:hint="eastAsia"/>
                <w:bCs/>
                <w:color w:val="auto"/>
                <w:kern w:val="0"/>
                <w:sz w:val="21"/>
                <w:szCs w:val="21"/>
                <w:lang w:val="en-US" w:eastAsia="zh-CN"/>
              </w:rPr>
              <w:t>，</w:t>
            </w:r>
            <w:r>
              <w:rPr>
                <w:rFonts w:hint="eastAsia"/>
                <w:b/>
                <w:bCs w:val="0"/>
                <w:color w:val="auto"/>
                <w:kern w:val="0"/>
                <w:sz w:val="21"/>
                <w:szCs w:val="21"/>
                <w:lang w:val="en-US" w:eastAsia="zh-CN"/>
              </w:rPr>
              <w:t>另考虑到管道及弯头所造成的风量损失情况下，风量取25000m</w:t>
            </w:r>
            <w:r>
              <w:rPr>
                <w:rFonts w:hint="eastAsia"/>
                <w:b/>
                <w:bCs w:val="0"/>
                <w:color w:val="auto"/>
                <w:kern w:val="0"/>
                <w:sz w:val="21"/>
                <w:szCs w:val="21"/>
                <w:vertAlign w:val="superscript"/>
                <w:lang w:val="en-US" w:eastAsia="zh-CN"/>
              </w:rPr>
              <w:t>3</w:t>
            </w:r>
            <w:r>
              <w:rPr>
                <w:rFonts w:hint="eastAsia"/>
                <w:b/>
                <w:bCs w:val="0"/>
                <w:color w:val="auto"/>
                <w:kern w:val="0"/>
                <w:sz w:val="21"/>
                <w:szCs w:val="21"/>
                <w:lang w:val="en-US" w:eastAsia="zh-CN"/>
              </w:rPr>
              <w:t>/h。</w:t>
            </w:r>
          </w:p>
          <w:p w14:paraId="393FE784">
            <w:pPr>
              <w:adjustRightInd w:val="0"/>
              <w:snapToGrid w:val="0"/>
              <w:spacing w:line="360" w:lineRule="auto"/>
              <w:ind w:firstLine="420" w:firstLineChars="200"/>
              <w:rPr>
                <w:bCs/>
                <w:color w:val="auto"/>
                <w:kern w:val="0"/>
                <w:lang w:val="zh-CN"/>
              </w:rPr>
            </w:pPr>
            <w:r>
              <w:rPr>
                <w:bCs/>
                <w:color w:val="auto"/>
                <w:kern w:val="0"/>
                <w:lang w:val="zh-CN"/>
              </w:rPr>
              <w:t>综上所述，建设项目排气筒设置是合理的。</w:t>
            </w:r>
          </w:p>
          <w:p w14:paraId="09777D27">
            <w:pPr>
              <w:pStyle w:val="5"/>
              <w:adjustRightInd w:val="0"/>
              <w:snapToGrid w:val="0"/>
              <w:spacing w:line="360" w:lineRule="auto"/>
              <w:ind w:firstLine="422" w:firstLineChars="200"/>
              <w:rPr>
                <w:b/>
                <w:color w:val="auto"/>
                <w:kern w:val="0"/>
                <w:szCs w:val="21"/>
              </w:rPr>
            </w:pPr>
            <w:r>
              <w:rPr>
                <w:rFonts w:hint="eastAsia"/>
                <w:b/>
                <w:color w:val="auto"/>
                <w:kern w:val="0"/>
                <w:szCs w:val="21"/>
              </w:rPr>
              <w:t>（5）废气达标判定</w:t>
            </w:r>
          </w:p>
          <w:p w14:paraId="68057839">
            <w:pPr>
              <w:pStyle w:val="5"/>
              <w:ind w:firstLine="0"/>
              <w:jc w:val="center"/>
              <w:rPr>
                <w:b/>
                <w:bCs/>
                <w:color w:val="auto"/>
                <w:kern w:val="0"/>
                <w:szCs w:val="21"/>
              </w:rPr>
            </w:pPr>
            <w:r>
              <w:rPr>
                <w:b/>
                <w:bCs/>
                <w:color w:val="auto"/>
                <w:kern w:val="0"/>
                <w:szCs w:val="21"/>
              </w:rPr>
              <w:t>表4-</w:t>
            </w:r>
            <w:r>
              <w:rPr>
                <w:rFonts w:hint="eastAsia"/>
                <w:b/>
                <w:bCs/>
                <w:color w:val="auto"/>
                <w:kern w:val="0"/>
                <w:szCs w:val="21"/>
                <w:lang w:val="en-US" w:eastAsia="zh-CN"/>
              </w:rPr>
              <w:t>7</w:t>
            </w:r>
            <w:r>
              <w:rPr>
                <w:rFonts w:hint="eastAsia"/>
                <w:b/>
                <w:bCs/>
                <w:color w:val="auto"/>
                <w:kern w:val="0"/>
                <w:szCs w:val="21"/>
              </w:rPr>
              <w:t xml:space="preserve">   </w:t>
            </w:r>
            <w:r>
              <w:rPr>
                <w:b/>
                <w:bCs/>
                <w:color w:val="auto"/>
                <w:kern w:val="0"/>
                <w:szCs w:val="21"/>
              </w:rPr>
              <w:t>项目废气达标排放情况</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753"/>
              <w:gridCol w:w="767"/>
              <w:gridCol w:w="1074"/>
              <w:gridCol w:w="916"/>
              <w:gridCol w:w="1031"/>
              <w:gridCol w:w="840"/>
              <w:gridCol w:w="870"/>
              <w:gridCol w:w="2020"/>
              <w:gridCol w:w="585"/>
            </w:tblGrid>
            <w:tr w14:paraId="70241FC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425" w:type="pct"/>
                  <w:vMerge w:val="restart"/>
                  <w:tcBorders>
                    <w:tl2br w:val="nil"/>
                    <w:tr2bl w:val="nil"/>
                  </w:tcBorders>
                  <w:tcMar>
                    <w:left w:w="0" w:type="dxa"/>
                    <w:right w:w="0" w:type="dxa"/>
                  </w:tcMar>
                  <w:vAlign w:val="center"/>
                </w:tcPr>
                <w:p w14:paraId="0EBD43D1">
                  <w:pPr>
                    <w:snapToGrid w:val="0"/>
                    <w:jc w:val="center"/>
                    <w:rPr>
                      <w:b/>
                      <w:bCs/>
                      <w:color w:val="auto"/>
                      <w:kern w:val="0"/>
                      <w:sz w:val="21"/>
                      <w:szCs w:val="21"/>
                    </w:rPr>
                  </w:pPr>
                  <w:r>
                    <w:rPr>
                      <w:b/>
                      <w:bCs/>
                      <w:color w:val="auto"/>
                      <w:kern w:val="0"/>
                      <w:sz w:val="21"/>
                      <w:szCs w:val="21"/>
                    </w:rPr>
                    <w:t>排气筒编号</w:t>
                  </w:r>
                </w:p>
              </w:tc>
              <w:tc>
                <w:tcPr>
                  <w:tcW w:w="433" w:type="pct"/>
                  <w:vMerge w:val="restart"/>
                  <w:tcBorders>
                    <w:tl2br w:val="nil"/>
                    <w:tr2bl w:val="nil"/>
                  </w:tcBorders>
                  <w:tcMar>
                    <w:left w:w="0" w:type="dxa"/>
                    <w:right w:w="0" w:type="dxa"/>
                  </w:tcMar>
                  <w:vAlign w:val="center"/>
                </w:tcPr>
                <w:p w14:paraId="3EFF4E2E">
                  <w:pPr>
                    <w:snapToGrid w:val="0"/>
                    <w:jc w:val="center"/>
                    <w:rPr>
                      <w:b/>
                      <w:bCs/>
                      <w:color w:val="auto"/>
                      <w:kern w:val="0"/>
                      <w:sz w:val="21"/>
                      <w:szCs w:val="21"/>
                    </w:rPr>
                  </w:pPr>
                  <w:r>
                    <w:rPr>
                      <w:b/>
                      <w:bCs/>
                      <w:color w:val="auto"/>
                      <w:kern w:val="0"/>
                      <w:sz w:val="21"/>
                      <w:szCs w:val="21"/>
                    </w:rPr>
                    <w:t>排气量m</w:t>
                  </w:r>
                  <w:r>
                    <w:rPr>
                      <w:b/>
                      <w:bCs/>
                      <w:color w:val="auto"/>
                      <w:kern w:val="0"/>
                      <w:sz w:val="21"/>
                      <w:szCs w:val="21"/>
                      <w:vertAlign w:val="superscript"/>
                    </w:rPr>
                    <w:t>3</w:t>
                  </w:r>
                  <w:r>
                    <w:rPr>
                      <w:b/>
                      <w:bCs/>
                      <w:color w:val="auto"/>
                      <w:kern w:val="0"/>
                      <w:sz w:val="21"/>
                      <w:szCs w:val="21"/>
                    </w:rPr>
                    <w:t>/h</w:t>
                  </w:r>
                </w:p>
              </w:tc>
              <w:tc>
                <w:tcPr>
                  <w:tcW w:w="606" w:type="pct"/>
                  <w:vMerge w:val="restart"/>
                  <w:tcBorders>
                    <w:tl2br w:val="nil"/>
                    <w:tr2bl w:val="nil"/>
                  </w:tcBorders>
                  <w:tcMar>
                    <w:left w:w="0" w:type="dxa"/>
                    <w:right w:w="0" w:type="dxa"/>
                  </w:tcMar>
                  <w:vAlign w:val="center"/>
                </w:tcPr>
                <w:p w14:paraId="6C09A6DD">
                  <w:pPr>
                    <w:snapToGrid w:val="0"/>
                    <w:jc w:val="center"/>
                    <w:rPr>
                      <w:b/>
                      <w:bCs/>
                      <w:color w:val="auto"/>
                      <w:kern w:val="0"/>
                      <w:sz w:val="21"/>
                      <w:szCs w:val="21"/>
                    </w:rPr>
                  </w:pPr>
                  <w:r>
                    <w:rPr>
                      <w:b/>
                      <w:bCs/>
                      <w:color w:val="auto"/>
                      <w:kern w:val="0"/>
                      <w:sz w:val="21"/>
                      <w:szCs w:val="21"/>
                    </w:rPr>
                    <w:t>污染物名称</w:t>
                  </w:r>
                </w:p>
              </w:tc>
              <w:tc>
                <w:tcPr>
                  <w:tcW w:w="1099" w:type="pct"/>
                  <w:gridSpan w:val="2"/>
                  <w:tcBorders>
                    <w:tl2br w:val="nil"/>
                    <w:tr2bl w:val="nil"/>
                  </w:tcBorders>
                  <w:tcMar>
                    <w:left w:w="0" w:type="dxa"/>
                    <w:right w:w="0" w:type="dxa"/>
                  </w:tcMar>
                  <w:vAlign w:val="center"/>
                </w:tcPr>
                <w:p w14:paraId="1230B289">
                  <w:pPr>
                    <w:snapToGrid w:val="0"/>
                    <w:jc w:val="center"/>
                    <w:rPr>
                      <w:b/>
                      <w:bCs/>
                      <w:color w:val="auto"/>
                      <w:kern w:val="0"/>
                      <w:sz w:val="21"/>
                      <w:szCs w:val="21"/>
                    </w:rPr>
                  </w:pPr>
                  <w:r>
                    <w:rPr>
                      <w:b/>
                      <w:bCs/>
                      <w:color w:val="auto"/>
                      <w:kern w:val="0"/>
                      <w:sz w:val="21"/>
                      <w:szCs w:val="21"/>
                    </w:rPr>
                    <w:t>排放情况</w:t>
                  </w:r>
                </w:p>
              </w:tc>
              <w:tc>
                <w:tcPr>
                  <w:tcW w:w="965" w:type="pct"/>
                  <w:gridSpan w:val="2"/>
                  <w:tcBorders>
                    <w:tl2br w:val="nil"/>
                    <w:tr2bl w:val="nil"/>
                  </w:tcBorders>
                  <w:tcMar>
                    <w:left w:w="0" w:type="dxa"/>
                    <w:right w:w="0" w:type="dxa"/>
                  </w:tcMar>
                  <w:vAlign w:val="center"/>
                </w:tcPr>
                <w:p w14:paraId="3B7C2B2B">
                  <w:pPr>
                    <w:snapToGrid w:val="0"/>
                    <w:jc w:val="center"/>
                    <w:rPr>
                      <w:b/>
                      <w:bCs/>
                      <w:color w:val="auto"/>
                      <w:kern w:val="0"/>
                      <w:sz w:val="21"/>
                      <w:szCs w:val="21"/>
                    </w:rPr>
                  </w:pPr>
                  <w:r>
                    <w:rPr>
                      <w:b/>
                      <w:bCs/>
                      <w:color w:val="auto"/>
                      <w:kern w:val="0"/>
                      <w:sz w:val="21"/>
                      <w:szCs w:val="21"/>
                    </w:rPr>
                    <w:t>执行标准</w:t>
                  </w:r>
                </w:p>
              </w:tc>
              <w:tc>
                <w:tcPr>
                  <w:tcW w:w="1140" w:type="pct"/>
                  <w:vMerge w:val="restart"/>
                  <w:tcBorders>
                    <w:tl2br w:val="nil"/>
                    <w:tr2bl w:val="nil"/>
                  </w:tcBorders>
                  <w:vAlign w:val="center"/>
                </w:tcPr>
                <w:p w14:paraId="32733177">
                  <w:pPr>
                    <w:snapToGrid w:val="0"/>
                    <w:jc w:val="center"/>
                    <w:rPr>
                      <w:b/>
                      <w:bCs/>
                      <w:color w:val="auto"/>
                      <w:kern w:val="0"/>
                      <w:sz w:val="21"/>
                      <w:szCs w:val="21"/>
                    </w:rPr>
                  </w:pPr>
                  <w:r>
                    <w:rPr>
                      <w:b/>
                      <w:bCs/>
                      <w:color w:val="auto"/>
                      <w:kern w:val="0"/>
                      <w:sz w:val="21"/>
                      <w:szCs w:val="21"/>
                    </w:rPr>
                    <w:t>标准名称</w:t>
                  </w:r>
                </w:p>
              </w:tc>
              <w:tc>
                <w:tcPr>
                  <w:tcW w:w="330" w:type="pct"/>
                  <w:vMerge w:val="restart"/>
                  <w:tcBorders>
                    <w:tl2br w:val="nil"/>
                    <w:tr2bl w:val="nil"/>
                  </w:tcBorders>
                  <w:tcMar>
                    <w:left w:w="0" w:type="dxa"/>
                    <w:right w:w="0" w:type="dxa"/>
                  </w:tcMar>
                  <w:vAlign w:val="center"/>
                </w:tcPr>
                <w:p w14:paraId="73A52EC4">
                  <w:pPr>
                    <w:snapToGrid w:val="0"/>
                    <w:jc w:val="center"/>
                    <w:rPr>
                      <w:b/>
                      <w:bCs/>
                      <w:color w:val="auto"/>
                      <w:kern w:val="0"/>
                      <w:sz w:val="21"/>
                      <w:szCs w:val="21"/>
                    </w:rPr>
                  </w:pPr>
                  <w:r>
                    <w:rPr>
                      <w:b/>
                      <w:bCs/>
                      <w:color w:val="auto"/>
                      <w:kern w:val="0"/>
                      <w:sz w:val="21"/>
                      <w:szCs w:val="21"/>
                    </w:rPr>
                    <w:t>达标判定</w:t>
                  </w:r>
                </w:p>
              </w:tc>
            </w:tr>
            <w:tr w14:paraId="0A9ACAA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425" w:type="pct"/>
                  <w:vMerge w:val="continue"/>
                  <w:tcBorders>
                    <w:tl2br w:val="nil"/>
                    <w:tr2bl w:val="nil"/>
                  </w:tcBorders>
                  <w:tcMar>
                    <w:left w:w="0" w:type="dxa"/>
                    <w:right w:w="0" w:type="dxa"/>
                  </w:tcMar>
                  <w:vAlign w:val="center"/>
                </w:tcPr>
                <w:p w14:paraId="6DE02D7E">
                  <w:pPr>
                    <w:snapToGrid w:val="0"/>
                    <w:jc w:val="center"/>
                    <w:rPr>
                      <w:b/>
                      <w:bCs/>
                      <w:color w:val="auto"/>
                      <w:kern w:val="0"/>
                      <w:sz w:val="21"/>
                      <w:szCs w:val="21"/>
                    </w:rPr>
                  </w:pPr>
                </w:p>
              </w:tc>
              <w:tc>
                <w:tcPr>
                  <w:tcW w:w="433" w:type="pct"/>
                  <w:vMerge w:val="continue"/>
                  <w:tcBorders>
                    <w:tl2br w:val="nil"/>
                    <w:tr2bl w:val="nil"/>
                  </w:tcBorders>
                  <w:tcMar>
                    <w:left w:w="0" w:type="dxa"/>
                    <w:right w:w="0" w:type="dxa"/>
                  </w:tcMar>
                  <w:vAlign w:val="center"/>
                </w:tcPr>
                <w:p w14:paraId="26F9F77F">
                  <w:pPr>
                    <w:snapToGrid w:val="0"/>
                    <w:jc w:val="center"/>
                    <w:rPr>
                      <w:b/>
                      <w:bCs/>
                      <w:color w:val="auto"/>
                      <w:kern w:val="0"/>
                      <w:sz w:val="21"/>
                      <w:szCs w:val="21"/>
                    </w:rPr>
                  </w:pPr>
                </w:p>
              </w:tc>
              <w:tc>
                <w:tcPr>
                  <w:tcW w:w="606" w:type="pct"/>
                  <w:vMerge w:val="continue"/>
                  <w:tcBorders>
                    <w:tl2br w:val="nil"/>
                    <w:tr2bl w:val="nil"/>
                  </w:tcBorders>
                  <w:tcMar>
                    <w:left w:w="0" w:type="dxa"/>
                    <w:right w:w="0" w:type="dxa"/>
                  </w:tcMar>
                  <w:vAlign w:val="center"/>
                </w:tcPr>
                <w:p w14:paraId="7E274441">
                  <w:pPr>
                    <w:snapToGrid w:val="0"/>
                    <w:jc w:val="center"/>
                    <w:rPr>
                      <w:b/>
                      <w:bCs/>
                      <w:color w:val="auto"/>
                      <w:kern w:val="0"/>
                      <w:sz w:val="21"/>
                      <w:szCs w:val="21"/>
                    </w:rPr>
                  </w:pPr>
                </w:p>
              </w:tc>
              <w:tc>
                <w:tcPr>
                  <w:tcW w:w="517" w:type="pct"/>
                  <w:tcBorders>
                    <w:tl2br w:val="nil"/>
                    <w:tr2bl w:val="nil"/>
                  </w:tcBorders>
                  <w:tcMar>
                    <w:left w:w="0" w:type="dxa"/>
                    <w:right w:w="0" w:type="dxa"/>
                  </w:tcMar>
                  <w:vAlign w:val="center"/>
                </w:tcPr>
                <w:p w14:paraId="135CC91D">
                  <w:pPr>
                    <w:snapToGrid w:val="0"/>
                    <w:jc w:val="center"/>
                    <w:rPr>
                      <w:b/>
                      <w:bCs/>
                      <w:color w:val="auto"/>
                      <w:kern w:val="0"/>
                      <w:sz w:val="21"/>
                      <w:szCs w:val="21"/>
                    </w:rPr>
                  </w:pPr>
                  <w:r>
                    <w:rPr>
                      <w:b/>
                      <w:bCs/>
                      <w:color w:val="auto"/>
                      <w:kern w:val="0"/>
                      <w:sz w:val="21"/>
                      <w:szCs w:val="21"/>
                    </w:rPr>
                    <w:t>浓度mg/m</w:t>
                  </w:r>
                  <w:r>
                    <w:rPr>
                      <w:b/>
                      <w:bCs/>
                      <w:color w:val="auto"/>
                      <w:kern w:val="0"/>
                      <w:sz w:val="21"/>
                      <w:szCs w:val="21"/>
                      <w:vertAlign w:val="superscript"/>
                    </w:rPr>
                    <w:t>3</w:t>
                  </w:r>
                </w:p>
              </w:tc>
              <w:tc>
                <w:tcPr>
                  <w:tcW w:w="582" w:type="pct"/>
                  <w:tcBorders>
                    <w:tl2br w:val="nil"/>
                    <w:tr2bl w:val="nil"/>
                  </w:tcBorders>
                  <w:tcMar>
                    <w:left w:w="0" w:type="dxa"/>
                    <w:right w:w="0" w:type="dxa"/>
                  </w:tcMar>
                  <w:vAlign w:val="center"/>
                </w:tcPr>
                <w:p w14:paraId="0ADD025A">
                  <w:pPr>
                    <w:snapToGrid w:val="0"/>
                    <w:jc w:val="center"/>
                    <w:rPr>
                      <w:b/>
                      <w:bCs/>
                      <w:color w:val="auto"/>
                      <w:kern w:val="0"/>
                      <w:sz w:val="21"/>
                      <w:szCs w:val="21"/>
                    </w:rPr>
                  </w:pPr>
                  <w:r>
                    <w:rPr>
                      <w:b/>
                      <w:bCs/>
                      <w:color w:val="auto"/>
                      <w:kern w:val="0"/>
                      <w:sz w:val="21"/>
                      <w:szCs w:val="21"/>
                    </w:rPr>
                    <w:t>速率kg/h</w:t>
                  </w:r>
                </w:p>
              </w:tc>
              <w:tc>
                <w:tcPr>
                  <w:tcW w:w="474" w:type="pct"/>
                  <w:tcBorders>
                    <w:tl2br w:val="nil"/>
                    <w:tr2bl w:val="nil"/>
                  </w:tcBorders>
                  <w:tcMar>
                    <w:left w:w="0" w:type="dxa"/>
                    <w:right w:w="0" w:type="dxa"/>
                  </w:tcMar>
                  <w:vAlign w:val="center"/>
                </w:tcPr>
                <w:p w14:paraId="3B765292">
                  <w:pPr>
                    <w:snapToGrid w:val="0"/>
                    <w:jc w:val="center"/>
                    <w:rPr>
                      <w:b/>
                      <w:bCs/>
                      <w:color w:val="auto"/>
                      <w:kern w:val="0"/>
                      <w:sz w:val="21"/>
                      <w:szCs w:val="21"/>
                    </w:rPr>
                  </w:pPr>
                  <w:r>
                    <w:rPr>
                      <w:b/>
                      <w:bCs/>
                      <w:color w:val="auto"/>
                      <w:kern w:val="0"/>
                      <w:sz w:val="21"/>
                      <w:szCs w:val="21"/>
                    </w:rPr>
                    <w:t>浓度mg/m</w:t>
                  </w:r>
                  <w:r>
                    <w:rPr>
                      <w:b/>
                      <w:bCs/>
                      <w:color w:val="auto"/>
                      <w:kern w:val="0"/>
                      <w:sz w:val="21"/>
                      <w:szCs w:val="21"/>
                      <w:vertAlign w:val="superscript"/>
                    </w:rPr>
                    <w:t>3</w:t>
                  </w:r>
                </w:p>
              </w:tc>
              <w:tc>
                <w:tcPr>
                  <w:tcW w:w="491" w:type="pct"/>
                  <w:tcBorders>
                    <w:tl2br w:val="nil"/>
                    <w:tr2bl w:val="nil"/>
                  </w:tcBorders>
                  <w:tcMar>
                    <w:left w:w="0" w:type="dxa"/>
                    <w:right w:w="0" w:type="dxa"/>
                  </w:tcMar>
                  <w:vAlign w:val="center"/>
                </w:tcPr>
                <w:p w14:paraId="70969AAB">
                  <w:pPr>
                    <w:snapToGrid w:val="0"/>
                    <w:jc w:val="center"/>
                    <w:rPr>
                      <w:b/>
                      <w:bCs/>
                      <w:color w:val="auto"/>
                      <w:kern w:val="0"/>
                      <w:sz w:val="21"/>
                      <w:szCs w:val="21"/>
                    </w:rPr>
                  </w:pPr>
                  <w:r>
                    <w:rPr>
                      <w:b/>
                      <w:bCs/>
                      <w:color w:val="auto"/>
                      <w:kern w:val="0"/>
                      <w:sz w:val="21"/>
                      <w:szCs w:val="21"/>
                    </w:rPr>
                    <w:t>速率kg/h</w:t>
                  </w:r>
                </w:p>
              </w:tc>
              <w:tc>
                <w:tcPr>
                  <w:tcW w:w="1140" w:type="pct"/>
                  <w:vMerge w:val="continue"/>
                  <w:tcBorders>
                    <w:tl2br w:val="nil"/>
                    <w:tr2bl w:val="nil"/>
                  </w:tcBorders>
                  <w:vAlign w:val="center"/>
                </w:tcPr>
                <w:p w14:paraId="472C06D6">
                  <w:pPr>
                    <w:snapToGrid w:val="0"/>
                    <w:jc w:val="center"/>
                    <w:rPr>
                      <w:b/>
                      <w:bCs/>
                      <w:color w:val="auto"/>
                      <w:kern w:val="0"/>
                      <w:sz w:val="21"/>
                      <w:szCs w:val="21"/>
                    </w:rPr>
                  </w:pPr>
                </w:p>
              </w:tc>
              <w:tc>
                <w:tcPr>
                  <w:tcW w:w="330" w:type="pct"/>
                  <w:vMerge w:val="continue"/>
                  <w:tcBorders>
                    <w:tl2br w:val="nil"/>
                    <w:tr2bl w:val="nil"/>
                  </w:tcBorders>
                  <w:tcMar>
                    <w:left w:w="0" w:type="dxa"/>
                    <w:right w:w="0" w:type="dxa"/>
                  </w:tcMar>
                  <w:vAlign w:val="center"/>
                </w:tcPr>
                <w:p w14:paraId="305AC2B3">
                  <w:pPr>
                    <w:snapToGrid w:val="0"/>
                    <w:jc w:val="center"/>
                    <w:rPr>
                      <w:b/>
                      <w:bCs/>
                      <w:color w:val="auto"/>
                      <w:kern w:val="0"/>
                      <w:sz w:val="21"/>
                      <w:szCs w:val="21"/>
                    </w:rPr>
                  </w:pPr>
                </w:p>
              </w:tc>
            </w:tr>
            <w:tr w14:paraId="1BB0B44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425" w:type="pct"/>
                  <w:vMerge w:val="restart"/>
                  <w:tcBorders>
                    <w:tl2br w:val="nil"/>
                    <w:tr2bl w:val="nil"/>
                  </w:tcBorders>
                  <w:tcMar>
                    <w:left w:w="0" w:type="dxa"/>
                    <w:right w:w="0" w:type="dxa"/>
                  </w:tcMar>
                  <w:vAlign w:val="center"/>
                </w:tcPr>
                <w:p w14:paraId="46E5699E">
                  <w:pPr>
                    <w:jc w:val="center"/>
                    <w:textAlignment w:val="bottom"/>
                    <w:rPr>
                      <w:rFonts w:hint="default" w:eastAsia="宋体"/>
                      <w:color w:val="auto"/>
                      <w:kern w:val="0"/>
                      <w:sz w:val="21"/>
                      <w:szCs w:val="21"/>
                      <w:lang w:val="en-US" w:eastAsia="zh-CN"/>
                    </w:rPr>
                  </w:pPr>
                  <w:r>
                    <w:rPr>
                      <w:rFonts w:hint="eastAsia"/>
                      <w:color w:val="auto"/>
                      <w:kern w:val="0"/>
                      <w:sz w:val="21"/>
                      <w:szCs w:val="21"/>
                      <w:lang w:val="en-US" w:eastAsia="zh-CN"/>
                    </w:rPr>
                    <w:t>DA001</w:t>
                  </w:r>
                </w:p>
              </w:tc>
              <w:tc>
                <w:tcPr>
                  <w:tcW w:w="433" w:type="pct"/>
                  <w:vMerge w:val="restart"/>
                  <w:tcBorders>
                    <w:tl2br w:val="nil"/>
                    <w:tr2bl w:val="nil"/>
                  </w:tcBorders>
                  <w:tcMar>
                    <w:left w:w="0" w:type="dxa"/>
                    <w:right w:w="0" w:type="dxa"/>
                  </w:tcMar>
                  <w:vAlign w:val="center"/>
                </w:tcPr>
                <w:p w14:paraId="274C5514">
                  <w:pPr>
                    <w:jc w:val="center"/>
                    <w:textAlignment w:val="bottom"/>
                    <w:rPr>
                      <w:rFonts w:hint="default" w:eastAsia="宋体"/>
                      <w:color w:val="auto"/>
                      <w:kern w:val="0"/>
                      <w:sz w:val="21"/>
                      <w:szCs w:val="21"/>
                      <w:lang w:val="en-US" w:eastAsia="zh-CN"/>
                    </w:rPr>
                  </w:pPr>
                  <w:r>
                    <w:rPr>
                      <w:rFonts w:hint="eastAsia"/>
                      <w:color w:val="auto"/>
                      <w:kern w:val="0"/>
                      <w:sz w:val="21"/>
                      <w:szCs w:val="21"/>
                      <w:lang w:val="en-US" w:eastAsia="zh-CN"/>
                    </w:rPr>
                    <w:t>25000</w:t>
                  </w:r>
                </w:p>
              </w:tc>
              <w:tc>
                <w:tcPr>
                  <w:tcW w:w="606" w:type="pct"/>
                  <w:tcBorders>
                    <w:tl2br w:val="nil"/>
                    <w:tr2bl w:val="nil"/>
                  </w:tcBorders>
                  <w:tcMar>
                    <w:left w:w="0" w:type="dxa"/>
                    <w:right w:w="0" w:type="dxa"/>
                  </w:tcMar>
                  <w:vAlign w:val="center"/>
                </w:tcPr>
                <w:p w14:paraId="494C5C10">
                  <w:pPr>
                    <w:pStyle w:val="696"/>
                    <w:rPr>
                      <w:color w:val="auto"/>
                      <w:kern w:val="0"/>
                      <w:sz w:val="21"/>
                      <w:szCs w:val="21"/>
                    </w:rPr>
                  </w:pPr>
                  <w:r>
                    <w:rPr>
                      <w:rFonts w:hint="eastAsia"/>
                      <w:bCs/>
                      <w:color w:val="auto"/>
                      <w:kern w:val="0"/>
                      <w:sz w:val="21"/>
                      <w:szCs w:val="21"/>
                    </w:rPr>
                    <w:t>非甲烷总烃</w:t>
                  </w:r>
                </w:p>
              </w:tc>
              <w:tc>
                <w:tcPr>
                  <w:tcW w:w="517" w:type="pct"/>
                  <w:tcBorders>
                    <w:tl2br w:val="nil"/>
                    <w:tr2bl w:val="nil"/>
                  </w:tcBorders>
                  <w:tcMar>
                    <w:left w:w="0" w:type="dxa"/>
                    <w:right w:w="0" w:type="dxa"/>
                  </w:tcMar>
                  <w:vAlign w:val="center"/>
                </w:tcPr>
                <w:p w14:paraId="66B8EED0">
                  <w:pPr>
                    <w:pStyle w:val="656"/>
                    <w:snapToGrid w:val="0"/>
                    <w:rPr>
                      <w:rFonts w:hint="default" w:eastAsia="宋体"/>
                      <w:color w:val="auto"/>
                      <w:kern w:val="0"/>
                      <w:sz w:val="21"/>
                      <w:szCs w:val="21"/>
                      <w:lang w:val="en-US" w:eastAsia="zh-CN"/>
                    </w:rPr>
                  </w:pPr>
                  <w:r>
                    <w:rPr>
                      <w:rFonts w:hint="eastAsia" w:eastAsia="宋体"/>
                      <w:color w:val="auto"/>
                      <w:kern w:val="0"/>
                      <w:sz w:val="21"/>
                      <w:szCs w:val="21"/>
                      <w:lang w:val="en-US" w:eastAsia="zh-CN"/>
                    </w:rPr>
                    <w:t>3.24</w:t>
                  </w:r>
                </w:p>
              </w:tc>
              <w:tc>
                <w:tcPr>
                  <w:tcW w:w="582" w:type="pct"/>
                  <w:tcBorders>
                    <w:tl2br w:val="nil"/>
                    <w:tr2bl w:val="nil"/>
                  </w:tcBorders>
                  <w:tcMar>
                    <w:left w:w="0" w:type="dxa"/>
                    <w:right w:w="0" w:type="dxa"/>
                  </w:tcMar>
                  <w:vAlign w:val="center"/>
                </w:tcPr>
                <w:p w14:paraId="4A2CE136">
                  <w:pPr>
                    <w:pStyle w:val="656"/>
                    <w:snapToGrid w:val="0"/>
                    <w:rPr>
                      <w:rFonts w:hint="default" w:eastAsia="宋体"/>
                      <w:color w:val="auto"/>
                      <w:kern w:val="0"/>
                      <w:sz w:val="21"/>
                      <w:szCs w:val="21"/>
                      <w:lang w:val="en-US" w:eastAsia="zh-CN"/>
                    </w:rPr>
                  </w:pPr>
                  <w:r>
                    <w:rPr>
                      <w:rFonts w:hint="eastAsia" w:eastAsia="宋体"/>
                      <w:color w:val="auto"/>
                      <w:kern w:val="0"/>
                      <w:sz w:val="21"/>
                      <w:szCs w:val="21"/>
                      <w:lang w:val="en-US" w:eastAsia="zh-CN"/>
                    </w:rPr>
                    <w:t>0.081</w:t>
                  </w:r>
                </w:p>
              </w:tc>
              <w:tc>
                <w:tcPr>
                  <w:tcW w:w="474" w:type="pct"/>
                  <w:tcBorders>
                    <w:tl2br w:val="nil"/>
                    <w:tr2bl w:val="nil"/>
                  </w:tcBorders>
                  <w:tcMar>
                    <w:left w:w="0" w:type="dxa"/>
                    <w:right w:w="0" w:type="dxa"/>
                  </w:tcMar>
                  <w:vAlign w:val="center"/>
                </w:tcPr>
                <w:p w14:paraId="2AB1AB7F">
                  <w:pPr>
                    <w:jc w:val="center"/>
                    <w:rPr>
                      <w:rFonts w:hint="default" w:eastAsia="仿宋_GB2312"/>
                      <w:color w:val="auto"/>
                      <w:kern w:val="0"/>
                      <w:sz w:val="21"/>
                      <w:szCs w:val="21"/>
                      <w:lang w:val="en-US" w:eastAsia="zh-CN"/>
                    </w:rPr>
                  </w:pPr>
                  <w:r>
                    <w:rPr>
                      <w:rFonts w:hint="eastAsia"/>
                      <w:color w:val="auto"/>
                      <w:kern w:val="0"/>
                      <w:sz w:val="21"/>
                      <w:szCs w:val="21"/>
                      <w:lang w:val="en-US" w:eastAsia="zh-CN"/>
                    </w:rPr>
                    <w:t>50</w:t>
                  </w:r>
                </w:p>
              </w:tc>
              <w:tc>
                <w:tcPr>
                  <w:tcW w:w="491" w:type="pct"/>
                  <w:tcBorders>
                    <w:tl2br w:val="nil"/>
                    <w:tr2bl w:val="nil"/>
                  </w:tcBorders>
                  <w:tcMar>
                    <w:left w:w="0" w:type="dxa"/>
                    <w:right w:w="0" w:type="dxa"/>
                  </w:tcMar>
                  <w:vAlign w:val="center"/>
                </w:tcPr>
                <w:p w14:paraId="4726D87B">
                  <w:pPr>
                    <w:jc w:val="center"/>
                    <w:rPr>
                      <w:rFonts w:hint="eastAsia" w:eastAsia="仿宋_GB2312"/>
                      <w:color w:val="auto"/>
                      <w:kern w:val="0"/>
                      <w:sz w:val="21"/>
                      <w:szCs w:val="21"/>
                      <w:lang w:val="en-US" w:eastAsia="zh-CN"/>
                    </w:rPr>
                  </w:pPr>
                  <w:r>
                    <w:rPr>
                      <w:rFonts w:hint="eastAsia"/>
                      <w:color w:val="auto"/>
                      <w:kern w:val="0"/>
                      <w:sz w:val="21"/>
                      <w:szCs w:val="21"/>
                      <w:lang w:val="en-US" w:eastAsia="zh-CN"/>
                    </w:rPr>
                    <w:t>2.0</w:t>
                  </w:r>
                </w:p>
              </w:tc>
              <w:tc>
                <w:tcPr>
                  <w:tcW w:w="1140" w:type="pct"/>
                  <w:vMerge w:val="restart"/>
                  <w:tcBorders>
                    <w:tl2br w:val="nil"/>
                    <w:tr2bl w:val="nil"/>
                  </w:tcBorders>
                  <w:vAlign w:val="center"/>
                </w:tcPr>
                <w:p w14:paraId="4CD1A9AE">
                  <w:pPr>
                    <w:jc w:val="center"/>
                    <w:rPr>
                      <w:color w:val="auto"/>
                      <w:kern w:val="0"/>
                      <w:sz w:val="21"/>
                      <w:szCs w:val="21"/>
                    </w:rPr>
                  </w:pPr>
                  <w:r>
                    <w:rPr>
                      <w:rFonts w:hint="eastAsia"/>
                      <w:color w:val="auto"/>
                      <w:kern w:val="0"/>
                      <w:sz w:val="21"/>
                    </w:rPr>
                    <w:t>《</w:t>
                  </w:r>
                  <w:r>
                    <w:rPr>
                      <w:rFonts w:hint="eastAsia"/>
                      <w:color w:val="auto"/>
                      <w:kern w:val="0"/>
                      <w:sz w:val="21"/>
                      <w:lang w:val="en-US" w:eastAsia="zh-CN"/>
                    </w:rPr>
                    <w:t>工业涂装工序大气污染物排放标准</w:t>
                  </w:r>
                  <w:r>
                    <w:rPr>
                      <w:rFonts w:hint="eastAsia"/>
                      <w:color w:val="auto"/>
                      <w:kern w:val="0"/>
                      <w:sz w:val="21"/>
                    </w:rPr>
                    <w:t>》</w:t>
                  </w:r>
                  <w:r>
                    <w:rPr>
                      <w:rFonts w:hint="eastAsia"/>
                      <w:color w:val="auto"/>
                      <w:kern w:val="0"/>
                      <w:sz w:val="21"/>
                      <w:lang w:eastAsia="zh-CN"/>
                    </w:rPr>
                    <w:t>（</w:t>
                  </w:r>
                  <w:r>
                    <w:rPr>
                      <w:rFonts w:hint="eastAsia"/>
                      <w:color w:val="auto"/>
                      <w:kern w:val="0"/>
                      <w:sz w:val="21"/>
                    </w:rPr>
                    <w:t>DB32/4439-2022</w:t>
                  </w:r>
                  <w:r>
                    <w:rPr>
                      <w:rFonts w:hint="eastAsia"/>
                      <w:color w:val="auto"/>
                      <w:kern w:val="0"/>
                      <w:sz w:val="21"/>
                      <w:lang w:eastAsia="zh-CN"/>
                    </w:rPr>
                    <w:t>）</w:t>
                  </w:r>
                </w:p>
              </w:tc>
              <w:tc>
                <w:tcPr>
                  <w:tcW w:w="330" w:type="pct"/>
                  <w:tcBorders>
                    <w:tl2br w:val="nil"/>
                    <w:tr2bl w:val="nil"/>
                  </w:tcBorders>
                  <w:tcMar>
                    <w:left w:w="0" w:type="dxa"/>
                    <w:right w:w="0" w:type="dxa"/>
                  </w:tcMar>
                  <w:vAlign w:val="center"/>
                </w:tcPr>
                <w:p w14:paraId="64370620">
                  <w:pPr>
                    <w:jc w:val="center"/>
                    <w:rPr>
                      <w:color w:val="auto"/>
                      <w:kern w:val="0"/>
                      <w:sz w:val="21"/>
                      <w:szCs w:val="21"/>
                    </w:rPr>
                  </w:pPr>
                  <w:r>
                    <w:rPr>
                      <w:color w:val="auto"/>
                      <w:kern w:val="0"/>
                      <w:sz w:val="21"/>
                      <w:szCs w:val="21"/>
                    </w:rPr>
                    <w:t>达标</w:t>
                  </w:r>
                </w:p>
              </w:tc>
            </w:tr>
            <w:tr w14:paraId="0E1BFD7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425" w:type="pct"/>
                  <w:vMerge w:val="continue"/>
                  <w:tcBorders>
                    <w:tl2br w:val="nil"/>
                    <w:tr2bl w:val="nil"/>
                  </w:tcBorders>
                  <w:tcMar>
                    <w:left w:w="0" w:type="dxa"/>
                    <w:right w:w="0" w:type="dxa"/>
                  </w:tcMar>
                  <w:vAlign w:val="center"/>
                </w:tcPr>
                <w:p w14:paraId="7D1877BA">
                  <w:pPr>
                    <w:jc w:val="center"/>
                    <w:textAlignment w:val="bottom"/>
                    <w:rPr>
                      <w:color w:val="auto"/>
                      <w:kern w:val="0"/>
                      <w:sz w:val="21"/>
                      <w:szCs w:val="21"/>
                    </w:rPr>
                  </w:pPr>
                </w:p>
              </w:tc>
              <w:tc>
                <w:tcPr>
                  <w:tcW w:w="433" w:type="pct"/>
                  <w:vMerge w:val="continue"/>
                  <w:tcBorders>
                    <w:tl2br w:val="nil"/>
                    <w:tr2bl w:val="nil"/>
                  </w:tcBorders>
                  <w:tcMar>
                    <w:left w:w="0" w:type="dxa"/>
                    <w:right w:w="0" w:type="dxa"/>
                  </w:tcMar>
                  <w:vAlign w:val="center"/>
                </w:tcPr>
                <w:p w14:paraId="626D35F9">
                  <w:pPr>
                    <w:jc w:val="center"/>
                    <w:textAlignment w:val="bottom"/>
                    <w:rPr>
                      <w:color w:val="auto"/>
                      <w:kern w:val="0"/>
                      <w:sz w:val="21"/>
                      <w:szCs w:val="21"/>
                    </w:rPr>
                  </w:pPr>
                </w:p>
              </w:tc>
              <w:tc>
                <w:tcPr>
                  <w:tcW w:w="606" w:type="pct"/>
                  <w:tcBorders>
                    <w:tl2br w:val="nil"/>
                    <w:tr2bl w:val="nil"/>
                  </w:tcBorders>
                  <w:tcMar>
                    <w:left w:w="0" w:type="dxa"/>
                    <w:right w:w="0" w:type="dxa"/>
                  </w:tcMar>
                  <w:vAlign w:val="center"/>
                </w:tcPr>
                <w:p w14:paraId="33BB3F9F">
                  <w:pPr>
                    <w:pStyle w:val="696"/>
                    <w:rPr>
                      <w:rFonts w:hint="eastAsia" w:eastAsia="宋体"/>
                      <w:bCs/>
                      <w:color w:val="auto"/>
                      <w:kern w:val="0"/>
                      <w:sz w:val="21"/>
                      <w:szCs w:val="21"/>
                      <w:lang w:eastAsia="zh-CN"/>
                    </w:rPr>
                  </w:pPr>
                  <w:r>
                    <w:rPr>
                      <w:rFonts w:hint="eastAsia"/>
                      <w:bCs/>
                      <w:color w:val="auto"/>
                      <w:kern w:val="0"/>
                      <w:sz w:val="21"/>
                      <w:szCs w:val="21"/>
                      <w:lang w:val="en-US" w:eastAsia="zh-CN"/>
                    </w:rPr>
                    <w:t>颗粒物</w:t>
                  </w:r>
                </w:p>
              </w:tc>
              <w:tc>
                <w:tcPr>
                  <w:tcW w:w="517" w:type="pct"/>
                  <w:tcBorders>
                    <w:tl2br w:val="nil"/>
                    <w:tr2bl w:val="nil"/>
                  </w:tcBorders>
                  <w:tcMar>
                    <w:left w:w="0" w:type="dxa"/>
                    <w:right w:w="0" w:type="dxa"/>
                  </w:tcMar>
                  <w:vAlign w:val="center"/>
                </w:tcPr>
                <w:p w14:paraId="7C31EC74">
                  <w:pPr>
                    <w:pStyle w:val="656"/>
                    <w:snapToGrid w:val="0"/>
                    <w:rPr>
                      <w:rFonts w:hint="default" w:eastAsia="宋体"/>
                      <w:color w:val="auto"/>
                      <w:kern w:val="0"/>
                      <w:sz w:val="21"/>
                      <w:szCs w:val="21"/>
                      <w:lang w:val="en-US" w:eastAsia="zh-CN"/>
                    </w:rPr>
                  </w:pPr>
                  <w:r>
                    <w:rPr>
                      <w:rFonts w:hint="eastAsia" w:eastAsia="宋体"/>
                      <w:color w:val="auto"/>
                      <w:kern w:val="0"/>
                      <w:sz w:val="21"/>
                      <w:szCs w:val="21"/>
                      <w:lang w:val="en-US" w:eastAsia="zh-CN"/>
                    </w:rPr>
                    <w:t>0.328</w:t>
                  </w:r>
                </w:p>
              </w:tc>
              <w:tc>
                <w:tcPr>
                  <w:tcW w:w="582" w:type="pct"/>
                  <w:tcBorders>
                    <w:tl2br w:val="nil"/>
                    <w:tr2bl w:val="nil"/>
                  </w:tcBorders>
                  <w:tcMar>
                    <w:left w:w="0" w:type="dxa"/>
                    <w:right w:w="0" w:type="dxa"/>
                  </w:tcMar>
                  <w:vAlign w:val="center"/>
                </w:tcPr>
                <w:p w14:paraId="3257D757">
                  <w:pPr>
                    <w:pStyle w:val="656"/>
                    <w:snapToGrid w:val="0"/>
                    <w:rPr>
                      <w:rFonts w:hint="default" w:eastAsia="宋体"/>
                      <w:color w:val="auto"/>
                      <w:kern w:val="0"/>
                      <w:sz w:val="21"/>
                      <w:szCs w:val="21"/>
                      <w:lang w:val="en-US" w:eastAsia="zh-CN"/>
                    </w:rPr>
                  </w:pPr>
                  <w:r>
                    <w:rPr>
                      <w:rFonts w:hint="eastAsia" w:eastAsia="宋体"/>
                      <w:color w:val="auto"/>
                      <w:kern w:val="0"/>
                      <w:sz w:val="21"/>
                      <w:szCs w:val="21"/>
                      <w:lang w:val="en-US" w:eastAsia="zh-CN"/>
                    </w:rPr>
                    <w:t>0.0082</w:t>
                  </w:r>
                </w:p>
              </w:tc>
              <w:tc>
                <w:tcPr>
                  <w:tcW w:w="474" w:type="pct"/>
                  <w:tcBorders>
                    <w:tl2br w:val="nil"/>
                    <w:tr2bl w:val="nil"/>
                  </w:tcBorders>
                  <w:tcMar>
                    <w:left w:w="0" w:type="dxa"/>
                    <w:right w:w="0" w:type="dxa"/>
                  </w:tcMar>
                  <w:vAlign w:val="center"/>
                </w:tcPr>
                <w:p w14:paraId="0608B8F5">
                  <w:pPr>
                    <w:jc w:val="center"/>
                    <w:rPr>
                      <w:rFonts w:hint="default" w:eastAsia="仿宋_GB2312"/>
                      <w:color w:val="auto"/>
                      <w:kern w:val="0"/>
                      <w:sz w:val="21"/>
                      <w:szCs w:val="21"/>
                      <w:lang w:val="en-US" w:eastAsia="zh-CN"/>
                    </w:rPr>
                  </w:pPr>
                  <w:r>
                    <w:rPr>
                      <w:rFonts w:hint="eastAsia"/>
                      <w:color w:val="auto"/>
                      <w:kern w:val="0"/>
                      <w:sz w:val="21"/>
                      <w:szCs w:val="21"/>
                      <w:lang w:val="en-US" w:eastAsia="zh-CN"/>
                    </w:rPr>
                    <w:t>10</w:t>
                  </w:r>
                </w:p>
              </w:tc>
              <w:tc>
                <w:tcPr>
                  <w:tcW w:w="491" w:type="pct"/>
                  <w:tcBorders>
                    <w:tl2br w:val="nil"/>
                    <w:tr2bl w:val="nil"/>
                  </w:tcBorders>
                  <w:tcMar>
                    <w:left w:w="0" w:type="dxa"/>
                    <w:right w:w="0" w:type="dxa"/>
                  </w:tcMar>
                  <w:vAlign w:val="center"/>
                </w:tcPr>
                <w:p w14:paraId="45B70898">
                  <w:pPr>
                    <w:jc w:val="center"/>
                    <w:rPr>
                      <w:rFonts w:hint="eastAsia" w:eastAsia="仿宋_GB2312"/>
                      <w:color w:val="auto"/>
                      <w:kern w:val="0"/>
                      <w:sz w:val="21"/>
                      <w:szCs w:val="21"/>
                      <w:lang w:val="en-US" w:eastAsia="zh-CN"/>
                    </w:rPr>
                  </w:pPr>
                  <w:r>
                    <w:rPr>
                      <w:rFonts w:hint="eastAsia"/>
                      <w:color w:val="auto"/>
                      <w:kern w:val="0"/>
                      <w:sz w:val="21"/>
                      <w:szCs w:val="21"/>
                      <w:lang w:val="en-US" w:eastAsia="zh-CN"/>
                    </w:rPr>
                    <w:t>0.4</w:t>
                  </w:r>
                </w:p>
              </w:tc>
              <w:tc>
                <w:tcPr>
                  <w:tcW w:w="1140" w:type="pct"/>
                  <w:vMerge w:val="continue"/>
                  <w:tcBorders>
                    <w:tl2br w:val="nil"/>
                    <w:tr2bl w:val="nil"/>
                  </w:tcBorders>
                  <w:vAlign w:val="center"/>
                </w:tcPr>
                <w:p w14:paraId="2B1CD934">
                  <w:pPr>
                    <w:jc w:val="center"/>
                    <w:rPr>
                      <w:color w:val="auto"/>
                      <w:kern w:val="0"/>
                      <w:sz w:val="21"/>
                      <w:szCs w:val="21"/>
                    </w:rPr>
                  </w:pPr>
                </w:p>
              </w:tc>
              <w:tc>
                <w:tcPr>
                  <w:tcW w:w="330" w:type="pct"/>
                  <w:tcBorders>
                    <w:tl2br w:val="nil"/>
                    <w:tr2bl w:val="nil"/>
                  </w:tcBorders>
                  <w:tcMar>
                    <w:left w:w="0" w:type="dxa"/>
                    <w:right w:w="0" w:type="dxa"/>
                  </w:tcMar>
                  <w:vAlign w:val="center"/>
                </w:tcPr>
                <w:p w14:paraId="6BC17CEE">
                  <w:pPr>
                    <w:jc w:val="center"/>
                    <w:rPr>
                      <w:color w:val="auto"/>
                      <w:kern w:val="0"/>
                      <w:sz w:val="21"/>
                      <w:szCs w:val="21"/>
                    </w:rPr>
                  </w:pPr>
                  <w:r>
                    <w:rPr>
                      <w:color w:val="auto"/>
                      <w:kern w:val="0"/>
                      <w:sz w:val="21"/>
                      <w:szCs w:val="21"/>
                    </w:rPr>
                    <w:t>达标</w:t>
                  </w:r>
                </w:p>
              </w:tc>
            </w:tr>
            <w:tr w14:paraId="567EC4A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425" w:type="pct"/>
                  <w:vMerge w:val="continue"/>
                  <w:tcBorders>
                    <w:tl2br w:val="nil"/>
                    <w:tr2bl w:val="nil"/>
                  </w:tcBorders>
                  <w:tcMar>
                    <w:left w:w="0" w:type="dxa"/>
                    <w:right w:w="0" w:type="dxa"/>
                  </w:tcMar>
                  <w:vAlign w:val="center"/>
                </w:tcPr>
                <w:p w14:paraId="130DD6E8">
                  <w:pPr>
                    <w:jc w:val="center"/>
                    <w:textAlignment w:val="bottom"/>
                    <w:rPr>
                      <w:color w:val="auto"/>
                      <w:kern w:val="0"/>
                      <w:sz w:val="21"/>
                      <w:szCs w:val="21"/>
                    </w:rPr>
                  </w:pPr>
                </w:p>
              </w:tc>
              <w:tc>
                <w:tcPr>
                  <w:tcW w:w="433" w:type="pct"/>
                  <w:vMerge w:val="continue"/>
                  <w:tcBorders>
                    <w:tl2br w:val="nil"/>
                    <w:tr2bl w:val="nil"/>
                  </w:tcBorders>
                  <w:tcMar>
                    <w:left w:w="0" w:type="dxa"/>
                    <w:right w:w="0" w:type="dxa"/>
                  </w:tcMar>
                  <w:vAlign w:val="center"/>
                </w:tcPr>
                <w:p w14:paraId="0E54B217">
                  <w:pPr>
                    <w:jc w:val="center"/>
                    <w:textAlignment w:val="bottom"/>
                    <w:rPr>
                      <w:color w:val="auto"/>
                      <w:kern w:val="0"/>
                      <w:sz w:val="21"/>
                      <w:szCs w:val="21"/>
                    </w:rPr>
                  </w:pPr>
                </w:p>
              </w:tc>
              <w:tc>
                <w:tcPr>
                  <w:tcW w:w="606" w:type="pct"/>
                  <w:tcBorders>
                    <w:tl2br w:val="nil"/>
                    <w:tr2bl w:val="nil"/>
                  </w:tcBorders>
                  <w:tcMar>
                    <w:left w:w="0" w:type="dxa"/>
                    <w:right w:w="0" w:type="dxa"/>
                  </w:tcMar>
                  <w:vAlign w:val="center"/>
                </w:tcPr>
                <w:p w14:paraId="4DC2A5F1">
                  <w:pPr>
                    <w:pStyle w:val="696"/>
                    <w:rPr>
                      <w:rFonts w:hint="default"/>
                      <w:bCs/>
                      <w:color w:val="auto"/>
                      <w:kern w:val="0"/>
                      <w:sz w:val="21"/>
                      <w:szCs w:val="21"/>
                      <w:lang w:val="en-US" w:eastAsia="zh-CN"/>
                    </w:rPr>
                  </w:pPr>
                  <w:r>
                    <w:rPr>
                      <w:rFonts w:hint="eastAsia"/>
                      <w:bCs/>
                      <w:color w:val="auto"/>
                      <w:kern w:val="0"/>
                      <w:sz w:val="21"/>
                      <w:szCs w:val="21"/>
                      <w:lang w:val="en-US" w:eastAsia="zh-CN"/>
                    </w:rPr>
                    <w:t>苯系物</w:t>
                  </w:r>
                </w:p>
              </w:tc>
              <w:tc>
                <w:tcPr>
                  <w:tcW w:w="517" w:type="pct"/>
                  <w:tcBorders>
                    <w:tl2br w:val="nil"/>
                    <w:tr2bl w:val="nil"/>
                  </w:tcBorders>
                  <w:tcMar>
                    <w:left w:w="0" w:type="dxa"/>
                    <w:right w:w="0" w:type="dxa"/>
                  </w:tcMar>
                  <w:vAlign w:val="center"/>
                </w:tcPr>
                <w:p w14:paraId="68E2D5A8">
                  <w:pPr>
                    <w:pStyle w:val="656"/>
                    <w:snapToGrid w:val="0"/>
                    <w:rPr>
                      <w:rFonts w:hint="default" w:eastAsia="宋体"/>
                      <w:color w:val="auto"/>
                      <w:sz w:val="21"/>
                      <w:szCs w:val="21"/>
                      <w:lang w:val="en-US" w:eastAsia="zh-CN"/>
                    </w:rPr>
                  </w:pPr>
                  <w:r>
                    <w:rPr>
                      <w:rFonts w:hint="eastAsia" w:eastAsia="宋体"/>
                      <w:color w:val="auto"/>
                      <w:sz w:val="21"/>
                      <w:szCs w:val="21"/>
                      <w:lang w:val="en-US" w:eastAsia="zh-CN"/>
                    </w:rPr>
                    <w:t>1</w:t>
                  </w:r>
                </w:p>
              </w:tc>
              <w:tc>
                <w:tcPr>
                  <w:tcW w:w="582" w:type="pct"/>
                  <w:tcBorders>
                    <w:tl2br w:val="nil"/>
                    <w:tr2bl w:val="nil"/>
                  </w:tcBorders>
                  <w:tcMar>
                    <w:left w:w="0" w:type="dxa"/>
                    <w:right w:w="0" w:type="dxa"/>
                  </w:tcMar>
                  <w:vAlign w:val="center"/>
                </w:tcPr>
                <w:p w14:paraId="08600616">
                  <w:pPr>
                    <w:pStyle w:val="656"/>
                    <w:snapToGrid w:val="0"/>
                    <w:rPr>
                      <w:rFonts w:hint="default" w:eastAsia="宋体"/>
                      <w:color w:val="auto"/>
                      <w:sz w:val="21"/>
                      <w:szCs w:val="21"/>
                      <w:lang w:val="en-US" w:eastAsia="zh-CN"/>
                    </w:rPr>
                  </w:pPr>
                  <w:r>
                    <w:rPr>
                      <w:rFonts w:hint="eastAsia" w:eastAsia="宋体"/>
                      <w:color w:val="auto"/>
                      <w:sz w:val="21"/>
                      <w:szCs w:val="21"/>
                      <w:lang w:val="en-US" w:eastAsia="zh-CN"/>
                    </w:rPr>
                    <w:t>0.025</w:t>
                  </w:r>
                </w:p>
              </w:tc>
              <w:tc>
                <w:tcPr>
                  <w:tcW w:w="474" w:type="pct"/>
                  <w:tcBorders>
                    <w:tl2br w:val="nil"/>
                    <w:tr2bl w:val="nil"/>
                  </w:tcBorders>
                  <w:tcMar>
                    <w:left w:w="0" w:type="dxa"/>
                    <w:right w:w="0" w:type="dxa"/>
                  </w:tcMar>
                  <w:vAlign w:val="center"/>
                </w:tcPr>
                <w:p w14:paraId="5CE74002">
                  <w:pPr>
                    <w:jc w:val="center"/>
                    <w:rPr>
                      <w:rFonts w:hint="default"/>
                      <w:color w:val="auto"/>
                      <w:kern w:val="0"/>
                      <w:sz w:val="21"/>
                      <w:szCs w:val="21"/>
                      <w:lang w:val="en-US" w:eastAsia="zh-CN"/>
                    </w:rPr>
                  </w:pPr>
                  <w:r>
                    <w:rPr>
                      <w:rFonts w:hint="eastAsia"/>
                      <w:color w:val="auto"/>
                      <w:kern w:val="0"/>
                      <w:sz w:val="21"/>
                      <w:szCs w:val="21"/>
                      <w:lang w:val="en-US" w:eastAsia="zh-CN"/>
                    </w:rPr>
                    <w:t>20</w:t>
                  </w:r>
                </w:p>
              </w:tc>
              <w:tc>
                <w:tcPr>
                  <w:tcW w:w="491" w:type="pct"/>
                  <w:tcBorders>
                    <w:tl2br w:val="nil"/>
                    <w:tr2bl w:val="nil"/>
                  </w:tcBorders>
                  <w:tcMar>
                    <w:left w:w="0" w:type="dxa"/>
                    <w:right w:w="0" w:type="dxa"/>
                  </w:tcMar>
                  <w:vAlign w:val="center"/>
                </w:tcPr>
                <w:p w14:paraId="49CA175F">
                  <w:pPr>
                    <w:jc w:val="center"/>
                    <w:rPr>
                      <w:rFonts w:hint="default"/>
                      <w:color w:val="auto"/>
                      <w:kern w:val="0"/>
                      <w:sz w:val="21"/>
                      <w:szCs w:val="21"/>
                      <w:lang w:val="en-US" w:eastAsia="zh-CN"/>
                    </w:rPr>
                  </w:pPr>
                  <w:r>
                    <w:rPr>
                      <w:rFonts w:hint="eastAsia"/>
                      <w:color w:val="auto"/>
                      <w:kern w:val="0"/>
                      <w:sz w:val="21"/>
                      <w:szCs w:val="21"/>
                      <w:lang w:val="en-US" w:eastAsia="zh-CN"/>
                    </w:rPr>
                    <w:t>0.8</w:t>
                  </w:r>
                </w:p>
              </w:tc>
              <w:tc>
                <w:tcPr>
                  <w:tcW w:w="1140" w:type="pct"/>
                  <w:vMerge w:val="continue"/>
                  <w:tcBorders>
                    <w:tl2br w:val="nil"/>
                    <w:tr2bl w:val="nil"/>
                  </w:tcBorders>
                  <w:vAlign w:val="center"/>
                </w:tcPr>
                <w:p w14:paraId="5774323E">
                  <w:pPr>
                    <w:jc w:val="center"/>
                    <w:rPr>
                      <w:color w:val="auto"/>
                      <w:kern w:val="0"/>
                      <w:sz w:val="21"/>
                      <w:szCs w:val="21"/>
                    </w:rPr>
                  </w:pPr>
                </w:p>
              </w:tc>
              <w:tc>
                <w:tcPr>
                  <w:tcW w:w="330" w:type="pct"/>
                  <w:tcBorders>
                    <w:tl2br w:val="nil"/>
                    <w:tr2bl w:val="nil"/>
                  </w:tcBorders>
                  <w:tcMar>
                    <w:left w:w="0" w:type="dxa"/>
                    <w:right w:w="0" w:type="dxa"/>
                  </w:tcMar>
                  <w:vAlign w:val="center"/>
                </w:tcPr>
                <w:p w14:paraId="4AD2A85F">
                  <w:pPr>
                    <w:jc w:val="center"/>
                    <w:rPr>
                      <w:rFonts w:hint="eastAsia" w:eastAsia="宋体"/>
                      <w:color w:val="auto"/>
                      <w:kern w:val="0"/>
                      <w:sz w:val="21"/>
                      <w:szCs w:val="21"/>
                      <w:lang w:val="en-US" w:eastAsia="zh-CN"/>
                    </w:rPr>
                  </w:pPr>
                  <w:r>
                    <w:rPr>
                      <w:rFonts w:hint="eastAsia"/>
                      <w:color w:val="auto"/>
                      <w:kern w:val="0"/>
                      <w:sz w:val="21"/>
                      <w:szCs w:val="21"/>
                      <w:lang w:val="en-US" w:eastAsia="zh-CN"/>
                    </w:rPr>
                    <w:t>达标</w:t>
                  </w:r>
                </w:p>
              </w:tc>
            </w:tr>
            <w:tr w14:paraId="33EA74F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425" w:type="pct"/>
                  <w:vMerge w:val="continue"/>
                  <w:tcBorders>
                    <w:tl2br w:val="nil"/>
                    <w:tr2bl w:val="nil"/>
                  </w:tcBorders>
                  <w:tcMar>
                    <w:left w:w="0" w:type="dxa"/>
                    <w:right w:w="0" w:type="dxa"/>
                  </w:tcMar>
                  <w:vAlign w:val="center"/>
                </w:tcPr>
                <w:p w14:paraId="36D44ACD">
                  <w:pPr>
                    <w:jc w:val="center"/>
                    <w:textAlignment w:val="bottom"/>
                    <w:rPr>
                      <w:color w:val="auto"/>
                      <w:kern w:val="0"/>
                      <w:sz w:val="21"/>
                      <w:szCs w:val="21"/>
                    </w:rPr>
                  </w:pPr>
                </w:p>
              </w:tc>
              <w:tc>
                <w:tcPr>
                  <w:tcW w:w="433" w:type="pct"/>
                  <w:vMerge w:val="continue"/>
                  <w:tcBorders>
                    <w:tl2br w:val="nil"/>
                    <w:tr2bl w:val="nil"/>
                  </w:tcBorders>
                  <w:tcMar>
                    <w:left w:w="0" w:type="dxa"/>
                    <w:right w:w="0" w:type="dxa"/>
                  </w:tcMar>
                  <w:vAlign w:val="center"/>
                </w:tcPr>
                <w:p w14:paraId="0C0816D6">
                  <w:pPr>
                    <w:jc w:val="center"/>
                    <w:textAlignment w:val="bottom"/>
                    <w:rPr>
                      <w:color w:val="auto"/>
                      <w:kern w:val="0"/>
                      <w:sz w:val="21"/>
                      <w:szCs w:val="21"/>
                    </w:rPr>
                  </w:pPr>
                </w:p>
              </w:tc>
              <w:tc>
                <w:tcPr>
                  <w:tcW w:w="606" w:type="pct"/>
                  <w:tcBorders>
                    <w:tl2br w:val="nil"/>
                    <w:tr2bl w:val="nil"/>
                  </w:tcBorders>
                  <w:tcMar>
                    <w:left w:w="0" w:type="dxa"/>
                    <w:right w:w="0" w:type="dxa"/>
                  </w:tcMar>
                  <w:vAlign w:val="center"/>
                </w:tcPr>
                <w:p w14:paraId="0A5C60C1">
                  <w:pPr>
                    <w:pStyle w:val="696"/>
                    <w:rPr>
                      <w:rFonts w:hint="default"/>
                      <w:bCs/>
                      <w:color w:val="auto"/>
                      <w:kern w:val="0"/>
                      <w:sz w:val="21"/>
                      <w:szCs w:val="21"/>
                      <w:lang w:val="en-US" w:eastAsia="zh-CN"/>
                    </w:rPr>
                  </w:pPr>
                  <w:r>
                    <w:rPr>
                      <w:rFonts w:hint="eastAsia"/>
                      <w:bCs/>
                      <w:color w:val="auto"/>
                      <w:kern w:val="0"/>
                      <w:sz w:val="21"/>
                      <w:szCs w:val="21"/>
                      <w:lang w:val="en-US" w:eastAsia="zh-CN"/>
                    </w:rPr>
                    <w:t>二甲苯</w:t>
                  </w:r>
                </w:p>
              </w:tc>
              <w:tc>
                <w:tcPr>
                  <w:tcW w:w="517" w:type="pct"/>
                  <w:tcBorders>
                    <w:tl2br w:val="nil"/>
                    <w:tr2bl w:val="nil"/>
                  </w:tcBorders>
                  <w:tcMar>
                    <w:left w:w="0" w:type="dxa"/>
                    <w:right w:w="0" w:type="dxa"/>
                  </w:tcMar>
                  <w:vAlign w:val="center"/>
                </w:tcPr>
                <w:p w14:paraId="25F4B82F">
                  <w:pPr>
                    <w:pStyle w:val="656"/>
                    <w:snapToGrid w:val="0"/>
                    <w:rPr>
                      <w:rFonts w:hint="default" w:eastAsia="宋体"/>
                      <w:color w:val="auto"/>
                      <w:sz w:val="21"/>
                      <w:szCs w:val="21"/>
                      <w:lang w:val="en-US" w:eastAsia="zh-CN"/>
                    </w:rPr>
                  </w:pPr>
                  <w:r>
                    <w:rPr>
                      <w:rFonts w:hint="eastAsia" w:eastAsia="宋体"/>
                      <w:color w:val="auto"/>
                      <w:sz w:val="21"/>
                      <w:szCs w:val="21"/>
                      <w:lang w:val="en-US" w:eastAsia="zh-CN"/>
                    </w:rPr>
                    <w:t>0.96</w:t>
                  </w:r>
                </w:p>
              </w:tc>
              <w:tc>
                <w:tcPr>
                  <w:tcW w:w="582" w:type="pct"/>
                  <w:tcBorders>
                    <w:tl2br w:val="nil"/>
                    <w:tr2bl w:val="nil"/>
                  </w:tcBorders>
                  <w:tcMar>
                    <w:left w:w="0" w:type="dxa"/>
                    <w:right w:w="0" w:type="dxa"/>
                  </w:tcMar>
                  <w:vAlign w:val="center"/>
                </w:tcPr>
                <w:p w14:paraId="5A5C05D8">
                  <w:pPr>
                    <w:pStyle w:val="656"/>
                    <w:snapToGrid w:val="0"/>
                    <w:rPr>
                      <w:rFonts w:hint="default" w:eastAsia="宋体"/>
                      <w:color w:val="auto"/>
                      <w:sz w:val="21"/>
                      <w:szCs w:val="21"/>
                      <w:lang w:val="en-US" w:eastAsia="zh-CN"/>
                    </w:rPr>
                  </w:pPr>
                  <w:r>
                    <w:rPr>
                      <w:rFonts w:hint="eastAsia" w:eastAsia="宋体"/>
                      <w:color w:val="auto"/>
                      <w:sz w:val="21"/>
                      <w:szCs w:val="21"/>
                      <w:lang w:val="en-US" w:eastAsia="zh-CN"/>
                    </w:rPr>
                    <w:t>0.024</w:t>
                  </w:r>
                </w:p>
              </w:tc>
              <w:tc>
                <w:tcPr>
                  <w:tcW w:w="474" w:type="pct"/>
                  <w:tcBorders>
                    <w:tl2br w:val="nil"/>
                    <w:tr2bl w:val="nil"/>
                  </w:tcBorders>
                  <w:tcMar>
                    <w:left w:w="0" w:type="dxa"/>
                    <w:right w:w="0" w:type="dxa"/>
                  </w:tcMar>
                  <w:vAlign w:val="center"/>
                </w:tcPr>
                <w:p w14:paraId="4D287DF8">
                  <w:pPr>
                    <w:jc w:val="center"/>
                    <w:rPr>
                      <w:rFonts w:hint="default"/>
                      <w:color w:val="auto"/>
                      <w:kern w:val="0"/>
                      <w:sz w:val="21"/>
                      <w:szCs w:val="21"/>
                      <w:lang w:val="en-US" w:eastAsia="zh-CN"/>
                    </w:rPr>
                  </w:pPr>
                  <w:r>
                    <w:rPr>
                      <w:rFonts w:hint="eastAsia"/>
                      <w:color w:val="auto"/>
                      <w:kern w:val="0"/>
                      <w:sz w:val="21"/>
                      <w:szCs w:val="21"/>
                      <w:lang w:val="en-US" w:eastAsia="zh-CN"/>
                    </w:rPr>
                    <w:t>10</w:t>
                  </w:r>
                </w:p>
              </w:tc>
              <w:tc>
                <w:tcPr>
                  <w:tcW w:w="491" w:type="pct"/>
                  <w:tcBorders>
                    <w:tl2br w:val="nil"/>
                    <w:tr2bl w:val="nil"/>
                  </w:tcBorders>
                  <w:tcMar>
                    <w:left w:w="0" w:type="dxa"/>
                    <w:right w:w="0" w:type="dxa"/>
                  </w:tcMar>
                  <w:vAlign w:val="center"/>
                </w:tcPr>
                <w:p w14:paraId="6E752097">
                  <w:pPr>
                    <w:jc w:val="center"/>
                    <w:rPr>
                      <w:rFonts w:hint="default"/>
                      <w:color w:val="auto"/>
                      <w:kern w:val="0"/>
                      <w:sz w:val="21"/>
                      <w:szCs w:val="21"/>
                      <w:lang w:val="en-US" w:eastAsia="zh-CN"/>
                    </w:rPr>
                  </w:pPr>
                  <w:r>
                    <w:rPr>
                      <w:rFonts w:hint="eastAsia"/>
                      <w:color w:val="auto"/>
                      <w:kern w:val="0"/>
                      <w:sz w:val="21"/>
                      <w:szCs w:val="21"/>
                      <w:lang w:val="en-US" w:eastAsia="zh-CN"/>
                    </w:rPr>
                    <w:t>0.72</w:t>
                  </w:r>
                </w:p>
              </w:tc>
              <w:tc>
                <w:tcPr>
                  <w:tcW w:w="1140" w:type="pct"/>
                  <w:tcBorders>
                    <w:tl2br w:val="nil"/>
                    <w:tr2bl w:val="nil"/>
                  </w:tcBorders>
                  <w:vAlign w:val="center"/>
                </w:tcPr>
                <w:p w14:paraId="05C828D7">
                  <w:pPr>
                    <w:jc w:val="center"/>
                    <w:rPr>
                      <w:color w:val="auto"/>
                      <w:kern w:val="0"/>
                      <w:sz w:val="21"/>
                      <w:szCs w:val="21"/>
                    </w:rPr>
                  </w:pPr>
                  <w:r>
                    <w:rPr>
                      <w:rFonts w:hint="eastAsia"/>
                      <w:color w:val="auto"/>
                      <w:kern w:val="0"/>
                      <w:sz w:val="21"/>
                      <w:szCs w:val="21"/>
                    </w:rPr>
                    <w:t>《大气污染物综合排放标准》（DB32/ 4041-2021）</w:t>
                  </w:r>
                </w:p>
              </w:tc>
              <w:tc>
                <w:tcPr>
                  <w:tcW w:w="330" w:type="pct"/>
                  <w:tcBorders>
                    <w:tl2br w:val="nil"/>
                    <w:tr2bl w:val="nil"/>
                  </w:tcBorders>
                  <w:tcMar>
                    <w:left w:w="0" w:type="dxa"/>
                    <w:right w:w="0" w:type="dxa"/>
                  </w:tcMar>
                  <w:vAlign w:val="center"/>
                </w:tcPr>
                <w:p w14:paraId="14E0FB5F">
                  <w:pPr>
                    <w:jc w:val="center"/>
                    <w:rPr>
                      <w:color w:val="auto"/>
                      <w:kern w:val="0"/>
                      <w:sz w:val="21"/>
                      <w:szCs w:val="21"/>
                    </w:rPr>
                  </w:pPr>
                  <w:r>
                    <w:rPr>
                      <w:rFonts w:hint="eastAsia"/>
                      <w:color w:val="auto"/>
                      <w:kern w:val="0"/>
                      <w:sz w:val="21"/>
                      <w:szCs w:val="21"/>
                      <w:lang w:val="en-US" w:eastAsia="zh-CN"/>
                    </w:rPr>
                    <w:t>达标</w:t>
                  </w:r>
                </w:p>
              </w:tc>
            </w:tr>
          </w:tbl>
          <w:p w14:paraId="081EE649">
            <w:pPr>
              <w:pStyle w:val="697"/>
              <w:adjustRightInd w:val="0"/>
              <w:snapToGrid w:val="0"/>
              <w:spacing w:line="360" w:lineRule="auto"/>
              <w:ind w:firstLine="420"/>
              <w:rPr>
                <w:rFonts w:hint="eastAsia" w:eastAsia="宋体"/>
                <w:color w:val="auto"/>
                <w:kern w:val="0"/>
                <w:sz w:val="21"/>
                <w:szCs w:val="21"/>
              </w:rPr>
            </w:pPr>
            <w:r>
              <w:rPr>
                <w:rFonts w:hint="eastAsia" w:eastAsia="宋体"/>
                <w:color w:val="auto"/>
                <w:kern w:val="0"/>
                <w:sz w:val="21"/>
                <w:szCs w:val="21"/>
              </w:rPr>
              <w:t>为进一步减少无组织废气的排放，采取如下措施：</w:t>
            </w:r>
          </w:p>
          <w:p w14:paraId="48B8B868">
            <w:pPr>
              <w:pStyle w:val="697"/>
              <w:adjustRightInd w:val="0"/>
              <w:snapToGrid w:val="0"/>
              <w:spacing w:line="360" w:lineRule="auto"/>
              <w:ind w:firstLine="420"/>
              <w:rPr>
                <w:rFonts w:hint="eastAsia" w:eastAsia="宋体"/>
                <w:color w:val="auto"/>
                <w:kern w:val="0"/>
                <w:sz w:val="21"/>
                <w:szCs w:val="21"/>
              </w:rPr>
            </w:pPr>
            <w:r>
              <w:rPr>
                <w:rFonts w:hint="eastAsia" w:eastAsia="宋体"/>
                <w:color w:val="auto"/>
                <w:kern w:val="0"/>
                <w:sz w:val="21"/>
                <w:szCs w:val="21"/>
              </w:rPr>
              <w:t>①选用高质量的设备、容器以及管件，提高安装质量，加强生产管理和设备维修，及时修、更换破损的管道、机泵、阀门及污染治理设备，减少和防止生产过程中的跑、冒、滴、漏和事故性排放，在此基础上还应针对上述无组织废气排放源，加强管道、阀门的密封检修，减少无组织废气逸散。</w:t>
            </w:r>
          </w:p>
          <w:p w14:paraId="033DAB66">
            <w:pPr>
              <w:pStyle w:val="697"/>
              <w:adjustRightInd w:val="0"/>
              <w:snapToGrid w:val="0"/>
              <w:spacing w:line="360" w:lineRule="auto"/>
              <w:ind w:firstLine="420"/>
              <w:rPr>
                <w:rFonts w:hint="eastAsia" w:eastAsia="宋体"/>
                <w:color w:val="auto"/>
                <w:kern w:val="0"/>
                <w:sz w:val="21"/>
                <w:szCs w:val="21"/>
              </w:rPr>
            </w:pPr>
            <w:r>
              <w:rPr>
                <w:rFonts w:hint="eastAsia" w:eastAsia="宋体"/>
                <w:color w:val="auto"/>
                <w:kern w:val="0"/>
                <w:sz w:val="21"/>
                <w:szCs w:val="21"/>
              </w:rPr>
              <w:t>②加强操作工的培训和管理，以减少人为造成的对环境的污染。</w:t>
            </w:r>
          </w:p>
          <w:p w14:paraId="498DB62F">
            <w:pPr>
              <w:pStyle w:val="697"/>
              <w:adjustRightInd w:val="0"/>
              <w:snapToGrid w:val="0"/>
              <w:spacing w:line="360" w:lineRule="auto"/>
              <w:ind w:firstLine="420"/>
              <w:rPr>
                <w:rFonts w:hint="eastAsia" w:eastAsia="宋体"/>
                <w:color w:val="auto"/>
                <w:kern w:val="0"/>
                <w:sz w:val="21"/>
                <w:szCs w:val="21"/>
              </w:rPr>
            </w:pPr>
            <w:r>
              <w:rPr>
                <w:rFonts w:hint="eastAsia" w:eastAsia="宋体"/>
                <w:color w:val="auto"/>
                <w:kern w:val="0"/>
                <w:sz w:val="21"/>
                <w:szCs w:val="21"/>
              </w:rPr>
              <w:t>③对于一些有可能导致废气事故排放的情况，厂家必须加强管理，采取切实有效的措施以保障安全和防止污染环境。加强厂区和厂界的绿化工作，减少无组织废气对周围环境影响。</w:t>
            </w:r>
          </w:p>
          <w:p w14:paraId="38811E93">
            <w:pPr>
              <w:pStyle w:val="697"/>
              <w:adjustRightInd w:val="0"/>
              <w:snapToGrid w:val="0"/>
              <w:spacing w:line="360" w:lineRule="auto"/>
              <w:ind w:firstLine="420"/>
              <w:rPr>
                <w:rFonts w:eastAsia="宋体"/>
                <w:color w:val="auto"/>
                <w:kern w:val="0"/>
                <w:sz w:val="21"/>
                <w:szCs w:val="21"/>
              </w:rPr>
            </w:pPr>
            <w:r>
              <w:rPr>
                <w:rFonts w:hint="eastAsia" w:eastAsia="宋体"/>
                <w:color w:val="auto"/>
                <w:kern w:val="0"/>
                <w:sz w:val="21"/>
                <w:szCs w:val="21"/>
              </w:rPr>
              <w:t>④无组织排放废气均通过车间强制通风，降低生产厂房内污染物浓度。</w:t>
            </w:r>
          </w:p>
          <w:p w14:paraId="2726EB1F">
            <w:pPr>
              <w:pStyle w:val="5"/>
              <w:adjustRightInd w:val="0"/>
              <w:snapToGrid w:val="0"/>
              <w:spacing w:line="360" w:lineRule="auto"/>
              <w:ind w:firstLine="422" w:firstLineChars="200"/>
              <w:rPr>
                <w:b/>
                <w:color w:val="auto"/>
                <w:kern w:val="0"/>
                <w:szCs w:val="21"/>
              </w:rPr>
            </w:pPr>
            <w:r>
              <w:rPr>
                <w:rFonts w:hint="eastAsia"/>
                <w:b/>
                <w:color w:val="auto"/>
                <w:kern w:val="0"/>
                <w:szCs w:val="21"/>
              </w:rPr>
              <w:t>（6）污染物排放量核算</w:t>
            </w:r>
          </w:p>
          <w:p w14:paraId="784A4BBC">
            <w:pPr>
              <w:pStyle w:val="238"/>
              <w:adjustRightInd w:val="0"/>
              <w:snapToGrid w:val="0"/>
              <w:spacing w:before="0" w:line="240" w:lineRule="auto"/>
              <w:rPr>
                <w:rFonts w:ascii="Times New Roman" w:hAnsi="Times New Roman" w:eastAsia="宋体"/>
                <w:b/>
                <w:color w:val="auto"/>
                <w:kern w:val="0"/>
                <w:sz w:val="21"/>
                <w:szCs w:val="21"/>
              </w:rPr>
            </w:pPr>
            <w:r>
              <w:rPr>
                <w:rFonts w:ascii="Times New Roman" w:hAnsi="Times New Roman" w:eastAsia="宋体"/>
                <w:b/>
                <w:color w:val="auto"/>
                <w:kern w:val="0"/>
                <w:sz w:val="21"/>
                <w:szCs w:val="21"/>
              </w:rPr>
              <w:t>表4</w:t>
            </w:r>
            <w:r>
              <w:rPr>
                <w:rFonts w:hint="eastAsia" w:ascii="Times New Roman" w:hAnsi="Times New Roman" w:eastAsia="宋体"/>
                <w:b/>
                <w:color w:val="auto"/>
                <w:kern w:val="0"/>
                <w:sz w:val="21"/>
                <w:szCs w:val="21"/>
                <w:lang w:val="en-US" w:eastAsia="zh-CN"/>
              </w:rPr>
              <w:t>-8</w:t>
            </w:r>
            <w:r>
              <w:rPr>
                <w:rFonts w:hint="eastAsia" w:ascii="Times New Roman" w:hAnsi="Times New Roman" w:eastAsia="宋体"/>
                <w:b/>
                <w:color w:val="auto"/>
                <w:kern w:val="0"/>
                <w:sz w:val="21"/>
                <w:szCs w:val="21"/>
              </w:rPr>
              <w:t xml:space="preserve">   </w:t>
            </w:r>
            <w:r>
              <w:rPr>
                <w:rFonts w:ascii="Times New Roman" w:hAnsi="Times New Roman" w:eastAsia="宋体"/>
                <w:b/>
                <w:color w:val="auto"/>
                <w:kern w:val="0"/>
                <w:sz w:val="21"/>
                <w:szCs w:val="21"/>
              </w:rPr>
              <w:t>项目大气污染物有组织排放量核算表</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1684"/>
              <w:gridCol w:w="1514"/>
              <w:gridCol w:w="1628"/>
              <w:gridCol w:w="1624"/>
              <w:gridCol w:w="2406"/>
            </w:tblGrid>
            <w:tr w14:paraId="3B3ECE0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951" w:type="pct"/>
                  <w:tcBorders>
                    <w:tl2br w:val="nil"/>
                    <w:tr2bl w:val="nil"/>
                  </w:tcBorders>
                  <w:vAlign w:val="center"/>
                </w:tcPr>
                <w:p w14:paraId="68E294B1">
                  <w:pPr>
                    <w:pStyle w:val="693"/>
                    <w:keepNext w:val="0"/>
                    <w:keepLines w:val="0"/>
                    <w:pageBreakBefore w:val="0"/>
                    <w:kinsoku/>
                    <w:wordWrap/>
                    <w:overflowPunct/>
                    <w:topLinePunct w:val="0"/>
                    <w:autoSpaceDE/>
                    <w:autoSpaceDN/>
                    <w:bidi w:val="0"/>
                    <w:adjustRightInd w:val="0"/>
                    <w:snapToGrid w:val="0"/>
                    <w:rPr>
                      <w:rFonts w:eastAsia="宋体"/>
                      <w:color w:val="auto"/>
                      <w:kern w:val="0"/>
                    </w:rPr>
                  </w:pPr>
                  <w:r>
                    <w:rPr>
                      <w:rFonts w:eastAsia="宋体"/>
                      <w:color w:val="auto"/>
                      <w:kern w:val="0"/>
                    </w:rPr>
                    <w:t>排放口编号</w:t>
                  </w:r>
                </w:p>
              </w:tc>
              <w:tc>
                <w:tcPr>
                  <w:tcW w:w="855" w:type="pct"/>
                  <w:tcBorders>
                    <w:tl2br w:val="nil"/>
                    <w:tr2bl w:val="nil"/>
                  </w:tcBorders>
                  <w:vAlign w:val="center"/>
                </w:tcPr>
                <w:p w14:paraId="7F69131E">
                  <w:pPr>
                    <w:pStyle w:val="693"/>
                    <w:keepNext w:val="0"/>
                    <w:keepLines w:val="0"/>
                    <w:pageBreakBefore w:val="0"/>
                    <w:kinsoku/>
                    <w:wordWrap/>
                    <w:overflowPunct/>
                    <w:topLinePunct w:val="0"/>
                    <w:autoSpaceDE/>
                    <w:autoSpaceDN/>
                    <w:bidi w:val="0"/>
                    <w:adjustRightInd w:val="0"/>
                    <w:snapToGrid w:val="0"/>
                    <w:rPr>
                      <w:rFonts w:eastAsia="宋体"/>
                      <w:color w:val="auto"/>
                      <w:kern w:val="0"/>
                    </w:rPr>
                  </w:pPr>
                  <w:r>
                    <w:rPr>
                      <w:rFonts w:eastAsia="宋体"/>
                      <w:color w:val="auto"/>
                      <w:kern w:val="0"/>
                    </w:rPr>
                    <w:t>污染物</w:t>
                  </w:r>
                </w:p>
              </w:tc>
              <w:tc>
                <w:tcPr>
                  <w:tcW w:w="919" w:type="pct"/>
                  <w:tcBorders>
                    <w:tl2br w:val="nil"/>
                    <w:tr2bl w:val="nil"/>
                  </w:tcBorders>
                  <w:vAlign w:val="center"/>
                </w:tcPr>
                <w:p w14:paraId="365BA974">
                  <w:pPr>
                    <w:pStyle w:val="693"/>
                    <w:keepNext w:val="0"/>
                    <w:keepLines w:val="0"/>
                    <w:pageBreakBefore w:val="0"/>
                    <w:kinsoku/>
                    <w:wordWrap/>
                    <w:overflowPunct/>
                    <w:topLinePunct w:val="0"/>
                    <w:autoSpaceDE/>
                    <w:autoSpaceDN/>
                    <w:bidi w:val="0"/>
                    <w:adjustRightInd w:val="0"/>
                    <w:snapToGrid w:val="0"/>
                    <w:rPr>
                      <w:rFonts w:eastAsia="宋体"/>
                      <w:color w:val="auto"/>
                      <w:kern w:val="0"/>
                    </w:rPr>
                  </w:pPr>
                  <w:r>
                    <w:rPr>
                      <w:rFonts w:eastAsia="宋体"/>
                      <w:color w:val="auto"/>
                      <w:kern w:val="0"/>
                    </w:rPr>
                    <w:t>核算排放浓度mg/m</w:t>
                  </w:r>
                  <w:r>
                    <w:rPr>
                      <w:rFonts w:eastAsia="宋体"/>
                      <w:color w:val="auto"/>
                      <w:kern w:val="0"/>
                      <w:vertAlign w:val="superscript"/>
                    </w:rPr>
                    <w:t>3</w:t>
                  </w:r>
                </w:p>
              </w:tc>
              <w:tc>
                <w:tcPr>
                  <w:tcW w:w="916" w:type="pct"/>
                  <w:tcBorders>
                    <w:tl2br w:val="nil"/>
                    <w:tr2bl w:val="nil"/>
                  </w:tcBorders>
                  <w:vAlign w:val="center"/>
                </w:tcPr>
                <w:p w14:paraId="7DA6F4ED">
                  <w:pPr>
                    <w:pStyle w:val="693"/>
                    <w:keepNext w:val="0"/>
                    <w:keepLines w:val="0"/>
                    <w:pageBreakBefore w:val="0"/>
                    <w:kinsoku/>
                    <w:wordWrap/>
                    <w:overflowPunct/>
                    <w:topLinePunct w:val="0"/>
                    <w:autoSpaceDE/>
                    <w:autoSpaceDN/>
                    <w:bidi w:val="0"/>
                    <w:adjustRightInd w:val="0"/>
                    <w:snapToGrid w:val="0"/>
                    <w:rPr>
                      <w:rFonts w:eastAsia="宋体"/>
                      <w:color w:val="auto"/>
                      <w:kern w:val="0"/>
                    </w:rPr>
                  </w:pPr>
                  <w:r>
                    <w:rPr>
                      <w:rFonts w:eastAsia="宋体"/>
                      <w:color w:val="auto"/>
                      <w:kern w:val="0"/>
                    </w:rPr>
                    <w:t>核算排放速率kg/h</w:t>
                  </w:r>
                </w:p>
              </w:tc>
              <w:tc>
                <w:tcPr>
                  <w:tcW w:w="1357" w:type="pct"/>
                  <w:tcBorders>
                    <w:tl2br w:val="nil"/>
                    <w:tr2bl w:val="nil"/>
                  </w:tcBorders>
                  <w:vAlign w:val="center"/>
                </w:tcPr>
                <w:p w14:paraId="60367C97">
                  <w:pPr>
                    <w:pStyle w:val="693"/>
                    <w:keepNext w:val="0"/>
                    <w:keepLines w:val="0"/>
                    <w:pageBreakBefore w:val="0"/>
                    <w:kinsoku/>
                    <w:wordWrap/>
                    <w:overflowPunct/>
                    <w:topLinePunct w:val="0"/>
                    <w:autoSpaceDE/>
                    <w:autoSpaceDN/>
                    <w:bidi w:val="0"/>
                    <w:adjustRightInd w:val="0"/>
                    <w:snapToGrid w:val="0"/>
                    <w:rPr>
                      <w:rFonts w:eastAsia="宋体"/>
                      <w:color w:val="auto"/>
                      <w:kern w:val="0"/>
                    </w:rPr>
                  </w:pPr>
                  <w:r>
                    <w:rPr>
                      <w:rFonts w:eastAsia="宋体"/>
                      <w:color w:val="auto"/>
                      <w:kern w:val="0"/>
                    </w:rPr>
                    <w:t>核算年排放量t/a</w:t>
                  </w:r>
                </w:p>
              </w:tc>
            </w:tr>
            <w:tr w14:paraId="3A2560C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5000" w:type="pct"/>
                  <w:gridSpan w:val="5"/>
                  <w:tcBorders>
                    <w:tl2br w:val="nil"/>
                    <w:tr2bl w:val="nil"/>
                  </w:tcBorders>
                  <w:vAlign w:val="center"/>
                </w:tcPr>
                <w:p w14:paraId="599C5600">
                  <w:pPr>
                    <w:pStyle w:val="698"/>
                    <w:keepNext w:val="0"/>
                    <w:keepLines w:val="0"/>
                    <w:pageBreakBefore w:val="0"/>
                    <w:kinsoku/>
                    <w:wordWrap/>
                    <w:overflowPunct/>
                    <w:topLinePunct w:val="0"/>
                    <w:autoSpaceDE/>
                    <w:autoSpaceDN/>
                    <w:bidi w:val="0"/>
                    <w:adjustRightInd w:val="0"/>
                    <w:snapToGrid w:val="0"/>
                    <w:rPr>
                      <w:rFonts w:eastAsia="宋体"/>
                      <w:color w:val="auto"/>
                      <w:kern w:val="0"/>
                    </w:rPr>
                  </w:pPr>
                  <w:r>
                    <w:rPr>
                      <w:rFonts w:eastAsia="宋体"/>
                      <w:color w:val="auto"/>
                      <w:kern w:val="0"/>
                    </w:rPr>
                    <w:t>一般排放口</w:t>
                  </w:r>
                </w:p>
              </w:tc>
            </w:tr>
            <w:tr w14:paraId="0E88615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951" w:type="pct"/>
                  <w:vMerge w:val="restart"/>
                  <w:tcBorders>
                    <w:tl2br w:val="nil"/>
                    <w:tr2bl w:val="nil"/>
                  </w:tcBorders>
                  <w:vAlign w:val="center"/>
                </w:tcPr>
                <w:p w14:paraId="115FDF8B">
                  <w:pPr>
                    <w:pStyle w:val="698"/>
                    <w:keepNext w:val="0"/>
                    <w:keepLines w:val="0"/>
                    <w:pageBreakBefore w:val="0"/>
                    <w:kinsoku/>
                    <w:wordWrap/>
                    <w:overflowPunct/>
                    <w:topLinePunct w:val="0"/>
                    <w:autoSpaceDE/>
                    <w:autoSpaceDN/>
                    <w:bidi w:val="0"/>
                    <w:adjustRightInd w:val="0"/>
                    <w:snapToGrid w:val="0"/>
                    <w:rPr>
                      <w:rFonts w:hint="default" w:eastAsia="宋体"/>
                      <w:color w:val="auto"/>
                      <w:kern w:val="0"/>
                      <w:lang w:val="en-US" w:eastAsia="zh-CN"/>
                    </w:rPr>
                  </w:pPr>
                  <w:r>
                    <w:rPr>
                      <w:rFonts w:hint="eastAsia" w:eastAsia="宋体"/>
                      <w:color w:val="auto"/>
                      <w:kern w:val="0"/>
                      <w:lang w:val="en-US" w:eastAsia="zh-CN"/>
                    </w:rPr>
                    <w:t>DA001</w:t>
                  </w:r>
                </w:p>
              </w:tc>
              <w:tc>
                <w:tcPr>
                  <w:tcW w:w="855" w:type="pct"/>
                  <w:tcBorders>
                    <w:tl2br w:val="nil"/>
                    <w:tr2bl w:val="nil"/>
                  </w:tcBorders>
                  <w:vAlign w:val="center"/>
                </w:tcPr>
                <w:p w14:paraId="33CBCC61">
                  <w:pPr>
                    <w:keepNext w:val="0"/>
                    <w:keepLines w:val="0"/>
                    <w:pageBreakBefore w:val="0"/>
                    <w:kinsoku/>
                    <w:wordWrap/>
                    <w:overflowPunct/>
                    <w:topLinePunct w:val="0"/>
                    <w:autoSpaceDE/>
                    <w:autoSpaceDN/>
                    <w:bidi w:val="0"/>
                    <w:adjustRightInd w:val="0"/>
                    <w:snapToGrid w:val="0"/>
                    <w:jc w:val="center"/>
                    <w:textAlignment w:val="bottom"/>
                    <w:rPr>
                      <w:color w:val="auto"/>
                      <w:kern w:val="0"/>
                      <w:sz w:val="21"/>
                      <w:szCs w:val="21"/>
                    </w:rPr>
                  </w:pPr>
                  <w:r>
                    <w:rPr>
                      <w:rFonts w:hint="eastAsia"/>
                      <w:bCs/>
                      <w:color w:val="auto"/>
                      <w:kern w:val="0"/>
                      <w:sz w:val="21"/>
                      <w:szCs w:val="21"/>
                    </w:rPr>
                    <w:t>非甲烷总烃</w:t>
                  </w:r>
                </w:p>
              </w:tc>
              <w:tc>
                <w:tcPr>
                  <w:tcW w:w="919" w:type="pct"/>
                  <w:tcBorders>
                    <w:tl2br w:val="nil"/>
                    <w:tr2bl w:val="nil"/>
                  </w:tcBorders>
                  <w:vAlign w:val="center"/>
                </w:tcPr>
                <w:p w14:paraId="7868E7FF">
                  <w:pPr>
                    <w:pStyle w:val="656"/>
                    <w:snapToGrid w:val="0"/>
                    <w:rPr>
                      <w:rFonts w:hint="default" w:eastAsia="宋体"/>
                      <w:color w:val="auto"/>
                      <w:kern w:val="0"/>
                      <w:sz w:val="21"/>
                      <w:szCs w:val="21"/>
                      <w:lang w:val="en-US" w:eastAsia="zh-CN"/>
                    </w:rPr>
                  </w:pPr>
                  <w:r>
                    <w:rPr>
                      <w:rFonts w:hint="eastAsia" w:eastAsia="宋体"/>
                      <w:color w:val="auto"/>
                      <w:kern w:val="0"/>
                      <w:sz w:val="21"/>
                      <w:szCs w:val="21"/>
                      <w:lang w:val="en-US" w:eastAsia="zh-CN"/>
                    </w:rPr>
                    <w:t>3.24</w:t>
                  </w:r>
                </w:p>
              </w:tc>
              <w:tc>
                <w:tcPr>
                  <w:tcW w:w="916" w:type="pct"/>
                  <w:tcBorders>
                    <w:tl2br w:val="nil"/>
                    <w:tr2bl w:val="nil"/>
                  </w:tcBorders>
                  <w:vAlign w:val="center"/>
                </w:tcPr>
                <w:p w14:paraId="327C1251">
                  <w:pPr>
                    <w:pStyle w:val="656"/>
                    <w:snapToGrid w:val="0"/>
                    <w:rPr>
                      <w:rFonts w:hint="default" w:eastAsia="宋体"/>
                      <w:color w:val="auto"/>
                      <w:kern w:val="0"/>
                      <w:sz w:val="21"/>
                      <w:szCs w:val="21"/>
                      <w:lang w:val="en-US" w:eastAsia="zh-CN"/>
                    </w:rPr>
                  </w:pPr>
                  <w:r>
                    <w:rPr>
                      <w:rFonts w:hint="eastAsia" w:eastAsia="宋体"/>
                      <w:color w:val="auto"/>
                      <w:kern w:val="0"/>
                      <w:sz w:val="21"/>
                      <w:szCs w:val="21"/>
                      <w:lang w:val="en-US" w:eastAsia="zh-CN"/>
                    </w:rPr>
                    <w:t>0.081</w:t>
                  </w:r>
                </w:p>
              </w:tc>
              <w:tc>
                <w:tcPr>
                  <w:tcW w:w="1357" w:type="pct"/>
                  <w:tcBorders>
                    <w:tl2br w:val="nil"/>
                    <w:tr2bl w:val="nil"/>
                  </w:tcBorders>
                  <w:vAlign w:val="center"/>
                </w:tcPr>
                <w:p w14:paraId="42509E72">
                  <w:pPr>
                    <w:pStyle w:val="656"/>
                    <w:snapToGrid w:val="0"/>
                    <w:rPr>
                      <w:rFonts w:hint="default" w:eastAsia="宋体"/>
                      <w:color w:val="auto"/>
                      <w:kern w:val="0"/>
                      <w:sz w:val="21"/>
                      <w:szCs w:val="21"/>
                      <w:lang w:val="en-US" w:eastAsia="zh-CN"/>
                    </w:rPr>
                  </w:pPr>
                  <w:r>
                    <w:rPr>
                      <w:rFonts w:hint="eastAsia" w:eastAsia="宋体"/>
                      <w:color w:val="auto"/>
                      <w:kern w:val="0"/>
                      <w:sz w:val="21"/>
                      <w:szCs w:val="21"/>
                      <w:lang w:val="en-US" w:eastAsia="zh-CN"/>
                    </w:rPr>
                    <w:t>0.19386</w:t>
                  </w:r>
                </w:p>
              </w:tc>
            </w:tr>
            <w:tr w14:paraId="5D5F531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951" w:type="pct"/>
                  <w:vMerge w:val="continue"/>
                  <w:tcBorders>
                    <w:tl2br w:val="nil"/>
                    <w:tr2bl w:val="nil"/>
                  </w:tcBorders>
                  <w:vAlign w:val="center"/>
                </w:tcPr>
                <w:p w14:paraId="0A3B49F5">
                  <w:pPr>
                    <w:pStyle w:val="698"/>
                    <w:keepNext w:val="0"/>
                    <w:keepLines w:val="0"/>
                    <w:pageBreakBefore w:val="0"/>
                    <w:kinsoku/>
                    <w:wordWrap/>
                    <w:overflowPunct/>
                    <w:topLinePunct w:val="0"/>
                    <w:autoSpaceDE/>
                    <w:autoSpaceDN/>
                    <w:bidi w:val="0"/>
                    <w:adjustRightInd w:val="0"/>
                    <w:snapToGrid w:val="0"/>
                    <w:rPr>
                      <w:rFonts w:hint="eastAsia" w:eastAsia="宋体"/>
                      <w:color w:val="auto"/>
                      <w:kern w:val="0"/>
                      <w:lang w:val="en-US" w:eastAsia="zh-CN"/>
                    </w:rPr>
                  </w:pPr>
                </w:p>
              </w:tc>
              <w:tc>
                <w:tcPr>
                  <w:tcW w:w="855" w:type="pct"/>
                  <w:tcBorders>
                    <w:tl2br w:val="nil"/>
                    <w:tr2bl w:val="nil"/>
                  </w:tcBorders>
                  <w:shd w:val="clear" w:color="auto" w:fill="auto"/>
                  <w:vAlign w:val="center"/>
                </w:tcPr>
                <w:p w14:paraId="14FC9F83">
                  <w:pPr>
                    <w:pStyle w:val="656"/>
                    <w:snapToGrid w:val="0"/>
                    <w:rPr>
                      <w:rFonts w:hint="eastAsia" w:ascii="Times New Roman" w:hAnsi="Times New Roman" w:eastAsia="宋体" w:cs="Times New Roman"/>
                      <w:snapToGrid w:val="0"/>
                      <w:color w:val="auto"/>
                      <w:kern w:val="2"/>
                      <w:sz w:val="21"/>
                      <w:szCs w:val="21"/>
                      <w:lang w:val="en-US" w:eastAsia="zh-CN" w:bidi="ar-SA"/>
                    </w:rPr>
                  </w:pPr>
                  <w:r>
                    <w:rPr>
                      <w:rFonts w:hint="eastAsia" w:eastAsia="宋体"/>
                      <w:color w:val="auto"/>
                      <w:sz w:val="21"/>
                      <w:szCs w:val="21"/>
                      <w:lang w:val="en-US" w:eastAsia="zh-CN"/>
                    </w:rPr>
                    <w:t>苯系物</w:t>
                  </w:r>
                </w:p>
              </w:tc>
              <w:tc>
                <w:tcPr>
                  <w:tcW w:w="1628" w:type="dxa"/>
                  <w:tcBorders>
                    <w:tl2br w:val="nil"/>
                    <w:tr2bl w:val="nil"/>
                  </w:tcBorders>
                  <w:shd w:val="clear" w:color="auto" w:fill="auto"/>
                  <w:vAlign w:val="center"/>
                </w:tcPr>
                <w:p w14:paraId="03C75127">
                  <w:pPr>
                    <w:pStyle w:val="656"/>
                    <w:snapToGrid w:val="0"/>
                    <w:rPr>
                      <w:rFonts w:hint="eastAsia" w:ascii="Times New Roman" w:hAnsi="Times New Roman" w:eastAsia="宋体" w:cs="Times New Roman"/>
                      <w:snapToGrid w:val="0"/>
                      <w:color w:val="auto"/>
                      <w:kern w:val="2"/>
                      <w:sz w:val="21"/>
                      <w:szCs w:val="21"/>
                      <w:lang w:val="en-US" w:eastAsia="zh-CN" w:bidi="ar-SA"/>
                    </w:rPr>
                  </w:pPr>
                  <w:r>
                    <w:rPr>
                      <w:rFonts w:hint="eastAsia" w:eastAsia="宋体" w:cs="Times New Roman"/>
                      <w:color w:val="auto"/>
                      <w:sz w:val="21"/>
                      <w:szCs w:val="21"/>
                      <w:lang w:val="en-US" w:eastAsia="zh-CN"/>
                    </w:rPr>
                    <w:t>1</w:t>
                  </w:r>
                </w:p>
              </w:tc>
              <w:tc>
                <w:tcPr>
                  <w:tcW w:w="1623" w:type="dxa"/>
                  <w:tcBorders>
                    <w:tl2br w:val="nil"/>
                    <w:tr2bl w:val="nil"/>
                  </w:tcBorders>
                  <w:shd w:val="clear" w:color="auto" w:fill="auto"/>
                  <w:vAlign w:val="center"/>
                </w:tcPr>
                <w:p w14:paraId="3197C6A1">
                  <w:pPr>
                    <w:pStyle w:val="656"/>
                    <w:snapToGrid w:val="0"/>
                    <w:rPr>
                      <w:rFonts w:hint="eastAsia" w:ascii="Times New Roman" w:hAnsi="Times New Roman" w:eastAsia="宋体" w:cs="Times New Roman"/>
                      <w:snapToGrid w:val="0"/>
                      <w:color w:val="auto"/>
                      <w:kern w:val="2"/>
                      <w:sz w:val="21"/>
                      <w:szCs w:val="21"/>
                      <w:lang w:val="en-US" w:eastAsia="zh-CN" w:bidi="ar-SA"/>
                    </w:rPr>
                  </w:pPr>
                  <w:r>
                    <w:rPr>
                      <w:rFonts w:hint="eastAsia" w:eastAsia="宋体"/>
                      <w:color w:val="auto"/>
                      <w:sz w:val="21"/>
                      <w:szCs w:val="21"/>
                      <w:lang w:val="en-US" w:eastAsia="zh-CN"/>
                    </w:rPr>
                    <w:t>0.025</w:t>
                  </w:r>
                </w:p>
              </w:tc>
              <w:tc>
                <w:tcPr>
                  <w:tcW w:w="2404" w:type="dxa"/>
                  <w:tcBorders>
                    <w:tl2br w:val="nil"/>
                    <w:tr2bl w:val="nil"/>
                  </w:tcBorders>
                  <w:shd w:val="clear" w:color="auto" w:fill="auto"/>
                  <w:vAlign w:val="center"/>
                </w:tcPr>
                <w:p w14:paraId="410AD777">
                  <w:pPr>
                    <w:pStyle w:val="656"/>
                    <w:snapToGrid w:val="0"/>
                    <w:rPr>
                      <w:rFonts w:hint="eastAsia" w:ascii="Times New Roman" w:hAnsi="Times New Roman" w:eastAsia="宋体" w:cs="Times New Roman"/>
                      <w:snapToGrid w:val="0"/>
                      <w:color w:val="auto"/>
                      <w:kern w:val="2"/>
                      <w:sz w:val="21"/>
                      <w:szCs w:val="21"/>
                      <w:lang w:val="en-US" w:eastAsia="zh-CN" w:bidi="ar-SA"/>
                    </w:rPr>
                  </w:pPr>
                  <w:r>
                    <w:rPr>
                      <w:rFonts w:hint="eastAsia" w:eastAsia="宋体"/>
                      <w:color w:val="auto"/>
                      <w:sz w:val="21"/>
                      <w:szCs w:val="21"/>
                      <w:lang w:val="en-US" w:eastAsia="zh-CN"/>
                    </w:rPr>
                    <w:t>0.05954</w:t>
                  </w:r>
                </w:p>
              </w:tc>
            </w:tr>
            <w:tr w14:paraId="6B995DC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951" w:type="pct"/>
                  <w:vMerge w:val="continue"/>
                  <w:tcBorders>
                    <w:tl2br w:val="nil"/>
                    <w:tr2bl w:val="nil"/>
                  </w:tcBorders>
                  <w:vAlign w:val="center"/>
                </w:tcPr>
                <w:p w14:paraId="4473FDE3">
                  <w:pPr>
                    <w:pStyle w:val="698"/>
                    <w:keepNext w:val="0"/>
                    <w:keepLines w:val="0"/>
                    <w:pageBreakBefore w:val="0"/>
                    <w:kinsoku/>
                    <w:wordWrap/>
                    <w:overflowPunct/>
                    <w:topLinePunct w:val="0"/>
                    <w:autoSpaceDE/>
                    <w:autoSpaceDN/>
                    <w:bidi w:val="0"/>
                    <w:adjustRightInd w:val="0"/>
                    <w:snapToGrid w:val="0"/>
                    <w:rPr>
                      <w:rFonts w:hint="eastAsia" w:eastAsia="宋体"/>
                      <w:color w:val="auto"/>
                      <w:kern w:val="0"/>
                      <w:lang w:val="en-US" w:eastAsia="zh-CN"/>
                    </w:rPr>
                  </w:pPr>
                </w:p>
              </w:tc>
              <w:tc>
                <w:tcPr>
                  <w:tcW w:w="855" w:type="pct"/>
                  <w:tcBorders>
                    <w:tl2br w:val="nil"/>
                    <w:tr2bl w:val="nil"/>
                  </w:tcBorders>
                  <w:shd w:val="clear" w:color="auto" w:fill="auto"/>
                  <w:vAlign w:val="center"/>
                </w:tcPr>
                <w:p w14:paraId="7BCAC554">
                  <w:pPr>
                    <w:pStyle w:val="656"/>
                    <w:snapToGrid w:val="0"/>
                    <w:rPr>
                      <w:rFonts w:hint="eastAsia" w:ascii="Times New Roman" w:hAnsi="Times New Roman" w:eastAsia="宋体" w:cs="Times New Roman"/>
                      <w:snapToGrid w:val="0"/>
                      <w:color w:val="auto"/>
                      <w:kern w:val="2"/>
                      <w:sz w:val="21"/>
                      <w:szCs w:val="21"/>
                      <w:lang w:val="en-US" w:eastAsia="zh-CN" w:bidi="ar-SA"/>
                    </w:rPr>
                  </w:pPr>
                  <w:r>
                    <w:rPr>
                      <w:rFonts w:hint="eastAsia" w:eastAsia="宋体"/>
                      <w:color w:val="auto"/>
                      <w:sz w:val="21"/>
                      <w:szCs w:val="21"/>
                      <w:lang w:val="en-US" w:eastAsia="zh-CN"/>
                    </w:rPr>
                    <w:t>二甲苯</w:t>
                  </w:r>
                </w:p>
              </w:tc>
              <w:tc>
                <w:tcPr>
                  <w:tcW w:w="1628" w:type="dxa"/>
                  <w:tcBorders>
                    <w:tl2br w:val="nil"/>
                    <w:tr2bl w:val="nil"/>
                  </w:tcBorders>
                  <w:shd w:val="clear" w:color="auto" w:fill="auto"/>
                  <w:vAlign w:val="center"/>
                </w:tcPr>
                <w:p w14:paraId="101A1582">
                  <w:pPr>
                    <w:pStyle w:val="656"/>
                    <w:snapToGrid w:val="0"/>
                    <w:rPr>
                      <w:rFonts w:hint="eastAsia" w:ascii="Times New Roman" w:hAnsi="Times New Roman" w:eastAsia="宋体" w:cs="Times New Roman"/>
                      <w:snapToGrid w:val="0"/>
                      <w:color w:val="auto"/>
                      <w:kern w:val="2"/>
                      <w:sz w:val="21"/>
                      <w:szCs w:val="21"/>
                      <w:lang w:val="en-US" w:eastAsia="zh-CN" w:bidi="ar-SA"/>
                    </w:rPr>
                  </w:pPr>
                  <w:r>
                    <w:rPr>
                      <w:rFonts w:hint="eastAsia" w:eastAsia="宋体" w:cs="Times New Roman"/>
                      <w:color w:val="auto"/>
                      <w:sz w:val="21"/>
                      <w:szCs w:val="21"/>
                      <w:lang w:val="en-US" w:eastAsia="zh-CN"/>
                    </w:rPr>
                    <w:t>0.96</w:t>
                  </w:r>
                </w:p>
              </w:tc>
              <w:tc>
                <w:tcPr>
                  <w:tcW w:w="1623" w:type="dxa"/>
                  <w:tcBorders>
                    <w:tl2br w:val="nil"/>
                    <w:tr2bl w:val="nil"/>
                  </w:tcBorders>
                  <w:shd w:val="clear" w:color="auto" w:fill="auto"/>
                  <w:vAlign w:val="center"/>
                </w:tcPr>
                <w:p w14:paraId="70442E08">
                  <w:pPr>
                    <w:pStyle w:val="656"/>
                    <w:snapToGrid w:val="0"/>
                    <w:rPr>
                      <w:rFonts w:hint="eastAsia" w:ascii="Times New Roman" w:hAnsi="Times New Roman" w:eastAsia="宋体" w:cs="Times New Roman"/>
                      <w:snapToGrid w:val="0"/>
                      <w:color w:val="auto"/>
                      <w:kern w:val="2"/>
                      <w:sz w:val="21"/>
                      <w:szCs w:val="21"/>
                      <w:lang w:val="en-US" w:eastAsia="zh-CN" w:bidi="ar-SA"/>
                    </w:rPr>
                  </w:pPr>
                  <w:r>
                    <w:rPr>
                      <w:rFonts w:hint="eastAsia" w:eastAsia="宋体"/>
                      <w:color w:val="auto"/>
                      <w:sz w:val="21"/>
                      <w:szCs w:val="21"/>
                      <w:lang w:val="en-US" w:eastAsia="zh-CN"/>
                    </w:rPr>
                    <w:t>0.024</w:t>
                  </w:r>
                </w:p>
              </w:tc>
              <w:tc>
                <w:tcPr>
                  <w:tcW w:w="2404" w:type="dxa"/>
                  <w:tcBorders>
                    <w:tl2br w:val="nil"/>
                    <w:tr2bl w:val="nil"/>
                  </w:tcBorders>
                  <w:shd w:val="clear" w:color="auto" w:fill="auto"/>
                  <w:vAlign w:val="center"/>
                </w:tcPr>
                <w:p w14:paraId="1FE3EAAD">
                  <w:pPr>
                    <w:pStyle w:val="656"/>
                    <w:snapToGrid w:val="0"/>
                    <w:rPr>
                      <w:rFonts w:hint="eastAsia" w:ascii="Times New Roman" w:hAnsi="Times New Roman" w:eastAsia="宋体" w:cs="Times New Roman"/>
                      <w:snapToGrid w:val="0"/>
                      <w:color w:val="auto"/>
                      <w:kern w:val="2"/>
                      <w:sz w:val="21"/>
                      <w:szCs w:val="21"/>
                      <w:lang w:val="en-US" w:eastAsia="zh-CN" w:bidi="ar-SA"/>
                    </w:rPr>
                  </w:pPr>
                  <w:r>
                    <w:rPr>
                      <w:rFonts w:hint="eastAsia" w:eastAsia="宋体"/>
                      <w:color w:val="auto"/>
                      <w:sz w:val="21"/>
                      <w:szCs w:val="21"/>
                      <w:lang w:val="en-US" w:eastAsia="zh-CN"/>
                    </w:rPr>
                    <w:t>0.0573</w:t>
                  </w:r>
                </w:p>
              </w:tc>
            </w:tr>
            <w:tr w14:paraId="56227EC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951" w:type="pct"/>
                  <w:vMerge w:val="continue"/>
                  <w:tcBorders>
                    <w:tl2br w:val="nil"/>
                    <w:tr2bl w:val="nil"/>
                  </w:tcBorders>
                  <w:vAlign w:val="center"/>
                </w:tcPr>
                <w:p w14:paraId="47582E26">
                  <w:pPr>
                    <w:pStyle w:val="698"/>
                    <w:keepNext w:val="0"/>
                    <w:keepLines w:val="0"/>
                    <w:pageBreakBefore w:val="0"/>
                    <w:kinsoku/>
                    <w:wordWrap/>
                    <w:overflowPunct/>
                    <w:topLinePunct w:val="0"/>
                    <w:autoSpaceDE/>
                    <w:autoSpaceDN/>
                    <w:bidi w:val="0"/>
                    <w:adjustRightInd w:val="0"/>
                    <w:snapToGrid w:val="0"/>
                    <w:rPr>
                      <w:rFonts w:hint="eastAsia" w:eastAsia="宋体"/>
                      <w:color w:val="auto"/>
                      <w:kern w:val="0"/>
                      <w:lang w:val="en-US" w:eastAsia="zh-CN"/>
                    </w:rPr>
                  </w:pPr>
                </w:p>
              </w:tc>
              <w:tc>
                <w:tcPr>
                  <w:tcW w:w="855" w:type="pct"/>
                  <w:tcBorders>
                    <w:tl2br w:val="nil"/>
                    <w:tr2bl w:val="nil"/>
                  </w:tcBorders>
                  <w:shd w:val="clear" w:color="auto" w:fill="auto"/>
                  <w:vAlign w:val="center"/>
                </w:tcPr>
                <w:p w14:paraId="599DFF0E">
                  <w:pPr>
                    <w:pStyle w:val="656"/>
                    <w:snapToGrid w:val="0"/>
                    <w:rPr>
                      <w:rFonts w:hint="eastAsia" w:ascii="Times New Roman" w:hAnsi="Times New Roman" w:eastAsia="宋体" w:cs="Times New Roman"/>
                      <w:snapToGrid w:val="0"/>
                      <w:color w:val="auto"/>
                      <w:kern w:val="2"/>
                      <w:sz w:val="21"/>
                      <w:szCs w:val="21"/>
                      <w:lang w:val="en-US" w:eastAsia="zh-CN" w:bidi="ar-SA"/>
                    </w:rPr>
                  </w:pPr>
                  <w:r>
                    <w:rPr>
                      <w:rFonts w:hint="eastAsia" w:eastAsia="宋体"/>
                      <w:color w:val="auto"/>
                      <w:sz w:val="21"/>
                      <w:szCs w:val="21"/>
                      <w:lang w:val="en-US" w:eastAsia="zh-CN"/>
                    </w:rPr>
                    <w:t>三甲苯</w:t>
                  </w:r>
                </w:p>
              </w:tc>
              <w:tc>
                <w:tcPr>
                  <w:tcW w:w="1628" w:type="dxa"/>
                  <w:tcBorders>
                    <w:tl2br w:val="nil"/>
                    <w:tr2bl w:val="nil"/>
                  </w:tcBorders>
                  <w:shd w:val="clear" w:color="auto" w:fill="auto"/>
                  <w:vAlign w:val="center"/>
                </w:tcPr>
                <w:p w14:paraId="6FA16907">
                  <w:pPr>
                    <w:pStyle w:val="656"/>
                    <w:snapToGrid w:val="0"/>
                    <w:rPr>
                      <w:rFonts w:hint="eastAsia" w:ascii="Times New Roman" w:hAnsi="Times New Roman" w:eastAsia="宋体" w:cs="Times New Roman"/>
                      <w:snapToGrid w:val="0"/>
                      <w:color w:val="auto"/>
                      <w:kern w:val="2"/>
                      <w:sz w:val="21"/>
                      <w:szCs w:val="21"/>
                      <w:lang w:val="en-US" w:eastAsia="zh-CN" w:bidi="ar-SA"/>
                    </w:rPr>
                  </w:pPr>
                  <w:r>
                    <w:rPr>
                      <w:rFonts w:hint="eastAsia" w:eastAsia="宋体" w:cs="Times New Roman"/>
                      <w:color w:val="auto"/>
                      <w:sz w:val="21"/>
                      <w:szCs w:val="21"/>
                      <w:lang w:val="en-US" w:eastAsia="zh-CN"/>
                    </w:rPr>
                    <w:t>0.036</w:t>
                  </w:r>
                </w:p>
              </w:tc>
              <w:tc>
                <w:tcPr>
                  <w:tcW w:w="1623" w:type="dxa"/>
                  <w:tcBorders>
                    <w:tl2br w:val="nil"/>
                    <w:tr2bl w:val="nil"/>
                  </w:tcBorders>
                  <w:shd w:val="clear" w:color="auto" w:fill="auto"/>
                  <w:vAlign w:val="center"/>
                </w:tcPr>
                <w:p w14:paraId="45399A0E">
                  <w:pPr>
                    <w:pStyle w:val="656"/>
                    <w:snapToGrid w:val="0"/>
                    <w:rPr>
                      <w:rFonts w:hint="eastAsia" w:ascii="Times New Roman" w:hAnsi="Times New Roman" w:eastAsia="宋体" w:cs="Times New Roman"/>
                      <w:snapToGrid w:val="0"/>
                      <w:color w:val="auto"/>
                      <w:kern w:val="2"/>
                      <w:sz w:val="21"/>
                      <w:szCs w:val="21"/>
                      <w:lang w:val="en-US" w:eastAsia="zh-CN" w:bidi="ar-SA"/>
                    </w:rPr>
                  </w:pPr>
                  <w:r>
                    <w:rPr>
                      <w:rFonts w:hint="eastAsia" w:eastAsia="宋体"/>
                      <w:color w:val="auto"/>
                      <w:sz w:val="21"/>
                      <w:szCs w:val="21"/>
                      <w:lang w:val="en-US" w:eastAsia="zh-CN"/>
                    </w:rPr>
                    <w:t>0.0009</w:t>
                  </w:r>
                </w:p>
              </w:tc>
              <w:tc>
                <w:tcPr>
                  <w:tcW w:w="2404" w:type="dxa"/>
                  <w:tcBorders>
                    <w:tl2br w:val="nil"/>
                    <w:tr2bl w:val="nil"/>
                  </w:tcBorders>
                  <w:shd w:val="clear" w:color="auto" w:fill="auto"/>
                  <w:vAlign w:val="center"/>
                </w:tcPr>
                <w:p w14:paraId="569C977F">
                  <w:pPr>
                    <w:pStyle w:val="656"/>
                    <w:snapToGrid w:val="0"/>
                    <w:rPr>
                      <w:rFonts w:hint="eastAsia" w:ascii="Times New Roman" w:hAnsi="Times New Roman" w:eastAsia="宋体" w:cs="Times New Roman"/>
                      <w:snapToGrid w:val="0"/>
                      <w:color w:val="auto"/>
                      <w:kern w:val="2"/>
                      <w:sz w:val="21"/>
                      <w:szCs w:val="21"/>
                      <w:lang w:val="en-US" w:eastAsia="zh-CN" w:bidi="ar-SA"/>
                    </w:rPr>
                  </w:pPr>
                  <w:r>
                    <w:rPr>
                      <w:rFonts w:hint="eastAsia" w:eastAsia="宋体"/>
                      <w:color w:val="auto"/>
                      <w:sz w:val="21"/>
                      <w:szCs w:val="21"/>
                      <w:lang w:val="en-US" w:eastAsia="zh-CN"/>
                    </w:rPr>
                    <w:t>0.002205</w:t>
                  </w:r>
                </w:p>
              </w:tc>
            </w:tr>
            <w:tr w14:paraId="2CA01B7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951" w:type="pct"/>
                  <w:vMerge w:val="continue"/>
                  <w:tcBorders>
                    <w:tl2br w:val="nil"/>
                    <w:tr2bl w:val="nil"/>
                  </w:tcBorders>
                  <w:vAlign w:val="center"/>
                </w:tcPr>
                <w:p w14:paraId="686E547C">
                  <w:pPr>
                    <w:pStyle w:val="698"/>
                    <w:keepNext w:val="0"/>
                    <w:keepLines w:val="0"/>
                    <w:pageBreakBefore w:val="0"/>
                    <w:kinsoku/>
                    <w:wordWrap/>
                    <w:overflowPunct/>
                    <w:topLinePunct w:val="0"/>
                    <w:autoSpaceDE/>
                    <w:autoSpaceDN/>
                    <w:bidi w:val="0"/>
                    <w:adjustRightInd w:val="0"/>
                    <w:snapToGrid w:val="0"/>
                    <w:rPr>
                      <w:rFonts w:eastAsia="宋体"/>
                      <w:color w:val="auto"/>
                      <w:kern w:val="0"/>
                    </w:rPr>
                  </w:pPr>
                </w:p>
              </w:tc>
              <w:tc>
                <w:tcPr>
                  <w:tcW w:w="855" w:type="pct"/>
                  <w:tcBorders>
                    <w:tl2br w:val="nil"/>
                    <w:tr2bl w:val="nil"/>
                  </w:tcBorders>
                  <w:vAlign w:val="center"/>
                </w:tcPr>
                <w:p w14:paraId="7810207C">
                  <w:pPr>
                    <w:keepNext w:val="0"/>
                    <w:keepLines w:val="0"/>
                    <w:pageBreakBefore w:val="0"/>
                    <w:kinsoku/>
                    <w:wordWrap/>
                    <w:overflowPunct/>
                    <w:topLinePunct w:val="0"/>
                    <w:autoSpaceDE/>
                    <w:autoSpaceDN/>
                    <w:bidi w:val="0"/>
                    <w:adjustRightInd w:val="0"/>
                    <w:snapToGrid w:val="0"/>
                    <w:jc w:val="center"/>
                    <w:textAlignment w:val="bottom"/>
                    <w:rPr>
                      <w:rFonts w:hint="eastAsia" w:eastAsia="宋体"/>
                      <w:bCs/>
                      <w:color w:val="auto"/>
                      <w:kern w:val="0"/>
                      <w:lang w:eastAsia="zh-CN"/>
                    </w:rPr>
                  </w:pPr>
                  <w:r>
                    <w:rPr>
                      <w:rFonts w:hint="eastAsia"/>
                      <w:bCs/>
                      <w:color w:val="auto"/>
                      <w:kern w:val="0"/>
                      <w:lang w:val="en-US" w:eastAsia="zh-CN"/>
                    </w:rPr>
                    <w:t>颗粒物</w:t>
                  </w:r>
                </w:p>
              </w:tc>
              <w:tc>
                <w:tcPr>
                  <w:tcW w:w="1628" w:type="dxa"/>
                  <w:tcBorders>
                    <w:tl2br w:val="nil"/>
                    <w:tr2bl w:val="nil"/>
                  </w:tcBorders>
                  <w:shd w:val="clear" w:color="auto" w:fill="auto"/>
                  <w:vAlign w:val="center"/>
                </w:tcPr>
                <w:p w14:paraId="72096E2D">
                  <w:pPr>
                    <w:pStyle w:val="656"/>
                    <w:snapToGrid w:val="0"/>
                    <w:rPr>
                      <w:rFonts w:hint="default" w:ascii="Times New Roman" w:hAnsi="Times New Roman" w:eastAsia="宋体" w:cs="Times New Roman"/>
                      <w:snapToGrid w:val="0"/>
                      <w:color w:val="auto"/>
                      <w:kern w:val="2"/>
                      <w:sz w:val="21"/>
                      <w:szCs w:val="21"/>
                      <w:lang w:val="en-US" w:eastAsia="zh-CN" w:bidi="ar-SA"/>
                    </w:rPr>
                  </w:pPr>
                  <w:r>
                    <w:rPr>
                      <w:rFonts w:hint="eastAsia" w:eastAsia="宋体" w:cs="Times New Roman"/>
                      <w:color w:val="auto"/>
                      <w:sz w:val="21"/>
                      <w:szCs w:val="21"/>
                      <w:lang w:val="en-US" w:eastAsia="zh-CN"/>
                    </w:rPr>
                    <w:t>0.328</w:t>
                  </w:r>
                </w:p>
              </w:tc>
              <w:tc>
                <w:tcPr>
                  <w:tcW w:w="1623" w:type="dxa"/>
                  <w:tcBorders>
                    <w:tl2br w:val="nil"/>
                    <w:tr2bl w:val="nil"/>
                  </w:tcBorders>
                  <w:shd w:val="clear" w:color="auto" w:fill="auto"/>
                  <w:vAlign w:val="center"/>
                </w:tcPr>
                <w:p w14:paraId="1C6F862F">
                  <w:pPr>
                    <w:pStyle w:val="656"/>
                    <w:snapToGrid w:val="0"/>
                    <w:rPr>
                      <w:rFonts w:hint="default" w:ascii="Times New Roman" w:hAnsi="Times New Roman" w:eastAsia="宋体" w:cs="Times New Roman"/>
                      <w:snapToGrid w:val="0"/>
                      <w:color w:val="auto"/>
                      <w:kern w:val="2"/>
                      <w:sz w:val="21"/>
                      <w:szCs w:val="21"/>
                      <w:lang w:val="en-US" w:eastAsia="zh-CN" w:bidi="ar-SA"/>
                    </w:rPr>
                  </w:pPr>
                  <w:r>
                    <w:rPr>
                      <w:rFonts w:hint="eastAsia" w:eastAsia="宋体"/>
                      <w:color w:val="auto"/>
                      <w:sz w:val="21"/>
                      <w:szCs w:val="21"/>
                      <w:lang w:val="en-US" w:eastAsia="zh-CN"/>
                    </w:rPr>
                    <w:t>0.0082</w:t>
                  </w:r>
                </w:p>
              </w:tc>
              <w:tc>
                <w:tcPr>
                  <w:tcW w:w="2404" w:type="dxa"/>
                  <w:tcBorders>
                    <w:tl2br w:val="nil"/>
                    <w:tr2bl w:val="nil"/>
                  </w:tcBorders>
                  <w:shd w:val="clear" w:color="auto" w:fill="auto"/>
                  <w:vAlign w:val="center"/>
                </w:tcPr>
                <w:p w14:paraId="438EE037">
                  <w:pPr>
                    <w:pStyle w:val="656"/>
                    <w:snapToGrid w:val="0"/>
                    <w:rPr>
                      <w:rFonts w:hint="default" w:ascii="Times New Roman" w:hAnsi="Times New Roman" w:eastAsia="宋体" w:cs="Times New Roman"/>
                      <w:snapToGrid w:val="0"/>
                      <w:color w:val="auto"/>
                      <w:kern w:val="2"/>
                      <w:sz w:val="21"/>
                      <w:szCs w:val="21"/>
                      <w:lang w:val="en-US" w:eastAsia="zh-CN" w:bidi="ar-SA"/>
                    </w:rPr>
                  </w:pPr>
                  <w:r>
                    <w:rPr>
                      <w:rFonts w:hint="eastAsia" w:eastAsia="宋体"/>
                      <w:color w:val="auto"/>
                      <w:sz w:val="21"/>
                      <w:szCs w:val="21"/>
                      <w:lang w:val="en-US" w:eastAsia="zh-CN"/>
                    </w:rPr>
                    <w:t>0.019655</w:t>
                  </w:r>
                </w:p>
              </w:tc>
            </w:tr>
            <w:tr w14:paraId="53BECC9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951" w:type="pct"/>
                  <w:vMerge w:val="restart"/>
                  <w:tcBorders>
                    <w:tl2br w:val="nil"/>
                    <w:tr2bl w:val="nil"/>
                  </w:tcBorders>
                  <w:vAlign w:val="center"/>
                </w:tcPr>
                <w:p w14:paraId="025BE23A">
                  <w:pPr>
                    <w:pStyle w:val="698"/>
                    <w:keepNext w:val="0"/>
                    <w:keepLines w:val="0"/>
                    <w:pageBreakBefore w:val="0"/>
                    <w:kinsoku/>
                    <w:wordWrap/>
                    <w:overflowPunct/>
                    <w:topLinePunct w:val="0"/>
                    <w:autoSpaceDE/>
                    <w:autoSpaceDN/>
                    <w:bidi w:val="0"/>
                    <w:adjustRightInd w:val="0"/>
                    <w:snapToGrid w:val="0"/>
                    <w:rPr>
                      <w:rFonts w:eastAsia="宋体"/>
                      <w:color w:val="auto"/>
                      <w:kern w:val="0"/>
                    </w:rPr>
                  </w:pPr>
                  <w:r>
                    <w:rPr>
                      <w:rFonts w:eastAsia="宋体"/>
                      <w:color w:val="auto"/>
                      <w:kern w:val="0"/>
                    </w:rPr>
                    <w:t>一般排放口合计</w:t>
                  </w:r>
                </w:p>
              </w:tc>
              <w:tc>
                <w:tcPr>
                  <w:tcW w:w="2691" w:type="pct"/>
                  <w:gridSpan w:val="3"/>
                  <w:tcBorders>
                    <w:tl2br w:val="nil"/>
                    <w:tr2bl w:val="nil"/>
                  </w:tcBorders>
                  <w:vAlign w:val="center"/>
                </w:tcPr>
                <w:p w14:paraId="5DDDE350">
                  <w:pPr>
                    <w:keepNext w:val="0"/>
                    <w:keepLines w:val="0"/>
                    <w:pageBreakBefore w:val="0"/>
                    <w:kinsoku/>
                    <w:wordWrap/>
                    <w:overflowPunct/>
                    <w:topLinePunct w:val="0"/>
                    <w:autoSpaceDE/>
                    <w:autoSpaceDN/>
                    <w:bidi w:val="0"/>
                    <w:adjustRightInd w:val="0"/>
                    <w:snapToGrid w:val="0"/>
                    <w:jc w:val="center"/>
                    <w:textAlignment w:val="bottom"/>
                    <w:rPr>
                      <w:color w:val="auto"/>
                      <w:kern w:val="0"/>
                      <w:lang w:bidi="ar"/>
                    </w:rPr>
                  </w:pPr>
                  <w:r>
                    <w:rPr>
                      <w:rFonts w:hint="eastAsia"/>
                      <w:bCs/>
                      <w:color w:val="auto"/>
                      <w:kern w:val="0"/>
                    </w:rPr>
                    <w:t>非甲烷总烃</w:t>
                  </w:r>
                </w:p>
              </w:tc>
              <w:tc>
                <w:tcPr>
                  <w:tcW w:w="2404" w:type="dxa"/>
                  <w:tcBorders>
                    <w:tl2br w:val="nil"/>
                    <w:tr2bl w:val="nil"/>
                  </w:tcBorders>
                  <w:shd w:val="clear" w:color="auto" w:fill="auto"/>
                  <w:vAlign w:val="center"/>
                </w:tcPr>
                <w:p w14:paraId="154D02AA">
                  <w:pPr>
                    <w:pStyle w:val="656"/>
                    <w:snapToGrid w:val="0"/>
                    <w:rPr>
                      <w:rFonts w:hint="default" w:ascii="Times New Roman" w:hAnsi="Times New Roman" w:eastAsia="宋体" w:cs="Times New Roman"/>
                      <w:snapToGrid w:val="0"/>
                      <w:color w:val="auto"/>
                      <w:kern w:val="0"/>
                      <w:sz w:val="21"/>
                      <w:szCs w:val="21"/>
                      <w:lang w:val="en-US" w:eastAsia="zh-CN" w:bidi="ar-SA"/>
                    </w:rPr>
                  </w:pPr>
                  <w:r>
                    <w:rPr>
                      <w:rFonts w:hint="eastAsia" w:eastAsia="宋体"/>
                      <w:color w:val="auto"/>
                      <w:kern w:val="0"/>
                      <w:sz w:val="21"/>
                      <w:szCs w:val="21"/>
                      <w:lang w:val="en-US" w:eastAsia="zh-CN"/>
                    </w:rPr>
                    <w:t>0.19386</w:t>
                  </w:r>
                </w:p>
              </w:tc>
            </w:tr>
            <w:tr w14:paraId="0E43CAE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951" w:type="pct"/>
                  <w:vMerge w:val="continue"/>
                  <w:tcBorders>
                    <w:tl2br w:val="nil"/>
                    <w:tr2bl w:val="nil"/>
                  </w:tcBorders>
                  <w:vAlign w:val="center"/>
                </w:tcPr>
                <w:p w14:paraId="749D6D27">
                  <w:pPr>
                    <w:pStyle w:val="698"/>
                    <w:keepNext w:val="0"/>
                    <w:keepLines w:val="0"/>
                    <w:pageBreakBefore w:val="0"/>
                    <w:kinsoku/>
                    <w:wordWrap/>
                    <w:overflowPunct/>
                    <w:topLinePunct w:val="0"/>
                    <w:autoSpaceDE/>
                    <w:autoSpaceDN/>
                    <w:bidi w:val="0"/>
                    <w:adjustRightInd w:val="0"/>
                    <w:snapToGrid w:val="0"/>
                    <w:rPr>
                      <w:rFonts w:eastAsia="宋体"/>
                      <w:color w:val="auto"/>
                      <w:kern w:val="0"/>
                    </w:rPr>
                  </w:pPr>
                </w:p>
              </w:tc>
              <w:tc>
                <w:tcPr>
                  <w:tcW w:w="2691" w:type="pct"/>
                  <w:gridSpan w:val="3"/>
                  <w:tcBorders>
                    <w:tl2br w:val="nil"/>
                    <w:tr2bl w:val="nil"/>
                  </w:tcBorders>
                  <w:shd w:val="clear" w:color="auto" w:fill="auto"/>
                  <w:vAlign w:val="center"/>
                </w:tcPr>
                <w:p w14:paraId="5AF4AEB1">
                  <w:pPr>
                    <w:pStyle w:val="656"/>
                    <w:snapToGrid w:val="0"/>
                    <w:rPr>
                      <w:rFonts w:hint="eastAsia" w:ascii="Times New Roman" w:hAnsi="Times New Roman" w:eastAsia="宋体" w:cs="Times New Roman"/>
                      <w:snapToGrid w:val="0"/>
                      <w:color w:val="auto"/>
                      <w:kern w:val="2"/>
                      <w:sz w:val="21"/>
                      <w:szCs w:val="21"/>
                      <w:lang w:val="en-US" w:eastAsia="zh-CN" w:bidi="ar-SA"/>
                    </w:rPr>
                  </w:pPr>
                  <w:r>
                    <w:rPr>
                      <w:rFonts w:hint="eastAsia" w:eastAsia="宋体"/>
                      <w:color w:val="auto"/>
                      <w:sz w:val="21"/>
                      <w:szCs w:val="21"/>
                      <w:lang w:val="en-US" w:eastAsia="zh-CN"/>
                    </w:rPr>
                    <w:t>苯系物</w:t>
                  </w:r>
                </w:p>
              </w:tc>
              <w:tc>
                <w:tcPr>
                  <w:tcW w:w="2404" w:type="dxa"/>
                  <w:tcBorders>
                    <w:tl2br w:val="nil"/>
                    <w:tr2bl w:val="nil"/>
                  </w:tcBorders>
                  <w:shd w:val="clear" w:color="auto" w:fill="auto"/>
                  <w:vAlign w:val="center"/>
                </w:tcPr>
                <w:p w14:paraId="5F138F36">
                  <w:pPr>
                    <w:pStyle w:val="656"/>
                    <w:snapToGrid w:val="0"/>
                    <w:rPr>
                      <w:rFonts w:hint="eastAsia" w:ascii="Times New Roman" w:hAnsi="Times New Roman" w:eastAsia="宋体" w:cs="Times New Roman"/>
                      <w:snapToGrid w:val="0"/>
                      <w:color w:val="auto"/>
                      <w:kern w:val="2"/>
                      <w:sz w:val="21"/>
                      <w:szCs w:val="21"/>
                      <w:lang w:val="en-US" w:eastAsia="zh-CN" w:bidi="ar-SA"/>
                    </w:rPr>
                  </w:pPr>
                  <w:r>
                    <w:rPr>
                      <w:rFonts w:hint="eastAsia" w:eastAsia="宋体"/>
                      <w:color w:val="auto"/>
                      <w:sz w:val="21"/>
                      <w:szCs w:val="21"/>
                      <w:lang w:val="en-US" w:eastAsia="zh-CN"/>
                    </w:rPr>
                    <w:t>0.05954</w:t>
                  </w:r>
                </w:p>
              </w:tc>
            </w:tr>
            <w:tr w14:paraId="1A60EFF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951" w:type="pct"/>
                  <w:vMerge w:val="continue"/>
                  <w:tcBorders>
                    <w:tl2br w:val="nil"/>
                    <w:tr2bl w:val="nil"/>
                  </w:tcBorders>
                  <w:vAlign w:val="center"/>
                </w:tcPr>
                <w:p w14:paraId="4207DC5A">
                  <w:pPr>
                    <w:pStyle w:val="698"/>
                    <w:keepNext w:val="0"/>
                    <w:keepLines w:val="0"/>
                    <w:pageBreakBefore w:val="0"/>
                    <w:kinsoku/>
                    <w:wordWrap/>
                    <w:overflowPunct/>
                    <w:topLinePunct w:val="0"/>
                    <w:autoSpaceDE/>
                    <w:autoSpaceDN/>
                    <w:bidi w:val="0"/>
                    <w:adjustRightInd w:val="0"/>
                    <w:snapToGrid w:val="0"/>
                    <w:rPr>
                      <w:rFonts w:eastAsia="宋体"/>
                      <w:color w:val="auto"/>
                      <w:kern w:val="0"/>
                    </w:rPr>
                  </w:pPr>
                </w:p>
              </w:tc>
              <w:tc>
                <w:tcPr>
                  <w:tcW w:w="2691" w:type="pct"/>
                  <w:gridSpan w:val="3"/>
                  <w:tcBorders>
                    <w:tl2br w:val="nil"/>
                    <w:tr2bl w:val="nil"/>
                  </w:tcBorders>
                  <w:shd w:val="clear" w:color="auto" w:fill="auto"/>
                  <w:vAlign w:val="center"/>
                </w:tcPr>
                <w:p w14:paraId="088E7293">
                  <w:pPr>
                    <w:pStyle w:val="656"/>
                    <w:snapToGrid w:val="0"/>
                    <w:rPr>
                      <w:rFonts w:hint="eastAsia" w:ascii="Times New Roman" w:hAnsi="Times New Roman" w:eastAsia="宋体" w:cs="Times New Roman"/>
                      <w:snapToGrid w:val="0"/>
                      <w:color w:val="auto"/>
                      <w:kern w:val="2"/>
                      <w:sz w:val="21"/>
                      <w:szCs w:val="21"/>
                      <w:lang w:val="en-US" w:eastAsia="zh-CN" w:bidi="ar-SA"/>
                    </w:rPr>
                  </w:pPr>
                  <w:r>
                    <w:rPr>
                      <w:rFonts w:hint="eastAsia" w:eastAsia="宋体"/>
                      <w:color w:val="auto"/>
                      <w:sz w:val="21"/>
                      <w:szCs w:val="21"/>
                      <w:lang w:val="en-US" w:eastAsia="zh-CN"/>
                    </w:rPr>
                    <w:t>二甲苯</w:t>
                  </w:r>
                </w:p>
              </w:tc>
              <w:tc>
                <w:tcPr>
                  <w:tcW w:w="2404" w:type="dxa"/>
                  <w:tcBorders>
                    <w:tl2br w:val="nil"/>
                    <w:tr2bl w:val="nil"/>
                  </w:tcBorders>
                  <w:shd w:val="clear" w:color="auto" w:fill="auto"/>
                  <w:vAlign w:val="center"/>
                </w:tcPr>
                <w:p w14:paraId="203EFE81">
                  <w:pPr>
                    <w:pStyle w:val="656"/>
                    <w:snapToGrid w:val="0"/>
                    <w:rPr>
                      <w:rFonts w:hint="eastAsia" w:ascii="Times New Roman" w:hAnsi="Times New Roman" w:eastAsia="宋体" w:cs="Times New Roman"/>
                      <w:snapToGrid w:val="0"/>
                      <w:color w:val="auto"/>
                      <w:kern w:val="2"/>
                      <w:sz w:val="21"/>
                      <w:szCs w:val="21"/>
                      <w:lang w:val="en-US" w:eastAsia="zh-CN" w:bidi="ar-SA"/>
                    </w:rPr>
                  </w:pPr>
                  <w:r>
                    <w:rPr>
                      <w:rFonts w:hint="eastAsia" w:eastAsia="宋体"/>
                      <w:color w:val="auto"/>
                      <w:sz w:val="21"/>
                      <w:szCs w:val="21"/>
                      <w:lang w:val="en-US" w:eastAsia="zh-CN"/>
                    </w:rPr>
                    <w:t>0.0573</w:t>
                  </w:r>
                </w:p>
              </w:tc>
            </w:tr>
            <w:tr w14:paraId="4731EFB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951" w:type="pct"/>
                  <w:vMerge w:val="continue"/>
                  <w:tcBorders>
                    <w:tl2br w:val="nil"/>
                    <w:tr2bl w:val="nil"/>
                  </w:tcBorders>
                  <w:vAlign w:val="center"/>
                </w:tcPr>
                <w:p w14:paraId="5DA0CDAB">
                  <w:pPr>
                    <w:pStyle w:val="698"/>
                    <w:keepNext w:val="0"/>
                    <w:keepLines w:val="0"/>
                    <w:pageBreakBefore w:val="0"/>
                    <w:kinsoku/>
                    <w:wordWrap/>
                    <w:overflowPunct/>
                    <w:topLinePunct w:val="0"/>
                    <w:autoSpaceDE/>
                    <w:autoSpaceDN/>
                    <w:bidi w:val="0"/>
                    <w:adjustRightInd w:val="0"/>
                    <w:snapToGrid w:val="0"/>
                    <w:rPr>
                      <w:rFonts w:eastAsia="宋体"/>
                      <w:color w:val="auto"/>
                      <w:kern w:val="0"/>
                    </w:rPr>
                  </w:pPr>
                </w:p>
              </w:tc>
              <w:tc>
                <w:tcPr>
                  <w:tcW w:w="2691" w:type="pct"/>
                  <w:gridSpan w:val="3"/>
                  <w:tcBorders>
                    <w:tl2br w:val="nil"/>
                    <w:tr2bl w:val="nil"/>
                  </w:tcBorders>
                  <w:shd w:val="clear" w:color="auto" w:fill="auto"/>
                  <w:vAlign w:val="center"/>
                </w:tcPr>
                <w:p w14:paraId="59E4CFEF">
                  <w:pPr>
                    <w:pStyle w:val="656"/>
                    <w:snapToGrid w:val="0"/>
                    <w:rPr>
                      <w:rFonts w:hint="eastAsia" w:ascii="Times New Roman" w:hAnsi="Times New Roman" w:eastAsia="宋体" w:cs="Times New Roman"/>
                      <w:snapToGrid w:val="0"/>
                      <w:color w:val="auto"/>
                      <w:kern w:val="2"/>
                      <w:sz w:val="21"/>
                      <w:szCs w:val="21"/>
                      <w:lang w:val="en-US" w:eastAsia="zh-CN" w:bidi="ar-SA"/>
                    </w:rPr>
                  </w:pPr>
                  <w:r>
                    <w:rPr>
                      <w:rFonts w:hint="eastAsia" w:eastAsia="宋体"/>
                      <w:color w:val="auto"/>
                      <w:sz w:val="21"/>
                      <w:szCs w:val="21"/>
                      <w:lang w:val="en-US" w:eastAsia="zh-CN"/>
                    </w:rPr>
                    <w:t>三甲苯</w:t>
                  </w:r>
                </w:p>
              </w:tc>
              <w:tc>
                <w:tcPr>
                  <w:tcW w:w="2404" w:type="dxa"/>
                  <w:tcBorders>
                    <w:tl2br w:val="nil"/>
                    <w:tr2bl w:val="nil"/>
                  </w:tcBorders>
                  <w:shd w:val="clear" w:color="auto" w:fill="auto"/>
                  <w:vAlign w:val="center"/>
                </w:tcPr>
                <w:p w14:paraId="633E07A8">
                  <w:pPr>
                    <w:pStyle w:val="656"/>
                    <w:snapToGrid w:val="0"/>
                    <w:rPr>
                      <w:rFonts w:hint="eastAsia" w:ascii="Times New Roman" w:hAnsi="Times New Roman" w:eastAsia="宋体" w:cs="Times New Roman"/>
                      <w:snapToGrid w:val="0"/>
                      <w:color w:val="auto"/>
                      <w:kern w:val="2"/>
                      <w:sz w:val="21"/>
                      <w:szCs w:val="21"/>
                      <w:lang w:val="en-US" w:eastAsia="zh-CN" w:bidi="ar-SA"/>
                    </w:rPr>
                  </w:pPr>
                  <w:r>
                    <w:rPr>
                      <w:rFonts w:hint="eastAsia" w:eastAsia="宋体"/>
                      <w:color w:val="auto"/>
                      <w:sz w:val="21"/>
                      <w:szCs w:val="21"/>
                      <w:lang w:val="en-US" w:eastAsia="zh-CN"/>
                    </w:rPr>
                    <w:t>0.002205</w:t>
                  </w:r>
                </w:p>
              </w:tc>
            </w:tr>
            <w:tr w14:paraId="416E89E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951" w:type="pct"/>
                  <w:vMerge w:val="continue"/>
                  <w:tcBorders>
                    <w:tl2br w:val="nil"/>
                    <w:tr2bl w:val="nil"/>
                  </w:tcBorders>
                  <w:vAlign w:val="center"/>
                </w:tcPr>
                <w:p w14:paraId="2FFBE26D">
                  <w:pPr>
                    <w:pStyle w:val="698"/>
                    <w:keepNext w:val="0"/>
                    <w:keepLines w:val="0"/>
                    <w:pageBreakBefore w:val="0"/>
                    <w:kinsoku/>
                    <w:wordWrap/>
                    <w:overflowPunct/>
                    <w:topLinePunct w:val="0"/>
                    <w:autoSpaceDE/>
                    <w:autoSpaceDN/>
                    <w:bidi w:val="0"/>
                    <w:adjustRightInd w:val="0"/>
                    <w:snapToGrid w:val="0"/>
                    <w:rPr>
                      <w:rFonts w:eastAsia="宋体"/>
                      <w:color w:val="auto"/>
                      <w:kern w:val="0"/>
                    </w:rPr>
                  </w:pPr>
                </w:p>
              </w:tc>
              <w:tc>
                <w:tcPr>
                  <w:tcW w:w="2691" w:type="pct"/>
                  <w:gridSpan w:val="3"/>
                  <w:tcBorders>
                    <w:tl2br w:val="nil"/>
                    <w:tr2bl w:val="nil"/>
                  </w:tcBorders>
                  <w:vAlign w:val="center"/>
                </w:tcPr>
                <w:p w14:paraId="73DA6C24">
                  <w:pPr>
                    <w:keepNext w:val="0"/>
                    <w:keepLines w:val="0"/>
                    <w:pageBreakBefore w:val="0"/>
                    <w:kinsoku/>
                    <w:wordWrap/>
                    <w:overflowPunct/>
                    <w:topLinePunct w:val="0"/>
                    <w:autoSpaceDE/>
                    <w:autoSpaceDN/>
                    <w:bidi w:val="0"/>
                    <w:adjustRightInd w:val="0"/>
                    <w:snapToGrid w:val="0"/>
                    <w:jc w:val="center"/>
                    <w:textAlignment w:val="bottom"/>
                    <w:rPr>
                      <w:bCs/>
                      <w:color w:val="auto"/>
                      <w:kern w:val="0"/>
                    </w:rPr>
                  </w:pPr>
                  <w:r>
                    <w:rPr>
                      <w:rFonts w:hint="eastAsia"/>
                      <w:bCs/>
                      <w:color w:val="auto"/>
                      <w:kern w:val="0"/>
                      <w:lang w:val="en-US" w:eastAsia="zh-CN"/>
                    </w:rPr>
                    <w:t>颗粒物</w:t>
                  </w:r>
                </w:p>
              </w:tc>
              <w:tc>
                <w:tcPr>
                  <w:tcW w:w="2404" w:type="dxa"/>
                  <w:tcBorders>
                    <w:tl2br w:val="nil"/>
                    <w:tr2bl w:val="nil"/>
                  </w:tcBorders>
                  <w:shd w:val="clear" w:color="auto" w:fill="auto"/>
                  <w:vAlign w:val="center"/>
                </w:tcPr>
                <w:p w14:paraId="2A35F298">
                  <w:pPr>
                    <w:pStyle w:val="656"/>
                    <w:snapToGrid w:val="0"/>
                    <w:rPr>
                      <w:rFonts w:hint="default" w:ascii="Times New Roman" w:hAnsi="Times New Roman" w:eastAsia="宋体" w:cs="Times New Roman"/>
                      <w:snapToGrid w:val="0"/>
                      <w:color w:val="auto"/>
                      <w:kern w:val="2"/>
                      <w:sz w:val="21"/>
                      <w:szCs w:val="21"/>
                      <w:lang w:val="en-US" w:eastAsia="zh-CN" w:bidi="ar-SA"/>
                    </w:rPr>
                  </w:pPr>
                  <w:r>
                    <w:rPr>
                      <w:rFonts w:hint="eastAsia" w:eastAsia="宋体"/>
                      <w:color w:val="auto"/>
                      <w:sz w:val="21"/>
                      <w:szCs w:val="21"/>
                      <w:lang w:val="en-US" w:eastAsia="zh-CN"/>
                    </w:rPr>
                    <w:t>0.019655</w:t>
                  </w:r>
                </w:p>
              </w:tc>
            </w:tr>
            <w:tr w14:paraId="2AD5471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5000" w:type="pct"/>
                  <w:gridSpan w:val="5"/>
                  <w:tcBorders>
                    <w:tl2br w:val="nil"/>
                    <w:tr2bl w:val="nil"/>
                  </w:tcBorders>
                  <w:vAlign w:val="center"/>
                </w:tcPr>
                <w:p w14:paraId="7615EB8A">
                  <w:pPr>
                    <w:pStyle w:val="698"/>
                    <w:keepNext w:val="0"/>
                    <w:keepLines w:val="0"/>
                    <w:pageBreakBefore w:val="0"/>
                    <w:kinsoku/>
                    <w:wordWrap/>
                    <w:overflowPunct/>
                    <w:topLinePunct w:val="0"/>
                    <w:autoSpaceDE/>
                    <w:autoSpaceDN/>
                    <w:bidi w:val="0"/>
                    <w:adjustRightInd w:val="0"/>
                    <w:snapToGrid w:val="0"/>
                    <w:rPr>
                      <w:rFonts w:eastAsia="宋体"/>
                      <w:color w:val="auto"/>
                      <w:kern w:val="0"/>
                    </w:rPr>
                  </w:pPr>
                  <w:r>
                    <w:rPr>
                      <w:rFonts w:eastAsia="宋体"/>
                      <w:color w:val="auto"/>
                      <w:kern w:val="0"/>
                    </w:rPr>
                    <w:t>有组织排放</w:t>
                  </w:r>
                </w:p>
              </w:tc>
            </w:tr>
            <w:tr w14:paraId="0ED12CD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951" w:type="pct"/>
                  <w:vMerge w:val="restart"/>
                  <w:tcBorders>
                    <w:tl2br w:val="nil"/>
                    <w:tr2bl w:val="nil"/>
                  </w:tcBorders>
                  <w:vAlign w:val="center"/>
                </w:tcPr>
                <w:p w14:paraId="2F17265C">
                  <w:pPr>
                    <w:pStyle w:val="698"/>
                    <w:keepNext w:val="0"/>
                    <w:keepLines w:val="0"/>
                    <w:pageBreakBefore w:val="0"/>
                    <w:kinsoku/>
                    <w:wordWrap/>
                    <w:overflowPunct/>
                    <w:topLinePunct w:val="0"/>
                    <w:autoSpaceDE/>
                    <w:autoSpaceDN/>
                    <w:bidi w:val="0"/>
                    <w:adjustRightInd w:val="0"/>
                    <w:snapToGrid w:val="0"/>
                    <w:rPr>
                      <w:rFonts w:eastAsia="宋体"/>
                      <w:color w:val="auto"/>
                      <w:kern w:val="0"/>
                    </w:rPr>
                  </w:pPr>
                  <w:r>
                    <w:rPr>
                      <w:rFonts w:eastAsia="宋体"/>
                      <w:color w:val="auto"/>
                      <w:kern w:val="0"/>
                    </w:rPr>
                    <w:t>有组织排放总计</w:t>
                  </w:r>
                </w:p>
              </w:tc>
              <w:tc>
                <w:tcPr>
                  <w:tcW w:w="2691" w:type="pct"/>
                  <w:gridSpan w:val="3"/>
                  <w:tcBorders>
                    <w:tl2br w:val="nil"/>
                    <w:tr2bl w:val="nil"/>
                  </w:tcBorders>
                  <w:vAlign w:val="center"/>
                </w:tcPr>
                <w:p w14:paraId="0C41D006">
                  <w:pPr>
                    <w:keepNext w:val="0"/>
                    <w:keepLines w:val="0"/>
                    <w:pageBreakBefore w:val="0"/>
                    <w:kinsoku/>
                    <w:wordWrap/>
                    <w:overflowPunct/>
                    <w:topLinePunct w:val="0"/>
                    <w:autoSpaceDE/>
                    <w:autoSpaceDN/>
                    <w:bidi w:val="0"/>
                    <w:adjustRightInd w:val="0"/>
                    <w:snapToGrid w:val="0"/>
                    <w:jc w:val="center"/>
                    <w:textAlignment w:val="bottom"/>
                    <w:rPr>
                      <w:color w:val="auto"/>
                      <w:kern w:val="0"/>
                    </w:rPr>
                  </w:pPr>
                  <w:r>
                    <w:rPr>
                      <w:rFonts w:hint="eastAsia"/>
                      <w:bCs/>
                      <w:color w:val="auto"/>
                      <w:kern w:val="0"/>
                    </w:rPr>
                    <w:t>非甲烷总烃</w:t>
                  </w:r>
                </w:p>
              </w:tc>
              <w:tc>
                <w:tcPr>
                  <w:tcW w:w="2404" w:type="dxa"/>
                  <w:tcBorders>
                    <w:tl2br w:val="nil"/>
                    <w:tr2bl w:val="nil"/>
                  </w:tcBorders>
                  <w:shd w:val="clear" w:color="auto" w:fill="auto"/>
                  <w:vAlign w:val="center"/>
                </w:tcPr>
                <w:p w14:paraId="5222802B">
                  <w:pPr>
                    <w:pStyle w:val="656"/>
                    <w:snapToGrid w:val="0"/>
                    <w:rPr>
                      <w:rFonts w:hint="default" w:ascii="Times New Roman" w:hAnsi="Times New Roman" w:eastAsia="宋体" w:cs="Times New Roman"/>
                      <w:snapToGrid w:val="0"/>
                      <w:color w:val="auto"/>
                      <w:kern w:val="0"/>
                      <w:sz w:val="21"/>
                      <w:szCs w:val="21"/>
                      <w:lang w:val="en-US" w:eastAsia="zh-CN" w:bidi="ar-SA"/>
                    </w:rPr>
                  </w:pPr>
                  <w:r>
                    <w:rPr>
                      <w:rFonts w:hint="eastAsia" w:eastAsia="宋体"/>
                      <w:color w:val="auto"/>
                      <w:kern w:val="0"/>
                      <w:sz w:val="21"/>
                      <w:szCs w:val="21"/>
                      <w:lang w:val="en-US" w:eastAsia="zh-CN"/>
                    </w:rPr>
                    <w:t>0.19386</w:t>
                  </w:r>
                </w:p>
              </w:tc>
            </w:tr>
            <w:tr w14:paraId="20D59E3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951" w:type="pct"/>
                  <w:vMerge w:val="continue"/>
                  <w:tcBorders>
                    <w:tl2br w:val="nil"/>
                    <w:tr2bl w:val="nil"/>
                  </w:tcBorders>
                  <w:vAlign w:val="center"/>
                </w:tcPr>
                <w:p w14:paraId="430DD1B0">
                  <w:pPr>
                    <w:pStyle w:val="698"/>
                    <w:keepNext w:val="0"/>
                    <w:keepLines w:val="0"/>
                    <w:pageBreakBefore w:val="0"/>
                    <w:kinsoku/>
                    <w:wordWrap/>
                    <w:overflowPunct/>
                    <w:topLinePunct w:val="0"/>
                    <w:autoSpaceDE/>
                    <w:autoSpaceDN/>
                    <w:bidi w:val="0"/>
                    <w:adjustRightInd w:val="0"/>
                    <w:snapToGrid w:val="0"/>
                    <w:rPr>
                      <w:rFonts w:eastAsia="宋体"/>
                      <w:color w:val="auto"/>
                      <w:kern w:val="0"/>
                    </w:rPr>
                  </w:pPr>
                </w:p>
              </w:tc>
              <w:tc>
                <w:tcPr>
                  <w:tcW w:w="2691" w:type="pct"/>
                  <w:gridSpan w:val="3"/>
                  <w:tcBorders>
                    <w:tl2br w:val="nil"/>
                    <w:tr2bl w:val="nil"/>
                  </w:tcBorders>
                  <w:vAlign w:val="center"/>
                </w:tcPr>
                <w:p w14:paraId="1F3CB137">
                  <w:pPr>
                    <w:pStyle w:val="656"/>
                    <w:snapToGrid w:val="0"/>
                    <w:rPr>
                      <w:rFonts w:hint="eastAsia"/>
                      <w:bCs/>
                      <w:color w:val="auto"/>
                      <w:kern w:val="0"/>
                    </w:rPr>
                  </w:pPr>
                  <w:r>
                    <w:rPr>
                      <w:rFonts w:hint="eastAsia" w:eastAsia="宋体"/>
                      <w:color w:val="auto"/>
                      <w:sz w:val="21"/>
                      <w:szCs w:val="21"/>
                      <w:lang w:val="en-US" w:eastAsia="zh-CN"/>
                    </w:rPr>
                    <w:t>苯系物</w:t>
                  </w:r>
                </w:p>
              </w:tc>
              <w:tc>
                <w:tcPr>
                  <w:tcW w:w="2404" w:type="dxa"/>
                  <w:tcBorders>
                    <w:tl2br w:val="nil"/>
                    <w:tr2bl w:val="nil"/>
                  </w:tcBorders>
                  <w:shd w:val="clear" w:color="auto" w:fill="auto"/>
                  <w:vAlign w:val="center"/>
                </w:tcPr>
                <w:p w14:paraId="730E4D56">
                  <w:pPr>
                    <w:pStyle w:val="656"/>
                    <w:snapToGrid w:val="0"/>
                    <w:rPr>
                      <w:rFonts w:hint="eastAsia" w:ascii="Times New Roman" w:hAnsi="Times New Roman" w:eastAsia="宋体" w:cs="Times New Roman"/>
                      <w:snapToGrid w:val="0"/>
                      <w:color w:val="auto"/>
                      <w:kern w:val="2"/>
                      <w:sz w:val="21"/>
                      <w:szCs w:val="21"/>
                      <w:lang w:val="en-US" w:eastAsia="zh-CN" w:bidi="ar-SA"/>
                    </w:rPr>
                  </w:pPr>
                  <w:r>
                    <w:rPr>
                      <w:rFonts w:hint="eastAsia" w:eastAsia="宋体"/>
                      <w:color w:val="auto"/>
                      <w:sz w:val="21"/>
                      <w:szCs w:val="21"/>
                      <w:lang w:val="en-US" w:eastAsia="zh-CN"/>
                    </w:rPr>
                    <w:t>0.05954</w:t>
                  </w:r>
                </w:p>
              </w:tc>
            </w:tr>
            <w:tr w14:paraId="42A243D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951" w:type="pct"/>
                  <w:vMerge w:val="continue"/>
                  <w:tcBorders>
                    <w:tl2br w:val="nil"/>
                    <w:tr2bl w:val="nil"/>
                  </w:tcBorders>
                  <w:vAlign w:val="center"/>
                </w:tcPr>
                <w:p w14:paraId="10D4610F">
                  <w:pPr>
                    <w:pStyle w:val="698"/>
                    <w:keepNext w:val="0"/>
                    <w:keepLines w:val="0"/>
                    <w:pageBreakBefore w:val="0"/>
                    <w:kinsoku/>
                    <w:wordWrap/>
                    <w:overflowPunct/>
                    <w:topLinePunct w:val="0"/>
                    <w:autoSpaceDE/>
                    <w:autoSpaceDN/>
                    <w:bidi w:val="0"/>
                    <w:adjustRightInd w:val="0"/>
                    <w:snapToGrid w:val="0"/>
                    <w:rPr>
                      <w:rFonts w:eastAsia="宋体"/>
                      <w:color w:val="auto"/>
                      <w:kern w:val="0"/>
                    </w:rPr>
                  </w:pPr>
                </w:p>
              </w:tc>
              <w:tc>
                <w:tcPr>
                  <w:tcW w:w="2691" w:type="pct"/>
                  <w:gridSpan w:val="3"/>
                  <w:tcBorders>
                    <w:tl2br w:val="nil"/>
                    <w:tr2bl w:val="nil"/>
                  </w:tcBorders>
                  <w:vAlign w:val="center"/>
                </w:tcPr>
                <w:p w14:paraId="2CE2397B">
                  <w:pPr>
                    <w:pStyle w:val="656"/>
                    <w:snapToGrid w:val="0"/>
                    <w:rPr>
                      <w:rFonts w:hint="eastAsia"/>
                      <w:bCs/>
                      <w:color w:val="auto"/>
                      <w:kern w:val="0"/>
                    </w:rPr>
                  </w:pPr>
                  <w:r>
                    <w:rPr>
                      <w:rFonts w:hint="eastAsia" w:eastAsia="宋体"/>
                      <w:color w:val="auto"/>
                      <w:sz w:val="21"/>
                      <w:szCs w:val="21"/>
                      <w:lang w:val="en-US" w:eastAsia="zh-CN"/>
                    </w:rPr>
                    <w:t>二甲苯</w:t>
                  </w:r>
                </w:p>
              </w:tc>
              <w:tc>
                <w:tcPr>
                  <w:tcW w:w="2404" w:type="dxa"/>
                  <w:tcBorders>
                    <w:tl2br w:val="nil"/>
                    <w:tr2bl w:val="nil"/>
                  </w:tcBorders>
                  <w:shd w:val="clear" w:color="auto" w:fill="auto"/>
                  <w:vAlign w:val="center"/>
                </w:tcPr>
                <w:p w14:paraId="5C0ACC62">
                  <w:pPr>
                    <w:pStyle w:val="656"/>
                    <w:snapToGrid w:val="0"/>
                    <w:rPr>
                      <w:rFonts w:hint="eastAsia" w:ascii="Times New Roman" w:hAnsi="Times New Roman" w:eastAsia="宋体" w:cs="Times New Roman"/>
                      <w:snapToGrid w:val="0"/>
                      <w:color w:val="auto"/>
                      <w:kern w:val="2"/>
                      <w:sz w:val="21"/>
                      <w:szCs w:val="21"/>
                      <w:lang w:val="en-US" w:eastAsia="zh-CN" w:bidi="ar-SA"/>
                    </w:rPr>
                  </w:pPr>
                  <w:r>
                    <w:rPr>
                      <w:rFonts w:hint="eastAsia" w:eastAsia="宋体"/>
                      <w:color w:val="auto"/>
                      <w:sz w:val="21"/>
                      <w:szCs w:val="21"/>
                      <w:lang w:val="en-US" w:eastAsia="zh-CN"/>
                    </w:rPr>
                    <w:t>0.0573</w:t>
                  </w:r>
                </w:p>
              </w:tc>
            </w:tr>
            <w:tr w14:paraId="58A3964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951" w:type="pct"/>
                  <w:vMerge w:val="continue"/>
                  <w:tcBorders>
                    <w:tl2br w:val="nil"/>
                    <w:tr2bl w:val="nil"/>
                  </w:tcBorders>
                  <w:vAlign w:val="center"/>
                </w:tcPr>
                <w:p w14:paraId="18C6BD45">
                  <w:pPr>
                    <w:pStyle w:val="698"/>
                    <w:keepNext w:val="0"/>
                    <w:keepLines w:val="0"/>
                    <w:pageBreakBefore w:val="0"/>
                    <w:kinsoku/>
                    <w:wordWrap/>
                    <w:overflowPunct/>
                    <w:topLinePunct w:val="0"/>
                    <w:autoSpaceDE/>
                    <w:autoSpaceDN/>
                    <w:bidi w:val="0"/>
                    <w:adjustRightInd w:val="0"/>
                    <w:snapToGrid w:val="0"/>
                    <w:rPr>
                      <w:rFonts w:eastAsia="宋体"/>
                      <w:color w:val="auto"/>
                      <w:kern w:val="0"/>
                    </w:rPr>
                  </w:pPr>
                </w:p>
              </w:tc>
              <w:tc>
                <w:tcPr>
                  <w:tcW w:w="2691" w:type="pct"/>
                  <w:gridSpan w:val="3"/>
                  <w:tcBorders>
                    <w:tl2br w:val="nil"/>
                    <w:tr2bl w:val="nil"/>
                  </w:tcBorders>
                  <w:vAlign w:val="center"/>
                </w:tcPr>
                <w:p w14:paraId="612A3F26">
                  <w:pPr>
                    <w:pStyle w:val="656"/>
                    <w:snapToGrid w:val="0"/>
                    <w:rPr>
                      <w:rFonts w:hint="eastAsia"/>
                      <w:bCs/>
                      <w:color w:val="auto"/>
                      <w:kern w:val="0"/>
                    </w:rPr>
                  </w:pPr>
                  <w:r>
                    <w:rPr>
                      <w:rFonts w:hint="eastAsia" w:eastAsia="宋体"/>
                      <w:color w:val="auto"/>
                      <w:sz w:val="21"/>
                      <w:szCs w:val="21"/>
                      <w:lang w:val="en-US" w:eastAsia="zh-CN"/>
                    </w:rPr>
                    <w:t>三甲苯</w:t>
                  </w:r>
                </w:p>
              </w:tc>
              <w:tc>
                <w:tcPr>
                  <w:tcW w:w="2404" w:type="dxa"/>
                  <w:tcBorders>
                    <w:tl2br w:val="nil"/>
                    <w:tr2bl w:val="nil"/>
                  </w:tcBorders>
                  <w:shd w:val="clear" w:color="auto" w:fill="auto"/>
                  <w:vAlign w:val="center"/>
                </w:tcPr>
                <w:p w14:paraId="0EDCC4B2">
                  <w:pPr>
                    <w:pStyle w:val="656"/>
                    <w:snapToGrid w:val="0"/>
                    <w:rPr>
                      <w:rFonts w:hint="eastAsia" w:ascii="Times New Roman" w:hAnsi="Times New Roman" w:eastAsia="宋体" w:cs="Times New Roman"/>
                      <w:snapToGrid w:val="0"/>
                      <w:color w:val="auto"/>
                      <w:kern w:val="2"/>
                      <w:sz w:val="21"/>
                      <w:szCs w:val="21"/>
                      <w:lang w:val="en-US" w:eastAsia="zh-CN" w:bidi="ar-SA"/>
                    </w:rPr>
                  </w:pPr>
                  <w:r>
                    <w:rPr>
                      <w:rFonts w:hint="eastAsia" w:eastAsia="宋体"/>
                      <w:color w:val="auto"/>
                      <w:sz w:val="21"/>
                      <w:szCs w:val="21"/>
                      <w:lang w:val="en-US" w:eastAsia="zh-CN"/>
                    </w:rPr>
                    <w:t>0.002205</w:t>
                  </w:r>
                </w:p>
              </w:tc>
            </w:tr>
            <w:tr w14:paraId="6DF40CE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951" w:type="pct"/>
                  <w:vMerge w:val="continue"/>
                  <w:tcBorders>
                    <w:tl2br w:val="nil"/>
                    <w:tr2bl w:val="nil"/>
                  </w:tcBorders>
                  <w:vAlign w:val="center"/>
                </w:tcPr>
                <w:p w14:paraId="78A8D01A">
                  <w:pPr>
                    <w:pStyle w:val="698"/>
                    <w:keepNext w:val="0"/>
                    <w:keepLines w:val="0"/>
                    <w:pageBreakBefore w:val="0"/>
                    <w:kinsoku/>
                    <w:wordWrap/>
                    <w:overflowPunct/>
                    <w:topLinePunct w:val="0"/>
                    <w:autoSpaceDE/>
                    <w:autoSpaceDN/>
                    <w:bidi w:val="0"/>
                    <w:adjustRightInd w:val="0"/>
                    <w:snapToGrid w:val="0"/>
                    <w:rPr>
                      <w:rFonts w:eastAsia="宋体"/>
                      <w:color w:val="auto"/>
                      <w:kern w:val="0"/>
                    </w:rPr>
                  </w:pPr>
                </w:p>
              </w:tc>
              <w:tc>
                <w:tcPr>
                  <w:tcW w:w="2691" w:type="pct"/>
                  <w:gridSpan w:val="3"/>
                  <w:tcBorders>
                    <w:tl2br w:val="nil"/>
                    <w:tr2bl w:val="nil"/>
                  </w:tcBorders>
                  <w:vAlign w:val="center"/>
                </w:tcPr>
                <w:p w14:paraId="5D70B97F">
                  <w:pPr>
                    <w:keepNext w:val="0"/>
                    <w:keepLines w:val="0"/>
                    <w:pageBreakBefore w:val="0"/>
                    <w:kinsoku/>
                    <w:wordWrap/>
                    <w:overflowPunct/>
                    <w:topLinePunct w:val="0"/>
                    <w:autoSpaceDE/>
                    <w:autoSpaceDN/>
                    <w:bidi w:val="0"/>
                    <w:adjustRightInd w:val="0"/>
                    <w:snapToGrid w:val="0"/>
                    <w:jc w:val="center"/>
                    <w:textAlignment w:val="bottom"/>
                    <w:rPr>
                      <w:bCs/>
                      <w:color w:val="auto"/>
                      <w:kern w:val="0"/>
                    </w:rPr>
                  </w:pPr>
                  <w:r>
                    <w:rPr>
                      <w:rFonts w:hint="eastAsia"/>
                      <w:bCs/>
                      <w:color w:val="auto"/>
                      <w:kern w:val="0"/>
                      <w:lang w:val="en-US" w:eastAsia="zh-CN"/>
                    </w:rPr>
                    <w:t>颗粒物</w:t>
                  </w:r>
                </w:p>
              </w:tc>
              <w:tc>
                <w:tcPr>
                  <w:tcW w:w="2404" w:type="dxa"/>
                  <w:tcBorders>
                    <w:tl2br w:val="nil"/>
                    <w:tr2bl w:val="nil"/>
                  </w:tcBorders>
                  <w:shd w:val="clear" w:color="auto" w:fill="auto"/>
                  <w:vAlign w:val="center"/>
                </w:tcPr>
                <w:p w14:paraId="26F3420B">
                  <w:pPr>
                    <w:pStyle w:val="656"/>
                    <w:snapToGrid w:val="0"/>
                    <w:rPr>
                      <w:rFonts w:hint="default" w:ascii="Times New Roman" w:hAnsi="Times New Roman" w:eastAsia="宋体" w:cs="Times New Roman"/>
                      <w:snapToGrid w:val="0"/>
                      <w:color w:val="auto"/>
                      <w:kern w:val="2"/>
                      <w:sz w:val="21"/>
                      <w:szCs w:val="21"/>
                      <w:lang w:val="en-US" w:eastAsia="zh-CN" w:bidi="ar-SA"/>
                    </w:rPr>
                  </w:pPr>
                  <w:r>
                    <w:rPr>
                      <w:rFonts w:hint="eastAsia" w:eastAsia="宋体"/>
                      <w:color w:val="auto"/>
                      <w:sz w:val="21"/>
                      <w:szCs w:val="21"/>
                      <w:lang w:val="en-US" w:eastAsia="zh-CN"/>
                    </w:rPr>
                    <w:t>0.019655</w:t>
                  </w:r>
                </w:p>
              </w:tc>
            </w:tr>
          </w:tbl>
          <w:p w14:paraId="713D44D3">
            <w:pPr>
              <w:pStyle w:val="699"/>
              <w:adjustRightInd w:val="0"/>
              <w:snapToGrid w:val="0"/>
              <w:spacing w:beforeLines="0" w:afterLines="0"/>
              <w:rPr>
                <w:rFonts w:eastAsia="宋体"/>
                <w:color w:val="auto"/>
                <w:kern w:val="0"/>
                <w:sz w:val="21"/>
                <w:szCs w:val="21"/>
              </w:rPr>
            </w:pPr>
            <w:r>
              <w:rPr>
                <w:rFonts w:eastAsia="宋体"/>
                <w:color w:val="auto"/>
                <w:kern w:val="0"/>
                <w:sz w:val="21"/>
                <w:szCs w:val="21"/>
              </w:rPr>
              <w:t>表4</w:t>
            </w:r>
            <w:r>
              <w:rPr>
                <w:rFonts w:hint="eastAsia" w:eastAsia="宋体"/>
                <w:color w:val="auto"/>
                <w:kern w:val="0"/>
                <w:sz w:val="21"/>
                <w:szCs w:val="21"/>
                <w:lang w:val="en-US" w:eastAsia="zh-CN"/>
              </w:rPr>
              <w:t>-9</w:t>
            </w:r>
            <w:r>
              <w:rPr>
                <w:rFonts w:hint="eastAsia" w:eastAsia="宋体"/>
                <w:color w:val="auto"/>
                <w:kern w:val="0"/>
                <w:sz w:val="21"/>
                <w:szCs w:val="21"/>
              </w:rPr>
              <w:t xml:space="preserve">   </w:t>
            </w:r>
            <w:r>
              <w:rPr>
                <w:rFonts w:eastAsia="宋体"/>
                <w:color w:val="auto"/>
                <w:kern w:val="0"/>
                <w:sz w:val="21"/>
                <w:szCs w:val="21"/>
              </w:rPr>
              <w:t>项目大气污染物无组织排放核算表</w:t>
            </w:r>
          </w:p>
          <w:tbl>
            <w:tblPr>
              <w:tblStyle w:val="59"/>
              <w:tblpPr w:leftFromText="180" w:rightFromText="180" w:vertAnchor="text" w:tblpXSpec="center" w:tblpY="1"/>
              <w:tblOverlap w:val="never"/>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1195"/>
              <w:gridCol w:w="1286"/>
              <w:gridCol w:w="1253"/>
              <w:gridCol w:w="2272"/>
              <w:gridCol w:w="1838"/>
              <w:gridCol w:w="1012"/>
            </w:tblGrid>
            <w:tr w14:paraId="3825E0C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75" w:type="pct"/>
                  <w:vMerge w:val="restart"/>
                  <w:tcBorders>
                    <w:tl2br w:val="nil"/>
                    <w:tr2bl w:val="nil"/>
                  </w:tcBorders>
                  <w:vAlign w:val="center"/>
                </w:tcPr>
                <w:p w14:paraId="08E7AFAE">
                  <w:pPr>
                    <w:pStyle w:val="693"/>
                    <w:keepNext w:val="0"/>
                    <w:keepLines w:val="0"/>
                    <w:pageBreakBefore w:val="0"/>
                    <w:kinsoku/>
                    <w:wordWrap/>
                    <w:overflowPunct/>
                    <w:topLinePunct w:val="0"/>
                    <w:autoSpaceDE/>
                    <w:autoSpaceDN/>
                    <w:bidi w:val="0"/>
                    <w:adjustRightInd w:val="0"/>
                    <w:snapToGrid w:val="0"/>
                    <w:textAlignment w:val="auto"/>
                    <w:rPr>
                      <w:rFonts w:eastAsia="宋体"/>
                      <w:color w:val="auto"/>
                      <w:kern w:val="0"/>
                    </w:rPr>
                  </w:pPr>
                  <w:r>
                    <w:rPr>
                      <w:rFonts w:eastAsia="宋体"/>
                      <w:color w:val="auto"/>
                      <w:kern w:val="0"/>
                    </w:rPr>
                    <w:t>产污环节</w:t>
                  </w:r>
                </w:p>
              </w:tc>
              <w:tc>
                <w:tcPr>
                  <w:tcW w:w="726" w:type="pct"/>
                  <w:vMerge w:val="restart"/>
                  <w:tcBorders>
                    <w:tl2br w:val="nil"/>
                    <w:tr2bl w:val="nil"/>
                  </w:tcBorders>
                  <w:vAlign w:val="center"/>
                </w:tcPr>
                <w:p w14:paraId="3E3FE17D">
                  <w:pPr>
                    <w:pStyle w:val="698"/>
                    <w:keepNext w:val="0"/>
                    <w:keepLines w:val="0"/>
                    <w:pageBreakBefore w:val="0"/>
                    <w:kinsoku/>
                    <w:wordWrap/>
                    <w:overflowPunct/>
                    <w:topLinePunct w:val="0"/>
                    <w:autoSpaceDE/>
                    <w:autoSpaceDN/>
                    <w:bidi w:val="0"/>
                    <w:adjustRightInd w:val="0"/>
                    <w:snapToGrid w:val="0"/>
                    <w:textAlignment w:val="auto"/>
                    <w:rPr>
                      <w:rFonts w:eastAsia="宋体"/>
                      <w:b/>
                      <w:bCs/>
                      <w:color w:val="auto"/>
                      <w:kern w:val="0"/>
                    </w:rPr>
                  </w:pPr>
                  <w:r>
                    <w:rPr>
                      <w:rFonts w:eastAsia="宋体"/>
                      <w:b/>
                      <w:bCs/>
                      <w:color w:val="auto"/>
                      <w:kern w:val="0"/>
                    </w:rPr>
                    <w:t>污染物</w:t>
                  </w:r>
                </w:p>
              </w:tc>
              <w:tc>
                <w:tcPr>
                  <w:tcW w:w="707" w:type="pct"/>
                  <w:vMerge w:val="restart"/>
                  <w:tcBorders>
                    <w:tl2br w:val="nil"/>
                    <w:tr2bl w:val="nil"/>
                  </w:tcBorders>
                  <w:vAlign w:val="center"/>
                </w:tcPr>
                <w:p w14:paraId="61AB9C7F">
                  <w:pPr>
                    <w:pStyle w:val="698"/>
                    <w:keepNext w:val="0"/>
                    <w:keepLines w:val="0"/>
                    <w:pageBreakBefore w:val="0"/>
                    <w:kinsoku/>
                    <w:wordWrap/>
                    <w:overflowPunct/>
                    <w:topLinePunct w:val="0"/>
                    <w:autoSpaceDE/>
                    <w:autoSpaceDN/>
                    <w:bidi w:val="0"/>
                    <w:adjustRightInd w:val="0"/>
                    <w:snapToGrid w:val="0"/>
                    <w:textAlignment w:val="auto"/>
                    <w:rPr>
                      <w:rFonts w:eastAsia="宋体"/>
                      <w:b/>
                      <w:bCs/>
                      <w:color w:val="auto"/>
                      <w:kern w:val="0"/>
                    </w:rPr>
                  </w:pPr>
                  <w:r>
                    <w:rPr>
                      <w:rFonts w:eastAsia="宋体"/>
                      <w:b/>
                      <w:bCs/>
                      <w:color w:val="auto"/>
                      <w:kern w:val="0"/>
                    </w:rPr>
                    <w:t>主要污染防治措施</w:t>
                  </w:r>
                </w:p>
              </w:tc>
              <w:tc>
                <w:tcPr>
                  <w:tcW w:w="2319" w:type="pct"/>
                  <w:gridSpan w:val="2"/>
                  <w:tcBorders>
                    <w:tl2br w:val="nil"/>
                    <w:tr2bl w:val="nil"/>
                  </w:tcBorders>
                  <w:vAlign w:val="center"/>
                </w:tcPr>
                <w:p w14:paraId="555BC273">
                  <w:pPr>
                    <w:pStyle w:val="698"/>
                    <w:keepNext w:val="0"/>
                    <w:keepLines w:val="0"/>
                    <w:pageBreakBefore w:val="0"/>
                    <w:kinsoku/>
                    <w:wordWrap/>
                    <w:overflowPunct/>
                    <w:topLinePunct w:val="0"/>
                    <w:autoSpaceDE/>
                    <w:autoSpaceDN/>
                    <w:bidi w:val="0"/>
                    <w:adjustRightInd w:val="0"/>
                    <w:snapToGrid w:val="0"/>
                    <w:textAlignment w:val="auto"/>
                    <w:rPr>
                      <w:rFonts w:eastAsia="宋体"/>
                      <w:b/>
                      <w:bCs/>
                      <w:color w:val="auto"/>
                      <w:kern w:val="0"/>
                    </w:rPr>
                  </w:pPr>
                  <w:r>
                    <w:rPr>
                      <w:rFonts w:eastAsia="宋体"/>
                      <w:b/>
                      <w:bCs/>
                      <w:color w:val="auto"/>
                      <w:kern w:val="0"/>
                    </w:rPr>
                    <w:t>国家或地方污染物排放标准</w:t>
                  </w:r>
                </w:p>
              </w:tc>
              <w:tc>
                <w:tcPr>
                  <w:tcW w:w="571" w:type="pct"/>
                  <w:vMerge w:val="restart"/>
                  <w:tcBorders>
                    <w:tl2br w:val="nil"/>
                    <w:tr2bl w:val="nil"/>
                  </w:tcBorders>
                  <w:vAlign w:val="center"/>
                </w:tcPr>
                <w:p w14:paraId="4DBF72E0">
                  <w:pPr>
                    <w:pStyle w:val="693"/>
                    <w:keepNext w:val="0"/>
                    <w:keepLines w:val="0"/>
                    <w:pageBreakBefore w:val="0"/>
                    <w:kinsoku/>
                    <w:wordWrap/>
                    <w:overflowPunct/>
                    <w:topLinePunct w:val="0"/>
                    <w:autoSpaceDE/>
                    <w:autoSpaceDN/>
                    <w:bidi w:val="0"/>
                    <w:adjustRightInd w:val="0"/>
                    <w:snapToGrid w:val="0"/>
                    <w:textAlignment w:val="auto"/>
                    <w:rPr>
                      <w:rFonts w:eastAsia="宋体"/>
                      <w:color w:val="auto"/>
                      <w:kern w:val="0"/>
                    </w:rPr>
                  </w:pPr>
                  <w:r>
                    <w:rPr>
                      <w:rFonts w:eastAsia="宋体"/>
                      <w:color w:val="auto"/>
                      <w:kern w:val="0"/>
                    </w:rPr>
                    <w:t>年排放量t/a</w:t>
                  </w:r>
                </w:p>
              </w:tc>
            </w:tr>
            <w:tr w14:paraId="49C841A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75" w:type="pct"/>
                  <w:vMerge w:val="continue"/>
                  <w:tcBorders>
                    <w:tl2br w:val="nil"/>
                    <w:tr2bl w:val="nil"/>
                  </w:tcBorders>
                  <w:vAlign w:val="center"/>
                </w:tcPr>
                <w:p w14:paraId="1401D72E">
                  <w:pPr>
                    <w:pStyle w:val="698"/>
                    <w:keepNext w:val="0"/>
                    <w:keepLines w:val="0"/>
                    <w:pageBreakBefore w:val="0"/>
                    <w:kinsoku/>
                    <w:wordWrap/>
                    <w:overflowPunct/>
                    <w:topLinePunct w:val="0"/>
                    <w:autoSpaceDE/>
                    <w:autoSpaceDN/>
                    <w:bidi w:val="0"/>
                    <w:adjustRightInd w:val="0"/>
                    <w:snapToGrid w:val="0"/>
                    <w:textAlignment w:val="auto"/>
                    <w:rPr>
                      <w:rFonts w:eastAsia="宋体"/>
                      <w:color w:val="auto"/>
                      <w:kern w:val="0"/>
                    </w:rPr>
                  </w:pPr>
                </w:p>
              </w:tc>
              <w:tc>
                <w:tcPr>
                  <w:tcW w:w="726" w:type="pct"/>
                  <w:vMerge w:val="continue"/>
                  <w:tcBorders>
                    <w:tl2br w:val="nil"/>
                    <w:tr2bl w:val="nil"/>
                  </w:tcBorders>
                  <w:vAlign w:val="center"/>
                </w:tcPr>
                <w:p w14:paraId="432DC687">
                  <w:pPr>
                    <w:pStyle w:val="698"/>
                    <w:keepNext w:val="0"/>
                    <w:keepLines w:val="0"/>
                    <w:pageBreakBefore w:val="0"/>
                    <w:kinsoku/>
                    <w:wordWrap/>
                    <w:overflowPunct/>
                    <w:topLinePunct w:val="0"/>
                    <w:autoSpaceDE/>
                    <w:autoSpaceDN/>
                    <w:bidi w:val="0"/>
                    <w:adjustRightInd w:val="0"/>
                    <w:snapToGrid w:val="0"/>
                    <w:textAlignment w:val="auto"/>
                    <w:rPr>
                      <w:rFonts w:eastAsia="宋体"/>
                      <w:b/>
                      <w:bCs/>
                      <w:color w:val="auto"/>
                      <w:kern w:val="0"/>
                    </w:rPr>
                  </w:pPr>
                </w:p>
              </w:tc>
              <w:tc>
                <w:tcPr>
                  <w:tcW w:w="707" w:type="pct"/>
                  <w:vMerge w:val="continue"/>
                  <w:tcBorders>
                    <w:tl2br w:val="nil"/>
                    <w:tr2bl w:val="nil"/>
                  </w:tcBorders>
                  <w:vAlign w:val="center"/>
                </w:tcPr>
                <w:p w14:paraId="11B187BB">
                  <w:pPr>
                    <w:pStyle w:val="698"/>
                    <w:keepNext w:val="0"/>
                    <w:keepLines w:val="0"/>
                    <w:pageBreakBefore w:val="0"/>
                    <w:kinsoku/>
                    <w:wordWrap/>
                    <w:overflowPunct/>
                    <w:topLinePunct w:val="0"/>
                    <w:autoSpaceDE/>
                    <w:autoSpaceDN/>
                    <w:bidi w:val="0"/>
                    <w:adjustRightInd w:val="0"/>
                    <w:snapToGrid w:val="0"/>
                    <w:textAlignment w:val="auto"/>
                    <w:rPr>
                      <w:rFonts w:eastAsia="宋体"/>
                      <w:b/>
                      <w:bCs/>
                      <w:color w:val="auto"/>
                      <w:kern w:val="0"/>
                    </w:rPr>
                  </w:pPr>
                </w:p>
              </w:tc>
              <w:tc>
                <w:tcPr>
                  <w:tcW w:w="1282" w:type="pct"/>
                  <w:tcBorders>
                    <w:tl2br w:val="nil"/>
                    <w:tr2bl w:val="nil"/>
                  </w:tcBorders>
                  <w:vAlign w:val="center"/>
                </w:tcPr>
                <w:p w14:paraId="5CC805D7">
                  <w:pPr>
                    <w:pStyle w:val="698"/>
                    <w:keepNext w:val="0"/>
                    <w:keepLines w:val="0"/>
                    <w:pageBreakBefore w:val="0"/>
                    <w:kinsoku/>
                    <w:wordWrap/>
                    <w:overflowPunct/>
                    <w:topLinePunct w:val="0"/>
                    <w:autoSpaceDE/>
                    <w:autoSpaceDN/>
                    <w:bidi w:val="0"/>
                    <w:adjustRightInd w:val="0"/>
                    <w:snapToGrid w:val="0"/>
                    <w:textAlignment w:val="auto"/>
                    <w:rPr>
                      <w:rFonts w:eastAsia="宋体"/>
                      <w:b/>
                      <w:bCs/>
                      <w:color w:val="auto"/>
                      <w:kern w:val="0"/>
                    </w:rPr>
                  </w:pPr>
                  <w:r>
                    <w:rPr>
                      <w:rFonts w:eastAsia="宋体"/>
                      <w:b/>
                      <w:bCs/>
                      <w:color w:val="auto"/>
                      <w:kern w:val="0"/>
                    </w:rPr>
                    <w:t>标准名称</w:t>
                  </w:r>
                </w:p>
              </w:tc>
              <w:tc>
                <w:tcPr>
                  <w:tcW w:w="1037" w:type="pct"/>
                  <w:tcBorders>
                    <w:tl2br w:val="nil"/>
                    <w:tr2bl w:val="nil"/>
                  </w:tcBorders>
                  <w:vAlign w:val="center"/>
                </w:tcPr>
                <w:p w14:paraId="0024B2D8">
                  <w:pPr>
                    <w:pStyle w:val="693"/>
                    <w:keepNext w:val="0"/>
                    <w:keepLines w:val="0"/>
                    <w:pageBreakBefore w:val="0"/>
                    <w:kinsoku/>
                    <w:wordWrap/>
                    <w:overflowPunct/>
                    <w:topLinePunct w:val="0"/>
                    <w:autoSpaceDE/>
                    <w:autoSpaceDN/>
                    <w:bidi w:val="0"/>
                    <w:adjustRightInd w:val="0"/>
                    <w:snapToGrid w:val="0"/>
                    <w:textAlignment w:val="auto"/>
                    <w:rPr>
                      <w:rFonts w:eastAsia="宋体"/>
                      <w:color w:val="auto"/>
                      <w:kern w:val="0"/>
                    </w:rPr>
                  </w:pPr>
                  <w:r>
                    <w:rPr>
                      <w:rFonts w:eastAsia="宋体"/>
                      <w:color w:val="auto"/>
                      <w:kern w:val="0"/>
                    </w:rPr>
                    <w:t>浓度限值mg/m</w:t>
                  </w:r>
                  <w:r>
                    <w:rPr>
                      <w:rFonts w:eastAsia="宋体"/>
                      <w:color w:val="auto"/>
                      <w:kern w:val="0"/>
                      <w:vertAlign w:val="superscript"/>
                    </w:rPr>
                    <w:t>3</w:t>
                  </w:r>
                </w:p>
              </w:tc>
              <w:tc>
                <w:tcPr>
                  <w:tcW w:w="571" w:type="pct"/>
                  <w:vMerge w:val="continue"/>
                  <w:tcBorders>
                    <w:tl2br w:val="nil"/>
                    <w:tr2bl w:val="nil"/>
                  </w:tcBorders>
                  <w:vAlign w:val="center"/>
                </w:tcPr>
                <w:p w14:paraId="4FDF20AD">
                  <w:pPr>
                    <w:pStyle w:val="698"/>
                    <w:keepNext w:val="0"/>
                    <w:keepLines w:val="0"/>
                    <w:pageBreakBefore w:val="0"/>
                    <w:kinsoku/>
                    <w:wordWrap/>
                    <w:overflowPunct/>
                    <w:topLinePunct w:val="0"/>
                    <w:autoSpaceDE/>
                    <w:autoSpaceDN/>
                    <w:bidi w:val="0"/>
                    <w:adjustRightInd w:val="0"/>
                    <w:snapToGrid w:val="0"/>
                    <w:textAlignment w:val="auto"/>
                    <w:rPr>
                      <w:rFonts w:eastAsia="宋体"/>
                      <w:color w:val="auto"/>
                      <w:kern w:val="0"/>
                    </w:rPr>
                  </w:pPr>
                </w:p>
              </w:tc>
            </w:tr>
            <w:tr w14:paraId="18A3117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75" w:type="pct"/>
                  <w:vMerge w:val="restart"/>
                  <w:tcBorders>
                    <w:tl2br w:val="nil"/>
                    <w:tr2bl w:val="nil"/>
                  </w:tcBorders>
                  <w:vAlign w:val="center"/>
                </w:tcPr>
                <w:p w14:paraId="35A1F5D0">
                  <w:pPr>
                    <w:pStyle w:val="698"/>
                    <w:keepNext w:val="0"/>
                    <w:keepLines w:val="0"/>
                    <w:pageBreakBefore w:val="0"/>
                    <w:kinsoku/>
                    <w:wordWrap/>
                    <w:overflowPunct/>
                    <w:topLinePunct w:val="0"/>
                    <w:autoSpaceDE/>
                    <w:autoSpaceDN/>
                    <w:bidi w:val="0"/>
                    <w:adjustRightInd w:val="0"/>
                    <w:snapToGrid w:val="0"/>
                    <w:textAlignment w:val="auto"/>
                    <w:rPr>
                      <w:rFonts w:eastAsia="宋体"/>
                      <w:color w:val="auto"/>
                      <w:kern w:val="0"/>
                    </w:rPr>
                  </w:pPr>
                  <w:r>
                    <w:rPr>
                      <w:rFonts w:hint="eastAsia" w:eastAsia="宋体"/>
                      <w:color w:val="auto"/>
                      <w:kern w:val="0"/>
                    </w:rPr>
                    <w:t>生产车间</w:t>
                  </w:r>
                </w:p>
              </w:tc>
              <w:tc>
                <w:tcPr>
                  <w:tcW w:w="726" w:type="pct"/>
                  <w:tcBorders>
                    <w:tl2br w:val="nil"/>
                    <w:tr2bl w:val="nil"/>
                  </w:tcBorders>
                  <w:vAlign w:val="center"/>
                </w:tcPr>
                <w:p w14:paraId="59EA18FB">
                  <w:pPr>
                    <w:pStyle w:val="698"/>
                    <w:keepNext w:val="0"/>
                    <w:keepLines w:val="0"/>
                    <w:pageBreakBefore w:val="0"/>
                    <w:kinsoku/>
                    <w:wordWrap/>
                    <w:overflowPunct/>
                    <w:topLinePunct w:val="0"/>
                    <w:autoSpaceDE/>
                    <w:autoSpaceDN/>
                    <w:bidi w:val="0"/>
                    <w:adjustRightInd w:val="0"/>
                    <w:snapToGrid w:val="0"/>
                    <w:textAlignment w:val="auto"/>
                    <w:rPr>
                      <w:rFonts w:eastAsia="宋体"/>
                      <w:color w:val="auto"/>
                      <w:kern w:val="0"/>
                    </w:rPr>
                  </w:pPr>
                  <w:r>
                    <w:rPr>
                      <w:rFonts w:hint="eastAsia" w:eastAsia="宋体"/>
                      <w:bCs/>
                      <w:color w:val="auto"/>
                      <w:kern w:val="0"/>
                    </w:rPr>
                    <w:t>非甲烷总烃</w:t>
                  </w:r>
                </w:p>
              </w:tc>
              <w:tc>
                <w:tcPr>
                  <w:tcW w:w="707" w:type="pct"/>
                  <w:tcBorders>
                    <w:tl2br w:val="nil"/>
                    <w:tr2bl w:val="nil"/>
                  </w:tcBorders>
                  <w:vAlign w:val="center"/>
                </w:tcPr>
                <w:p w14:paraId="4E696C72">
                  <w:pPr>
                    <w:pStyle w:val="698"/>
                    <w:keepNext w:val="0"/>
                    <w:keepLines w:val="0"/>
                    <w:pageBreakBefore w:val="0"/>
                    <w:kinsoku/>
                    <w:wordWrap/>
                    <w:overflowPunct/>
                    <w:topLinePunct w:val="0"/>
                    <w:autoSpaceDE/>
                    <w:autoSpaceDN/>
                    <w:bidi w:val="0"/>
                    <w:adjustRightInd w:val="0"/>
                    <w:snapToGrid w:val="0"/>
                    <w:textAlignment w:val="auto"/>
                    <w:rPr>
                      <w:rFonts w:hint="default" w:eastAsia="宋体"/>
                      <w:color w:val="auto"/>
                      <w:kern w:val="0"/>
                      <w:lang w:val="en-US" w:eastAsia="zh-CN"/>
                    </w:rPr>
                  </w:pPr>
                  <w:r>
                    <w:rPr>
                      <w:rFonts w:hint="eastAsia" w:eastAsia="宋体"/>
                      <w:color w:val="auto"/>
                      <w:kern w:val="0"/>
                      <w:lang w:val="en-US" w:eastAsia="zh-CN"/>
                    </w:rPr>
                    <w:t>--</w:t>
                  </w:r>
                </w:p>
              </w:tc>
              <w:tc>
                <w:tcPr>
                  <w:tcW w:w="1282" w:type="pct"/>
                  <w:vMerge w:val="restart"/>
                  <w:tcBorders>
                    <w:tl2br w:val="nil"/>
                    <w:tr2bl w:val="nil"/>
                  </w:tcBorders>
                  <w:vAlign w:val="center"/>
                </w:tcPr>
                <w:p w14:paraId="066E0F33">
                  <w:pPr>
                    <w:keepNext w:val="0"/>
                    <w:keepLines w:val="0"/>
                    <w:pageBreakBefore w:val="0"/>
                    <w:kinsoku/>
                    <w:wordWrap/>
                    <w:overflowPunct/>
                    <w:topLinePunct w:val="0"/>
                    <w:autoSpaceDE/>
                    <w:autoSpaceDN/>
                    <w:bidi w:val="0"/>
                    <w:adjustRightInd w:val="0"/>
                    <w:snapToGrid w:val="0"/>
                    <w:jc w:val="center"/>
                    <w:textAlignment w:val="auto"/>
                    <w:rPr>
                      <w:color w:val="auto"/>
                      <w:kern w:val="0"/>
                    </w:rPr>
                  </w:pPr>
                  <w:r>
                    <w:rPr>
                      <w:color w:val="auto"/>
                      <w:kern w:val="0"/>
                    </w:rPr>
                    <w:t>《大气污染物综合排放标准》（DB32/4041-2021）中表3</w:t>
                  </w:r>
                </w:p>
              </w:tc>
              <w:tc>
                <w:tcPr>
                  <w:tcW w:w="1037" w:type="pct"/>
                  <w:tcBorders>
                    <w:tl2br w:val="nil"/>
                    <w:tr2bl w:val="nil"/>
                  </w:tcBorders>
                  <w:vAlign w:val="center"/>
                </w:tcPr>
                <w:p w14:paraId="535E8E31">
                  <w:pPr>
                    <w:pStyle w:val="698"/>
                    <w:keepNext w:val="0"/>
                    <w:keepLines w:val="0"/>
                    <w:pageBreakBefore w:val="0"/>
                    <w:kinsoku/>
                    <w:wordWrap/>
                    <w:overflowPunct/>
                    <w:topLinePunct w:val="0"/>
                    <w:autoSpaceDE/>
                    <w:autoSpaceDN/>
                    <w:bidi w:val="0"/>
                    <w:adjustRightInd w:val="0"/>
                    <w:snapToGrid w:val="0"/>
                    <w:textAlignment w:val="auto"/>
                    <w:rPr>
                      <w:rFonts w:eastAsia="宋体"/>
                      <w:color w:val="auto"/>
                      <w:kern w:val="0"/>
                    </w:rPr>
                  </w:pPr>
                  <w:r>
                    <w:rPr>
                      <w:rFonts w:eastAsia="宋体"/>
                      <w:color w:val="auto"/>
                      <w:kern w:val="0"/>
                    </w:rPr>
                    <w:t>4.0</w:t>
                  </w:r>
                </w:p>
              </w:tc>
              <w:tc>
                <w:tcPr>
                  <w:tcW w:w="571" w:type="pct"/>
                  <w:tcBorders>
                    <w:tl2br w:val="nil"/>
                    <w:tr2bl w:val="nil"/>
                  </w:tcBorders>
                  <w:vAlign w:val="center"/>
                </w:tcPr>
                <w:p w14:paraId="2557FD9A">
                  <w:pPr>
                    <w:pStyle w:val="656"/>
                    <w:snapToGrid w:val="0"/>
                    <w:rPr>
                      <w:rFonts w:hint="default" w:eastAsia="宋体"/>
                      <w:color w:val="auto"/>
                      <w:kern w:val="0"/>
                      <w:sz w:val="21"/>
                      <w:szCs w:val="21"/>
                      <w:lang w:val="en-US" w:eastAsia="zh-CN"/>
                    </w:rPr>
                  </w:pPr>
                  <w:r>
                    <w:rPr>
                      <w:rFonts w:hint="eastAsia" w:eastAsia="宋体"/>
                      <w:color w:val="auto"/>
                      <w:kern w:val="0"/>
                      <w:sz w:val="21"/>
                      <w:szCs w:val="21"/>
                      <w:lang w:val="en-US" w:eastAsia="zh-CN"/>
                    </w:rPr>
                    <w:t>0.0518</w:t>
                  </w:r>
                </w:p>
              </w:tc>
            </w:tr>
            <w:tr w14:paraId="025ED19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75" w:type="pct"/>
                  <w:vMerge w:val="continue"/>
                  <w:tcBorders>
                    <w:tl2br w:val="nil"/>
                    <w:tr2bl w:val="nil"/>
                  </w:tcBorders>
                  <w:vAlign w:val="center"/>
                </w:tcPr>
                <w:p w14:paraId="226481ED">
                  <w:pPr>
                    <w:pStyle w:val="698"/>
                    <w:keepNext w:val="0"/>
                    <w:keepLines w:val="0"/>
                    <w:pageBreakBefore w:val="0"/>
                    <w:kinsoku/>
                    <w:wordWrap/>
                    <w:overflowPunct/>
                    <w:topLinePunct w:val="0"/>
                    <w:autoSpaceDE/>
                    <w:autoSpaceDN/>
                    <w:bidi w:val="0"/>
                    <w:adjustRightInd w:val="0"/>
                    <w:snapToGrid w:val="0"/>
                    <w:textAlignment w:val="auto"/>
                    <w:rPr>
                      <w:rFonts w:hint="eastAsia" w:eastAsia="宋体"/>
                      <w:color w:val="auto"/>
                      <w:kern w:val="0"/>
                    </w:rPr>
                  </w:pPr>
                </w:p>
              </w:tc>
              <w:tc>
                <w:tcPr>
                  <w:tcW w:w="726" w:type="pct"/>
                  <w:tcBorders>
                    <w:tl2br w:val="nil"/>
                    <w:tr2bl w:val="nil"/>
                  </w:tcBorders>
                  <w:vAlign w:val="center"/>
                </w:tcPr>
                <w:p w14:paraId="68AACF46">
                  <w:pPr>
                    <w:pStyle w:val="698"/>
                    <w:keepNext w:val="0"/>
                    <w:keepLines w:val="0"/>
                    <w:pageBreakBefore w:val="0"/>
                    <w:kinsoku/>
                    <w:wordWrap/>
                    <w:overflowPunct/>
                    <w:topLinePunct w:val="0"/>
                    <w:autoSpaceDE/>
                    <w:autoSpaceDN/>
                    <w:bidi w:val="0"/>
                    <w:adjustRightInd w:val="0"/>
                    <w:snapToGrid w:val="0"/>
                    <w:textAlignment w:val="auto"/>
                    <w:rPr>
                      <w:rFonts w:hint="eastAsia" w:eastAsia="宋体"/>
                      <w:bCs/>
                      <w:color w:val="auto"/>
                      <w:kern w:val="0"/>
                      <w:lang w:val="en-US" w:eastAsia="zh-CN"/>
                    </w:rPr>
                  </w:pPr>
                  <w:r>
                    <w:rPr>
                      <w:rFonts w:hint="eastAsia" w:eastAsia="宋体"/>
                      <w:bCs/>
                      <w:color w:val="auto"/>
                      <w:kern w:val="0"/>
                      <w:lang w:val="en-US" w:eastAsia="zh-CN"/>
                    </w:rPr>
                    <w:t>苯系物</w:t>
                  </w:r>
                </w:p>
              </w:tc>
              <w:tc>
                <w:tcPr>
                  <w:tcW w:w="707" w:type="pct"/>
                  <w:tcBorders>
                    <w:tl2br w:val="nil"/>
                    <w:tr2bl w:val="nil"/>
                  </w:tcBorders>
                  <w:vAlign w:val="center"/>
                </w:tcPr>
                <w:p w14:paraId="47A7078B">
                  <w:pPr>
                    <w:keepNext w:val="0"/>
                    <w:keepLines w:val="0"/>
                    <w:pageBreakBefore w:val="0"/>
                    <w:kinsoku/>
                    <w:wordWrap/>
                    <w:overflowPunct/>
                    <w:topLinePunct w:val="0"/>
                    <w:autoSpaceDE/>
                    <w:autoSpaceDN/>
                    <w:bidi w:val="0"/>
                    <w:adjustRightInd w:val="0"/>
                    <w:snapToGrid w:val="0"/>
                    <w:jc w:val="center"/>
                    <w:textAlignment w:val="auto"/>
                    <w:rPr>
                      <w:rFonts w:eastAsia="宋体"/>
                      <w:color w:val="auto"/>
                      <w:kern w:val="0"/>
                    </w:rPr>
                  </w:pPr>
                  <w:r>
                    <w:rPr>
                      <w:rFonts w:hint="eastAsia" w:eastAsia="宋体"/>
                      <w:color w:val="auto"/>
                      <w:kern w:val="0"/>
                      <w:lang w:val="en-US" w:eastAsia="zh-CN"/>
                    </w:rPr>
                    <w:t>--</w:t>
                  </w:r>
                </w:p>
              </w:tc>
              <w:tc>
                <w:tcPr>
                  <w:tcW w:w="1282" w:type="pct"/>
                  <w:vMerge w:val="continue"/>
                  <w:tcBorders>
                    <w:tl2br w:val="nil"/>
                    <w:tr2bl w:val="nil"/>
                  </w:tcBorders>
                  <w:vAlign w:val="center"/>
                </w:tcPr>
                <w:p w14:paraId="030AA520">
                  <w:pPr>
                    <w:keepNext w:val="0"/>
                    <w:keepLines w:val="0"/>
                    <w:pageBreakBefore w:val="0"/>
                    <w:kinsoku/>
                    <w:wordWrap/>
                    <w:overflowPunct/>
                    <w:topLinePunct w:val="0"/>
                    <w:autoSpaceDE/>
                    <w:autoSpaceDN/>
                    <w:bidi w:val="0"/>
                    <w:adjustRightInd w:val="0"/>
                    <w:snapToGrid w:val="0"/>
                    <w:jc w:val="center"/>
                    <w:textAlignment w:val="auto"/>
                    <w:rPr>
                      <w:color w:val="auto"/>
                      <w:kern w:val="0"/>
                    </w:rPr>
                  </w:pPr>
                </w:p>
              </w:tc>
              <w:tc>
                <w:tcPr>
                  <w:tcW w:w="1037" w:type="pct"/>
                  <w:tcBorders>
                    <w:tl2br w:val="nil"/>
                    <w:tr2bl w:val="nil"/>
                  </w:tcBorders>
                  <w:vAlign w:val="center"/>
                </w:tcPr>
                <w:p w14:paraId="7DD75062">
                  <w:pPr>
                    <w:pStyle w:val="698"/>
                    <w:keepNext w:val="0"/>
                    <w:keepLines w:val="0"/>
                    <w:pageBreakBefore w:val="0"/>
                    <w:kinsoku/>
                    <w:wordWrap/>
                    <w:overflowPunct/>
                    <w:topLinePunct w:val="0"/>
                    <w:autoSpaceDE/>
                    <w:autoSpaceDN/>
                    <w:bidi w:val="0"/>
                    <w:adjustRightInd w:val="0"/>
                    <w:snapToGrid w:val="0"/>
                    <w:textAlignment w:val="auto"/>
                    <w:rPr>
                      <w:rFonts w:hint="default" w:eastAsia="宋体"/>
                      <w:color w:val="auto"/>
                      <w:kern w:val="0"/>
                      <w:lang w:val="en-US" w:eastAsia="zh-CN"/>
                    </w:rPr>
                  </w:pPr>
                  <w:r>
                    <w:rPr>
                      <w:rFonts w:hint="eastAsia" w:eastAsia="宋体"/>
                      <w:color w:val="auto"/>
                      <w:kern w:val="0"/>
                      <w:lang w:val="en-US" w:eastAsia="zh-CN"/>
                    </w:rPr>
                    <w:t>0.4</w:t>
                  </w:r>
                </w:p>
              </w:tc>
              <w:tc>
                <w:tcPr>
                  <w:tcW w:w="571" w:type="pct"/>
                  <w:tcBorders>
                    <w:tl2br w:val="nil"/>
                    <w:tr2bl w:val="nil"/>
                  </w:tcBorders>
                  <w:shd w:val="clear" w:color="auto" w:fill="auto"/>
                  <w:vAlign w:val="center"/>
                </w:tcPr>
                <w:p w14:paraId="4B31A60A">
                  <w:pPr>
                    <w:pStyle w:val="656"/>
                    <w:snapToGrid w:val="0"/>
                    <w:rPr>
                      <w:rFonts w:hint="default" w:ascii="Times New Roman" w:hAnsi="Times New Roman" w:eastAsia="宋体" w:cs="Times New Roman"/>
                      <w:snapToGrid w:val="0"/>
                      <w:color w:val="auto"/>
                      <w:kern w:val="2"/>
                      <w:sz w:val="21"/>
                      <w:szCs w:val="21"/>
                      <w:lang w:val="en-US" w:eastAsia="zh-CN" w:bidi="ar-SA"/>
                    </w:rPr>
                  </w:pPr>
                  <w:r>
                    <w:rPr>
                      <w:rFonts w:hint="eastAsia" w:eastAsia="宋体" w:cs="Times New Roman"/>
                      <w:snapToGrid w:val="0"/>
                      <w:color w:val="auto"/>
                      <w:kern w:val="2"/>
                      <w:sz w:val="21"/>
                      <w:szCs w:val="21"/>
                      <w:lang w:val="en-US" w:eastAsia="zh-CN" w:bidi="ar-SA"/>
                    </w:rPr>
                    <w:t>0.0121</w:t>
                  </w:r>
                </w:p>
              </w:tc>
            </w:tr>
            <w:tr w14:paraId="26243D0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75" w:type="pct"/>
                  <w:vMerge w:val="continue"/>
                  <w:tcBorders>
                    <w:tl2br w:val="nil"/>
                    <w:tr2bl w:val="nil"/>
                  </w:tcBorders>
                  <w:vAlign w:val="center"/>
                </w:tcPr>
                <w:p w14:paraId="74197309">
                  <w:pPr>
                    <w:pStyle w:val="698"/>
                    <w:keepNext w:val="0"/>
                    <w:keepLines w:val="0"/>
                    <w:pageBreakBefore w:val="0"/>
                    <w:kinsoku/>
                    <w:wordWrap/>
                    <w:overflowPunct/>
                    <w:topLinePunct w:val="0"/>
                    <w:autoSpaceDE/>
                    <w:autoSpaceDN/>
                    <w:bidi w:val="0"/>
                    <w:adjustRightInd w:val="0"/>
                    <w:snapToGrid w:val="0"/>
                    <w:textAlignment w:val="auto"/>
                    <w:rPr>
                      <w:rFonts w:hint="eastAsia" w:eastAsia="宋体"/>
                      <w:color w:val="auto"/>
                      <w:kern w:val="0"/>
                    </w:rPr>
                  </w:pPr>
                </w:p>
              </w:tc>
              <w:tc>
                <w:tcPr>
                  <w:tcW w:w="726" w:type="pct"/>
                  <w:tcBorders>
                    <w:tl2br w:val="nil"/>
                    <w:tr2bl w:val="nil"/>
                  </w:tcBorders>
                  <w:vAlign w:val="center"/>
                </w:tcPr>
                <w:p w14:paraId="23FB19EE">
                  <w:pPr>
                    <w:pStyle w:val="698"/>
                    <w:keepNext w:val="0"/>
                    <w:keepLines w:val="0"/>
                    <w:pageBreakBefore w:val="0"/>
                    <w:kinsoku/>
                    <w:wordWrap/>
                    <w:overflowPunct/>
                    <w:topLinePunct w:val="0"/>
                    <w:autoSpaceDE/>
                    <w:autoSpaceDN/>
                    <w:bidi w:val="0"/>
                    <w:adjustRightInd w:val="0"/>
                    <w:snapToGrid w:val="0"/>
                    <w:textAlignment w:val="auto"/>
                    <w:rPr>
                      <w:rFonts w:hint="eastAsia" w:eastAsia="宋体"/>
                      <w:bCs/>
                      <w:color w:val="auto"/>
                      <w:kern w:val="0"/>
                      <w:lang w:val="en-US" w:eastAsia="zh-CN"/>
                    </w:rPr>
                  </w:pPr>
                  <w:r>
                    <w:rPr>
                      <w:rFonts w:hint="eastAsia" w:eastAsia="宋体"/>
                      <w:bCs/>
                      <w:color w:val="auto"/>
                      <w:kern w:val="0"/>
                      <w:lang w:val="en-US" w:eastAsia="zh-CN"/>
                    </w:rPr>
                    <w:t>二甲苯</w:t>
                  </w:r>
                </w:p>
              </w:tc>
              <w:tc>
                <w:tcPr>
                  <w:tcW w:w="707" w:type="pct"/>
                  <w:tcBorders>
                    <w:tl2br w:val="nil"/>
                    <w:tr2bl w:val="nil"/>
                  </w:tcBorders>
                  <w:vAlign w:val="center"/>
                </w:tcPr>
                <w:p w14:paraId="7ADD901C">
                  <w:pPr>
                    <w:keepNext w:val="0"/>
                    <w:keepLines w:val="0"/>
                    <w:pageBreakBefore w:val="0"/>
                    <w:kinsoku/>
                    <w:wordWrap/>
                    <w:overflowPunct/>
                    <w:topLinePunct w:val="0"/>
                    <w:autoSpaceDE/>
                    <w:autoSpaceDN/>
                    <w:bidi w:val="0"/>
                    <w:adjustRightInd w:val="0"/>
                    <w:snapToGrid w:val="0"/>
                    <w:jc w:val="center"/>
                    <w:textAlignment w:val="auto"/>
                    <w:rPr>
                      <w:rFonts w:eastAsia="宋体"/>
                      <w:color w:val="auto"/>
                      <w:kern w:val="0"/>
                    </w:rPr>
                  </w:pPr>
                  <w:r>
                    <w:rPr>
                      <w:rFonts w:hint="eastAsia" w:eastAsia="宋体"/>
                      <w:color w:val="auto"/>
                      <w:kern w:val="0"/>
                      <w:lang w:val="en-US" w:eastAsia="zh-CN"/>
                    </w:rPr>
                    <w:t>--</w:t>
                  </w:r>
                </w:p>
              </w:tc>
              <w:tc>
                <w:tcPr>
                  <w:tcW w:w="1282" w:type="pct"/>
                  <w:vMerge w:val="continue"/>
                  <w:tcBorders>
                    <w:tl2br w:val="nil"/>
                    <w:tr2bl w:val="nil"/>
                  </w:tcBorders>
                  <w:vAlign w:val="center"/>
                </w:tcPr>
                <w:p w14:paraId="56A41965">
                  <w:pPr>
                    <w:keepNext w:val="0"/>
                    <w:keepLines w:val="0"/>
                    <w:pageBreakBefore w:val="0"/>
                    <w:kinsoku/>
                    <w:wordWrap/>
                    <w:overflowPunct/>
                    <w:topLinePunct w:val="0"/>
                    <w:autoSpaceDE/>
                    <w:autoSpaceDN/>
                    <w:bidi w:val="0"/>
                    <w:adjustRightInd w:val="0"/>
                    <w:snapToGrid w:val="0"/>
                    <w:jc w:val="center"/>
                    <w:textAlignment w:val="auto"/>
                    <w:rPr>
                      <w:color w:val="auto"/>
                      <w:kern w:val="0"/>
                    </w:rPr>
                  </w:pPr>
                </w:p>
              </w:tc>
              <w:tc>
                <w:tcPr>
                  <w:tcW w:w="1037" w:type="pct"/>
                  <w:tcBorders>
                    <w:tl2br w:val="nil"/>
                    <w:tr2bl w:val="nil"/>
                  </w:tcBorders>
                  <w:vAlign w:val="center"/>
                </w:tcPr>
                <w:p w14:paraId="1D591E1B">
                  <w:pPr>
                    <w:pStyle w:val="698"/>
                    <w:keepNext w:val="0"/>
                    <w:keepLines w:val="0"/>
                    <w:pageBreakBefore w:val="0"/>
                    <w:kinsoku/>
                    <w:wordWrap/>
                    <w:overflowPunct/>
                    <w:topLinePunct w:val="0"/>
                    <w:autoSpaceDE/>
                    <w:autoSpaceDN/>
                    <w:bidi w:val="0"/>
                    <w:adjustRightInd w:val="0"/>
                    <w:snapToGrid w:val="0"/>
                    <w:textAlignment w:val="auto"/>
                    <w:rPr>
                      <w:rFonts w:hint="default" w:eastAsia="宋体"/>
                      <w:color w:val="auto"/>
                      <w:kern w:val="0"/>
                      <w:lang w:val="en-US" w:eastAsia="zh-CN"/>
                    </w:rPr>
                  </w:pPr>
                  <w:r>
                    <w:rPr>
                      <w:rFonts w:hint="eastAsia" w:eastAsia="宋体"/>
                      <w:color w:val="auto"/>
                      <w:kern w:val="0"/>
                      <w:lang w:val="en-US" w:eastAsia="zh-CN"/>
                    </w:rPr>
                    <w:t>0.2</w:t>
                  </w:r>
                </w:p>
              </w:tc>
              <w:tc>
                <w:tcPr>
                  <w:tcW w:w="571" w:type="pct"/>
                  <w:tcBorders>
                    <w:tl2br w:val="nil"/>
                    <w:tr2bl w:val="nil"/>
                  </w:tcBorders>
                  <w:vAlign w:val="center"/>
                </w:tcPr>
                <w:p w14:paraId="44BCBC82">
                  <w:pPr>
                    <w:pStyle w:val="656"/>
                    <w:snapToGrid w:val="0"/>
                    <w:rPr>
                      <w:rFonts w:hint="default" w:cs="Times New Roman"/>
                      <w:i w:val="0"/>
                      <w:iCs w:val="0"/>
                      <w:snapToGrid w:val="0"/>
                      <w:color w:val="auto"/>
                      <w:kern w:val="0"/>
                      <w:sz w:val="21"/>
                      <w:szCs w:val="21"/>
                      <w:u w:val="none"/>
                      <w:lang w:val="en-US" w:eastAsia="zh-CN" w:bidi="ar"/>
                    </w:rPr>
                  </w:pPr>
                  <w:r>
                    <w:rPr>
                      <w:rFonts w:hint="eastAsia" w:cs="Times New Roman"/>
                      <w:i w:val="0"/>
                      <w:iCs w:val="0"/>
                      <w:snapToGrid w:val="0"/>
                      <w:color w:val="auto"/>
                      <w:kern w:val="0"/>
                      <w:sz w:val="21"/>
                      <w:szCs w:val="21"/>
                      <w:u w:val="none"/>
                      <w:lang w:val="en-US" w:eastAsia="zh-CN" w:bidi="ar"/>
                    </w:rPr>
                    <w:t>0.012</w:t>
                  </w:r>
                </w:p>
              </w:tc>
            </w:tr>
            <w:tr w14:paraId="267B91F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75" w:type="pct"/>
                  <w:vMerge w:val="continue"/>
                  <w:tcBorders>
                    <w:tl2br w:val="nil"/>
                    <w:tr2bl w:val="nil"/>
                  </w:tcBorders>
                  <w:vAlign w:val="center"/>
                </w:tcPr>
                <w:p w14:paraId="5E9073D8">
                  <w:pPr>
                    <w:pStyle w:val="698"/>
                    <w:keepNext w:val="0"/>
                    <w:keepLines w:val="0"/>
                    <w:pageBreakBefore w:val="0"/>
                    <w:kinsoku/>
                    <w:wordWrap/>
                    <w:overflowPunct/>
                    <w:topLinePunct w:val="0"/>
                    <w:autoSpaceDE/>
                    <w:autoSpaceDN/>
                    <w:bidi w:val="0"/>
                    <w:adjustRightInd w:val="0"/>
                    <w:snapToGrid w:val="0"/>
                    <w:textAlignment w:val="auto"/>
                    <w:rPr>
                      <w:rFonts w:hint="eastAsia" w:eastAsia="宋体"/>
                      <w:color w:val="auto"/>
                      <w:kern w:val="0"/>
                    </w:rPr>
                  </w:pPr>
                </w:p>
              </w:tc>
              <w:tc>
                <w:tcPr>
                  <w:tcW w:w="726" w:type="pct"/>
                  <w:tcBorders>
                    <w:tl2br w:val="nil"/>
                    <w:tr2bl w:val="nil"/>
                  </w:tcBorders>
                  <w:shd w:val="clear" w:color="auto" w:fill="auto"/>
                  <w:vAlign w:val="center"/>
                </w:tcPr>
                <w:p w14:paraId="6F1D1650">
                  <w:pPr>
                    <w:pStyle w:val="698"/>
                    <w:keepNext w:val="0"/>
                    <w:keepLines w:val="0"/>
                    <w:pageBreakBefore w:val="0"/>
                    <w:kinsoku/>
                    <w:wordWrap/>
                    <w:overflowPunct/>
                    <w:topLinePunct w:val="0"/>
                    <w:autoSpaceDE/>
                    <w:autoSpaceDN/>
                    <w:bidi w:val="0"/>
                    <w:adjustRightInd w:val="0"/>
                    <w:snapToGrid w:val="0"/>
                    <w:textAlignment w:val="auto"/>
                    <w:rPr>
                      <w:rFonts w:hint="eastAsia" w:ascii="Times New Roman" w:hAnsi="Times New Roman" w:eastAsia="宋体" w:cs="Times New Roman"/>
                      <w:bCs/>
                      <w:snapToGrid w:val="0"/>
                      <w:color w:val="auto"/>
                      <w:kern w:val="0"/>
                      <w:sz w:val="21"/>
                      <w:szCs w:val="21"/>
                      <w:lang w:val="en-US" w:eastAsia="zh-CN" w:bidi="ar-SA"/>
                    </w:rPr>
                  </w:pPr>
                  <w:r>
                    <w:rPr>
                      <w:rFonts w:hint="eastAsia" w:eastAsia="宋体"/>
                      <w:bCs/>
                      <w:color w:val="auto"/>
                      <w:kern w:val="0"/>
                      <w:lang w:val="en-US" w:eastAsia="zh-CN"/>
                    </w:rPr>
                    <w:t>颗粒物</w:t>
                  </w:r>
                </w:p>
              </w:tc>
              <w:tc>
                <w:tcPr>
                  <w:tcW w:w="707" w:type="pct"/>
                  <w:tcBorders>
                    <w:tl2br w:val="nil"/>
                    <w:tr2bl w:val="nil"/>
                  </w:tcBorders>
                  <w:shd w:val="clear" w:color="auto" w:fill="auto"/>
                  <w:vAlign w:val="center"/>
                </w:tcPr>
                <w:p w14:paraId="53A36E17">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s="Times New Roman"/>
                      <w:snapToGrid w:val="0"/>
                      <w:color w:val="auto"/>
                      <w:kern w:val="0"/>
                      <w:sz w:val="21"/>
                      <w:szCs w:val="21"/>
                      <w:lang w:val="en-US" w:eastAsia="zh-CN" w:bidi="ar-SA"/>
                    </w:rPr>
                  </w:pPr>
                  <w:r>
                    <w:rPr>
                      <w:rFonts w:hint="eastAsia" w:eastAsia="宋体"/>
                      <w:color w:val="auto"/>
                      <w:kern w:val="0"/>
                      <w:lang w:val="en-US" w:eastAsia="zh-CN"/>
                    </w:rPr>
                    <w:t>--</w:t>
                  </w:r>
                </w:p>
              </w:tc>
              <w:tc>
                <w:tcPr>
                  <w:tcW w:w="1282" w:type="pct"/>
                  <w:vMerge w:val="continue"/>
                  <w:tcBorders>
                    <w:tl2br w:val="nil"/>
                    <w:tr2bl w:val="nil"/>
                  </w:tcBorders>
                  <w:shd w:val="clear" w:color="auto" w:fill="auto"/>
                  <w:vAlign w:val="center"/>
                </w:tcPr>
                <w:p w14:paraId="5FF4ADDD">
                  <w:pPr>
                    <w:keepNext w:val="0"/>
                    <w:keepLines w:val="0"/>
                    <w:pageBreakBefore w:val="0"/>
                    <w:kinsoku/>
                    <w:wordWrap/>
                    <w:overflowPunct/>
                    <w:topLinePunct w:val="0"/>
                    <w:autoSpaceDE/>
                    <w:autoSpaceDN/>
                    <w:bidi w:val="0"/>
                    <w:adjustRightInd w:val="0"/>
                    <w:snapToGrid w:val="0"/>
                    <w:jc w:val="center"/>
                    <w:textAlignment w:val="auto"/>
                    <w:rPr>
                      <w:rFonts w:ascii="Times New Roman" w:hAnsi="Times New Roman" w:eastAsia="宋体" w:cs="Times New Roman"/>
                      <w:snapToGrid w:val="0"/>
                      <w:color w:val="auto"/>
                      <w:kern w:val="0"/>
                      <w:sz w:val="21"/>
                      <w:szCs w:val="21"/>
                      <w:lang w:val="en-US" w:eastAsia="zh-CN" w:bidi="ar-SA"/>
                    </w:rPr>
                  </w:pPr>
                </w:p>
              </w:tc>
              <w:tc>
                <w:tcPr>
                  <w:tcW w:w="1037" w:type="pct"/>
                  <w:tcBorders>
                    <w:tl2br w:val="nil"/>
                    <w:tr2bl w:val="nil"/>
                  </w:tcBorders>
                  <w:shd w:val="clear" w:color="auto" w:fill="auto"/>
                  <w:vAlign w:val="center"/>
                </w:tcPr>
                <w:p w14:paraId="2FE2AC17">
                  <w:pPr>
                    <w:pStyle w:val="698"/>
                    <w:keepNext w:val="0"/>
                    <w:keepLines w:val="0"/>
                    <w:pageBreakBefore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kern w:val="0"/>
                      <w:sz w:val="21"/>
                      <w:szCs w:val="21"/>
                      <w:lang w:val="en-US" w:eastAsia="zh-CN" w:bidi="ar-SA"/>
                    </w:rPr>
                  </w:pPr>
                  <w:r>
                    <w:rPr>
                      <w:rFonts w:hint="eastAsia" w:eastAsia="宋体"/>
                      <w:color w:val="auto"/>
                      <w:kern w:val="0"/>
                      <w:lang w:val="en-US" w:eastAsia="zh-CN"/>
                    </w:rPr>
                    <w:t>0.5</w:t>
                  </w:r>
                </w:p>
              </w:tc>
              <w:tc>
                <w:tcPr>
                  <w:tcW w:w="571" w:type="pct"/>
                  <w:tcBorders>
                    <w:tl2br w:val="nil"/>
                    <w:tr2bl w:val="nil"/>
                  </w:tcBorders>
                  <w:shd w:val="clear" w:color="auto" w:fill="auto"/>
                  <w:vAlign w:val="center"/>
                </w:tcPr>
                <w:p w14:paraId="1392F52A">
                  <w:pPr>
                    <w:pStyle w:val="656"/>
                    <w:snapToGrid w:val="0"/>
                    <w:rPr>
                      <w:rFonts w:hint="default" w:ascii="Times New Roman" w:hAnsi="Times New Roman" w:eastAsia="宋体" w:cs="Times New Roman"/>
                      <w:snapToGrid w:val="0"/>
                      <w:color w:val="auto"/>
                      <w:kern w:val="0"/>
                      <w:sz w:val="21"/>
                      <w:szCs w:val="21"/>
                      <w:lang w:val="en-US" w:eastAsia="zh-CN" w:bidi="ar-SA"/>
                    </w:rPr>
                  </w:pPr>
                  <w:r>
                    <w:rPr>
                      <w:rFonts w:hint="eastAsia" w:eastAsia="宋体" w:cs="Times New Roman"/>
                      <w:snapToGrid w:val="0"/>
                      <w:color w:val="auto"/>
                      <w:kern w:val="0"/>
                      <w:sz w:val="21"/>
                      <w:szCs w:val="21"/>
                      <w:lang w:val="en-US" w:eastAsia="zh-CN" w:bidi="ar-SA"/>
                    </w:rPr>
                    <w:t>0.03291</w:t>
                  </w:r>
                </w:p>
              </w:tc>
            </w:tr>
            <w:tr w14:paraId="02CB129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675" w:type="pct"/>
                  <w:vMerge w:val="continue"/>
                  <w:tcBorders>
                    <w:tl2br w:val="nil"/>
                    <w:tr2bl w:val="nil"/>
                  </w:tcBorders>
                  <w:vAlign w:val="center"/>
                </w:tcPr>
                <w:p w14:paraId="022DE19E">
                  <w:pPr>
                    <w:pStyle w:val="698"/>
                    <w:keepNext w:val="0"/>
                    <w:keepLines w:val="0"/>
                    <w:pageBreakBefore w:val="0"/>
                    <w:kinsoku/>
                    <w:wordWrap/>
                    <w:overflowPunct/>
                    <w:topLinePunct w:val="0"/>
                    <w:autoSpaceDE/>
                    <w:autoSpaceDN/>
                    <w:bidi w:val="0"/>
                    <w:adjustRightInd w:val="0"/>
                    <w:snapToGrid w:val="0"/>
                    <w:textAlignment w:val="auto"/>
                    <w:rPr>
                      <w:rFonts w:eastAsia="宋体"/>
                      <w:color w:val="auto"/>
                      <w:kern w:val="0"/>
                    </w:rPr>
                  </w:pPr>
                </w:p>
              </w:tc>
              <w:tc>
                <w:tcPr>
                  <w:tcW w:w="726" w:type="pct"/>
                  <w:tcBorders>
                    <w:tl2br w:val="nil"/>
                    <w:tr2bl w:val="nil"/>
                  </w:tcBorders>
                  <w:vAlign w:val="center"/>
                </w:tcPr>
                <w:p w14:paraId="323595DA">
                  <w:pPr>
                    <w:pStyle w:val="698"/>
                    <w:keepNext w:val="0"/>
                    <w:keepLines w:val="0"/>
                    <w:pageBreakBefore w:val="0"/>
                    <w:kinsoku/>
                    <w:wordWrap/>
                    <w:overflowPunct/>
                    <w:topLinePunct w:val="0"/>
                    <w:autoSpaceDE/>
                    <w:autoSpaceDN/>
                    <w:bidi w:val="0"/>
                    <w:adjustRightInd w:val="0"/>
                    <w:snapToGrid w:val="0"/>
                    <w:textAlignment w:val="auto"/>
                    <w:rPr>
                      <w:rFonts w:hint="default" w:eastAsia="宋体"/>
                      <w:bCs/>
                      <w:color w:val="auto"/>
                      <w:kern w:val="0"/>
                      <w:lang w:val="en-US" w:eastAsia="zh-CN"/>
                    </w:rPr>
                  </w:pPr>
                  <w:r>
                    <w:rPr>
                      <w:rFonts w:hint="eastAsia" w:eastAsia="宋体"/>
                      <w:bCs/>
                      <w:color w:val="auto"/>
                      <w:kern w:val="0"/>
                      <w:lang w:val="en-US" w:eastAsia="zh-CN"/>
                    </w:rPr>
                    <w:t>三甲苯</w:t>
                  </w:r>
                </w:p>
              </w:tc>
              <w:tc>
                <w:tcPr>
                  <w:tcW w:w="707" w:type="pct"/>
                  <w:tcBorders>
                    <w:tl2br w:val="nil"/>
                    <w:tr2bl w:val="nil"/>
                  </w:tcBorders>
                  <w:vAlign w:val="center"/>
                </w:tcPr>
                <w:p w14:paraId="74014740">
                  <w:pPr>
                    <w:keepNext w:val="0"/>
                    <w:keepLines w:val="0"/>
                    <w:pageBreakBefore w:val="0"/>
                    <w:kinsoku/>
                    <w:wordWrap/>
                    <w:overflowPunct/>
                    <w:topLinePunct w:val="0"/>
                    <w:autoSpaceDE/>
                    <w:autoSpaceDN/>
                    <w:bidi w:val="0"/>
                    <w:adjustRightInd w:val="0"/>
                    <w:snapToGrid w:val="0"/>
                    <w:jc w:val="center"/>
                    <w:textAlignment w:val="auto"/>
                    <w:rPr>
                      <w:color w:val="auto"/>
                      <w:kern w:val="0"/>
                    </w:rPr>
                  </w:pPr>
                  <w:r>
                    <w:rPr>
                      <w:rFonts w:hint="eastAsia" w:eastAsia="宋体"/>
                      <w:color w:val="auto"/>
                      <w:kern w:val="0"/>
                      <w:lang w:val="en-US" w:eastAsia="zh-CN"/>
                    </w:rPr>
                    <w:t>--</w:t>
                  </w:r>
                </w:p>
              </w:tc>
              <w:tc>
                <w:tcPr>
                  <w:tcW w:w="1282" w:type="pct"/>
                  <w:tcBorders>
                    <w:tl2br w:val="nil"/>
                    <w:tr2bl w:val="nil"/>
                  </w:tcBorders>
                  <w:vAlign w:val="center"/>
                </w:tcPr>
                <w:p w14:paraId="5E6817CF">
                  <w:pPr>
                    <w:keepNext w:val="0"/>
                    <w:keepLines w:val="0"/>
                    <w:pageBreakBefore w:val="0"/>
                    <w:kinsoku/>
                    <w:wordWrap/>
                    <w:overflowPunct/>
                    <w:topLinePunct w:val="0"/>
                    <w:autoSpaceDE/>
                    <w:autoSpaceDN/>
                    <w:bidi w:val="0"/>
                    <w:adjustRightInd w:val="0"/>
                    <w:snapToGrid w:val="0"/>
                    <w:jc w:val="center"/>
                    <w:textAlignment w:val="auto"/>
                    <w:rPr>
                      <w:rFonts w:hint="eastAsia" w:eastAsia="宋体"/>
                      <w:color w:val="auto"/>
                      <w:kern w:val="0"/>
                      <w:lang w:val="en-US" w:eastAsia="zh-CN"/>
                    </w:rPr>
                  </w:pPr>
                  <w:r>
                    <w:rPr>
                      <w:rFonts w:hint="eastAsia" w:eastAsia="宋体"/>
                      <w:color w:val="auto"/>
                      <w:kern w:val="0"/>
                      <w:lang w:val="en-US" w:eastAsia="zh-CN"/>
                    </w:rPr>
                    <w:t>--</w:t>
                  </w:r>
                </w:p>
              </w:tc>
              <w:tc>
                <w:tcPr>
                  <w:tcW w:w="1037" w:type="pct"/>
                  <w:tcBorders>
                    <w:tl2br w:val="nil"/>
                    <w:tr2bl w:val="nil"/>
                  </w:tcBorders>
                  <w:vAlign w:val="center"/>
                </w:tcPr>
                <w:p w14:paraId="65108195">
                  <w:pPr>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auto"/>
                      <w:kern w:val="0"/>
                      <w:lang w:val="en-US" w:eastAsia="zh-CN"/>
                    </w:rPr>
                  </w:pPr>
                  <w:r>
                    <w:rPr>
                      <w:rFonts w:hint="eastAsia" w:eastAsia="宋体"/>
                      <w:color w:val="auto"/>
                      <w:kern w:val="0"/>
                      <w:lang w:val="en-US" w:eastAsia="zh-CN"/>
                    </w:rPr>
                    <w:t>--</w:t>
                  </w:r>
                </w:p>
              </w:tc>
              <w:tc>
                <w:tcPr>
                  <w:tcW w:w="571" w:type="pct"/>
                  <w:tcBorders>
                    <w:tl2br w:val="nil"/>
                    <w:tr2bl w:val="nil"/>
                  </w:tcBorders>
                  <w:vAlign w:val="center"/>
                </w:tcPr>
                <w:p w14:paraId="72F99B85">
                  <w:pPr>
                    <w:pStyle w:val="656"/>
                    <w:snapToGrid w:val="0"/>
                    <w:rPr>
                      <w:rFonts w:hint="default" w:eastAsia="宋体"/>
                      <w:color w:val="auto"/>
                      <w:kern w:val="0"/>
                      <w:sz w:val="21"/>
                      <w:szCs w:val="21"/>
                      <w:lang w:val="en-US" w:eastAsia="zh-CN"/>
                    </w:rPr>
                  </w:pPr>
                  <w:r>
                    <w:rPr>
                      <w:rFonts w:hint="eastAsia" w:eastAsia="宋体"/>
                      <w:color w:val="auto"/>
                      <w:kern w:val="0"/>
                      <w:sz w:val="21"/>
                      <w:szCs w:val="21"/>
                      <w:lang w:val="en-US" w:eastAsia="zh-CN"/>
                    </w:rPr>
                    <w:t>0.00045</w:t>
                  </w:r>
                </w:p>
              </w:tc>
            </w:tr>
            <w:tr w14:paraId="4A666BD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1401" w:type="pct"/>
                  <w:gridSpan w:val="2"/>
                  <w:vMerge w:val="restart"/>
                  <w:tcBorders>
                    <w:tl2br w:val="nil"/>
                    <w:tr2bl w:val="nil"/>
                  </w:tcBorders>
                  <w:vAlign w:val="center"/>
                </w:tcPr>
                <w:p w14:paraId="41D34852">
                  <w:pPr>
                    <w:pStyle w:val="698"/>
                    <w:keepNext w:val="0"/>
                    <w:keepLines w:val="0"/>
                    <w:pageBreakBefore w:val="0"/>
                    <w:kinsoku/>
                    <w:wordWrap/>
                    <w:overflowPunct/>
                    <w:topLinePunct w:val="0"/>
                    <w:autoSpaceDE/>
                    <w:autoSpaceDN/>
                    <w:bidi w:val="0"/>
                    <w:adjustRightInd w:val="0"/>
                    <w:snapToGrid w:val="0"/>
                    <w:textAlignment w:val="auto"/>
                    <w:rPr>
                      <w:rFonts w:eastAsia="宋体"/>
                      <w:color w:val="auto"/>
                      <w:kern w:val="0"/>
                    </w:rPr>
                  </w:pPr>
                  <w:r>
                    <w:rPr>
                      <w:rFonts w:eastAsia="宋体"/>
                      <w:color w:val="auto"/>
                      <w:kern w:val="0"/>
                    </w:rPr>
                    <w:t>无组织排放总计</w:t>
                  </w:r>
                </w:p>
              </w:tc>
              <w:tc>
                <w:tcPr>
                  <w:tcW w:w="3026" w:type="pct"/>
                  <w:gridSpan w:val="3"/>
                  <w:tcBorders>
                    <w:tl2br w:val="nil"/>
                    <w:tr2bl w:val="nil"/>
                  </w:tcBorders>
                  <w:vAlign w:val="center"/>
                </w:tcPr>
                <w:p w14:paraId="444A1994">
                  <w:pPr>
                    <w:pStyle w:val="698"/>
                    <w:keepNext w:val="0"/>
                    <w:keepLines w:val="0"/>
                    <w:pageBreakBefore w:val="0"/>
                    <w:kinsoku/>
                    <w:wordWrap/>
                    <w:overflowPunct/>
                    <w:topLinePunct w:val="0"/>
                    <w:autoSpaceDE/>
                    <w:autoSpaceDN/>
                    <w:bidi w:val="0"/>
                    <w:adjustRightInd w:val="0"/>
                    <w:snapToGrid w:val="0"/>
                    <w:textAlignment w:val="auto"/>
                    <w:rPr>
                      <w:rFonts w:eastAsia="宋体"/>
                      <w:color w:val="auto"/>
                      <w:kern w:val="0"/>
                    </w:rPr>
                  </w:pPr>
                  <w:r>
                    <w:rPr>
                      <w:rFonts w:hint="eastAsia" w:eastAsia="宋体"/>
                      <w:bCs/>
                      <w:color w:val="auto"/>
                      <w:kern w:val="0"/>
                    </w:rPr>
                    <w:t>非甲烷总烃</w:t>
                  </w:r>
                </w:p>
              </w:tc>
              <w:tc>
                <w:tcPr>
                  <w:tcW w:w="1012" w:type="dxa"/>
                  <w:tcBorders>
                    <w:tl2br w:val="nil"/>
                    <w:tr2bl w:val="nil"/>
                  </w:tcBorders>
                  <w:shd w:val="clear" w:color="auto" w:fill="auto"/>
                  <w:vAlign w:val="center"/>
                </w:tcPr>
                <w:p w14:paraId="29851E86">
                  <w:pPr>
                    <w:pStyle w:val="656"/>
                    <w:snapToGrid w:val="0"/>
                    <w:rPr>
                      <w:rFonts w:hint="default" w:ascii="Times New Roman" w:hAnsi="Times New Roman" w:eastAsia="宋体" w:cs="Times New Roman"/>
                      <w:snapToGrid w:val="0"/>
                      <w:color w:val="auto"/>
                      <w:kern w:val="0"/>
                      <w:sz w:val="21"/>
                      <w:szCs w:val="21"/>
                      <w:lang w:val="en-US" w:eastAsia="zh-CN" w:bidi="ar-SA"/>
                    </w:rPr>
                  </w:pPr>
                  <w:r>
                    <w:rPr>
                      <w:rFonts w:hint="eastAsia" w:eastAsia="宋体"/>
                      <w:color w:val="auto"/>
                      <w:kern w:val="0"/>
                      <w:sz w:val="21"/>
                      <w:szCs w:val="21"/>
                      <w:lang w:val="en-US" w:eastAsia="zh-CN"/>
                    </w:rPr>
                    <w:t>0.0518</w:t>
                  </w:r>
                </w:p>
              </w:tc>
            </w:tr>
            <w:tr w14:paraId="61F0C17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1401" w:type="pct"/>
                  <w:gridSpan w:val="2"/>
                  <w:vMerge w:val="continue"/>
                  <w:tcBorders>
                    <w:tl2br w:val="nil"/>
                    <w:tr2bl w:val="nil"/>
                  </w:tcBorders>
                  <w:vAlign w:val="center"/>
                </w:tcPr>
                <w:p w14:paraId="6B9EE6AE">
                  <w:pPr>
                    <w:pStyle w:val="698"/>
                    <w:keepNext w:val="0"/>
                    <w:keepLines w:val="0"/>
                    <w:pageBreakBefore w:val="0"/>
                    <w:kinsoku/>
                    <w:wordWrap/>
                    <w:overflowPunct/>
                    <w:topLinePunct w:val="0"/>
                    <w:autoSpaceDE/>
                    <w:autoSpaceDN/>
                    <w:bidi w:val="0"/>
                    <w:adjustRightInd w:val="0"/>
                    <w:snapToGrid w:val="0"/>
                    <w:textAlignment w:val="auto"/>
                    <w:rPr>
                      <w:rFonts w:eastAsia="宋体"/>
                      <w:color w:val="auto"/>
                      <w:kern w:val="0"/>
                    </w:rPr>
                  </w:pPr>
                </w:p>
              </w:tc>
              <w:tc>
                <w:tcPr>
                  <w:tcW w:w="3026" w:type="pct"/>
                  <w:gridSpan w:val="3"/>
                  <w:tcBorders>
                    <w:tl2br w:val="nil"/>
                    <w:tr2bl w:val="nil"/>
                  </w:tcBorders>
                  <w:shd w:val="clear" w:color="auto" w:fill="auto"/>
                  <w:vAlign w:val="center"/>
                </w:tcPr>
                <w:p w14:paraId="552AF701">
                  <w:pPr>
                    <w:pStyle w:val="656"/>
                    <w:snapToGrid w:val="0"/>
                    <w:rPr>
                      <w:rFonts w:hint="eastAsia" w:ascii="Times New Roman" w:hAnsi="Times New Roman" w:eastAsia="仿宋_GB2312" w:cs="Times New Roman"/>
                      <w:bCs/>
                      <w:snapToGrid w:val="0"/>
                      <w:color w:val="auto"/>
                      <w:kern w:val="0"/>
                      <w:sz w:val="28"/>
                      <w:szCs w:val="28"/>
                      <w:lang w:val="en-US" w:eastAsia="zh-CN" w:bidi="ar-SA"/>
                    </w:rPr>
                  </w:pPr>
                  <w:r>
                    <w:rPr>
                      <w:rFonts w:hint="eastAsia" w:eastAsia="宋体"/>
                      <w:color w:val="auto"/>
                      <w:sz w:val="21"/>
                      <w:szCs w:val="21"/>
                      <w:lang w:val="en-US" w:eastAsia="zh-CN"/>
                    </w:rPr>
                    <w:t>苯系物</w:t>
                  </w:r>
                </w:p>
              </w:tc>
              <w:tc>
                <w:tcPr>
                  <w:tcW w:w="1012" w:type="dxa"/>
                  <w:tcBorders>
                    <w:tl2br w:val="nil"/>
                    <w:tr2bl w:val="nil"/>
                  </w:tcBorders>
                  <w:shd w:val="clear" w:color="auto" w:fill="auto"/>
                  <w:vAlign w:val="center"/>
                </w:tcPr>
                <w:p w14:paraId="7F22D2E5">
                  <w:pPr>
                    <w:pStyle w:val="656"/>
                    <w:snapToGrid w:val="0"/>
                    <w:rPr>
                      <w:rFonts w:hint="eastAsia" w:ascii="Times New Roman" w:hAnsi="Times New Roman" w:eastAsia="宋体" w:cs="Times New Roman"/>
                      <w:snapToGrid w:val="0"/>
                      <w:color w:val="auto"/>
                      <w:kern w:val="2"/>
                      <w:sz w:val="21"/>
                      <w:szCs w:val="21"/>
                      <w:lang w:val="en-US" w:eastAsia="zh-CN" w:bidi="ar-SA"/>
                    </w:rPr>
                  </w:pPr>
                  <w:r>
                    <w:rPr>
                      <w:rFonts w:hint="eastAsia" w:eastAsia="宋体" w:cs="Times New Roman"/>
                      <w:snapToGrid w:val="0"/>
                      <w:color w:val="auto"/>
                      <w:kern w:val="2"/>
                      <w:sz w:val="21"/>
                      <w:szCs w:val="21"/>
                      <w:lang w:val="en-US" w:eastAsia="zh-CN" w:bidi="ar-SA"/>
                    </w:rPr>
                    <w:t>0.0121</w:t>
                  </w:r>
                </w:p>
              </w:tc>
            </w:tr>
            <w:tr w14:paraId="5731575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1401" w:type="pct"/>
                  <w:gridSpan w:val="2"/>
                  <w:vMerge w:val="continue"/>
                  <w:tcBorders>
                    <w:tl2br w:val="nil"/>
                    <w:tr2bl w:val="nil"/>
                  </w:tcBorders>
                  <w:vAlign w:val="center"/>
                </w:tcPr>
                <w:p w14:paraId="1C7DE4FE">
                  <w:pPr>
                    <w:pStyle w:val="698"/>
                    <w:keepNext w:val="0"/>
                    <w:keepLines w:val="0"/>
                    <w:pageBreakBefore w:val="0"/>
                    <w:kinsoku/>
                    <w:wordWrap/>
                    <w:overflowPunct/>
                    <w:topLinePunct w:val="0"/>
                    <w:autoSpaceDE/>
                    <w:autoSpaceDN/>
                    <w:bidi w:val="0"/>
                    <w:adjustRightInd w:val="0"/>
                    <w:snapToGrid w:val="0"/>
                    <w:textAlignment w:val="auto"/>
                    <w:rPr>
                      <w:rFonts w:eastAsia="宋体"/>
                      <w:color w:val="auto"/>
                      <w:kern w:val="0"/>
                    </w:rPr>
                  </w:pPr>
                </w:p>
              </w:tc>
              <w:tc>
                <w:tcPr>
                  <w:tcW w:w="3026" w:type="pct"/>
                  <w:gridSpan w:val="3"/>
                  <w:tcBorders>
                    <w:tl2br w:val="nil"/>
                    <w:tr2bl w:val="nil"/>
                  </w:tcBorders>
                  <w:shd w:val="clear" w:color="auto" w:fill="auto"/>
                  <w:vAlign w:val="center"/>
                </w:tcPr>
                <w:p w14:paraId="31F37576">
                  <w:pPr>
                    <w:pStyle w:val="656"/>
                    <w:snapToGrid w:val="0"/>
                    <w:rPr>
                      <w:rFonts w:hint="eastAsia" w:ascii="Times New Roman" w:hAnsi="Times New Roman" w:eastAsia="仿宋_GB2312" w:cs="Times New Roman"/>
                      <w:bCs/>
                      <w:snapToGrid w:val="0"/>
                      <w:color w:val="auto"/>
                      <w:kern w:val="0"/>
                      <w:sz w:val="28"/>
                      <w:szCs w:val="28"/>
                      <w:lang w:val="en-US" w:eastAsia="zh-CN" w:bidi="ar-SA"/>
                    </w:rPr>
                  </w:pPr>
                  <w:r>
                    <w:rPr>
                      <w:rFonts w:hint="eastAsia" w:eastAsia="宋体"/>
                      <w:color w:val="auto"/>
                      <w:sz w:val="21"/>
                      <w:szCs w:val="21"/>
                      <w:lang w:val="en-US" w:eastAsia="zh-CN"/>
                    </w:rPr>
                    <w:t>二甲苯</w:t>
                  </w:r>
                </w:p>
              </w:tc>
              <w:tc>
                <w:tcPr>
                  <w:tcW w:w="1012" w:type="dxa"/>
                  <w:tcBorders>
                    <w:tl2br w:val="nil"/>
                    <w:tr2bl w:val="nil"/>
                  </w:tcBorders>
                  <w:shd w:val="clear" w:color="auto" w:fill="auto"/>
                  <w:vAlign w:val="center"/>
                </w:tcPr>
                <w:p w14:paraId="0D0AAB92">
                  <w:pPr>
                    <w:pStyle w:val="656"/>
                    <w:snapToGrid w:val="0"/>
                    <w:rPr>
                      <w:rFonts w:hint="eastAsia" w:ascii="Times New Roman" w:hAnsi="Times New Roman" w:eastAsia="仿宋_GB2312" w:cs="Times New Roman"/>
                      <w:i w:val="0"/>
                      <w:iCs w:val="0"/>
                      <w:snapToGrid w:val="0"/>
                      <w:color w:val="auto"/>
                      <w:kern w:val="0"/>
                      <w:sz w:val="21"/>
                      <w:szCs w:val="21"/>
                      <w:u w:val="none"/>
                      <w:lang w:val="en-US" w:eastAsia="zh-CN" w:bidi="ar"/>
                    </w:rPr>
                  </w:pPr>
                  <w:r>
                    <w:rPr>
                      <w:rFonts w:hint="eastAsia" w:cs="Times New Roman"/>
                      <w:i w:val="0"/>
                      <w:iCs w:val="0"/>
                      <w:snapToGrid w:val="0"/>
                      <w:color w:val="auto"/>
                      <w:kern w:val="0"/>
                      <w:sz w:val="21"/>
                      <w:szCs w:val="21"/>
                      <w:u w:val="none"/>
                      <w:lang w:val="en-US" w:eastAsia="zh-CN" w:bidi="ar"/>
                    </w:rPr>
                    <w:t>0.012</w:t>
                  </w:r>
                </w:p>
              </w:tc>
            </w:tr>
            <w:tr w14:paraId="7C55141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1401" w:type="pct"/>
                  <w:gridSpan w:val="2"/>
                  <w:vMerge w:val="continue"/>
                  <w:tcBorders>
                    <w:tl2br w:val="nil"/>
                    <w:tr2bl w:val="nil"/>
                  </w:tcBorders>
                  <w:vAlign w:val="center"/>
                </w:tcPr>
                <w:p w14:paraId="3034581E">
                  <w:pPr>
                    <w:pStyle w:val="698"/>
                    <w:keepNext w:val="0"/>
                    <w:keepLines w:val="0"/>
                    <w:pageBreakBefore w:val="0"/>
                    <w:kinsoku/>
                    <w:wordWrap/>
                    <w:overflowPunct/>
                    <w:topLinePunct w:val="0"/>
                    <w:autoSpaceDE/>
                    <w:autoSpaceDN/>
                    <w:bidi w:val="0"/>
                    <w:adjustRightInd w:val="0"/>
                    <w:snapToGrid w:val="0"/>
                    <w:textAlignment w:val="auto"/>
                    <w:rPr>
                      <w:rFonts w:eastAsia="宋体"/>
                      <w:color w:val="auto"/>
                      <w:kern w:val="0"/>
                    </w:rPr>
                  </w:pPr>
                </w:p>
              </w:tc>
              <w:tc>
                <w:tcPr>
                  <w:tcW w:w="3026" w:type="pct"/>
                  <w:gridSpan w:val="3"/>
                  <w:tcBorders>
                    <w:tl2br w:val="nil"/>
                    <w:tr2bl w:val="nil"/>
                  </w:tcBorders>
                  <w:shd w:val="clear" w:color="auto" w:fill="auto"/>
                  <w:vAlign w:val="center"/>
                </w:tcPr>
                <w:p w14:paraId="054A6192">
                  <w:pPr>
                    <w:pStyle w:val="656"/>
                    <w:snapToGrid w:val="0"/>
                    <w:rPr>
                      <w:rFonts w:hint="eastAsia" w:ascii="Times New Roman" w:hAnsi="Times New Roman" w:eastAsia="仿宋_GB2312" w:cs="Times New Roman"/>
                      <w:bCs/>
                      <w:snapToGrid w:val="0"/>
                      <w:color w:val="auto"/>
                      <w:kern w:val="0"/>
                      <w:sz w:val="28"/>
                      <w:szCs w:val="28"/>
                      <w:lang w:val="en-US" w:eastAsia="zh-CN" w:bidi="ar-SA"/>
                    </w:rPr>
                  </w:pPr>
                  <w:r>
                    <w:rPr>
                      <w:rFonts w:hint="eastAsia" w:eastAsia="宋体"/>
                      <w:color w:val="auto"/>
                      <w:sz w:val="21"/>
                      <w:szCs w:val="21"/>
                      <w:lang w:val="en-US" w:eastAsia="zh-CN"/>
                    </w:rPr>
                    <w:t>三甲苯</w:t>
                  </w:r>
                </w:p>
              </w:tc>
              <w:tc>
                <w:tcPr>
                  <w:tcW w:w="1012" w:type="dxa"/>
                  <w:tcBorders>
                    <w:tl2br w:val="nil"/>
                    <w:tr2bl w:val="nil"/>
                  </w:tcBorders>
                  <w:shd w:val="clear" w:color="auto" w:fill="auto"/>
                  <w:vAlign w:val="center"/>
                </w:tcPr>
                <w:p w14:paraId="0824B574">
                  <w:pPr>
                    <w:pStyle w:val="656"/>
                    <w:snapToGrid w:val="0"/>
                    <w:rPr>
                      <w:rFonts w:hint="default" w:ascii="Times New Roman" w:hAnsi="Times New Roman" w:eastAsia="宋体" w:cs="Times New Roman"/>
                      <w:snapToGrid w:val="0"/>
                      <w:color w:val="auto"/>
                      <w:kern w:val="0"/>
                      <w:sz w:val="21"/>
                      <w:szCs w:val="21"/>
                      <w:lang w:val="en-US" w:eastAsia="zh-CN" w:bidi="ar-SA"/>
                    </w:rPr>
                  </w:pPr>
                  <w:r>
                    <w:rPr>
                      <w:rFonts w:hint="eastAsia" w:eastAsia="宋体"/>
                      <w:color w:val="auto"/>
                      <w:kern w:val="0"/>
                      <w:sz w:val="21"/>
                      <w:szCs w:val="21"/>
                      <w:lang w:val="en-US" w:eastAsia="zh-CN"/>
                    </w:rPr>
                    <w:t>0.00045</w:t>
                  </w:r>
                </w:p>
              </w:tc>
            </w:tr>
            <w:tr w14:paraId="37FF7DC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jc w:val="center"/>
              </w:trPr>
              <w:tc>
                <w:tcPr>
                  <w:tcW w:w="1401" w:type="pct"/>
                  <w:gridSpan w:val="2"/>
                  <w:vMerge w:val="continue"/>
                  <w:tcBorders>
                    <w:tl2br w:val="nil"/>
                    <w:tr2bl w:val="nil"/>
                  </w:tcBorders>
                  <w:vAlign w:val="center"/>
                </w:tcPr>
                <w:p w14:paraId="42F8BC1F">
                  <w:pPr>
                    <w:pStyle w:val="698"/>
                    <w:keepNext w:val="0"/>
                    <w:keepLines w:val="0"/>
                    <w:pageBreakBefore w:val="0"/>
                    <w:kinsoku/>
                    <w:wordWrap/>
                    <w:overflowPunct/>
                    <w:topLinePunct w:val="0"/>
                    <w:autoSpaceDE/>
                    <w:autoSpaceDN/>
                    <w:bidi w:val="0"/>
                    <w:adjustRightInd w:val="0"/>
                    <w:snapToGrid w:val="0"/>
                    <w:textAlignment w:val="auto"/>
                    <w:rPr>
                      <w:rFonts w:eastAsia="宋体"/>
                      <w:color w:val="auto"/>
                      <w:kern w:val="0"/>
                    </w:rPr>
                  </w:pPr>
                </w:p>
              </w:tc>
              <w:tc>
                <w:tcPr>
                  <w:tcW w:w="3026" w:type="pct"/>
                  <w:gridSpan w:val="3"/>
                  <w:tcBorders>
                    <w:tl2br w:val="nil"/>
                    <w:tr2bl w:val="nil"/>
                  </w:tcBorders>
                  <w:vAlign w:val="center"/>
                </w:tcPr>
                <w:p w14:paraId="44F43522">
                  <w:pPr>
                    <w:pStyle w:val="698"/>
                    <w:keepNext w:val="0"/>
                    <w:keepLines w:val="0"/>
                    <w:pageBreakBefore w:val="0"/>
                    <w:kinsoku/>
                    <w:wordWrap/>
                    <w:overflowPunct/>
                    <w:topLinePunct w:val="0"/>
                    <w:autoSpaceDE/>
                    <w:autoSpaceDN/>
                    <w:bidi w:val="0"/>
                    <w:adjustRightInd w:val="0"/>
                    <w:snapToGrid w:val="0"/>
                    <w:textAlignment w:val="auto"/>
                    <w:rPr>
                      <w:rFonts w:hint="eastAsia" w:eastAsia="宋体"/>
                      <w:bCs/>
                      <w:color w:val="auto"/>
                      <w:kern w:val="0"/>
                      <w:lang w:eastAsia="zh-CN"/>
                    </w:rPr>
                  </w:pPr>
                  <w:r>
                    <w:rPr>
                      <w:rFonts w:hint="eastAsia" w:eastAsia="宋体"/>
                      <w:bCs/>
                      <w:color w:val="auto"/>
                      <w:kern w:val="0"/>
                      <w:lang w:val="en-US" w:eastAsia="zh-CN"/>
                    </w:rPr>
                    <w:t>颗粒物</w:t>
                  </w:r>
                </w:p>
              </w:tc>
              <w:tc>
                <w:tcPr>
                  <w:tcW w:w="1012" w:type="dxa"/>
                  <w:tcBorders>
                    <w:tl2br w:val="nil"/>
                    <w:tr2bl w:val="nil"/>
                  </w:tcBorders>
                  <w:shd w:val="clear" w:color="auto" w:fill="auto"/>
                  <w:vAlign w:val="center"/>
                </w:tcPr>
                <w:p w14:paraId="23AE8DA9">
                  <w:pPr>
                    <w:pStyle w:val="656"/>
                    <w:snapToGrid w:val="0"/>
                    <w:rPr>
                      <w:rFonts w:hint="default" w:ascii="Times New Roman" w:hAnsi="Times New Roman" w:eastAsia="宋体" w:cs="Times New Roman"/>
                      <w:snapToGrid w:val="0"/>
                      <w:color w:val="auto"/>
                      <w:kern w:val="0"/>
                      <w:sz w:val="21"/>
                      <w:szCs w:val="21"/>
                      <w:lang w:val="en-US" w:eastAsia="zh-CN" w:bidi="ar-SA"/>
                    </w:rPr>
                  </w:pPr>
                  <w:r>
                    <w:rPr>
                      <w:rFonts w:hint="eastAsia" w:eastAsia="宋体" w:cs="Times New Roman"/>
                      <w:snapToGrid w:val="0"/>
                      <w:color w:val="auto"/>
                      <w:kern w:val="0"/>
                      <w:sz w:val="21"/>
                      <w:szCs w:val="21"/>
                      <w:lang w:val="en-US" w:eastAsia="zh-CN" w:bidi="ar-SA"/>
                    </w:rPr>
                    <w:t>0.03291</w:t>
                  </w:r>
                </w:p>
              </w:tc>
            </w:tr>
          </w:tbl>
          <w:p w14:paraId="4FAC3331">
            <w:pPr>
              <w:pStyle w:val="699"/>
              <w:adjustRightInd w:val="0"/>
              <w:snapToGrid w:val="0"/>
              <w:spacing w:beforeLines="0" w:afterLines="0"/>
              <w:rPr>
                <w:rFonts w:eastAsia="宋体"/>
                <w:color w:val="auto"/>
                <w:kern w:val="0"/>
                <w:sz w:val="21"/>
                <w:szCs w:val="21"/>
              </w:rPr>
            </w:pPr>
            <w:r>
              <w:rPr>
                <w:rFonts w:eastAsia="宋体"/>
                <w:color w:val="auto"/>
                <w:kern w:val="0"/>
                <w:sz w:val="21"/>
                <w:szCs w:val="21"/>
              </w:rPr>
              <w:t>表4-</w:t>
            </w:r>
            <w:r>
              <w:rPr>
                <w:rFonts w:hint="eastAsia" w:eastAsia="宋体"/>
                <w:color w:val="auto"/>
                <w:kern w:val="0"/>
                <w:sz w:val="21"/>
                <w:szCs w:val="21"/>
              </w:rPr>
              <w:t>1</w:t>
            </w:r>
            <w:r>
              <w:rPr>
                <w:rFonts w:hint="eastAsia" w:eastAsia="宋体"/>
                <w:color w:val="auto"/>
                <w:kern w:val="0"/>
                <w:sz w:val="21"/>
                <w:szCs w:val="21"/>
                <w:lang w:val="en-US" w:eastAsia="zh-CN"/>
              </w:rPr>
              <w:t>0</w:t>
            </w:r>
            <w:r>
              <w:rPr>
                <w:rFonts w:hint="eastAsia" w:eastAsia="宋体"/>
                <w:color w:val="auto"/>
                <w:kern w:val="0"/>
                <w:sz w:val="21"/>
                <w:szCs w:val="21"/>
              </w:rPr>
              <w:t xml:space="preserve">   </w:t>
            </w:r>
            <w:r>
              <w:rPr>
                <w:rFonts w:eastAsia="宋体"/>
                <w:color w:val="auto"/>
                <w:kern w:val="0"/>
                <w:sz w:val="21"/>
                <w:szCs w:val="21"/>
              </w:rPr>
              <w:t>项目大气污染物年排放量核算表</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4489"/>
              <w:gridCol w:w="4367"/>
            </w:tblGrid>
            <w:tr w14:paraId="197EFA4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2534" w:type="pct"/>
                  <w:tcBorders>
                    <w:tl2br w:val="nil"/>
                    <w:tr2bl w:val="nil"/>
                  </w:tcBorders>
                  <w:vAlign w:val="center"/>
                </w:tcPr>
                <w:p w14:paraId="58406E89">
                  <w:pPr>
                    <w:pStyle w:val="700"/>
                    <w:keepNext w:val="0"/>
                    <w:keepLines w:val="0"/>
                    <w:pageBreakBefore w:val="0"/>
                    <w:kinsoku/>
                    <w:wordWrap/>
                    <w:overflowPunct/>
                    <w:topLinePunct w:val="0"/>
                    <w:autoSpaceDE/>
                    <w:autoSpaceDN/>
                    <w:bidi w:val="0"/>
                    <w:adjustRightInd w:val="0"/>
                    <w:snapToGrid w:val="0"/>
                    <w:textAlignment w:val="auto"/>
                    <w:rPr>
                      <w:rFonts w:eastAsia="宋体"/>
                      <w:color w:val="auto"/>
                      <w:kern w:val="0"/>
                      <w:sz w:val="21"/>
                      <w:szCs w:val="21"/>
                    </w:rPr>
                  </w:pPr>
                  <w:r>
                    <w:rPr>
                      <w:rFonts w:eastAsia="宋体"/>
                      <w:color w:val="auto"/>
                      <w:kern w:val="0"/>
                      <w:sz w:val="21"/>
                      <w:szCs w:val="21"/>
                    </w:rPr>
                    <w:t>污染物</w:t>
                  </w:r>
                </w:p>
              </w:tc>
              <w:tc>
                <w:tcPr>
                  <w:tcW w:w="2465" w:type="pct"/>
                  <w:tcBorders>
                    <w:tl2br w:val="nil"/>
                    <w:tr2bl w:val="nil"/>
                  </w:tcBorders>
                  <w:vAlign w:val="center"/>
                </w:tcPr>
                <w:p w14:paraId="710E8266">
                  <w:pPr>
                    <w:pStyle w:val="700"/>
                    <w:keepNext w:val="0"/>
                    <w:keepLines w:val="0"/>
                    <w:pageBreakBefore w:val="0"/>
                    <w:kinsoku/>
                    <w:wordWrap/>
                    <w:overflowPunct/>
                    <w:topLinePunct w:val="0"/>
                    <w:autoSpaceDE/>
                    <w:autoSpaceDN/>
                    <w:bidi w:val="0"/>
                    <w:adjustRightInd w:val="0"/>
                    <w:snapToGrid w:val="0"/>
                    <w:textAlignment w:val="auto"/>
                    <w:rPr>
                      <w:rFonts w:eastAsia="宋体"/>
                      <w:color w:val="auto"/>
                      <w:kern w:val="0"/>
                      <w:sz w:val="21"/>
                      <w:szCs w:val="21"/>
                    </w:rPr>
                  </w:pPr>
                  <w:r>
                    <w:rPr>
                      <w:rFonts w:eastAsia="宋体"/>
                      <w:color w:val="auto"/>
                      <w:kern w:val="0"/>
                      <w:sz w:val="21"/>
                      <w:szCs w:val="21"/>
                    </w:rPr>
                    <w:t>年排放量t/a</w:t>
                  </w:r>
                </w:p>
              </w:tc>
            </w:tr>
            <w:tr w14:paraId="5551895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534" w:type="pct"/>
                  <w:tcBorders>
                    <w:tl2br w:val="nil"/>
                    <w:tr2bl w:val="nil"/>
                  </w:tcBorders>
                  <w:vAlign w:val="center"/>
                </w:tcPr>
                <w:p w14:paraId="76E5697C">
                  <w:pPr>
                    <w:pStyle w:val="698"/>
                    <w:keepNext w:val="0"/>
                    <w:keepLines w:val="0"/>
                    <w:pageBreakBefore w:val="0"/>
                    <w:kinsoku/>
                    <w:wordWrap/>
                    <w:overflowPunct/>
                    <w:topLinePunct w:val="0"/>
                    <w:autoSpaceDE/>
                    <w:autoSpaceDN/>
                    <w:bidi w:val="0"/>
                    <w:adjustRightInd w:val="0"/>
                    <w:snapToGrid w:val="0"/>
                    <w:textAlignment w:val="auto"/>
                    <w:rPr>
                      <w:rFonts w:eastAsia="宋体"/>
                      <w:color w:val="auto"/>
                      <w:kern w:val="0"/>
                      <w:sz w:val="21"/>
                      <w:szCs w:val="21"/>
                    </w:rPr>
                  </w:pPr>
                  <w:r>
                    <w:rPr>
                      <w:rFonts w:hint="eastAsia" w:eastAsia="宋体"/>
                      <w:bCs/>
                      <w:color w:val="auto"/>
                      <w:kern w:val="0"/>
                      <w:sz w:val="21"/>
                      <w:szCs w:val="21"/>
                    </w:rPr>
                    <w:t>非甲烷总烃</w:t>
                  </w:r>
                </w:p>
              </w:tc>
              <w:tc>
                <w:tcPr>
                  <w:tcW w:w="2465" w:type="pct"/>
                  <w:tcBorders>
                    <w:tl2br w:val="nil"/>
                    <w:tr2bl w:val="nil"/>
                  </w:tcBorders>
                  <w:vAlign w:val="center"/>
                </w:tcPr>
                <w:p w14:paraId="0826CAF5">
                  <w:pPr>
                    <w:pStyle w:val="656"/>
                    <w:keepNext w:val="0"/>
                    <w:keepLines w:val="0"/>
                    <w:pageBreakBefore w:val="0"/>
                    <w:kinsoku/>
                    <w:wordWrap/>
                    <w:overflowPunct/>
                    <w:topLinePunct w:val="0"/>
                    <w:autoSpaceDE/>
                    <w:autoSpaceDN/>
                    <w:bidi w:val="0"/>
                    <w:adjustRightInd w:val="0"/>
                    <w:snapToGrid w:val="0"/>
                    <w:textAlignment w:val="auto"/>
                    <w:rPr>
                      <w:rFonts w:hint="default" w:eastAsia="宋体"/>
                      <w:color w:val="auto"/>
                      <w:kern w:val="0"/>
                      <w:sz w:val="21"/>
                      <w:szCs w:val="21"/>
                      <w:lang w:val="en-US" w:eastAsia="zh-CN"/>
                    </w:rPr>
                  </w:pPr>
                  <w:r>
                    <w:rPr>
                      <w:rFonts w:hint="default" w:eastAsia="宋体"/>
                      <w:color w:val="auto"/>
                      <w:kern w:val="0"/>
                      <w:sz w:val="21"/>
                      <w:szCs w:val="21"/>
                      <w:lang w:val="en-US" w:eastAsia="zh-CN"/>
                    </w:rPr>
                    <w:t>0.24</w:t>
                  </w:r>
                  <w:r>
                    <w:rPr>
                      <w:rFonts w:hint="eastAsia" w:eastAsia="宋体"/>
                      <w:color w:val="auto"/>
                      <w:kern w:val="0"/>
                      <w:sz w:val="21"/>
                      <w:szCs w:val="21"/>
                      <w:lang w:val="en-US" w:eastAsia="zh-CN"/>
                    </w:rPr>
                    <w:t>566</w:t>
                  </w:r>
                </w:p>
              </w:tc>
            </w:tr>
            <w:tr w14:paraId="35C1167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534" w:type="pct"/>
                  <w:tcBorders>
                    <w:tl2br w:val="nil"/>
                    <w:tr2bl w:val="nil"/>
                  </w:tcBorders>
                  <w:shd w:val="clear" w:color="auto" w:fill="auto"/>
                  <w:vAlign w:val="center"/>
                </w:tcPr>
                <w:p w14:paraId="4B756C57">
                  <w:pPr>
                    <w:pStyle w:val="656"/>
                    <w:keepNext w:val="0"/>
                    <w:keepLines w:val="0"/>
                    <w:pageBreakBefore w:val="0"/>
                    <w:kinsoku/>
                    <w:wordWrap/>
                    <w:overflowPunct/>
                    <w:topLinePunct w:val="0"/>
                    <w:autoSpaceDE/>
                    <w:autoSpaceDN/>
                    <w:bidi w:val="0"/>
                    <w:adjustRightInd w:val="0"/>
                    <w:snapToGrid w:val="0"/>
                    <w:textAlignment w:val="auto"/>
                    <w:rPr>
                      <w:rFonts w:hint="eastAsia" w:ascii="Times New Roman" w:hAnsi="Times New Roman" w:eastAsia="仿宋_GB2312" w:cs="Times New Roman"/>
                      <w:bCs/>
                      <w:snapToGrid w:val="0"/>
                      <w:color w:val="auto"/>
                      <w:kern w:val="0"/>
                      <w:sz w:val="28"/>
                      <w:szCs w:val="28"/>
                      <w:lang w:val="en-US" w:eastAsia="zh-CN" w:bidi="ar-SA"/>
                    </w:rPr>
                  </w:pPr>
                  <w:r>
                    <w:rPr>
                      <w:rFonts w:hint="eastAsia" w:eastAsia="宋体"/>
                      <w:color w:val="auto"/>
                      <w:kern w:val="0"/>
                      <w:sz w:val="21"/>
                      <w:szCs w:val="21"/>
                      <w:lang w:val="en-US" w:eastAsia="zh-CN"/>
                    </w:rPr>
                    <w:t>苯系物</w:t>
                  </w:r>
                </w:p>
              </w:tc>
              <w:tc>
                <w:tcPr>
                  <w:tcW w:w="2465" w:type="pct"/>
                  <w:tcBorders>
                    <w:tl2br w:val="nil"/>
                    <w:tr2bl w:val="nil"/>
                  </w:tcBorders>
                  <w:vAlign w:val="center"/>
                </w:tcPr>
                <w:p w14:paraId="06604D95">
                  <w:pPr>
                    <w:pStyle w:val="656"/>
                    <w:keepNext w:val="0"/>
                    <w:keepLines w:val="0"/>
                    <w:pageBreakBefore w:val="0"/>
                    <w:kinsoku/>
                    <w:wordWrap/>
                    <w:overflowPunct/>
                    <w:topLinePunct w:val="0"/>
                    <w:autoSpaceDE/>
                    <w:autoSpaceDN/>
                    <w:bidi w:val="0"/>
                    <w:adjustRightInd w:val="0"/>
                    <w:snapToGrid w:val="0"/>
                    <w:textAlignment w:val="auto"/>
                    <w:rPr>
                      <w:rFonts w:hint="default" w:eastAsia="宋体"/>
                      <w:color w:val="auto"/>
                      <w:kern w:val="0"/>
                      <w:sz w:val="21"/>
                      <w:szCs w:val="21"/>
                      <w:lang w:val="en-US" w:eastAsia="zh-CN"/>
                    </w:rPr>
                  </w:pPr>
                  <w:r>
                    <w:rPr>
                      <w:rFonts w:hint="default" w:eastAsia="宋体"/>
                      <w:color w:val="auto"/>
                      <w:kern w:val="0"/>
                      <w:sz w:val="21"/>
                      <w:szCs w:val="21"/>
                      <w:lang w:val="en-US" w:eastAsia="zh-CN"/>
                    </w:rPr>
                    <w:t>0.07164</w:t>
                  </w:r>
                </w:p>
              </w:tc>
            </w:tr>
            <w:tr w14:paraId="76D3040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534" w:type="pct"/>
                  <w:tcBorders>
                    <w:tl2br w:val="nil"/>
                    <w:tr2bl w:val="nil"/>
                  </w:tcBorders>
                  <w:shd w:val="clear" w:color="auto" w:fill="auto"/>
                  <w:vAlign w:val="center"/>
                </w:tcPr>
                <w:p w14:paraId="2BA4ABB9">
                  <w:pPr>
                    <w:pStyle w:val="656"/>
                    <w:keepNext w:val="0"/>
                    <w:keepLines w:val="0"/>
                    <w:pageBreakBefore w:val="0"/>
                    <w:kinsoku/>
                    <w:wordWrap/>
                    <w:overflowPunct/>
                    <w:topLinePunct w:val="0"/>
                    <w:autoSpaceDE/>
                    <w:autoSpaceDN/>
                    <w:bidi w:val="0"/>
                    <w:adjustRightInd w:val="0"/>
                    <w:snapToGrid w:val="0"/>
                    <w:textAlignment w:val="auto"/>
                    <w:rPr>
                      <w:rFonts w:hint="eastAsia" w:ascii="Times New Roman" w:hAnsi="Times New Roman" w:eastAsia="仿宋_GB2312" w:cs="Times New Roman"/>
                      <w:bCs/>
                      <w:snapToGrid w:val="0"/>
                      <w:color w:val="auto"/>
                      <w:kern w:val="0"/>
                      <w:sz w:val="28"/>
                      <w:szCs w:val="28"/>
                      <w:lang w:val="en-US" w:eastAsia="zh-CN" w:bidi="ar-SA"/>
                    </w:rPr>
                  </w:pPr>
                  <w:r>
                    <w:rPr>
                      <w:rFonts w:hint="eastAsia" w:eastAsia="宋体"/>
                      <w:color w:val="auto"/>
                      <w:kern w:val="0"/>
                      <w:sz w:val="21"/>
                      <w:szCs w:val="21"/>
                      <w:lang w:val="en-US" w:eastAsia="zh-CN"/>
                    </w:rPr>
                    <w:t>二甲苯</w:t>
                  </w:r>
                </w:p>
              </w:tc>
              <w:tc>
                <w:tcPr>
                  <w:tcW w:w="2465" w:type="pct"/>
                  <w:tcBorders>
                    <w:tl2br w:val="nil"/>
                    <w:tr2bl w:val="nil"/>
                  </w:tcBorders>
                  <w:shd w:val="clear" w:color="auto" w:fill="auto"/>
                  <w:vAlign w:val="center"/>
                </w:tcPr>
                <w:p w14:paraId="0548898C">
                  <w:pPr>
                    <w:pStyle w:val="656"/>
                    <w:keepNext w:val="0"/>
                    <w:keepLines w:val="0"/>
                    <w:pageBreakBefore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kern w:val="0"/>
                      <w:sz w:val="21"/>
                      <w:szCs w:val="21"/>
                      <w:lang w:val="en-US" w:eastAsia="zh-CN" w:bidi="ar-SA"/>
                    </w:rPr>
                  </w:pPr>
                  <w:r>
                    <w:rPr>
                      <w:rFonts w:hint="default" w:eastAsia="宋体"/>
                      <w:color w:val="auto"/>
                      <w:kern w:val="0"/>
                      <w:sz w:val="21"/>
                      <w:szCs w:val="21"/>
                      <w:lang w:val="en-US" w:eastAsia="zh-CN"/>
                    </w:rPr>
                    <w:t>0.0693</w:t>
                  </w:r>
                </w:p>
              </w:tc>
            </w:tr>
            <w:tr w14:paraId="2E1163E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534" w:type="pct"/>
                  <w:tcBorders>
                    <w:tl2br w:val="nil"/>
                    <w:tr2bl w:val="nil"/>
                  </w:tcBorders>
                  <w:shd w:val="clear" w:color="auto" w:fill="auto"/>
                  <w:vAlign w:val="center"/>
                </w:tcPr>
                <w:p w14:paraId="1626655C">
                  <w:pPr>
                    <w:pStyle w:val="656"/>
                    <w:keepNext w:val="0"/>
                    <w:keepLines w:val="0"/>
                    <w:pageBreakBefore w:val="0"/>
                    <w:kinsoku/>
                    <w:wordWrap/>
                    <w:overflowPunct/>
                    <w:topLinePunct w:val="0"/>
                    <w:autoSpaceDE/>
                    <w:autoSpaceDN/>
                    <w:bidi w:val="0"/>
                    <w:adjustRightInd w:val="0"/>
                    <w:snapToGrid w:val="0"/>
                    <w:textAlignment w:val="auto"/>
                    <w:rPr>
                      <w:rFonts w:hint="eastAsia" w:ascii="Times New Roman" w:hAnsi="Times New Roman" w:eastAsia="仿宋_GB2312" w:cs="Times New Roman"/>
                      <w:bCs/>
                      <w:snapToGrid w:val="0"/>
                      <w:color w:val="auto"/>
                      <w:kern w:val="0"/>
                      <w:sz w:val="28"/>
                      <w:szCs w:val="28"/>
                      <w:lang w:val="en-US" w:eastAsia="zh-CN" w:bidi="ar-SA"/>
                    </w:rPr>
                  </w:pPr>
                  <w:r>
                    <w:rPr>
                      <w:rFonts w:hint="eastAsia" w:eastAsia="宋体"/>
                      <w:color w:val="auto"/>
                      <w:kern w:val="0"/>
                      <w:sz w:val="21"/>
                      <w:szCs w:val="21"/>
                      <w:lang w:val="en-US" w:eastAsia="zh-CN"/>
                    </w:rPr>
                    <w:t>三甲苯</w:t>
                  </w:r>
                </w:p>
              </w:tc>
              <w:tc>
                <w:tcPr>
                  <w:tcW w:w="2465" w:type="pct"/>
                  <w:tcBorders>
                    <w:tl2br w:val="nil"/>
                    <w:tr2bl w:val="nil"/>
                  </w:tcBorders>
                  <w:shd w:val="clear" w:color="auto" w:fill="auto"/>
                  <w:vAlign w:val="center"/>
                </w:tcPr>
                <w:p w14:paraId="2F71EA23">
                  <w:pPr>
                    <w:pStyle w:val="656"/>
                    <w:keepNext w:val="0"/>
                    <w:keepLines w:val="0"/>
                    <w:pageBreakBefore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kern w:val="0"/>
                      <w:sz w:val="21"/>
                      <w:szCs w:val="21"/>
                      <w:lang w:val="en-US" w:eastAsia="zh-CN" w:bidi="ar-SA"/>
                    </w:rPr>
                  </w:pPr>
                  <w:r>
                    <w:rPr>
                      <w:rFonts w:hint="default" w:eastAsia="宋体"/>
                      <w:color w:val="auto"/>
                      <w:kern w:val="0"/>
                      <w:sz w:val="21"/>
                      <w:szCs w:val="21"/>
                      <w:lang w:val="en-US" w:eastAsia="zh-CN"/>
                    </w:rPr>
                    <w:t>0.002655</w:t>
                  </w:r>
                </w:p>
              </w:tc>
            </w:tr>
            <w:tr w14:paraId="1CB5D02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534" w:type="pct"/>
                  <w:tcBorders>
                    <w:tl2br w:val="nil"/>
                    <w:tr2bl w:val="nil"/>
                  </w:tcBorders>
                  <w:vAlign w:val="center"/>
                </w:tcPr>
                <w:p w14:paraId="1CC18E43">
                  <w:pPr>
                    <w:pStyle w:val="698"/>
                    <w:keepNext w:val="0"/>
                    <w:keepLines w:val="0"/>
                    <w:pageBreakBefore w:val="0"/>
                    <w:kinsoku/>
                    <w:wordWrap/>
                    <w:overflowPunct/>
                    <w:topLinePunct w:val="0"/>
                    <w:autoSpaceDE/>
                    <w:autoSpaceDN/>
                    <w:bidi w:val="0"/>
                    <w:adjustRightInd w:val="0"/>
                    <w:snapToGrid w:val="0"/>
                    <w:textAlignment w:val="auto"/>
                    <w:rPr>
                      <w:rFonts w:hint="eastAsia" w:eastAsia="宋体"/>
                      <w:color w:val="auto"/>
                      <w:kern w:val="0"/>
                      <w:sz w:val="21"/>
                      <w:szCs w:val="21"/>
                      <w:lang w:eastAsia="zh-CN"/>
                    </w:rPr>
                  </w:pPr>
                  <w:r>
                    <w:rPr>
                      <w:rFonts w:hint="eastAsia" w:eastAsia="宋体"/>
                      <w:bCs/>
                      <w:color w:val="auto"/>
                      <w:kern w:val="0"/>
                      <w:sz w:val="21"/>
                      <w:szCs w:val="21"/>
                      <w:lang w:val="en-US" w:eastAsia="zh-CN"/>
                    </w:rPr>
                    <w:t>颗粒物</w:t>
                  </w:r>
                </w:p>
              </w:tc>
              <w:tc>
                <w:tcPr>
                  <w:tcW w:w="2465" w:type="pct"/>
                  <w:tcBorders>
                    <w:tl2br w:val="nil"/>
                    <w:tr2bl w:val="nil"/>
                  </w:tcBorders>
                  <w:shd w:val="clear" w:color="auto" w:fill="auto"/>
                  <w:vAlign w:val="center"/>
                </w:tcPr>
                <w:p w14:paraId="22CC7DFD">
                  <w:pPr>
                    <w:pStyle w:val="656"/>
                    <w:keepNext w:val="0"/>
                    <w:keepLines w:val="0"/>
                    <w:pageBreakBefore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kern w:val="0"/>
                      <w:sz w:val="21"/>
                      <w:szCs w:val="21"/>
                      <w:lang w:val="en-US" w:eastAsia="zh-CN" w:bidi="ar-SA"/>
                    </w:rPr>
                  </w:pPr>
                  <w:r>
                    <w:rPr>
                      <w:rFonts w:hint="eastAsia" w:eastAsia="宋体"/>
                      <w:color w:val="auto"/>
                      <w:kern w:val="0"/>
                      <w:sz w:val="21"/>
                      <w:szCs w:val="21"/>
                      <w:lang w:val="en-US" w:eastAsia="zh-CN"/>
                    </w:rPr>
                    <w:t>0.052565</w:t>
                  </w:r>
                </w:p>
              </w:tc>
            </w:tr>
          </w:tbl>
          <w:p w14:paraId="11C9260F">
            <w:pPr>
              <w:pStyle w:val="5"/>
              <w:adjustRightInd w:val="0"/>
              <w:snapToGrid w:val="0"/>
              <w:spacing w:line="360" w:lineRule="auto"/>
              <w:ind w:firstLine="422" w:firstLineChars="200"/>
              <w:rPr>
                <w:b/>
                <w:color w:val="auto"/>
                <w:kern w:val="0"/>
                <w:szCs w:val="21"/>
              </w:rPr>
            </w:pPr>
            <w:r>
              <w:rPr>
                <w:rFonts w:hint="eastAsia"/>
                <w:b/>
                <w:color w:val="auto"/>
                <w:kern w:val="0"/>
                <w:szCs w:val="21"/>
              </w:rPr>
              <w:t>（7）卫生防护距离</w:t>
            </w:r>
          </w:p>
          <w:p w14:paraId="54FE2356">
            <w:pPr>
              <w:pStyle w:val="697"/>
              <w:adjustRightInd w:val="0"/>
              <w:snapToGrid w:val="0"/>
              <w:spacing w:line="360" w:lineRule="auto"/>
              <w:ind w:firstLine="420"/>
              <w:jc w:val="both"/>
              <w:rPr>
                <w:rFonts w:eastAsia="宋体"/>
                <w:bCs/>
                <w:color w:val="auto"/>
                <w:sz w:val="21"/>
                <w:szCs w:val="21"/>
              </w:rPr>
            </w:pPr>
            <w:r>
              <w:rPr>
                <w:rFonts w:eastAsia="宋体"/>
                <w:bCs/>
                <w:color w:val="auto"/>
                <w:sz w:val="21"/>
                <w:szCs w:val="21"/>
              </w:rPr>
              <w:t>根据《大气有害物质无组织排放卫生防护距离推导技术导则》（GB/T39499-2020）规定，无组织排入有害气体的生产单元（生产区、车间、工段）与居民区之间应设置卫生防护距离，卫生防护距离L按下式计算：</w:t>
            </w:r>
          </w:p>
          <w:p w14:paraId="6BC3B569">
            <w:pPr>
              <w:adjustRightInd w:val="0"/>
              <w:snapToGrid w:val="0"/>
              <w:spacing w:line="360" w:lineRule="auto"/>
              <w:ind w:firstLine="420" w:firstLineChars="200"/>
              <w:jc w:val="center"/>
              <w:rPr>
                <w:color w:val="auto"/>
                <w:kern w:val="0"/>
              </w:rPr>
            </w:pPr>
            <w:r>
              <w:rPr>
                <w:color w:val="auto"/>
                <w:kern w:val="0"/>
              </w:rPr>
              <w:object>
                <v:shape id="_x0000_i1037" o:spt="75" type="#_x0000_t75" style="height:36.75pt;width:162pt;" o:ole="t" filled="f" o:preferrelative="t" stroked="f" coordsize="21600,21600">
                  <v:path/>
                  <v:fill on="f" focussize="0,0"/>
                  <v:stroke on="f" joinstyle="miter"/>
                  <v:imagedata r:id="rId37" o:title=""/>
                  <o:lock v:ext="edit" aspectratio="t"/>
                  <w10:wrap type="none"/>
                  <w10:anchorlock/>
                </v:shape>
                <o:OLEObject Type="Embed" ProgID="Equation.3" ShapeID="_x0000_i1037" DrawAspect="Content" ObjectID="_1468075737" r:id="rId36">
                  <o:LockedField>false</o:LockedField>
                </o:OLEObject>
              </w:object>
            </w:r>
          </w:p>
          <w:p w14:paraId="5FAA6FD3">
            <w:pPr>
              <w:widowControl/>
              <w:adjustRightInd w:val="0"/>
              <w:snapToGrid w:val="0"/>
              <w:spacing w:line="360" w:lineRule="auto"/>
              <w:ind w:firstLine="420" w:firstLineChars="200"/>
              <w:jc w:val="left"/>
              <w:rPr>
                <w:color w:val="auto"/>
                <w:kern w:val="0"/>
              </w:rPr>
            </w:pPr>
            <w:r>
              <w:rPr>
                <w:rFonts w:hint="eastAsia"/>
                <w:color w:val="auto"/>
                <w:kern w:val="0"/>
                <w:lang w:bidi="ar"/>
              </w:rPr>
              <w:t>式中：</w:t>
            </w:r>
            <w:r>
              <w:rPr>
                <w:i/>
                <w:iCs/>
                <w:color w:val="auto"/>
                <w:kern w:val="0"/>
                <w:lang w:bidi="ar"/>
              </w:rPr>
              <w:t>Q</w:t>
            </w:r>
            <w:r>
              <w:rPr>
                <w:i/>
                <w:iCs/>
                <w:color w:val="auto"/>
                <w:kern w:val="0"/>
                <w:vertAlign w:val="subscript"/>
                <w:lang w:bidi="ar"/>
              </w:rPr>
              <w:t>C</w:t>
            </w:r>
            <w:r>
              <w:rPr>
                <w:color w:val="auto"/>
                <w:kern w:val="0"/>
                <w:lang w:bidi="ar"/>
              </w:rPr>
              <w:t>——</w:t>
            </w:r>
            <w:r>
              <w:rPr>
                <w:rFonts w:hint="eastAsia"/>
                <w:color w:val="auto"/>
                <w:kern w:val="0"/>
                <w:lang w:bidi="ar"/>
              </w:rPr>
              <w:t>污染物的无组织排放量，</w:t>
            </w:r>
            <w:r>
              <w:rPr>
                <w:color w:val="auto"/>
                <w:kern w:val="0"/>
                <w:lang w:bidi="ar"/>
              </w:rPr>
              <w:t>kg/h</w:t>
            </w:r>
            <w:r>
              <w:rPr>
                <w:rFonts w:hint="eastAsia"/>
                <w:color w:val="auto"/>
                <w:kern w:val="0"/>
                <w:lang w:bidi="ar"/>
              </w:rPr>
              <w:t>；</w:t>
            </w:r>
          </w:p>
          <w:p w14:paraId="13EE8677">
            <w:pPr>
              <w:widowControl/>
              <w:adjustRightInd w:val="0"/>
              <w:snapToGrid w:val="0"/>
              <w:spacing w:line="360" w:lineRule="auto"/>
              <w:ind w:firstLine="420" w:firstLineChars="200"/>
              <w:jc w:val="left"/>
              <w:rPr>
                <w:color w:val="auto"/>
                <w:kern w:val="0"/>
              </w:rPr>
            </w:pPr>
            <w:r>
              <w:rPr>
                <w:color w:val="auto"/>
                <w:kern w:val="0"/>
                <w:lang w:bidi="ar"/>
              </w:rPr>
              <w:t>C</w:t>
            </w:r>
            <w:r>
              <w:rPr>
                <w:color w:val="auto"/>
                <w:kern w:val="0"/>
                <w:vertAlign w:val="subscript"/>
                <w:lang w:bidi="ar"/>
              </w:rPr>
              <w:t>m</w:t>
            </w:r>
            <w:r>
              <w:rPr>
                <w:color w:val="auto"/>
                <w:kern w:val="0"/>
                <w:lang w:bidi="ar"/>
              </w:rPr>
              <w:t>——</w:t>
            </w:r>
            <w:r>
              <w:rPr>
                <w:rFonts w:hint="eastAsia"/>
                <w:color w:val="auto"/>
                <w:kern w:val="0"/>
                <w:lang w:bidi="ar"/>
              </w:rPr>
              <w:t>污染物的标准浓度限值，mg/m</w:t>
            </w:r>
            <w:r>
              <w:rPr>
                <w:color w:val="auto"/>
                <w:kern w:val="0"/>
                <w:vertAlign w:val="superscript"/>
                <w:lang w:bidi="ar"/>
              </w:rPr>
              <w:t>3</w:t>
            </w:r>
            <w:r>
              <w:rPr>
                <w:rFonts w:hint="eastAsia"/>
                <w:color w:val="auto"/>
                <w:kern w:val="0"/>
                <w:lang w:bidi="ar"/>
              </w:rPr>
              <w:t>；</w:t>
            </w:r>
          </w:p>
          <w:p w14:paraId="11B118BA">
            <w:pPr>
              <w:widowControl/>
              <w:adjustRightInd w:val="0"/>
              <w:snapToGrid w:val="0"/>
              <w:spacing w:line="360" w:lineRule="auto"/>
              <w:ind w:firstLine="420" w:firstLineChars="200"/>
              <w:jc w:val="left"/>
              <w:rPr>
                <w:color w:val="auto"/>
                <w:kern w:val="0"/>
              </w:rPr>
            </w:pPr>
            <w:r>
              <w:rPr>
                <w:color w:val="auto"/>
                <w:kern w:val="0"/>
                <w:lang w:bidi="ar"/>
              </w:rPr>
              <w:t>L——</w:t>
            </w:r>
            <w:r>
              <w:rPr>
                <w:rFonts w:hint="eastAsia"/>
                <w:color w:val="auto"/>
                <w:kern w:val="0"/>
                <w:lang w:bidi="ar"/>
              </w:rPr>
              <w:t>卫生防护距离，</w:t>
            </w:r>
            <w:r>
              <w:rPr>
                <w:color w:val="auto"/>
                <w:kern w:val="0"/>
                <w:lang w:bidi="ar"/>
              </w:rPr>
              <w:t>m</w:t>
            </w:r>
            <w:r>
              <w:rPr>
                <w:rFonts w:hint="eastAsia"/>
                <w:color w:val="auto"/>
                <w:kern w:val="0"/>
                <w:lang w:bidi="ar"/>
              </w:rPr>
              <w:t>；</w:t>
            </w:r>
          </w:p>
          <w:p w14:paraId="622056EA">
            <w:pPr>
              <w:widowControl/>
              <w:adjustRightInd w:val="0"/>
              <w:snapToGrid w:val="0"/>
              <w:spacing w:line="360" w:lineRule="auto"/>
              <w:ind w:firstLine="420" w:firstLineChars="200"/>
              <w:jc w:val="left"/>
              <w:rPr>
                <w:color w:val="auto"/>
                <w:kern w:val="0"/>
              </w:rPr>
            </w:pPr>
            <w:r>
              <w:rPr>
                <w:rFonts w:hint="eastAsia"/>
                <w:color w:val="auto"/>
                <w:kern w:val="0"/>
                <w:lang w:bidi="ar"/>
              </w:rPr>
              <w:t>r</w:t>
            </w:r>
            <w:r>
              <w:rPr>
                <w:color w:val="auto"/>
                <w:kern w:val="0"/>
                <w:lang w:bidi="ar"/>
              </w:rPr>
              <w:t>——</w:t>
            </w:r>
            <w:r>
              <w:rPr>
                <w:rFonts w:hint="eastAsia"/>
                <w:color w:val="auto"/>
                <w:kern w:val="0"/>
                <w:lang w:bidi="ar"/>
              </w:rPr>
              <w:t>生产单元的等效半径，</w:t>
            </w:r>
            <w:r>
              <w:rPr>
                <w:color w:val="auto"/>
                <w:kern w:val="0"/>
                <w:lang w:bidi="ar"/>
              </w:rPr>
              <w:t>m</w:t>
            </w:r>
            <w:r>
              <w:rPr>
                <w:rFonts w:hint="eastAsia"/>
                <w:color w:val="auto"/>
                <w:kern w:val="0"/>
                <w:lang w:bidi="ar"/>
              </w:rPr>
              <w:t>；</w:t>
            </w:r>
          </w:p>
          <w:p w14:paraId="457A95D8">
            <w:pPr>
              <w:adjustRightInd w:val="0"/>
              <w:snapToGrid w:val="0"/>
              <w:spacing w:line="360" w:lineRule="auto"/>
              <w:ind w:firstLine="420" w:firstLineChars="200"/>
              <w:rPr>
                <w:color w:val="auto"/>
                <w:kern w:val="0"/>
              </w:rPr>
            </w:pPr>
            <w:r>
              <w:rPr>
                <w:color w:val="auto"/>
                <w:kern w:val="0"/>
                <w:lang w:bidi="ar"/>
              </w:rPr>
              <w:t>A</w:t>
            </w:r>
            <w:r>
              <w:rPr>
                <w:rFonts w:hint="eastAsia"/>
                <w:color w:val="auto"/>
                <w:kern w:val="0"/>
                <w:lang w:bidi="ar"/>
              </w:rPr>
              <w:t>、</w:t>
            </w:r>
            <w:r>
              <w:rPr>
                <w:color w:val="auto"/>
                <w:kern w:val="0"/>
                <w:lang w:bidi="ar"/>
              </w:rPr>
              <w:t>B</w:t>
            </w:r>
            <w:r>
              <w:rPr>
                <w:rFonts w:hint="eastAsia"/>
                <w:color w:val="auto"/>
                <w:kern w:val="0"/>
                <w:lang w:bidi="ar"/>
              </w:rPr>
              <w:t>、</w:t>
            </w:r>
            <w:r>
              <w:rPr>
                <w:color w:val="auto"/>
                <w:kern w:val="0"/>
                <w:lang w:bidi="ar"/>
              </w:rPr>
              <w:t>C</w:t>
            </w:r>
            <w:r>
              <w:rPr>
                <w:rFonts w:hint="eastAsia"/>
                <w:color w:val="auto"/>
                <w:kern w:val="0"/>
                <w:lang w:bidi="ar"/>
              </w:rPr>
              <w:t>、</w:t>
            </w:r>
            <w:r>
              <w:rPr>
                <w:color w:val="auto"/>
                <w:kern w:val="0"/>
                <w:lang w:bidi="ar"/>
              </w:rPr>
              <w:t>D——</w:t>
            </w:r>
            <w:r>
              <w:rPr>
                <w:rFonts w:hint="eastAsia"/>
                <w:color w:val="auto"/>
                <w:kern w:val="0"/>
                <w:lang w:bidi="ar"/>
              </w:rPr>
              <w:t>卫生防护距离计算系数，</w:t>
            </w:r>
            <w:r>
              <w:rPr>
                <w:bCs/>
                <w:color w:val="auto"/>
                <w:kern w:val="0"/>
              </w:rPr>
              <w:t>根据所在地近五年来平均风速及工业企业大气污染源构成类别查取。</w:t>
            </w:r>
          </w:p>
          <w:p w14:paraId="0B883715">
            <w:pPr>
              <w:pStyle w:val="697"/>
              <w:spacing w:line="240" w:lineRule="auto"/>
              <w:ind w:firstLine="0" w:firstLineChars="0"/>
              <w:jc w:val="center"/>
              <w:rPr>
                <w:rFonts w:eastAsia="宋体"/>
                <w:b/>
                <w:color w:val="auto"/>
                <w:kern w:val="0"/>
                <w:sz w:val="21"/>
                <w:szCs w:val="21"/>
              </w:rPr>
            </w:pPr>
            <w:r>
              <w:rPr>
                <w:rFonts w:eastAsia="宋体"/>
                <w:b/>
                <w:color w:val="auto"/>
                <w:kern w:val="0"/>
                <w:sz w:val="21"/>
                <w:szCs w:val="21"/>
              </w:rPr>
              <w:t>表4-</w:t>
            </w:r>
            <w:r>
              <w:rPr>
                <w:rFonts w:hint="eastAsia" w:eastAsia="宋体"/>
                <w:b/>
                <w:color w:val="auto"/>
                <w:kern w:val="0"/>
                <w:sz w:val="21"/>
                <w:szCs w:val="21"/>
              </w:rPr>
              <w:t>1</w:t>
            </w:r>
            <w:r>
              <w:rPr>
                <w:rFonts w:hint="eastAsia" w:eastAsia="宋体"/>
                <w:b/>
                <w:color w:val="auto"/>
                <w:kern w:val="0"/>
                <w:sz w:val="21"/>
                <w:szCs w:val="21"/>
                <w:lang w:val="en-US" w:eastAsia="zh-CN"/>
              </w:rPr>
              <w:t>1</w:t>
            </w:r>
            <w:r>
              <w:rPr>
                <w:rFonts w:hint="eastAsia" w:eastAsia="宋体"/>
                <w:b/>
                <w:color w:val="auto"/>
                <w:kern w:val="0"/>
                <w:sz w:val="21"/>
                <w:szCs w:val="21"/>
              </w:rPr>
              <w:t xml:space="preserve">   </w:t>
            </w:r>
            <w:r>
              <w:rPr>
                <w:rFonts w:eastAsia="宋体"/>
                <w:b/>
                <w:color w:val="auto"/>
                <w:kern w:val="0"/>
                <w:sz w:val="21"/>
                <w:szCs w:val="21"/>
              </w:rPr>
              <w:t>卫生防护距离计算系数表</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595"/>
              <w:gridCol w:w="3934"/>
              <w:gridCol w:w="494"/>
              <w:gridCol w:w="532"/>
              <w:gridCol w:w="450"/>
              <w:gridCol w:w="519"/>
              <w:gridCol w:w="549"/>
              <w:gridCol w:w="507"/>
              <w:gridCol w:w="360"/>
              <w:gridCol w:w="475"/>
              <w:gridCol w:w="446"/>
            </w:tblGrid>
            <w:tr w14:paraId="6AA8FEE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36" w:type="pct"/>
                  <w:vMerge w:val="restart"/>
                  <w:tcBorders>
                    <w:tl2br w:val="nil"/>
                    <w:tr2bl w:val="nil"/>
                  </w:tcBorders>
                  <w:noWrap/>
                  <w:vAlign w:val="center"/>
                </w:tcPr>
                <w:p w14:paraId="47878B3C">
                  <w:pPr>
                    <w:jc w:val="center"/>
                    <w:textAlignment w:val="center"/>
                    <w:rPr>
                      <w:b/>
                      <w:bCs/>
                      <w:color w:val="auto"/>
                      <w:kern w:val="0"/>
                    </w:rPr>
                  </w:pPr>
                  <w:r>
                    <w:rPr>
                      <w:b/>
                      <w:bCs/>
                      <w:color w:val="auto"/>
                      <w:kern w:val="0"/>
                    </w:rPr>
                    <w:t>计算系数</w:t>
                  </w:r>
                </w:p>
              </w:tc>
              <w:tc>
                <w:tcPr>
                  <w:tcW w:w="2220" w:type="pct"/>
                  <w:vMerge w:val="restart"/>
                  <w:tcBorders>
                    <w:tl2br w:val="nil"/>
                    <w:tr2bl w:val="nil"/>
                  </w:tcBorders>
                  <w:noWrap/>
                  <w:vAlign w:val="center"/>
                </w:tcPr>
                <w:p w14:paraId="5FDA8F20">
                  <w:pPr>
                    <w:jc w:val="center"/>
                    <w:textAlignment w:val="center"/>
                    <w:rPr>
                      <w:b/>
                      <w:bCs/>
                      <w:color w:val="auto"/>
                      <w:kern w:val="0"/>
                    </w:rPr>
                  </w:pPr>
                  <w:r>
                    <w:rPr>
                      <w:b/>
                      <w:bCs/>
                      <w:color w:val="auto"/>
                      <w:kern w:val="0"/>
                    </w:rPr>
                    <w:t>工业企业所在地区近5年平均风速</w:t>
                  </w:r>
                  <w:r>
                    <w:rPr>
                      <w:rFonts w:hint="eastAsia"/>
                      <w:b/>
                      <w:bCs/>
                      <w:color w:val="auto"/>
                      <w:kern w:val="0"/>
                      <w:lang w:val="en-US" w:eastAsia="zh-CN"/>
                    </w:rPr>
                    <w:t>/</w:t>
                  </w:r>
                  <w:r>
                    <w:rPr>
                      <w:rFonts w:hint="eastAsia"/>
                      <w:b/>
                      <w:bCs/>
                      <w:color w:val="auto"/>
                      <w:kern w:val="0"/>
                      <w:lang w:eastAsia="zh-CN"/>
                    </w:rPr>
                    <w:t>（</w:t>
                  </w:r>
                  <w:r>
                    <w:rPr>
                      <w:rFonts w:hint="eastAsia"/>
                      <w:b/>
                      <w:bCs/>
                      <w:color w:val="auto"/>
                      <w:kern w:val="0"/>
                      <w:lang w:val="en-US" w:eastAsia="zh-CN"/>
                    </w:rPr>
                    <w:t>m/s</w:t>
                  </w:r>
                  <w:r>
                    <w:rPr>
                      <w:rFonts w:hint="eastAsia"/>
                      <w:b/>
                      <w:bCs/>
                      <w:color w:val="auto"/>
                      <w:kern w:val="0"/>
                      <w:lang w:eastAsia="zh-CN"/>
                    </w:rPr>
                    <w:t>）</w:t>
                  </w:r>
                </w:p>
              </w:tc>
              <w:tc>
                <w:tcPr>
                  <w:tcW w:w="2442" w:type="pct"/>
                  <w:gridSpan w:val="9"/>
                  <w:tcBorders>
                    <w:tl2br w:val="nil"/>
                    <w:tr2bl w:val="nil"/>
                  </w:tcBorders>
                  <w:noWrap/>
                  <w:vAlign w:val="center"/>
                </w:tcPr>
                <w:p w14:paraId="03476387">
                  <w:pPr>
                    <w:jc w:val="center"/>
                    <w:textAlignment w:val="center"/>
                    <w:rPr>
                      <w:b/>
                      <w:bCs/>
                      <w:color w:val="auto"/>
                      <w:kern w:val="0"/>
                    </w:rPr>
                  </w:pPr>
                  <w:r>
                    <w:rPr>
                      <w:b/>
                      <w:bCs/>
                      <w:color w:val="auto"/>
                      <w:kern w:val="0"/>
                    </w:rPr>
                    <w:t>卫生防护距离L/m</w:t>
                  </w:r>
                </w:p>
              </w:tc>
            </w:tr>
            <w:tr w14:paraId="76E31B7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36" w:type="pct"/>
                  <w:vMerge w:val="continue"/>
                  <w:tcBorders>
                    <w:tl2br w:val="nil"/>
                    <w:tr2bl w:val="nil"/>
                  </w:tcBorders>
                  <w:noWrap/>
                  <w:vAlign w:val="center"/>
                </w:tcPr>
                <w:p w14:paraId="6391F40D">
                  <w:pPr>
                    <w:jc w:val="center"/>
                    <w:textAlignment w:val="center"/>
                    <w:rPr>
                      <w:b/>
                      <w:bCs/>
                      <w:color w:val="auto"/>
                      <w:kern w:val="0"/>
                    </w:rPr>
                  </w:pPr>
                </w:p>
              </w:tc>
              <w:tc>
                <w:tcPr>
                  <w:tcW w:w="2220" w:type="pct"/>
                  <w:vMerge w:val="continue"/>
                  <w:tcBorders>
                    <w:tl2br w:val="nil"/>
                    <w:tr2bl w:val="nil"/>
                  </w:tcBorders>
                  <w:noWrap/>
                  <w:vAlign w:val="center"/>
                </w:tcPr>
                <w:p w14:paraId="387F3213">
                  <w:pPr>
                    <w:jc w:val="center"/>
                    <w:textAlignment w:val="center"/>
                    <w:rPr>
                      <w:b/>
                      <w:bCs/>
                      <w:color w:val="auto"/>
                      <w:kern w:val="0"/>
                    </w:rPr>
                  </w:pPr>
                </w:p>
              </w:tc>
              <w:tc>
                <w:tcPr>
                  <w:tcW w:w="833" w:type="pct"/>
                  <w:gridSpan w:val="3"/>
                  <w:tcBorders>
                    <w:tl2br w:val="nil"/>
                    <w:tr2bl w:val="nil"/>
                  </w:tcBorders>
                  <w:noWrap/>
                  <w:vAlign w:val="center"/>
                </w:tcPr>
                <w:p w14:paraId="7FB302A4">
                  <w:pPr>
                    <w:jc w:val="center"/>
                    <w:textAlignment w:val="center"/>
                    <w:rPr>
                      <w:color w:val="auto"/>
                      <w:kern w:val="0"/>
                    </w:rPr>
                  </w:pPr>
                  <w:r>
                    <w:rPr>
                      <w:color w:val="auto"/>
                      <w:kern w:val="0"/>
                    </w:rPr>
                    <w:t>L≤1000</w:t>
                  </w:r>
                </w:p>
              </w:tc>
              <w:tc>
                <w:tcPr>
                  <w:tcW w:w="889" w:type="pct"/>
                  <w:gridSpan w:val="3"/>
                  <w:tcBorders>
                    <w:tl2br w:val="nil"/>
                    <w:tr2bl w:val="nil"/>
                  </w:tcBorders>
                  <w:noWrap/>
                  <w:vAlign w:val="center"/>
                </w:tcPr>
                <w:p w14:paraId="4016D835">
                  <w:pPr>
                    <w:jc w:val="center"/>
                    <w:textAlignment w:val="center"/>
                    <w:rPr>
                      <w:color w:val="auto"/>
                      <w:kern w:val="0"/>
                    </w:rPr>
                  </w:pPr>
                  <w:r>
                    <w:rPr>
                      <w:color w:val="auto"/>
                      <w:kern w:val="0"/>
                    </w:rPr>
                    <w:t>1000&lt;L≤2000</w:t>
                  </w:r>
                </w:p>
              </w:tc>
              <w:tc>
                <w:tcPr>
                  <w:tcW w:w="718" w:type="pct"/>
                  <w:gridSpan w:val="3"/>
                  <w:tcBorders>
                    <w:tl2br w:val="nil"/>
                    <w:tr2bl w:val="nil"/>
                  </w:tcBorders>
                  <w:noWrap/>
                  <w:vAlign w:val="center"/>
                </w:tcPr>
                <w:p w14:paraId="2AD6D998">
                  <w:pPr>
                    <w:jc w:val="center"/>
                    <w:textAlignment w:val="center"/>
                    <w:rPr>
                      <w:color w:val="auto"/>
                      <w:kern w:val="0"/>
                    </w:rPr>
                  </w:pPr>
                  <w:r>
                    <w:rPr>
                      <w:color w:val="auto"/>
                      <w:kern w:val="0"/>
                    </w:rPr>
                    <w:t>L&gt;2000</w:t>
                  </w:r>
                </w:p>
              </w:tc>
            </w:tr>
            <w:tr w14:paraId="33173ED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36" w:type="pct"/>
                  <w:vMerge w:val="continue"/>
                  <w:tcBorders>
                    <w:tl2br w:val="nil"/>
                    <w:tr2bl w:val="nil"/>
                  </w:tcBorders>
                  <w:noWrap/>
                  <w:vAlign w:val="center"/>
                </w:tcPr>
                <w:p w14:paraId="4819F2B9">
                  <w:pPr>
                    <w:jc w:val="center"/>
                    <w:textAlignment w:val="center"/>
                    <w:rPr>
                      <w:b/>
                      <w:bCs/>
                      <w:color w:val="auto"/>
                      <w:kern w:val="0"/>
                    </w:rPr>
                  </w:pPr>
                </w:p>
              </w:tc>
              <w:tc>
                <w:tcPr>
                  <w:tcW w:w="2220" w:type="pct"/>
                  <w:vMerge w:val="continue"/>
                  <w:tcBorders>
                    <w:tl2br w:val="nil"/>
                    <w:tr2bl w:val="nil"/>
                  </w:tcBorders>
                  <w:noWrap/>
                  <w:vAlign w:val="center"/>
                </w:tcPr>
                <w:p w14:paraId="1553D2E3">
                  <w:pPr>
                    <w:jc w:val="center"/>
                    <w:textAlignment w:val="center"/>
                    <w:rPr>
                      <w:b/>
                      <w:bCs/>
                      <w:color w:val="auto"/>
                      <w:kern w:val="0"/>
                    </w:rPr>
                  </w:pPr>
                </w:p>
              </w:tc>
              <w:tc>
                <w:tcPr>
                  <w:tcW w:w="2442" w:type="pct"/>
                  <w:gridSpan w:val="9"/>
                  <w:tcBorders>
                    <w:tl2br w:val="nil"/>
                    <w:tr2bl w:val="nil"/>
                  </w:tcBorders>
                  <w:noWrap/>
                  <w:vAlign w:val="center"/>
                </w:tcPr>
                <w:p w14:paraId="42EB84B5">
                  <w:pPr>
                    <w:jc w:val="center"/>
                    <w:textAlignment w:val="center"/>
                    <w:rPr>
                      <w:b/>
                      <w:bCs/>
                      <w:color w:val="auto"/>
                      <w:kern w:val="0"/>
                    </w:rPr>
                  </w:pPr>
                  <w:r>
                    <w:rPr>
                      <w:b/>
                      <w:bCs/>
                      <w:color w:val="auto"/>
                      <w:kern w:val="0"/>
                    </w:rPr>
                    <w:t>工业大气污染源构成类别</w:t>
                  </w:r>
                </w:p>
              </w:tc>
            </w:tr>
            <w:tr w14:paraId="2F42AEC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36" w:type="pct"/>
                  <w:vMerge w:val="continue"/>
                  <w:tcBorders>
                    <w:tl2br w:val="nil"/>
                    <w:tr2bl w:val="nil"/>
                  </w:tcBorders>
                  <w:noWrap/>
                  <w:vAlign w:val="center"/>
                </w:tcPr>
                <w:p w14:paraId="63B8A489">
                  <w:pPr>
                    <w:jc w:val="center"/>
                    <w:textAlignment w:val="center"/>
                    <w:rPr>
                      <w:b/>
                      <w:bCs/>
                      <w:color w:val="auto"/>
                      <w:kern w:val="0"/>
                    </w:rPr>
                  </w:pPr>
                </w:p>
              </w:tc>
              <w:tc>
                <w:tcPr>
                  <w:tcW w:w="2220" w:type="pct"/>
                  <w:vMerge w:val="continue"/>
                  <w:tcBorders>
                    <w:tl2br w:val="nil"/>
                    <w:tr2bl w:val="nil"/>
                  </w:tcBorders>
                  <w:noWrap/>
                  <w:vAlign w:val="center"/>
                </w:tcPr>
                <w:p w14:paraId="50312756">
                  <w:pPr>
                    <w:jc w:val="center"/>
                    <w:textAlignment w:val="center"/>
                    <w:rPr>
                      <w:b/>
                      <w:bCs/>
                      <w:color w:val="auto"/>
                      <w:kern w:val="0"/>
                    </w:rPr>
                  </w:pPr>
                </w:p>
              </w:tc>
              <w:tc>
                <w:tcPr>
                  <w:tcW w:w="279" w:type="pct"/>
                  <w:tcBorders>
                    <w:tl2br w:val="nil"/>
                    <w:tr2bl w:val="nil"/>
                  </w:tcBorders>
                  <w:noWrap/>
                  <w:vAlign w:val="center"/>
                </w:tcPr>
                <w:p w14:paraId="570F6CE7">
                  <w:pPr>
                    <w:jc w:val="center"/>
                    <w:textAlignment w:val="center"/>
                    <w:rPr>
                      <w:color w:val="auto"/>
                      <w:kern w:val="0"/>
                    </w:rPr>
                  </w:pPr>
                  <w:r>
                    <w:rPr>
                      <w:color w:val="auto"/>
                      <w:kern w:val="0"/>
                    </w:rPr>
                    <w:t>Ⅰ</w:t>
                  </w:r>
                </w:p>
              </w:tc>
              <w:tc>
                <w:tcPr>
                  <w:tcW w:w="300" w:type="pct"/>
                  <w:tcBorders>
                    <w:tl2br w:val="nil"/>
                    <w:tr2bl w:val="nil"/>
                  </w:tcBorders>
                  <w:noWrap/>
                  <w:vAlign w:val="center"/>
                </w:tcPr>
                <w:p w14:paraId="7AA2489F">
                  <w:pPr>
                    <w:jc w:val="center"/>
                    <w:textAlignment w:val="center"/>
                    <w:rPr>
                      <w:color w:val="auto"/>
                      <w:kern w:val="0"/>
                    </w:rPr>
                  </w:pPr>
                  <w:r>
                    <w:rPr>
                      <w:color w:val="auto"/>
                      <w:kern w:val="0"/>
                    </w:rPr>
                    <w:t>Ⅱ</w:t>
                  </w:r>
                </w:p>
              </w:tc>
              <w:tc>
                <w:tcPr>
                  <w:tcW w:w="253" w:type="pct"/>
                  <w:tcBorders>
                    <w:tl2br w:val="nil"/>
                    <w:tr2bl w:val="nil"/>
                  </w:tcBorders>
                  <w:noWrap/>
                  <w:vAlign w:val="center"/>
                </w:tcPr>
                <w:p w14:paraId="105F1B37">
                  <w:pPr>
                    <w:jc w:val="center"/>
                    <w:textAlignment w:val="center"/>
                    <w:rPr>
                      <w:color w:val="auto"/>
                      <w:kern w:val="0"/>
                    </w:rPr>
                  </w:pPr>
                  <w:r>
                    <w:rPr>
                      <w:color w:val="auto"/>
                      <w:kern w:val="0"/>
                    </w:rPr>
                    <w:t>Ⅲ</w:t>
                  </w:r>
                </w:p>
              </w:tc>
              <w:tc>
                <w:tcPr>
                  <w:tcW w:w="293" w:type="pct"/>
                  <w:tcBorders>
                    <w:tl2br w:val="nil"/>
                    <w:tr2bl w:val="nil"/>
                  </w:tcBorders>
                  <w:noWrap/>
                  <w:vAlign w:val="center"/>
                </w:tcPr>
                <w:p w14:paraId="27E13215">
                  <w:pPr>
                    <w:jc w:val="center"/>
                    <w:textAlignment w:val="center"/>
                    <w:rPr>
                      <w:color w:val="auto"/>
                      <w:kern w:val="0"/>
                    </w:rPr>
                  </w:pPr>
                  <w:r>
                    <w:rPr>
                      <w:color w:val="auto"/>
                      <w:kern w:val="0"/>
                    </w:rPr>
                    <w:t>Ⅰ</w:t>
                  </w:r>
                </w:p>
              </w:tc>
              <w:tc>
                <w:tcPr>
                  <w:tcW w:w="310" w:type="pct"/>
                  <w:tcBorders>
                    <w:tl2br w:val="nil"/>
                    <w:tr2bl w:val="nil"/>
                  </w:tcBorders>
                  <w:noWrap/>
                  <w:vAlign w:val="center"/>
                </w:tcPr>
                <w:p w14:paraId="3DDF1E90">
                  <w:pPr>
                    <w:jc w:val="center"/>
                    <w:textAlignment w:val="center"/>
                    <w:rPr>
                      <w:color w:val="auto"/>
                      <w:kern w:val="0"/>
                    </w:rPr>
                  </w:pPr>
                  <w:r>
                    <w:rPr>
                      <w:color w:val="auto"/>
                      <w:kern w:val="0"/>
                    </w:rPr>
                    <w:t>Ⅱ</w:t>
                  </w:r>
                </w:p>
              </w:tc>
              <w:tc>
                <w:tcPr>
                  <w:tcW w:w="284" w:type="pct"/>
                  <w:tcBorders>
                    <w:tl2br w:val="nil"/>
                    <w:tr2bl w:val="nil"/>
                  </w:tcBorders>
                  <w:noWrap/>
                  <w:vAlign w:val="center"/>
                </w:tcPr>
                <w:p w14:paraId="45A78136">
                  <w:pPr>
                    <w:jc w:val="center"/>
                    <w:textAlignment w:val="center"/>
                    <w:rPr>
                      <w:color w:val="auto"/>
                      <w:kern w:val="0"/>
                    </w:rPr>
                  </w:pPr>
                  <w:r>
                    <w:rPr>
                      <w:color w:val="auto"/>
                      <w:kern w:val="0"/>
                    </w:rPr>
                    <w:t>Ⅲ</w:t>
                  </w:r>
                </w:p>
              </w:tc>
              <w:tc>
                <w:tcPr>
                  <w:tcW w:w="203" w:type="pct"/>
                  <w:tcBorders>
                    <w:tl2br w:val="nil"/>
                    <w:tr2bl w:val="nil"/>
                  </w:tcBorders>
                  <w:noWrap/>
                  <w:vAlign w:val="center"/>
                </w:tcPr>
                <w:p w14:paraId="58F08166">
                  <w:pPr>
                    <w:jc w:val="center"/>
                    <w:textAlignment w:val="center"/>
                    <w:rPr>
                      <w:color w:val="auto"/>
                      <w:kern w:val="0"/>
                    </w:rPr>
                  </w:pPr>
                  <w:r>
                    <w:rPr>
                      <w:color w:val="auto"/>
                      <w:kern w:val="0"/>
                    </w:rPr>
                    <w:t>Ⅰ</w:t>
                  </w:r>
                </w:p>
              </w:tc>
              <w:tc>
                <w:tcPr>
                  <w:tcW w:w="268" w:type="pct"/>
                  <w:tcBorders>
                    <w:tl2br w:val="nil"/>
                    <w:tr2bl w:val="nil"/>
                  </w:tcBorders>
                  <w:noWrap/>
                  <w:vAlign w:val="center"/>
                </w:tcPr>
                <w:p w14:paraId="24A412AD">
                  <w:pPr>
                    <w:jc w:val="center"/>
                    <w:textAlignment w:val="center"/>
                    <w:rPr>
                      <w:color w:val="auto"/>
                      <w:kern w:val="0"/>
                    </w:rPr>
                  </w:pPr>
                  <w:r>
                    <w:rPr>
                      <w:color w:val="auto"/>
                      <w:kern w:val="0"/>
                    </w:rPr>
                    <w:t>Ⅱ</w:t>
                  </w:r>
                </w:p>
              </w:tc>
              <w:tc>
                <w:tcPr>
                  <w:tcW w:w="247" w:type="pct"/>
                  <w:tcBorders>
                    <w:tl2br w:val="nil"/>
                    <w:tr2bl w:val="nil"/>
                  </w:tcBorders>
                  <w:noWrap/>
                  <w:vAlign w:val="center"/>
                </w:tcPr>
                <w:p w14:paraId="49298750">
                  <w:pPr>
                    <w:jc w:val="center"/>
                    <w:textAlignment w:val="center"/>
                    <w:rPr>
                      <w:color w:val="auto"/>
                      <w:kern w:val="0"/>
                    </w:rPr>
                  </w:pPr>
                  <w:r>
                    <w:rPr>
                      <w:color w:val="auto"/>
                      <w:kern w:val="0"/>
                    </w:rPr>
                    <w:t>Ⅲ</w:t>
                  </w:r>
                </w:p>
              </w:tc>
            </w:tr>
            <w:tr w14:paraId="582D081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36" w:type="pct"/>
                  <w:vMerge w:val="restart"/>
                  <w:tcBorders>
                    <w:tl2br w:val="nil"/>
                    <w:tr2bl w:val="nil"/>
                  </w:tcBorders>
                  <w:noWrap/>
                  <w:vAlign w:val="center"/>
                </w:tcPr>
                <w:p w14:paraId="164BD449">
                  <w:pPr>
                    <w:jc w:val="center"/>
                    <w:textAlignment w:val="center"/>
                    <w:rPr>
                      <w:color w:val="auto"/>
                      <w:kern w:val="0"/>
                    </w:rPr>
                  </w:pPr>
                  <w:r>
                    <w:rPr>
                      <w:color w:val="auto"/>
                      <w:kern w:val="0"/>
                    </w:rPr>
                    <w:t>A</w:t>
                  </w:r>
                </w:p>
              </w:tc>
              <w:tc>
                <w:tcPr>
                  <w:tcW w:w="2220" w:type="pct"/>
                  <w:tcBorders>
                    <w:tl2br w:val="nil"/>
                    <w:tr2bl w:val="nil"/>
                  </w:tcBorders>
                  <w:noWrap/>
                  <w:vAlign w:val="center"/>
                </w:tcPr>
                <w:p w14:paraId="6D8B3958">
                  <w:pPr>
                    <w:jc w:val="center"/>
                    <w:textAlignment w:val="center"/>
                    <w:rPr>
                      <w:color w:val="auto"/>
                      <w:kern w:val="0"/>
                    </w:rPr>
                  </w:pPr>
                  <w:r>
                    <w:rPr>
                      <w:color w:val="auto"/>
                      <w:kern w:val="0"/>
                    </w:rPr>
                    <w:t>&lt;2</w:t>
                  </w:r>
                </w:p>
              </w:tc>
              <w:tc>
                <w:tcPr>
                  <w:tcW w:w="279" w:type="pct"/>
                  <w:tcBorders>
                    <w:tl2br w:val="nil"/>
                    <w:tr2bl w:val="nil"/>
                  </w:tcBorders>
                  <w:noWrap/>
                  <w:vAlign w:val="center"/>
                </w:tcPr>
                <w:p w14:paraId="4E129960">
                  <w:pPr>
                    <w:jc w:val="center"/>
                    <w:textAlignment w:val="center"/>
                    <w:rPr>
                      <w:color w:val="auto"/>
                      <w:kern w:val="0"/>
                    </w:rPr>
                  </w:pPr>
                  <w:r>
                    <w:rPr>
                      <w:color w:val="auto"/>
                      <w:kern w:val="0"/>
                    </w:rPr>
                    <w:t>400</w:t>
                  </w:r>
                </w:p>
              </w:tc>
              <w:tc>
                <w:tcPr>
                  <w:tcW w:w="300" w:type="pct"/>
                  <w:tcBorders>
                    <w:tl2br w:val="nil"/>
                    <w:tr2bl w:val="nil"/>
                  </w:tcBorders>
                  <w:noWrap/>
                  <w:vAlign w:val="center"/>
                </w:tcPr>
                <w:p w14:paraId="4385DFAA">
                  <w:pPr>
                    <w:jc w:val="center"/>
                    <w:textAlignment w:val="center"/>
                    <w:rPr>
                      <w:color w:val="auto"/>
                      <w:kern w:val="0"/>
                    </w:rPr>
                  </w:pPr>
                  <w:r>
                    <w:rPr>
                      <w:color w:val="auto"/>
                      <w:kern w:val="0"/>
                    </w:rPr>
                    <w:t>400</w:t>
                  </w:r>
                </w:p>
              </w:tc>
              <w:tc>
                <w:tcPr>
                  <w:tcW w:w="253" w:type="pct"/>
                  <w:tcBorders>
                    <w:tl2br w:val="nil"/>
                    <w:tr2bl w:val="nil"/>
                  </w:tcBorders>
                  <w:noWrap/>
                  <w:vAlign w:val="center"/>
                </w:tcPr>
                <w:p w14:paraId="3D26FFEA">
                  <w:pPr>
                    <w:jc w:val="center"/>
                    <w:textAlignment w:val="center"/>
                    <w:rPr>
                      <w:color w:val="auto"/>
                      <w:kern w:val="0"/>
                    </w:rPr>
                  </w:pPr>
                  <w:r>
                    <w:rPr>
                      <w:color w:val="auto"/>
                      <w:kern w:val="0"/>
                    </w:rPr>
                    <w:t>400</w:t>
                  </w:r>
                </w:p>
              </w:tc>
              <w:tc>
                <w:tcPr>
                  <w:tcW w:w="293" w:type="pct"/>
                  <w:tcBorders>
                    <w:tl2br w:val="nil"/>
                    <w:tr2bl w:val="nil"/>
                  </w:tcBorders>
                  <w:noWrap/>
                  <w:vAlign w:val="center"/>
                </w:tcPr>
                <w:p w14:paraId="38C3FEE1">
                  <w:pPr>
                    <w:jc w:val="center"/>
                    <w:textAlignment w:val="center"/>
                    <w:rPr>
                      <w:color w:val="auto"/>
                      <w:kern w:val="0"/>
                    </w:rPr>
                  </w:pPr>
                  <w:r>
                    <w:rPr>
                      <w:color w:val="auto"/>
                      <w:kern w:val="0"/>
                    </w:rPr>
                    <w:t>400</w:t>
                  </w:r>
                </w:p>
              </w:tc>
              <w:tc>
                <w:tcPr>
                  <w:tcW w:w="310" w:type="pct"/>
                  <w:tcBorders>
                    <w:tl2br w:val="nil"/>
                    <w:tr2bl w:val="nil"/>
                  </w:tcBorders>
                  <w:noWrap/>
                  <w:vAlign w:val="center"/>
                </w:tcPr>
                <w:p w14:paraId="4A1B2A93">
                  <w:pPr>
                    <w:jc w:val="center"/>
                    <w:textAlignment w:val="center"/>
                    <w:rPr>
                      <w:color w:val="auto"/>
                      <w:kern w:val="0"/>
                    </w:rPr>
                  </w:pPr>
                  <w:r>
                    <w:rPr>
                      <w:color w:val="auto"/>
                      <w:kern w:val="0"/>
                    </w:rPr>
                    <w:t>400</w:t>
                  </w:r>
                </w:p>
              </w:tc>
              <w:tc>
                <w:tcPr>
                  <w:tcW w:w="284" w:type="pct"/>
                  <w:tcBorders>
                    <w:tl2br w:val="nil"/>
                    <w:tr2bl w:val="nil"/>
                  </w:tcBorders>
                  <w:noWrap/>
                  <w:vAlign w:val="center"/>
                </w:tcPr>
                <w:p w14:paraId="60A43DCB">
                  <w:pPr>
                    <w:jc w:val="center"/>
                    <w:textAlignment w:val="center"/>
                    <w:rPr>
                      <w:color w:val="auto"/>
                      <w:kern w:val="0"/>
                    </w:rPr>
                  </w:pPr>
                  <w:r>
                    <w:rPr>
                      <w:color w:val="auto"/>
                      <w:kern w:val="0"/>
                    </w:rPr>
                    <w:t>400</w:t>
                  </w:r>
                </w:p>
              </w:tc>
              <w:tc>
                <w:tcPr>
                  <w:tcW w:w="203" w:type="pct"/>
                  <w:tcBorders>
                    <w:tl2br w:val="nil"/>
                    <w:tr2bl w:val="nil"/>
                  </w:tcBorders>
                  <w:noWrap/>
                  <w:vAlign w:val="center"/>
                </w:tcPr>
                <w:p w14:paraId="72199A81">
                  <w:pPr>
                    <w:jc w:val="center"/>
                    <w:textAlignment w:val="center"/>
                    <w:rPr>
                      <w:color w:val="auto"/>
                      <w:kern w:val="0"/>
                    </w:rPr>
                  </w:pPr>
                  <w:r>
                    <w:rPr>
                      <w:color w:val="auto"/>
                      <w:kern w:val="0"/>
                    </w:rPr>
                    <w:t>80</w:t>
                  </w:r>
                </w:p>
              </w:tc>
              <w:tc>
                <w:tcPr>
                  <w:tcW w:w="268" w:type="pct"/>
                  <w:tcBorders>
                    <w:tl2br w:val="nil"/>
                    <w:tr2bl w:val="nil"/>
                  </w:tcBorders>
                  <w:noWrap/>
                  <w:vAlign w:val="center"/>
                </w:tcPr>
                <w:p w14:paraId="09127D03">
                  <w:pPr>
                    <w:jc w:val="center"/>
                    <w:textAlignment w:val="center"/>
                    <w:rPr>
                      <w:color w:val="auto"/>
                      <w:kern w:val="0"/>
                    </w:rPr>
                  </w:pPr>
                  <w:r>
                    <w:rPr>
                      <w:color w:val="auto"/>
                      <w:kern w:val="0"/>
                    </w:rPr>
                    <w:t>80</w:t>
                  </w:r>
                </w:p>
              </w:tc>
              <w:tc>
                <w:tcPr>
                  <w:tcW w:w="247" w:type="pct"/>
                  <w:tcBorders>
                    <w:tl2br w:val="nil"/>
                    <w:tr2bl w:val="nil"/>
                  </w:tcBorders>
                  <w:noWrap/>
                  <w:vAlign w:val="center"/>
                </w:tcPr>
                <w:p w14:paraId="3B578668">
                  <w:pPr>
                    <w:jc w:val="center"/>
                    <w:textAlignment w:val="center"/>
                    <w:rPr>
                      <w:color w:val="auto"/>
                      <w:kern w:val="0"/>
                    </w:rPr>
                  </w:pPr>
                  <w:r>
                    <w:rPr>
                      <w:color w:val="auto"/>
                      <w:kern w:val="0"/>
                    </w:rPr>
                    <w:t>80</w:t>
                  </w:r>
                </w:p>
              </w:tc>
            </w:tr>
            <w:tr w14:paraId="3A43293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36" w:type="pct"/>
                  <w:vMerge w:val="continue"/>
                  <w:tcBorders>
                    <w:tl2br w:val="nil"/>
                    <w:tr2bl w:val="nil"/>
                  </w:tcBorders>
                  <w:noWrap/>
                  <w:vAlign w:val="center"/>
                </w:tcPr>
                <w:p w14:paraId="02DCAA88">
                  <w:pPr>
                    <w:jc w:val="center"/>
                    <w:textAlignment w:val="center"/>
                    <w:rPr>
                      <w:color w:val="auto"/>
                      <w:kern w:val="0"/>
                    </w:rPr>
                  </w:pPr>
                </w:p>
              </w:tc>
              <w:tc>
                <w:tcPr>
                  <w:tcW w:w="2220" w:type="pct"/>
                  <w:tcBorders>
                    <w:tl2br w:val="nil"/>
                    <w:tr2bl w:val="nil"/>
                  </w:tcBorders>
                  <w:noWrap/>
                  <w:vAlign w:val="center"/>
                </w:tcPr>
                <w:p w14:paraId="69213BC9">
                  <w:pPr>
                    <w:jc w:val="center"/>
                    <w:textAlignment w:val="center"/>
                    <w:rPr>
                      <w:color w:val="auto"/>
                      <w:kern w:val="0"/>
                    </w:rPr>
                  </w:pPr>
                  <w:r>
                    <w:rPr>
                      <w:color w:val="auto"/>
                      <w:kern w:val="0"/>
                    </w:rPr>
                    <w:t>2~4</w:t>
                  </w:r>
                </w:p>
              </w:tc>
              <w:tc>
                <w:tcPr>
                  <w:tcW w:w="279" w:type="pct"/>
                  <w:tcBorders>
                    <w:tl2br w:val="nil"/>
                    <w:tr2bl w:val="nil"/>
                  </w:tcBorders>
                  <w:noWrap/>
                  <w:vAlign w:val="center"/>
                </w:tcPr>
                <w:p w14:paraId="63EADC2D">
                  <w:pPr>
                    <w:jc w:val="center"/>
                    <w:textAlignment w:val="center"/>
                    <w:rPr>
                      <w:color w:val="auto"/>
                      <w:kern w:val="0"/>
                    </w:rPr>
                  </w:pPr>
                  <w:r>
                    <w:rPr>
                      <w:color w:val="auto"/>
                      <w:kern w:val="0"/>
                    </w:rPr>
                    <w:t>700</w:t>
                  </w:r>
                </w:p>
              </w:tc>
              <w:tc>
                <w:tcPr>
                  <w:tcW w:w="300" w:type="pct"/>
                  <w:tcBorders>
                    <w:tl2br w:val="nil"/>
                    <w:tr2bl w:val="nil"/>
                  </w:tcBorders>
                  <w:noWrap/>
                  <w:vAlign w:val="center"/>
                </w:tcPr>
                <w:p w14:paraId="6AF18744">
                  <w:pPr>
                    <w:jc w:val="center"/>
                    <w:textAlignment w:val="center"/>
                    <w:rPr>
                      <w:color w:val="auto"/>
                      <w:kern w:val="0"/>
                    </w:rPr>
                  </w:pPr>
                  <w:r>
                    <w:rPr>
                      <w:color w:val="auto"/>
                      <w:kern w:val="0"/>
                    </w:rPr>
                    <w:t>470</w:t>
                  </w:r>
                </w:p>
              </w:tc>
              <w:tc>
                <w:tcPr>
                  <w:tcW w:w="253" w:type="pct"/>
                  <w:tcBorders>
                    <w:tl2br w:val="nil"/>
                    <w:tr2bl w:val="nil"/>
                  </w:tcBorders>
                  <w:noWrap/>
                  <w:vAlign w:val="center"/>
                </w:tcPr>
                <w:p w14:paraId="4B6A15F9">
                  <w:pPr>
                    <w:jc w:val="center"/>
                    <w:textAlignment w:val="center"/>
                    <w:rPr>
                      <w:color w:val="auto"/>
                      <w:kern w:val="0"/>
                    </w:rPr>
                  </w:pPr>
                  <w:r>
                    <w:rPr>
                      <w:color w:val="auto"/>
                      <w:kern w:val="0"/>
                    </w:rPr>
                    <w:t>350</w:t>
                  </w:r>
                </w:p>
              </w:tc>
              <w:tc>
                <w:tcPr>
                  <w:tcW w:w="293" w:type="pct"/>
                  <w:tcBorders>
                    <w:tl2br w:val="nil"/>
                    <w:tr2bl w:val="nil"/>
                  </w:tcBorders>
                  <w:noWrap/>
                  <w:vAlign w:val="center"/>
                </w:tcPr>
                <w:p w14:paraId="312EA0AC">
                  <w:pPr>
                    <w:jc w:val="center"/>
                    <w:textAlignment w:val="center"/>
                    <w:rPr>
                      <w:color w:val="auto"/>
                      <w:kern w:val="0"/>
                    </w:rPr>
                  </w:pPr>
                  <w:r>
                    <w:rPr>
                      <w:color w:val="auto"/>
                      <w:kern w:val="0"/>
                    </w:rPr>
                    <w:t>700</w:t>
                  </w:r>
                </w:p>
              </w:tc>
              <w:tc>
                <w:tcPr>
                  <w:tcW w:w="310" w:type="pct"/>
                  <w:tcBorders>
                    <w:tl2br w:val="nil"/>
                    <w:tr2bl w:val="nil"/>
                  </w:tcBorders>
                  <w:noWrap/>
                  <w:vAlign w:val="center"/>
                </w:tcPr>
                <w:p w14:paraId="6BD48090">
                  <w:pPr>
                    <w:jc w:val="center"/>
                    <w:textAlignment w:val="center"/>
                    <w:rPr>
                      <w:color w:val="auto"/>
                      <w:kern w:val="0"/>
                    </w:rPr>
                  </w:pPr>
                  <w:r>
                    <w:rPr>
                      <w:color w:val="auto"/>
                      <w:kern w:val="0"/>
                    </w:rPr>
                    <w:t>470</w:t>
                  </w:r>
                </w:p>
              </w:tc>
              <w:tc>
                <w:tcPr>
                  <w:tcW w:w="284" w:type="pct"/>
                  <w:tcBorders>
                    <w:tl2br w:val="nil"/>
                    <w:tr2bl w:val="nil"/>
                  </w:tcBorders>
                  <w:noWrap/>
                  <w:vAlign w:val="center"/>
                </w:tcPr>
                <w:p w14:paraId="41423294">
                  <w:pPr>
                    <w:jc w:val="center"/>
                    <w:textAlignment w:val="center"/>
                    <w:rPr>
                      <w:color w:val="auto"/>
                      <w:kern w:val="0"/>
                    </w:rPr>
                  </w:pPr>
                  <w:r>
                    <w:rPr>
                      <w:color w:val="auto"/>
                      <w:kern w:val="0"/>
                    </w:rPr>
                    <w:t>350</w:t>
                  </w:r>
                </w:p>
              </w:tc>
              <w:tc>
                <w:tcPr>
                  <w:tcW w:w="203" w:type="pct"/>
                  <w:tcBorders>
                    <w:tl2br w:val="nil"/>
                    <w:tr2bl w:val="nil"/>
                  </w:tcBorders>
                  <w:noWrap/>
                  <w:vAlign w:val="center"/>
                </w:tcPr>
                <w:p w14:paraId="6BECDCCF">
                  <w:pPr>
                    <w:jc w:val="center"/>
                    <w:textAlignment w:val="center"/>
                    <w:rPr>
                      <w:color w:val="auto"/>
                      <w:kern w:val="0"/>
                    </w:rPr>
                  </w:pPr>
                  <w:r>
                    <w:rPr>
                      <w:color w:val="auto"/>
                      <w:kern w:val="0"/>
                    </w:rPr>
                    <w:t>380</w:t>
                  </w:r>
                </w:p>
              </w:tc>
              <w:tc>
                <w:tcPr>
                  <w:tcW w:w="268" w:type="pct"/>
                  <w:tcBorders>
                    <w:tl2br w:val="nil"/>
                    <w:tr2bl w:val="nil"/>
                  </w:tcBorders>
                  <w:noWrap/>
                  <w:vAlign w:val="center"/>
                </w:tcPr>
                <w:p w14:paraId="72B560AA">
                  <w:pPr>
                    <w:jc w:val="center"/>
                    <w:textAlignment w:val="center"/>
                    <w:rPr>
                      <w:color w:val="auto"/>
                      <w:kern w:val="0"/>
                    </w:rPr>
                  </w:pPr>
                  <w:r>
                    <w:rPr>
                      <w:color w:val="auto"/>
                      <w:kern w:val="0"/>
                    </w:rPr>
                    <w:t>250</w:t>
                  </w:r>
                </w:p>
              </w:tc>
              <w:tc>
                <w:tcPr>
                  <w:tcW w:w="247" w:type="pct"/>
                  <w:tcBorders>
                    <w:tl2br w:val="nil"/>
                    <w:tr2bl w:val="nil"/>
                  </w:tcBorders>
                  <w:noWrap/>
                  <w:vAlign w:val="center"/>
                </w:tcPr>
                <w:p w14:paraId="1C9C54BA">
                  <w:pPr>
                    <w:jc w:val="center"/>
                    <w:textAlignment w:val="center"/>
                    <w:rPr>
                      <w:color w:val="auto"/>
                      <w:kern w:val="0"/>
                    </w:rPr>
                  </w:pPr>
                  <w:r>
                    <w:rPr>
                      <w:color w:val="auto"/>
                      <w:kern w:val="0"/>
                    </w:rPr>
                    <w:t>190</w:t>
                  </w:r>
                </w:p>
              </w:tc>
            </w:tr>
            <w:tr w14:paraId="52E83B9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36" w:type="pct"/>
                  <w:vMerge w:val="continue"/>
                  <w:tcBorders>
                    <w:tl2br w:val="nil"/>
                    <w:tr2bl w:val="nil"/>
                  </w:tcBorders>
                  <w:noWrap/>
                  <w:vAlign w:val="center"/>
                </w:tcPr>
                <w:p w14:paraId="0E2C7EAE">
                  <w:pPr>
                    <w:jc w:val="center"/>
                    <w:textAlignment w:val="center"/>
                    <w:rPr>
                      <w:color w:val="auto"/>
                      <w:kern w:val="0"/>
                    </w:rPr>
                  </w:pPr>
                </w:p>
              </w:tc>
              <w:tc>
                <w:tcPr>
                  <w:tcW w:w="2220" w:type="pct"/>
                  <w:tcBorders>
                    <w:tl2br w:val="nil"/>
                    <w:tr2bl w:val="nil"/>
                  </w:tcBorders>
                  <w:noWrap/>
                  <w:vAlign w:val="center"/>
                </w:tcPr>
                <w:p w14:paraId="7A4329EB">
                  <w:pPr>
                    <w:jc w:val="center"/>
                    <w:textAlignment w:val="center"/>
                    <w:rPr>
                      <w:color w:val="auto"/>
                      <w:kern w:val="0"/>
                    </w:rPr>
                  </w:pPr>
                  <w:r>
                    <w:rPr>
                      <w:color w:val="auto"/>
                      <w:kern w:val="0"/>
                    </w:rPr>
                    <w:t>&gt;4</w:t>
                  </w:r>
                </w:p>
              </w:tc>
              <w:tc>
                <w:tcPr>
                  <w:tcW w:w="279" w:type="pct"/>
                  <w:tcBorders>
                    <w:tl2br w:val="nil"/>
                    <w:tr2bl w:val="nil"/>
                  </w:tcBorders>
                  <w:noWrap/>
                  <w:vAlign w:val="center"/>
                </w:tcPr>
                <w:p w14:paraId="74BB6604">
                  <w:pPr>
                    <w:jc w:val="center"/>
                    <w:textAlignment w:val="center"/>
                    <w:rPr>
                      <w:color w:val="auto"/>
                      <w:kern w:val="0"/>
                    </w:rPr>
                  </w:pPr>
                  <w:r>
                    <w:rPr>
                      <w:color w:val="auto"/>
                      <w:kern w:val="0"/>
                    </w:rPr>
                    <w:t>530</w:t>
                  </w:r>
                </w:p>
              </w:tc>
              <w:tc>
                <w:tcPr>
                  <w:tcW w:w="300" w:type="pct"/>
                  <w:tcBorders>
                    <w:tl2br w:val="nil"/>
                    <w:tr2bl w:val="nil"/>
                  </w:tcBorders>
                  <w:noWrap/>
                  <w:vAlign w:val="center"/>
                </w:tcPr>
                <w:p w14:paraId="66324719">
                  <w:pPr>
                    <w:jc w:val="center"/>
                    <w:textAlignment w:val="center"/>
                    <w:rPr>
                      <w:color w:val="auto"/>
                      <w:kern w:val="0"/>
                    </w:rPr>
                  </w:pPr>
                  <w:r>
                    <w:rPr>
                      <w:color w:val="auto"/>
                      <w:kern w:val="0"/>
                    </w:rPr>
                    <w:t>350</w:t>
                  </w:r>
                </w:p>
              </w:tc>
              <w:tc>
                <w:tcPr>
                  <w:tcW w:w="253" w:type="pct"/>
                  <w:tcBorders>
                    <w:tl2br w:val="nil"/>
                    <w:tr2bl w:val="nil"/>
                  </w:tcBorders>
                  <w:noWrap/>
                  <w:vAlign w:val="center"/>
                </w:tcPr>
                <w:p w14:paraId="32A4A931">
                  <w:pPr>
                    <w:jc w:val="center"/>
                    <w:textAlignment w:val="center"/>
                    <w:rPr>
                      <w:color w:val="auto"/>
                      <w:kern w:val="0"/>
                    </w:rPr>
                  </w:pPr>
                  <w:r>
                    <w:rPr>
                      <w:color w:val="auto"/>
                      <w:kern w:val="0"/>
                    </w:rPr>
                    <w:t>260</w:t>
                  </w:r>
                </w:p>
              </w:tc>
              <w:tc>
                <w:tcPr>
                  <w:tcW w:w="293" w:type="pct"/>
                  <w:tcBorders>
                    <w:tl2br w:val="nil"/>
                    <w:tr2bl w:val="nil"/>
                  </w:tcBorders>
                  <w:noWrap/>
                  <w:vAlign w:val="center"/>
                </w:tcPr>
                <w:p w14:paraId="77A76845">
                  <w:pPr>
                    <w:jc w:val="center"/>
                    <w:textAlignment w:val="center"/>
                    <w:rPr>
                      <w:color w:val="auto"/>
                      <w:kern w:val="0"/>
                    </w:rPr>
                  </w:pPr>
                  <w:r>
                    <w:rPr>
                      <w:color w:val="auto"/>
                      <w:kern w:val="0"/>
                    </w:rPr>
                    <w:t>530</w:t>
                  </w:r>
                </w:p>
              </w:tc>
              <w:tc>
                <w:tcPr>
                  <w:tcW w:w="310" w:type="pct"/>
                  <w:tcBorders>
                    <w:tl2br w:val="nil"/>
                    <w:tr2bl w:val="nil"/>
                  </w:tcBorders>
                  <w:noWrap/>
                  <w:vAlign w:val="center"/>
                </w:tcPr>
                <w:p w14:paraId="05FB950A">
                  <w:pPr>
                    <w:jc w:val="center"/>
                    <w:textAlignment w:val="center"/>
                    <w:rPr>
                      <w:color w:val="auto"/>
                      <w:kern w:val="0"/>
                    </w:rPr>
                  </w:pPr>
                  <w:r>
                    <w:rPr>
                      <w:color w:val="auto"/>
                      <w:kern w:val="0"/>
                    </w:rPr>
                    <w:t>350</w:t>
                  </w:r>
                </w:p>
              </w:tc>
              <w:tc>
                <w:tcPr>
                  <w:tcW w:w="284" w:type="pct"/>
                  <w:tcBorders>
                    <w:tl2br w:val="nil"/>
                    <w:tr2bl w:val="nil"/>
                  </w:tcBorders>
                  <w:noWrap/>
                  <w:vAlign w:val="center"/>
                </w:tcPr>
                <w:p w14:paraId="3433DCE6">
                  <w:pPr>
                    <w:jc w:val="center"/>
                    <w:textAlignment w:val="center"/>
                    <w:rPr>
                      <w:color w:val="auto"/>
                      <w:kern w:val="0"/>
                    </w:rPr>
                  </w:pPr>
                  <w:r>
                    <w:rPr>
                      <w:color w:val="auto"/>
                      <w:kern w:val="0"/>
                    </w:rPr>
                    <w:t>260</w:t>
                  </w:r>
                </w:p>
              </w:tc>
              <w:tc>
                <w:tcPr>
                  <w:tcW w:w="203" w:type="pct"/>
                  <w:tcBorders>
                    <w:tl2br w:val="nil"/>
                    <w:tr2bl w:val="nil"/>
                  </w:tcBorders>
                  <w:noWrap/>
                  <w:vAlign w:val="center"/>
                </w:tcPr>
                <w:p w14:paraId="2E7531D5">
                  <w:pPr>
                    <w:jc w:val="center"/>
                    <w:textAlignment w:val="center"/>
                    <w:rPr>
                      <w:color w:val="auto"/>
                      <w:kern w:val="0"/>
                    </w:rPr>
                  </w:pPr>
                  <w:r>
                    <w:rPr>
                      <w:color w:val="auto"/>
                      <w:kern w:val="0"/>
                    </w:rPr>
                    <w:t>290</w:t>
                  </w:r>
                </w:p>
              </w:tc>
              <w:tc>
                <w:tcPr>
                  <w:tcW w:w="268" w:type="pct"/>
                  <w:tcBorders>
                    <w:tl2br w:val="nil"/>
                    <w:tr2bl w:val="nil"/>
                  </w:tcBorders>
                  <w:noWrap/>
                  <w:vAlign w:val="center"/>
                </w:tcPr>
                <w:p w14:paraId="2B62AFC1">
                  <w:pPr>
                    <w:jc w:val="center"/>
                    <w:textAlignment w:val="center"/>
                    <w:rPr>
                      <w:color w:val="auto"/>
                      <w:kern w:val="0"/>
                    </w:rPr>
                  </w:pPr>
                  <w:r>
                    <w:rPr>
                      <w:color w:val="auto"/>
                      <w:kern w:val="0"/>
                    </w:rPr>
                    <w:t>190</w:t>
                  </w:r>
                </w:p>
              </w:tc>
              <w:tc>
                <w:tcPr>
                  <w:tcW w:w="247" w:type="pct"/>
                  <w:tcBorders>
                    <w:tl2br w:val="nil"/>
                    <w:tr2bl w:val="nil"/>
                  </w:tcBorders>
                  <w:noWrap/>
                  <w:vAlign w:val="center"/>
                </w:tcPr>
                <w:p w14:paraId="0209D543">
                  <w:pPr>
                    <w:jc w:val="center"/>
                    <w:textAlignment w:val="center"/>
                    <w:rPr>
                      <w:color w:val="auto"/>
                      <w:kern w:val="0"/>
                    </w:rPr>
                  </w:pPr>
                  <w:r>
                    <w:rPr>
                      <w:color w:val="auto"/>
                      <w:kern w:val="0"/>
                    </w:rPr>
                    <w:t>140</w:t>
                  </w:r>
                </w:p>
              </w:tc>
            </w:tr>
            <w:tr w14:paraId="15A0B14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36" w:type="pct"/>
                  <w:vMerge w:val="restart"/>
                  <w:tcBorders>
                    <w:tl2br w:val="nil"/>
                    <w:tr2bl w:val="nil"/>
                  </w:tcBorders>
                  <w:noWrap/>
                  <w:vAlign w:val="center"/>
                </w:tcPr>
                <w:p w14:paraId="5F17A7AE">
                  <w:pPr>
                    <w:jc w:val="center"/>
                    <w:textAlignment w:val="center"/>
                    <w:rPr>
                      <w:color w:val="auto"/>
                      <w:kern w:val="0"/>
                    </w:rPr>
                  </w:pPr>
                  <w:r>
                    <w:rPr>
                      <w:color w:val="auto"/>
                      <w:kern w:val="0"/>
                    </w:rPr>
                    <w:t>B</w:t>
                  </w:r>
                </w:p>
              </w:tc>
              <w:tc>
                <w:tcPr>
                  <w:tcW w:w="2220" w:type="pct"/>
                  <w:tcBorders>
                    <w:tl2br w:val="nil"/>
                    <w:tr2bl w:val="nil"/>
                  </w:tcBorders>
                  <w:noWrap/>
                  <w:vAlign w:val="center"/>
                </w:tcPr>
                <w:p w14:paraId="6CA87D91">
                  <w:pPr>
                    <w:jc w:val="center"/>
                    <w:textAlignment w:val="center"/>
                    <w:rPr>
                      <w:color w:val="auto"/>
                      <w:kern w:val="0"/>
                    </w:rPr>
                  </w:pPr>
                  <w:r>
                    <w:rPr>
                      <w:color w:val="auto"/>
                      <w:kern w:val="0"/>
                    </w:rPr>
                    <w:t>&lt;2</w:t>
                  </w:r>
                </w:p>
              </w:tc>
              <w:tc>
                <w:tcPr>
                  <w:tcW w:w="833" w:type="pct"/>
                  <w:gridSpan w:val="3"/>
                  <w:tcBorders>
                    <w:tl2br w:val="nil"/>
                    <w:tr2bl w:val="nil"/>
                  </w:tcBorders>
                  <w:noWrap/>
                  <w:vAlign w:val="center"/>
                </w:tcPr>
                <w:p w14:paraId="2C56EB16">
                  <w:pPr>
                    <w:jc w:val="center"/>
                    <w:textAlignment w:val="center"/>
                    <w:rPr>
                      <w:color w:val="auto"/>
                      <w:kern w:val="0"/>
                    </w:rPr>
                  </w:pPr>
                  <w:r>
                    <w:rPr>
                      <w:color w:val="auto"/>
                      <w:kern w:val="0"/>
                    </w:rPr>
                    <w:t>0.01</w:t>
                  </w:r>
                </w:p>
              </w:tc>
              <w:tc>
                <w:tcPr>
                  <w:tcW w:w="889" w:type="pct"/>
                  <w:gridSpan w:val="3"/>
                  <w:tcBorders>
                    <w:tl2br w:val="nil"/>
                    <w:tr2bl w:val="nil"/>
                  </w:tcBorders>
                  <w:noWrap/>
                  <w:vAlign w:val="center"/>
                </w:tcPr>
                <w:p w14:paraId="17D135B3">
                  <w:pPr>
                    <w:jc w:val="center"/>
                    <w:textAlignment w:val="center"/>
                    <w:rPr>
                      <w:color w:val="auto"/>
                      <w:kern w:val="0"/>
                    </w:rPr>
                  </w:pPr>
                  <w:r>
                    <w:rPr>
                      <w:color w:val="auto"/>
                      <w:kern w:val="0"/>
                    </w:rPr>
                    <w:t>0.015</w:t>
                  </w:r>
                </w:p>
              </w:tc>
              <w:tc>
                <w:tcPr>
                  <w:tcW w:w="718" w:type="pct"/>
                  <w:gridSpan w:val="3"/>
                  <w:tcBorders>
                    <w:tl2br w:val="nil"/>
                    <w:tr2bl w:val="nil"/>
                  </w:tcBorders>
                  <w:noWrap/>
                  <w:vAlign w:val="center"/>
                </w:tcPr>
                <w:p w14:paraId="13F81D64">
                  <w:pPr>
                    <w:jc w:val="center"/>
                    <w:textAlignment w:val="center"/>
                    <w:rPr>
                      <w:color w:val="auto"/>
                      <w:kern w:val="0"/>
                    </w:rPr>
                  </w:pPr>
                  <w:r>
                    <w:rPr>
                      <w:color w:val="auto"/>
                      <w:kern w:val="0"/>
                    </w:rPr>
                    <w:t>0.015</w:t>
                  </w:r>
                </w:p>
              </w:tc>
            </w:tr>
            <w:tr w14:paraId="40B16FB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36" w:type="pct"/>
                  <w:vMerge w:val="continue"/>
                  <w:tcBorders>
                    <w:tl2br w:val="nil"/>
                    <w:tr2bl w:val="nil"/>
                  </w:tcBorders>
                  <w:noWrap/>
                  <w:vAlign w:val="center"/>
                </w:tcPr>
                <w:p w14:paraId="3B525ECE">
                  <w:pPr>
                    <w:jc w:val="center"/>
                    <w:textAlignment w:val="center"/>
                    <w:rPr>
                      <w:color w:val="auto"/>
                      <w:kern w:val="0"/>
                    </w:rPr>
                  </w:pPr>
                </w:p>
              </w:tc>
              <w:tc>
                <w:tcPr>
                  <w:tcW w:w="2220" w:type="pct"/>
                  <w:tcBorders>
                    <w:tl2br w:val="nil"/>
                    <w:tr2bl w:val="nil"/>
                  </w:tcBorders>
                  <w:noWrap/>
                  <w:vAlign w:val="center"/>
                </w:tcPr>
                <w:p w14:paraId="54F4B18C">
                  <w:pPr>
                    <w:jc w:val="center"/>
                    <w:textAlignment w:val="center"/>
                    <w:rPr>
                      <w:color w:val="auto"/>
                      <w:kern w:val="0"/>
                    </w:rPr>
                  </w:pPr>
                  <w:r>
                    <w:rPr>
                      <w:color w:val="auto"/>
                      <w:kern w:val="0"/>
                    </w:rPr>
                    <w:t>&gt;2</w:t>
                  </w:r>
                </w:p>
              </w:tc>
              <w:tc>
                <w:tcPr>
                  <w:tcW w:w="833" w:type="pct"/>
                  <w:gridSpan w:val="3"/>
                  <w:tcBorders>
                    <w:tl2br w:val="nil"/>
                    <w:tr2bl w:val="nil"/>
                  </w:tcBorders>
                  <w:noWrap/>
                  <w:vAlign w:val="center"/>
                </w:tcPr>
                <w:p w14:paraId="391C72C8">
                  <w:pPr>
                    <w:jc w:val="center"/>
                    <w:textAlignment w:val="center"/>
                    <w:rPr>
                      <w:color w:val="auto"/>
                      <w:kern w:val="0"/>
                    </w:rPr>
                  </w:pPr>
                  <w:r>
                    <w:rPr>
                      <w:color w:val="auto"/>
                      <w:kern w:val="0"/>
                    </w:rPr>
                    <w:t>0.021</w:t>
                  </w:r>
                </w:p>
              </w:tc>
              <w:tc>
                <w:tcPr>
                  <w:tcW w:w="889" w:type="pct"/>
                  <w:gridSpan w:val="3"/>
                  <w:tcBorders>
                    <w:tl2br w:val="nil"/>
                    <w:tr2bl w:val="nil"/>
                  </w:tcBorders>
                  <w:noWrap/>
                  <w:vAlign w:val="center"/>
                </w:tcPr>
                <w:p w14:paraId="4D00C3DD">
                  <w:pPr>
                    <w:jc w:val="center"/>
                    <w:textAlignment w:val="center"/>
                    <w:rPr>
                      <w:color w:val="auto"/>
                      <w:kern w:val="0"/>
                    </w:rPr>
                  </w:pPr>
                  <w:r>
                    <w:rPr>
                      <w:color w:val="auto"/>
                      <w:kern w:val="0"/>
                    </w:rPr>
                    <w:t>0.036</w:t>
                  </w:r>
                </w:p>
              </w:tc>
              <w:tc>
                <w:tcPr>
                  <w:tcW w:w="718" w:type="pct"/>
                  <w:gridSpan w:val="3"/>
                  <w:tcBorders>
                    <w:tl2br w:val="nil"/>
                    <w:tr2bl w:val="nil"/>
                  </w:tcBorders>
                  <w:noWrap/>
                  <w:vAlign w:val="center"/>
                </w:tcPr>
                <w:p w14:paraId="5ACEA079">
                  <w:pPr>
                    <w:jc w:val="center"/>
                    <w:textAlignment w:val="center"/>
                    <w:rPr>
                      <w:color w:val="auto"/>
                      <w:kern w:val="0"/>
                    </w:rPr>
                  </w:pPr>
                  <w:r>
                    <w:rPr>
                      <w:color w:val="auto"/>
                      <w:kern w:val="0"/>
                    </w:rPr>
                    <w:t>0.036</w:t>
                  </w:r>
                </w:p>
              </w:tc>
            </w:tr>
            <w:tr w14:paraId="3A006E1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36" w:type="pct"/>
                  <w:vMerge w:val="restart"/>
                  <w:tcBorders>
                    <w:tl2br w:val="nil"/>
                    <w:tr2bl w:val="nil"/>
                  </w:tcBorders>
                  <w:noWrap/>
                  <w:vAlign w:val="center"/>
                </w:tcPr>
                <w:p w14:paraId="1160C68A">
                  <w:pPr>
                    <w:jc w:val="center"/>
                    <w:textAlignment w:val="center"/>
                    <w:rPr>
                      <w:color w:val="auto"/>
                      <w:kern w:val="0"/>
                    </w:rPr>
                  </w:pPr>
                  <w:r>
                    <w:rPr>
                      <w:color w:val="auto"/>
                      <w:kern w:val="0"/>
                    </w:rPr>
                    <w:t>C</w:t>
                  </w:r>
                </w:p>
              </w:tc>
              <w:tc>
                <w:tcPr>
                  <w:tcW w:w="2220" w:type="pct"/>
                  <w:tcBorders>
                    <w:tl2br w:val="nil"/>
                    <w:tr2bl w:val="nil"/>
                  </w:tcBorders>
                  <w:noWrap/>
                  <w:vAlign w:val="center"/>
                </w:tcPr>
                <w:p w14:paraId="5B0B5E62">
                  <w:pPr>
                    <w:jc w:val="center"/>
                    <w:textAlignment w:val="center"/>
                    <w:rPr>
                      <w:color w:val="auto"/>
                      <w:kern w:val="0"/>
                    </w:rPr>
                  </w:pPr>
                  <w:r>
                    <w:rPr>
                      <w:color w:val="auto"/>
                      <w:kern w:val="0"/>
                    </w:rPr>
                    <w:t>&lt;2</w:t>
                  </w:r>
                </w:p>
              </w:tc>
              <w:tc>
                <w:tcPr>
                  <w:tcW w:w="833" w:type="pct"/>
                  <w:gridSpan w:val="3"/>
                  <w:tcBorders>
                    <w:tl2br w:val="nil"/>
                    <w:tr2bl w:val="nil"/>
                  </w:tcBorders>
                  <w:noWrap/>
                  <w:vAlign w:val="center"/>
                </w:tcPr>
                <w:p w14:paraId="4EBD5312">
                  <w:pPr>
                    <w:jc w:val="center"/>
                    <w:textAlignment w:val="center"/>
                    <w:rPr>
                      <w:color w:val="auto"/>
                      <w:kern w:val="0"/>
                    </w:rPr>
                  </w:pPr>
                  <w:r>
                    <w:rPr>
                      <w:color w:val="auto"/>
                      <w:kern w:val="0"/>
                    </w:rPr>
                    <w:t>1.85</w:t>
                  </w:r>
                </w:p>
              </w:tc>
              <w:tc>
                <w:tcPr>
                  <w:tcW w:w="889" w:type="pct"/>
                  <w:gridSpan w:val="3"/>
                  <w:tcBorders>
                    <w:tl2br w:val="nil"/>
                    <w:tr2bl w:val="nil"/>
                  </w:tcBorders>
                  <w:noWrap/>
                  <w:vAlign w:val="center"/>
                </w:tcPr>
                <w:p w14:paraId="4D1E987E">
                  <w:pPr>
                    <w:jc w:val="center"/>
                    <w:textAlignment w:val="center"/>
                    <w:rPr>
                      <w:color w:val="auto"/>
                      <w:kern w:val="0"/>
                    </w:rPr>
                  </w:pPr>
                  <w:r>
                    <w:rPr>
                      <w:color w:val="auto"/>
                      <w:kern w:val="0"/>
                    </w:rPr>
                    <w:t>1.79</w:t>
                  </w:r>
                </w:p>
              </w:tc>
              <w:tc>
                <w:tcPr>
                  <w:tcW w:w="718" w:type="pct"/>
                  <w:gridSpan w:val="3"/>
                  <w:tcBorders>
                    <w:tl2br w:val="nil"/>
                    <w:tr2bl w:val="nil"/>
                  </w:tcBorders>
                  <w:noWrap/>
                  <w:vAlign w:val="center"/>
                </w:tcPr>
                <w:p w14:paraId="477CAA04">
                  <w:pPr>
                    <w:jc w:val="center"/>
                    <w:textAlignment w:val="center"/>
                    <w:rPr>
                      <w:color w:val="auto"/>
                      <w:kern w:val="0"/>
                    </w:rPr>
                  </w:pPr>
                  <w:r>
                    <w:rPr>
                      <w:color w:val="auto"/>
                      <w:kern w:val="0"/>
                    </w:rPr>
                    <w:t>1.79</w:t>
                  </w:r>
                </w:p>
              </w:tc>
            </w:tr>
            <w:tr w14:paraId="650C2DA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36" w:type="pct"/>
                  <w:vMerge w:val="continue"/>
                  <w:tcBorders>
                    <w:tl2br w:val="nil"/>
                    <w:tr2bl w:val="nil"/>
                  </w:tcBorders>
                  <w:noWrap/>
                  <w:vAlign w:val="center"/>
                </w:tcPr>
                <w:p w14:paraId="28D7334E">
                  <w:pPr>
                    <w:jc w:val="center"/>
                    <w:textAlignment w:val="center"/>
                    <w:rPr>
                      <w:color w:val="auto"/>
                      <w:kern w:val="0"/>
                    </w:rPr>
                  </w:pPr>
                </w:p>
              </w:tc>
              <w:tc>
                <w:tcPr>
                  <w:tcW w:w="2220" w:type="pct"/>
                  <w:tcBorders>
                    <w:tl2br w:val="nil"/>
                    <w:tr2bl w:val="nil"/>
                  </w:tcBorders>
                  <w:noWrap/>
                  <w:vAlign w:val="center"/>
                </w:tcPr>
                <w:p w14:paraId="0FB21499">
                  <w:pPr>
                    <w:jc w:val="center"/>
                    <w:textAlignment w:val="center"/>
                    <w:rPr>
                      <w:color w:val="auto"/>
                      <w:kern w:val="0"/>
                    </w:rPr>
                  </w:pPr>
                  <w:r>
                    <w:rPr>
                      <w:color w:val="auto"/>
                      <w:kern w:val="0"/>
                    </w:rPr>
                    <w:t>&gt;2</w:t>
                  </w:r>
                </w:p>
              </w:tc>
              <w:tc>
                <w:tcPr>
                  <w:tcW w:w="833" w:type="pct"/>
                  <w:gridSpan w:val="3"/>
                  <w:tcBorders>
                    <w:tl2br w:val="nil"/>
                    <w:tr2bl w:val="nil"/>
                  </w:tcBorders>
                  <w:noWrap/>
                  <w:vAlign w:val="center"/>
                </w:tcPr>
                <w:p w14:paraId="0C78520D">
                  <w:pPr>
                    <w:jc w:val="center"/>
                    <w:textAlignment w:val="center"/>
                    <w:rPr>
                      <w:color w:val="auto"/>
                      <w:kern w:val="0"/>
                    </w:rPr>
                  </w:pPr>
                  <w:r>
                    <w:rPr>
                      <w:color w:val="auto"/>
                      <w:kern w:val="0"/>
                    </w:rPr>
                    <w:t>1.85</w:t>
                  </w:r>
                </w:p>
              </w:tc>
              <w:tc>
                <w:tcPr>
                  <w:tcW w:w="889" w:type="pct"/>
                  <w:gridSpan w:val="3"/>
                  <w:tcBorders>
                    <w:tl2br w:val="nil"/>
                    <w:tr2bl w:val="nil"/>
                  </w:tcBorders>
                  <w:noWrap/>
                  <w:vAlign w:val="center"/>
                </w:tcPr>
                <w:p w14:paraId="3D02582E">
                  <w:pPr>
                    <w:jc w:val="center"/>
                    <w:textAlignment w:val="center"/>
                    <w:rPr>
                      <w:color w:val="auto"/>
                      <w:kern w:val="0"/>
                    </w:rPr>
                  </w:pPr>
                  <w:r>
                    <w:rPr>
                      <w:color w:val="auto"/>
                      <w:kern w:val="0"/>
                    </w:rPr>
                    <w:t>1.77</w:t>
                  </w:r>
                </w:p>
              </w:tc>
              <w:tc>
                <w:tcPr>
                  <w:tcW w:w="718" w:type="pct"/>
                  <w:gridSpan w:val="3"/>
                  <w:tcBorders>
                    <w:tl2br w:val="nil"/>
                    <w:tr2bl w:val="nil"/>
                  </w:tcBorders>
                  <w:noWrap/>
                  <w:vAlign w:val="center"/>
                </w:tcPr>
                <w:p w14:paraId="675BAA1C">
                  <w:pPr>
                    <w:jc w:val="center"/>
                    <w:textAlignment w:val="center"/>
                    <w:rPr>
                      <w:color w:val="auto"/>
                      <w:kern w:val="0"/>
                    </w:rPr>
                  </w:pPr>
                  <w:r>
                    <w:rPr>
                      <w:color w:val="auto"/>
                      <w:kern w:val="0"/>
                    </w:rPr>
                    <w:t>1.77</w:t>
                  </w:r>
                </w:p>
              </w:tc>
            </w:tr>
            <w:tr w14:paraId="13D206E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36" w:type="pct"/>
                  <w:vMerge w:val="restart"/>
                  <w:tcBorders>
                    <w:tl2br w:val="nil"/>
                    <w:tr2bl w:val="nil"/>
                  </w:tcBorders>
                  <w:noWrap/>
                  <w:vAlign w:val="center"/>
                </w:tcPr>
                <w:p w14:paraId="39BADCD2">
                  <w:pPr>
                    <w:jc w:val="center"/>
                    <w:textAlignment w:val="center"/>
                    <w:rPr>
                      <w:color w:val="auto"/>
                      <w:kern w:val="0"/>
                    </w:rPr>
                  </w:pPr>
                  <w:r>
                    <w:rPr>
                      <w:color w:val="auto"/>
                      <w:kern w:val="0"/>
                    </w:rPr>
                    <w:t>D</w:t>
                  </w:r>
                </w:p>
              </w:tc>
              <w:tc>
                <w:tcPr>
                  <w:tcW w:w="2220" w:type="pct"/>
                  <w:tcBorders>
                    <w:tl2br w:val="nil"/>
                    <w:tr2bl w:val="nil"/>
                  </w:tcBorders>
                  <w:noWrap/>
                  <w:vAlign w:val="center"/>
                </w:tcPr>
                <w:p w14:paraId="2FB4F330">
                  <w:pPr>
                    <w:jc w:val="center"/>
                    <w:textAlignment w:val="center"/>
                    <w:rPr>
                      <w:color w:val="auto"/>
                      <w:kern w:val="0"/>
                    </w:rPr>
                  </w:pPr>
                  <w:r>
                    <w:rPr>
                      <w:color w:val="auto"/>
                      <w:kern w:val="0"/>
                    </w:rPr>
                    <w:t>&lt;2</w:t>
                  </w:r>
                </w:p>
              </w:tc>
              <w:tc>
                <w:tcPr>
                  <w:tcW w:w="833" w:type="pct"/>
                  <w:gridSpan w:val="3"/>
                  <w:tcBorders>
                    <w:tl2br w:val="nil"/>
                    <w:tr2bl w:val="nil"/>
                  </w:tcBorders>
                  <w:noWrap/>
                  <w:vAlign w:val="center"/>
                </w:tcPr>
                <w:p w14:paraId="65F027BD">
                  <w:pPr>
                    <w:jc w:val="center"/>
                    <w:textAlignment w:val="center"/>
                    <w:rPr>
                      <w:color w:val="auto"/>
                      <w:kern w:val="0"/>
                    </w:rPr>
                  </w:pPr>
                  <w:r>
                    <w:rPr>
                      <w:color w:val="auto"/>
                      <w:kern w:val="0"/>
                    </w:rPr>
                    <w:t>0.78</w:t>
                  </w:r>
                </w:p>
              </w:tc>
              <w:tc>
                <w:tcPr>
                  <w:tcW w:w="889" w:type="pct"/>
                  <w:gridSpan w:val="3"/>
                  <w:tcBorders>
                    <w:tl2br w:val="nil"/>
                    <w:tr2bl w:val="nil"/>
                  </w:tcBorders>
                  <w:noWrap/>
                  <w:vAlign w:val="center"/>
                </w:tcPr>
                <w:p w14:paraId="0AB5D126">
                  <w:pPr>
                    <w:jc w:val="center"/>
                    <w:textAlignment w:val="center"/>
                    <w:rPr>
                      <w:color w:val="auto"/>
                      <w:kern w:val="0"/>
                    </w:rPr>
                  </w:pPr>
                  <w:r>
                    <w:rPr>
                      <w:color w:val="auto"/>
                      <w:kern w:val="0"/>
                    </w:rPr>
                    <w:t>0.78</w:t>
                  </w:r>
                </w:p>
              </w:tc>
              <w:tc>
                <w:tcPr>
                  <w:tcW w:w="718" w:type="pct"/>
                  <w:gridSpan w:val="3"/>
                  <w:tcBorders>
                    <w:tl2br w:val="nil"/>
                    <w:tr2bl w:val="nil"/>
                  </w:tcBorders>
                  <w:noWrap/>
                  <w:vAlign w:val="center"/>
                </w:tcPr>
                <w:p w14:paraId="5F3CB0EB">
                  <w:pPr>
                    <w:jc w:val="center"/>
                    <w:textAlignment w:val="center"/>
                    <w:rPr>
                      <w:color w:val="auto"/>
                      <w:kern w:val="0"/>
                    </w:rPr>
                  </w:pPr>
                  <w:r>
                    <w:rPr>
                      <w:color w:val="auto"/>
                      <w:kern w:val="0"/>
                    </w:rPr>
                    <w:t>0.57</w:t>
                  </w:r>
                </w:p>
              </w:tc>
            </w:tr>
            <w:tr w14:paraId="739D4E6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36" w:type="pct"/>
                  <w:vMerge w:val="continue"/>
                  <w:tcBorders>
                    <w:tl2br w:val="nil"/>
                    <w:tr2bl w:val="nil"/>
                  </w:tcBorders>
                  <w:noWrap/>
                  <w:vAlign w:val="center"/>
                </w:tcPr>
                <w:p w14:paraId="240FB644">
                  <w:pPr>
                    <w:jc w:val="center"/>
                    <w:rPr>
                      <w:color w:val="auto"/>
                      <w:kern w:val="0"/>
                    </w:rPr>
                  </w:pPr>
                </w:p>
              </w:tc>
              <w:tc>
                <w:tcPr>
                  <w:tcW w:w="2220" w:type="pct"/>
                  <w:tcBorders>
                    <w:tl2br w:val="nil"/>
                    <w:tr2bl w:val="nil"/>
                  </w:tcBorders>
                  <w:noWrap/>
                  <w:vAlign w:val="center"/>
                </w:tcPr>
                <w:p w14:paraId="3FE902C6">
                  <w:pPr>
                    <w:jc w:val="center"/>
                    <w:textAlignment w:val="center"/>
                    <w:rPr>
                      <w:color w:val="auto"/>
                      <w:kern w:val="0"/>
                    </w:rPr>
                  </w:pPr>
                  <w:r>
                    <w:rPr>
                      <w:color w:val="auto"/>
                      <w:kern w:val="0"/>
                    </w:rPr>
                    <w:t>&gt;2</w:t>
                  </w:r>
                </w:p>
              </w:tc>
              <w:tc>
                <w:tcPr>
                  <w:tcW w:w="833" w:type="pct"/>
                  <w:gridSpan w:val="3"/>
                  <w:tcBorders>
                    <w:tl2br w:val="nil"/>
                    <w:tr2bl w:val="nil"/>
                  </w:tcBorders>
                  <w:noWrap/>
                  <w:vAlign w:val="center"/>
                </w:tcPr>
                <w:p w14:paraId="7A42589A">
                  <w:pPr>
                    <w:widowControl/>
                    <w:jc w:val="center"/>
                    <w:textAlignment w:val="bottom"/>
                    <w:rPr>
                      <w:color w:val="auto"/>
                      <w:kern w:val="0"/>
                    </w:rPr>
                  </w:pPr>
                  <w:r>
                    <w:rPr>
                      <w:color w:val="auto"/>
                      <w:kern w:val="0"/>
                    </w:rPr>
                    <w:t>0.84</w:t>
                  </w:r>
                </w:p>
              </w:tc>
              <w:tc>
                <w:tcPr>
                  <w:tcW w:w="889" w:type="pct"/>
                  <w:gridSpan w:val="3"/>
                  <w:tcBorders>
                    <w:tl2br w:val="nil"/>
                    <w:tr2bl w:val="nil"/>
                  </w:tcBorders>
                  <w:noWrap/>
                  <w:vAlign w:val="center"/>
                </w:tcPr>
                <w:p w14:paraId="72B888BD">
                  <w:pPr>
                    <w:widowControl/>
                    <w:jc w:val="center"/>
                    <w:textAlignment w:val="bottom"/>
                    <w:rPr>
                      <w:color w:val="auto"/>
                      <w:kern w:val="0"/>
                    </w:rPr>
                  </w:pPr>
                  <w:r>
                    <w:rPr>
                      <w:color w:val="auto"/>
                      <w:kern w:val="0"/>
                    </w:rPr>
                    <w:t>0.84</w:t>
                  </w:r>
                </w:p>
              </w:tc>
              <w:tc>
                <w:tcPr>
                  <w:tcW w:w="718" w:type="pct"/>
                  <w:gridSpan w:val="3"/>
                  <w:tcBorders>
                    <w:tl2br w:val="nil"/>
                    <w:tr2bl w:val="nil"/>
                  </w:tcBorders>
                  <w:noWrap/>
                  <w:vAlign w:val="center"/>
                </w:tcPr>
                <w:p w14:paraId="1637B97E">
                  <w:pPr>
                    <w:widowControl/>
                    <w:jc w:val="center"/>
                    <w:textAlignment w:val="bottom"/>
                    <w:rPr>
                      <w:color w:val="auto"/>
                      <w:kern w:val="0"/>
                    </w:rPr>
                  </w:pPr>
                  <w:r>
                    <w:rPr>
                      <w:color w:val="auto"/>
                      <w:kern w:val="0"/>
                    </w:rPr>
                    <w:t>0.76</w:t>
                  </w:r>
                </w:p>
              </w:tc>
            </w:tr>
          </w:tbl>
          <w:p w14:paraId="3D286C38">
            <w:pPr>
              <w:pStyle w:val="697"/>
              <w:adjustRightInd w:val="0"/>
              <w:snapToGrid w:val="0"/>
              <w:spacing w:line="360" w:lineRule="auto"/>
              <w:ind w:firstLine="420"/>
              <w:jc w:val="both"/>
              <w:rPr>
                <w:rFonts w:eastAsia="宋体"/>
                <w:bCs/>
                <w:color w:val="auto"/>
                <w:kern w:val="0"/>
                <w:sz w:val="21"/>
                <w:szCs w:val="21"/>
              </w:rPr>
            </w:pPr>
            <w:r>
              <w:rPr>
                <w:rFonts w:eastAsia="宋体"/>
                <w:color w:val="auto"/>
                <w:kern w:val="0"/>
                <w:sz w:val="21"/>
                <w:szCs w:val="21"/>
              </w:rPr>
              <w:t>按照表4-2核算的建设项目</w:t>
            </w:r>
            <w:r>
              <w:rPr>
                <w:rFonts w:hint="eastAsia" w:eastAsia="宋体"/>
                <w:color w:val="auto"/>
                <w:kern w:val="0"/>
                <w:sz w:val="21"/>
                <w:szCs w:val="21"/>
              </w:rPr>
              <w:t>废气</w:t>
            </w:r>
            <w:r>
              <w:rPr>
                <w:rFonts w:eastAsia="宋体"/>
                <w:color w:val="auto"/>
                <w:kern w:val="0"/>
                <w:sz w:val="21"/>
                <w:szCs w:val="21"/>
              </w:rPr>
              <w:t>无组织排放情况，</w:t>
            </w:r>
            <w:r>
              <w:rPr>
                <w:rFonts w:hint="eastAsia" w:eastAsia="宋体"/>
                <w:color w:val="auto"/>
                <w:kern w:val="0"/>
                <w:sz w:val="21"/>
                <w:szCs w:val="21"/>
              </w:rPr>
              <w:t>结合</w:t>
            </w:r>
            <w:r>
              <w:rPr>
                <w:rFonts w:hint="eastAsia" w:eastAsia="宋体"/>
                <w:bCs/>
                <w:color w:val="auto"/>
                <w:kern w:val="0"/>
                <w:sz w:val="21"/>
                <w:szCs w:val="21"/>
              </w:rPr>
              <w:t>上表</w:t>
            </w:r>
            <w:r>
              <w:rPr>
                <w:rFonts w:eastAsia="宋体"/>
                <w:bCs/>
                <w:color w:val="auto"/>
                <w:kern w:val="0"/>
                <w:sz w:val="21"/>
                <w:szCs w:val="21"/>
              </w:rPr>
              <w:t>计算系数计算得建设项目完成后全厂卫生防护距离见</w:t>
            </w:r>
            <w:r>
              <w:rPr>
                <w:rFonts w:hint="eastAsia" w:eastAsia="宋体"/>
                <w:bCs/>
                <w:color w:val="auto"/>
                <w:kern w:val="0"/>
                <w:sz w:val="21"/>
                <w:szCs w:val="21"/>
              </w:rPr>
              <w:t>下表</w:t>
            </w:r>
            <w:r>
              <w:rPr>
                <w:rFonts w:eastAsia="宋体"/>
                <w:bCs/>
                <w:color w:val="auto"/>
                <w:kern w:val="0"/>
                <w:sz w:val="21"/>
                <w:szCs w:val="21"/>
              </w:rPr>
              <w:t>。</w:t>
            </w:r>
          </w:p>
          <w:p w14:paraId="4A9A716E">
            <w:pPr>
              <w:pStyle w:val="697"/>
              <w:adjustRightInd w:val="0"/>
              <w:snapToGrid w:val="0"/>
              <w:spacing w:line="240" w:lineRule="auto"/>
              <w:ind w:firstLine="0" w:firstLineChars="0"/>
              <w:jc w:val="center"/>
              <w:rPr>
                <w:b/>
                <w:color w:val="auto"/>
                <w:kern w:val="0"/>
                <w:sz w:val="21"/>
                <w:szCs w:val="21"/>
              </w:rPr>
            </w:pPr>
            <w:r>
              <w:rPr>
                <w:rFonts w:eastAsia="宋体"/>
                <w:b/>
                <w:color w:val="auto"/>
                <w:kern w:val="0"/>
                <w:sz w:val="21"/>
                <w:szCs w:val="21"/>
              </w:rPr>
              <w:t>表4-1</w:t>
            </w:r>
            <w:r>
              <w:rPr>
                <w:rFonts w:hint="eastAsia" w:eastAsia="宋体"/>
                <w:b/>
                <w:color w:val="auto"/>
                <w:kern w:val="0"/>
                <w:sz w:val="21"/>
                <w:szCs w:val="21"/>
                <w:lang w:val="en-US" w:eastAsia="zh-CN"/>
              </w:rPr>
              <w:t>2</w:t>
            </w:r>
            <w:r>
              <w:rPr>
                <w:rFonts w:hint="eastAsia" w:eastAsia="宋体"/>
                <w:b/>
                <w:color w:val="auto"/>
                <w:kern w:val="0"/>
                <w:sz w:val="21"/>
                <w:szCs w:val="21"/>
              </w:rPr>
              <w:t xml:space="preserve">   </w:t>
            </w:r>
            <w:r>
              <w:rPr>
                <w:rFonts w:eastAsia="宋体"/>
                <w:b/>
                <w:color w:val="auto"/>
                <w:kern w:val="0"/>
                <w:sz w:val="21"/>
                <w:szCs w:val="21"/>
              </w:rPr>
              <w:t>卫生防护距离计算结果表</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1418"/>
              <w:gridCol w:w="844"/>
              <w:gridCol w:w="1271"/>
              <w:gridCol w:w="1020"/>
              <w:gridCol w:w="1286"/>
              <w:gridCol w:w="1020"/>
              <w:gridCol w:w="1006"/>
              <w:gridCol w:w="991"/>
            </w:tblGrid>
            <w:tr w14:paraId="05F12C4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418" w:type="dxa"/>
                  <w:tcBorders>
                    <w:tl2br w:val="nil"/>
                    <w:tr2bl w:val="nil"/>
                  </w:tcBorders>
                  <w:vAlign w:val="center"/>
                </w:tcPr>
                <w:p w14:paraId="3349AF2E">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
                      <w:color w:val="auto"/>
                      <w:kern w:val="0"/>
                      <w:sz w:val="21"/>
                      <w:szCs w:val="21"/>
                    </w:rPr>
                  </w:pPr>
                  <w:r>
                    <w:rPr>
                      <w:rFonts w:eastAsia="宋体"/>
                      <w:b/>
                      <w:color w:val="auto"/>
                      <w:kern w:val="0"/>
                      <w:sz w:val="21"/>
                      <w:szCs w:val="21"/>
                    </w:rPr>
                    <w:t>污染源</w:t>
                  </w:r>
                </w:p>
              </w:tc>
              <w:tc>
                <w:tcPr>
                  <w:tcW w:w="844" w:type="dxa"/>
                  <w:tcBorders>
                    <w:tl2br w:val="nil"/>
                    <w:tr2bl w:val="nil"/>
                  </w:tcBorders>
                  <w:vAlign w:val="center"/>
                </w:tcPr>
                <w:p w14:paraId="18F30944">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
                      <w:color w:val="auto"/>
                      <w:kern w:val="0"/>
                      <w:sz w:val="21"/>
                      <w:szCs w:val="21"/>
                    </w:rPr>
                  </w:pPr>
                  <w:r>
                    <w:rPr>
                      <w:rFonts w:eastAsia="宋体"/>
                      <w:b/>
                      <w:color w:val="auto"/>
                      <w:kern w:val="0"/>
                      <w:sz w:val="21"/>
                      <w:szCs w:val="21"/>
                    </w:rPr>
                    <w:t>污染源类型</w:t>
                  </w:r>
                </w:p>
              </w:tc>
              <w:tc>
                <w:tcPr>
                  <w:tcW w:w="1271" w:type="dxa"/>
                  <w:tcBorders>
                    <w:tl2br w:val="nil"/>
                    <w:tr2bl w:val="nil"/>
                  </w:tcBorders>
                  <w:vAlign w:val="center"/>
                </w:tcPr>
                <w:p w14:paraId="40B7C785">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
                      <w:color w:val="auto"/>
                      <w:kern w:val="0"/>
                      <w:sz w:val="21"/>
                      <w:szCs w:val="21"/>
                    </w:rPr>
                  </w:pPr>
                  <w:r>
                    <w:rPr>
                      <w:rFonts w:eastAsia="宋体"/>
                      <w:b/>
                      <w:color w:val="auto"/>
                      <w:kern w:val="0"/>
                      <w:sz w:val="21"/>
                      <w:szCs w:val="21"/>
                    </w:rPr>
                    <w:t>污染物</w:t>
                  </w:r>
                </w:p>
              </w:tc>
              <w:tc>
                <w:tcPr>
                  <w:tcW w:w="1020" w:type="dxa"/>
                  <w:tcBorders>
                    <w:tl2br w:val="nil"/>
                    <w:tr2bl w:val="nil"/>
                  </w:tcBorders>
                  <w:vAlign w:val="center"/>
                </w:tcPr>
                <w:p w14:paraId="1E3BD365">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
                      <w:color w:val="auto"/>
                      <w:kern w:val="0"/>
                      <w:sz w:val="21"/>
                      <w:szCs w:val="21"/>
                    </w:rPr>
                  </w:pPr>
                  <w:r>
                    <w:rPr>
                      <w:rFonts w:hint="eastAsia" w:eastAsia="宋体"/>
                      <w:b/>
                      <w:color w:val="auto"/>
                      <w:kern w:val="0"/>
                      <w:sz w:val="21"/>
                      <w:szCs w:val="21"/>
                    </w:rPr>
                    <w:t>产生速率kg/h</w:t>
                  </w:r>
                </w:p>
              </w:tc>
              <w:tc>
                <w:tcPr>
                  <w:tcW w:w="1286" w:type="dxa"/>
                  <w:tcBorders>
                    <w:tl2br w:val="nil"/>
                    <w:tr2bl w:val="nil"/>
                  </w:tcBorders>
                  <w:vAlign w:val="center"/>
                </w:tcPr>
                <w:p w14:paraId="2E26C1C0">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
                      <w:color w:val="auto"/>
                      <w:kern w:val="0"/>
                      <w:sz w:val="21"/>
                      <w:szCs w:val="21"/>
                    </w:rPr>
                  </w:pPr>
                  <w:r>
                    <w:rPr>
                      <w:rFonts w:hint="eastAsia" w:eastAsia="宋体"/>
                      <w:b/>
                      <w:color w:val="auto"/>
                      <w:kern w:val="0"/>
                      <w:sz w:val="21"/>
                      <w:szCs w:val="21"/>
                    </w:rPr>
                    <w:t>标准限值</w:t>
                  </w:r>
                  <w:r>
                    <w:rPr>
                      <w:rFonts w:eastAsia="宋体"/>
                      <w:b/>
                      <w:color w:val="auto"/>
                      <w:kern w:val="0"/>
                      <w:sz w:val="21"/>
                      <w:szCs w:val="21"/>
                    </w:rPr>
                    <w:t>（mg/m</w:t>
                  </w:r>
                  <w:r>
                    <w:rPr>
                      <w:rFonts w:eastAsia="宋体"/>
                      <w:b/>
                      <w:color w:val="auto"/>
                      <w:kern w:val="0"/>
                      <w:sz w:val="21"/>
                      <w:szCs w:val="21"/>
                      <w:vertAlign w:val="superscript"/>
                    </w:rPr>
                    <w:t>3</w:t>
                  </w:r>
                  <w:r>
                    <w:rPr>
                      <w:rFonts w:eastAsia="宋体"/>
                      <w:b/>
                      <w:color w:val="auto"/>
                      <w:kern w:val="0"/>
                      <w:sz w:val="21"/>
                      <w:szCs w:val="21"/>
                    </w:rPr>
                    <w:t>）</w:t>
                  </w:r>
                </w:p>
              </w:tc>
              <w:tc>
                <w:tcPr>
                  <w:tcW w:w="1020" w:type="dxa"/>
                  <w:tcBorders>
                    <w:tl2br w:val="nil"/>
                    <w:tr2bl w:val="nil"/>
                  </w:tcBorders>
                  <w:vAlign w:val="center"/>
                </w:tcPr>
                <w:p w14:paraId="344D1E2C">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
                      <w:color w:val="auto"/>
                      <w:kern w:val="0"/>
                      <w:sz w:val="21"/>
                      <w:szCs w:val="21"/>
                    </w:rPr>
                  </w:pPr>
                  <w:r>
                    <w:rPr>
                      <w:rFonts w:eastAsia="宋体"/>
                      <w:b/>
                      <w:color w:val="auto"/>
                      <w:kern w:val="0"/>
                      <w:sz w:val="21"/>
                      <w:szCs w:val="21"/>
                    </w:rPr>
                    <w:t>计算值（m）</w:t>
                  </w:r>
                </w:p>
              </w:tc>
              <w:tc>
                <w:tcPr>
                  <w:tcW w:w="1006" w:type="dxa"/>
                  <w:tcBorders>
                    <w:tl2br w:val="nil"/>
                    <w:tr2bl w:val="nil"/>
                  </w:tcBorders>
                  <w:vAlign w:val="center"/>
                </w:tcPr>
                <w:p w14:paraId="6D8EDC09">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
                      <w:color w:val="auto"/>
                      <w:kern w:val="0"/>
                      <w:sz w:val="21"/>
                      <w:szCs w:val="21"/>
                    </w:rPr>
                  </w:pPr>
                  <w:r>
                    <w:rPr>
                      <w:rFonts w:eastAsia="宋体"/>
                      <w:b/>
                      <w:color w:val="auto"/>
                      <w:kern w:val="0"/>
                      <w:sz w:val="21"/>
                      <w:szCs w:val="21"/>
                    </w:rPr>
                    <w:t>卫生防护距离（m）</w:t>
                  </w:r>
                </w:p>
              </w:tc>
              <w:tc>
                <w:tcPr>
                  <w:tcW w:w="991" w:type="dxa"/>
                  <w:tcBorders>
                    <w:tl2br w:val="nil"/>
                    <w:tr2bl w:val="nil"/>
                  </w:tcBorders>
                  <w:vAlign w:val="center"/>
                </w:tcPr>
                <w:p w14:paraId="76C24010">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
                      <w:color w:val="auto"/>
                      <w:kern w:val="0"/>
                      <w:sz w:val="21"/>
                      <w:szCs w:val="21"/>
                    </w:rPr>
                  </w:pPr>
                  <w:r>
                    <w:rPr>
                      <w:rFonts w:eastAsia="宋体"/>
                      <w:b/>
                      <w:color w:val="auto"/>
                      <w:kern w:val="0"/>
                      <w:sz w:val="21"/>
                      <w:szCs w:val="21"/>
                    </w:rPr>
                    <w:t>提级后距离（m）</w:t>
                  </w:r>
                </w:p>
              </w:tc>
            </w:tr>
            <w:tr w14:paraId="2C481A5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1418" w:type="dxa"/>
                  <w:vMerge w:val="restart"/>
                  <w:tcBorders>
                    <w:tl2br w:val="nil"/>
                    <w:tr2bl w:val="nil"/>
                  </w:tcBorders>
                  <w:vAlign w:val="center"/>
                </w:tcPr>
                <w:p w14:paraId="261ADFC4">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Cs/>
                      <w:color w:val="auto"/>
                      <w:kern w:val="0"/>
                      <w:sz w:val="21"/>
                      <w:szCs w:val="21"/>
                    </w:rPr>
                  </w:pPr>
                  <w:r>
                    <w:rPr>
                      <w:rFonts w:hint="eastAsia" w:eastAsia="宋体"/>
                      <w:bCs/>
                      <w:color w:val="auto"/>
                      <w:kern w:val="0"/>
                      <w:sz w:val="21"/>
                      <w:szCs w:val="21"/>
                      <w:lang w:val="en-US" w:eastAsia="zh-CN"/>
                    </w:rPr>
                    <w:t>生产</w:t>
                  </w:r>
                  <w:r>
                    <w:rPr>
                      <w:rFonts w:hint="eastAsia" w:eastAsia="宋体"/>
                      <w:bCs/>
                      <w:color w:val="auto"/>
                      <w:kern w:val="0"/>
                      <w:sz w:val="21"/>
                      <w:szCs w:val="21"/>
                    </w:rPr>
                    <w:t>车间</w:t>
                  </w:r>
                </w:p>
              </w:tc>
              <w:tc>
                <w:tcPr>
                  <w:tcW w:w="844" w:type="dxa"/>
                  <w:vMerge w:val="restart"/>
                  <w:tcBorders>
                    <w:tl2br w:val="nil"/>
                    <w:tr2bl w:val="nil"/>
                  </w:tcBorders>
                  <w:vAlign w:val="center"/>
                </w:tcPr>
                <w:p w14:paraId="0A55CA79">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Cs/>
                      <w:color w:val="auto"/>
                      <w:kern w:val="0"/>
                      <w:sz w:val="21"/>
                      <w:szCs w:val="21"/>
                    </w:rPr>
                  </w:pPr>
                  <w:r>
                    <w:rPr>
                      <w:rFonts w:eastAsia="宋体"/>
                      <w:bCs/>
                      <w:color w:val="auto"/>
                      <w:kern w:val="0"/>
                      <w:sz w:val="21"/>
                      <w:szCs w:val="21"/>
                    </w:rPr>
                    <w:t>面源</w:t>
                  </w:r>
                </w:p>
              </w:tc>
              <w:tc>
                <w:tcPr>
                  <w:tcW w:w="1271" w:type="dxa"/>
                  <w:tcBorders>
                    <w:tl2br w:val="nil"/>
                    <w:tr2bl w:val="nil"/>
                  </w:tcBorders>
                  <w:vAlign w:val="center"/>
                </w:tcPr>
                <w:p w14:paraId="2942C4AA">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rFonts w:hint="eastAsia"/>
                      <w:color w:val="auto"/>
                      <w:kern w:val="0"/>
                    </w:rPr>
                    <w:t>非甲烷总烃</w:t>
                  </w:r>
                </w:p>
              </w:tc>
              <w:tc>
                <w:tcPr>
                  <w:tcW w:w="1020" w:type="dxa"/>
                  <w:tcBorders>
                    <w:tl2br w:val="nil"/>
                    <w:tr2bl w:val="nil"/>
                  </w:tcBorders>
                  <w:vAlign w:val="center"/>
                </w:tcPr>
                <w:p w14:paraId="13A74FC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bCs/>
                      <w:color w:val="auto"/>
                      <w:kern w:val="0"/>
                      <w:lang w:val="en-US" w:eastAsia="zh-CN"/>
                    </w:rPr>
                  </w:pPr>
                  <w:r>
                    <w:rPr>
                      <w:rFonts w:hint="eastAsia"/>
                      <w:bCs/>
                      <w:color w:val="auto"/>
                      <w:kern w:val="0"/>
                      <w:lang w:val="en-US" w:eastAsia="zh-CN"/>
                    </w:rPr>
                    <w:t>0.02</w:t>
                  </w:r>
                </w:p>
              </w:tc>
              <w:tc>
                <w:tcPr>
                  <w:tcW w:w="1286" w:type="dxa"/>
                  <w:tcBorders>
                    <w:tl2br w:val="nil"/>
                    <w:tr2bl w:val="nil"/>
                  </w:tcBorders>
                  <w:vAlign w:val="center"/>
                </w:tcPr>
                <w:p w14:paraId="701ECD45">
                  <w:pPr>
                    <w:keepNext w:val="0"/>
                    <w:keepLines w:val="0"/>
                    <w:pageBreakBefore w:val="0"/>
                    <w:widowControl w:val="0"/>
                    <w:kinsoku/>
                    <w:wordWrap/>
                    <w:overflowPunct/>
                    <w:topLinePunct w:val="0"/>
                    <w:autoSpaceDE/>
                    <w:autoSpaceDN/>
                    <w:bidi w:val="0"/>
                    <w:adjustRightInd w:val="0"/>
                    <w:snapToGrid w:val="0"/>
                    <w:jc w:val="center"/>
                    <w:textAlignment w:val="auto"/>
                    <w:rPr>
                      <w:bCs/>
                      <w:color w:val="auto"/>
                      <w:kern w:val="0"/>
                    </w:rPr>
                  </w:pPr>
                  <w:r>
                    <w:rPr>
                      <w:rFonts w:hint="eastAsia"/>
                      <w:bCs/>
                      <w:color w:val="auto"/>
                      <w:kern w:val="0"/>
                    </w:rPr>
                    <w:t>2.0</w:t>
                  </w:r>
                </w:p>
              </w:tc>
              <w:tc>
                <w:tcPr>
                  <w:tcW w:w="1020" w:type="dxa"/>
                  <w:tcBorders>
                    <w:tl2br w:val="nil"/>
                    <w:tr2bl w:val="nil"/>
                  </w:tcBorders>
                  <w:vAlign w:val="center"/>
                </w:tcPr>
                <w:p w14:paraId="3350192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bCs/>
                      <w:color w:val="auto"/>
                      <w:kern w:val="0"/>
                      <w:lang w:val="en-US" w:eastAsia="zh-CN"/>
                    </w:rPr>
                  </w:pPr>
                  <w:r>
                    <w:rPr>
                      <w:rFonts w:hint="eastAsia"/>
                      <w:bCs/>
                      <w:color w:val="auto"/>
                      <w:kern w:val="0"/>
                      <w:lang w:val="en-US" w:eastAsia="zh-CN"/>
                    </w:rPr>
                    <w:t>0.279</w:t>
                  </w:r>
                </w:p>
              </w:tc>
              <w:tc>
                <w:tcPr>
                  <w:tcW w:w="1006" w:type="dxa"/>
                  <w:tcBorders>
                    <w:tl2br w:val="nil"/>
                    <w:tr2bl w:val="nil"/>
                  </w:tcBorders>
                  <w:vAlign w:val="center"/>
                </w:tcPr>
                <w:p w14:paraId="1E65FBF1">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Cs/>
                      <w:color w:val="auto"/>
                      <w:kern w:val="0"/>
                      <w:sz w:val="21"/>
                      <w:szCs w:val="21"/>
                    </w:rPr>
                  </w:pPr>
                  <w:r>
                    <w:rPr>
                      <w:rFonts w:hint="eastAsia" w:eastAsia="宋体"/>
                      <w:bCs/>
                      <w:color w:val="auto"/>
                      <w:kern w:val="0"/>
                      <w:sz w:val="21"/>
                      <w:szCs w:val="21"/>
                    </w:rPr>
                    <w:t>50</w:t>
                  </w:r>
                </w:p>
              </w:tc>
              <w:tc>
                <w:tcPr>
                  <w:tcW w:w="991" w:type="dxa"/>
                  <w:vMerge w:val="restart"/>
                  <w:tcBorders>
                    <w:tl2br w:val="nil"/>
                    <w:tr2bl w:val="nil"/>
                  </w:tcBorders>
                  <w:vAlign w:val="center"/>
                </w:tcPr>
                <w:p w14:paraId="4B453F12">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Cs/>
                      <w:color w:val="auto"/>
                      <w:kern w:val="0"/>
                      <w:sz w:val="21"/>
                      <w:szCs w:val="21"/>
                    </w:rPr>
                  </w:pPr>
                  <w:r>
                    <w:rPr>
                      <w:rFonts w:hint="eastAsia" w:eastAsia="宋体"/>
                      <w:bCs/>
                      <w:color w:val="auto"/>
                      <w:kern w:val="0"/>
                      <w:sz w:val="21"/>
                      <w:szCs w:val="21"/>
                    </w:rPr>
                    <w:t>100</w:t>
                  </w:r>
                </w:p>
              </w:tc>
            </w:tr>
            <w:tr w14:paraId="3982DEE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1418" w:type="dxa"/>
                  <w:vMerge w:val="continue"/>
                  <w:tcBorders>
                    <w:tl2br w:val="nil"/>
                    <w:tr2bl w:val="nil"/>
                  </w:tcBorders>
                  <w:vAlign w:val="center"/>
                </w:tcPr>
                <w:p w14:paraId="2BC80ADA">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Cs/>
                      <w:color w:val="auto"/>
                      <w:kern w:val="0"/>
                      <w:sz w:val="21"/>
                      <w:szCs w:val="21"/>
                      <w:lang w:val="en-US" w:eastAsia="zh-CN"/>
                    </w:rPr>
                  </w:pPr>
                </w:p>
              </w:tc>
              <w:tc>
                <w:tcPr>
                  <w:tcW w:w="844" w:type="dxa"/>
                  <w:vMerge w:val="continue"/>
                  <w:tcBorders>
                    <w:tl2br w:val="nil"/>
                    <w:tr2bl w:val="nil"/>
                  </w:tcBorders>
                  <w:vAlign w:val="center"/>
                </w:tcPr>
                <w:p w14:paraId="126159E6">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Cs/>
                      <w:color w:val="auto"/>
                      <w:kern w:val="0"/>
                      <w:sz w:val="21"/>
                      <w:szCs w:val="21"/>
                    </w:rPr>
                  </w:pPr>
                </w:p>
              </w:tc>
              <w:tc>
                <w:tcPr>
                  <w:tcW w:w="1271" w:type="dxa"/>
                  <w:tcBorders>
                    <w:tl2br w:val="nil"/>
                    <w:tr2bl w:val="nil"/>
                  </w:tcBorders>
                  <w:vAlign w:val="center"/>
                </w:tcPr>
                <w:p w14:paraId="0DFDB1E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kern w:val="0"/>
                      <w:lang w:val="en-US" w:eastAsia="zh-CN"/>
                    </w:rPr>
                  </w:pPr>
                  <w:r>
                    <w:rPr>
                      <w:rFonts w:hint="eastAsia"/>
                      <w:color w:val="auto"/>
                      <w:kern w:val="0"/>
                      <w:lang w:val="en-US" w:eastAsia="zh-CN"/>
                    </w:rPr>
                    <w:t>颗粒物</w:t>
                  </w:r>
                </w:p>
              </w:tc>
              <w:tc>
                <w:tcPr>
                  <w:tcW w:w="1020" w:type="dxa"/>
                  <w:tcBorders>
                    <w:tl2br w:val="nil"/>
                    <w:tr2bl w:val="nil"/>
                  </w:tcBorders>
                  <w:vAlign w:val="center"/>
                </w:tcPr>
                <w:p w14:paraId="0A04B58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Cs/>
                      <w:color w:val="auto"/>
                      <w:kern w:val="0"/>
                      <w:lang w:val="en-US" w:eastAsia="zh-CN"/>
                    </w:rPr>
                  </w:pPr>
                  <w:r>
                    <w:rPr>
                      <w:rFonts w:hint="eastAsia"/>
                      <w:bCs/>
                      <w:color w:val="auto"/>
                      <w:kern w:val="0"/>
                      <w:lang w:val="en-US" w:eastAsia="zh-CN"/>
                    </w:rPr>
                    <w:t>0.014</w:t>
                  </w:r>
                </w:p>
              </w:tc>
              <w:tc>
                <w:tcPr>
                  <w:tcW w:w="1286" w:type="dxa"/>
                  <w:tcBorders>
                    <w:tl2br w:val="nil"/>
                    <w:tr2bl w:val="nil"/>
                  </w:tcBorders>
                  <w:vAlign w:val="center"/>
                </w:tcPr>
                <w:p w14:paraId="0FA5E75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bCs/>
                      <w:color w:val="auto"/>
                      <w:kern w:val="0"/>
                      <w:lang w:val="en-US" w:eastAsia="zh-CN"/>
                    </w:rPr>
                  </w:pPr>
                  <w:r>
                    <w:rPr>
                      <w:rFonts w:hint="eastAsia"/>
                      <w:bCs/>
                      <w:color w:val="auto"/>
                      <w:kern w:val="0"/>
                      <w:lang w:val="en-US" w:eastAsia="zh-CN"/>
                    </w:rPr>
                    <w:t>0.45</w:t>
                  </w:r>
                </w:p>
              </w:tc>
              <w:tc>
                <w:tcPr>
                  <w:tcW w:w="1020" w:type="dxa"/>
                  <w:tcBorders>
                    <w:tl2br w:val="nil"/>
                    <w:tr2bl w:val="nil"/>
                  </w:tcBorders>
                  <w:vAlign w:val="center"/>
                </w:tcPr>
                <w:p w14:paraId="1DCBB62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Cs/>
                      <w:color w:val="auto"/>
                      <w:kern w:val="0"/>
                      <w:lang w:val="en-US" w:eastAsia="zh-CN"/>
                    </w:rPr>
                  </w:pPr>
                  <w:r>
                    <w:rPr>
                      <w:rFonts w:hint="eastAsia"/>
                      <w:bCs/>
                      <w:color w:val="auto"/>
                      <w:kern w:val="0"/>
                      <w:lang w:val="en-US" w:eastAsia="zh-CN"/>
                    </w:rPr>
                    <w:t>1.357</w:t>
                  </w:r>
                </w:p>
              </w:tc>
              <w:tc>
                <w:tcPr>
                  <w:tcW w:w="1006" w:type="dxa"/>
                  <w:tcBorders>
                    <w:tl2br w:val="nil"/>
                    <w:tr2bl w:val="nil"/>
                  </w:tcBorders>
                  <w:vAlign w:val="center"/>
                </w:tcPr>
                <w:p w14:paraId="1E669A80">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Cs/>
                      <w:color w:val="auto"/>
                      <w:kern w:val="0"/>
                      <w:sz w:val="21"/>
                      <w:szCs w:val="21"/>
                      <w:lang w:val="en-US" w:eastAsia="zh-CN"/>
                    </w:rPr>
                  </w:pPr>
                  <w:r>
                    <w:rPr>
                      <w:rFonts w:hint="eastAsia" w:eastAsia="宋体"/>
                      <w:bCs/>
                      <w:color w:val="auto"/>
                      <w:kern w:val="0"/>
                      <w:sz w:val="21"/>
                      <w:szCs w:val="21"/>
                      <w:lang w:val="en-US" w:eastAsia="zh-CN"/>
                    </w:rPr>
                    <w:t>50</w:t>
                  </w:r>
                </w:p>
              </w:tc>
              <w:tc>
                <w:tcPr>
                  <w:tcW w:w="991" w:type="dxa"/>
                  <w:vMerge w:val="continue"/>
                  <w:tcBorders>
                    <w:tl2br w:val="nil"/>
                    <w:tr2bl w:val="nil"/>
                  </w:tcBorders>
                  <w:vAlign w:val="center"/>
                </w:tcPr>
                <w:p w14:paraId="71750277">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Cs/>
                      <w:color w:val="auto"/>
                      <w:kern w:val="0"/>
                      <w:sz w:val="21"/>
                      <w:szCs w:val="21"/>
                      <w:lang w:val="en-US" w:eastAsia="zh-CN"/>
                    </w:rPr>
                  </w:pPr>
                </w:p>
              </w:tc>
            </w:tr>
          </w:tbl>
          <w:p w14:paraId="0FF5C145">
            <w:pPr>
              <w:pStyle w:val="697"/>
              <w:adjustRightInd w:val="0"/>
              <w:snapToGrid w:val="0"/>
              <w:spacing w:line="360" w:lineRule="auto"/>
              <w:ind w:firstLine="420"/>
              <w:jc w:val="both"/>
              <w:rPr>
                <w:rFonts w:eastAsia="宋体"/>
                <w:bCs/>
                <w:color w:val="auto"/>
                <w:kern w:val="0"/>
                <w:sz w:val="21"/>
                <w:szCs w:val="21"/>
              </w:rPr>
            </w:pPr>
            <w:r>
              <w:rPr>
                <w:rFonts w:eastAsia="宋体"/>
                <w:bCs/>
                <w:color w:val="auto"/>
                <w:kern w:val="0"/>
                <w:sz w:val="21"/>
                <w:szCs w:val="21"/>
              </w:rPr>
              <w:t>根据《大气有害物质无组织排放卫生防护距离推导技术导则》（GB/T39499-2020）：</w:t>
            </w:r>
            <w:r>
              <w:rPr>
                <w:rFonts w:hint="eastAsia" w:eastAsia="宋体"/>
                <w:bCs/>
                <w:color w:val="auto"/>
                <w:kern w:val="0"/>
                <w:sz w:val="21"/>
                <w:szCs w:val="21"/>
              </w:rPr>
              <w:t>“</w:t>
            </w:r>
            <w:r>
              <w:rPr>
                <w:rFonts w:eastAsia="宋体"/>
                <w:bCs/>
                <w:color w:val="auto"/>
                <w:kern w:val="0"/>
                <w:sz w:val="21"/>
                <w:szCs w:val="21"/>
              </w:rPr>
              <w:t>当企业某生产单元的无组织排放存在多种特征大气有害物质时，如果分别推导出的卫生防护距离初值在同一级别时，则该企业的卫生防护距离终值应提高一级；卫生防护距离初值不在同一级别的，以卫生防护距离终值较大者为准</w:t>
            </w:r>
            <w:r>
              <w:rPr>
                <w:rFonts w:hint="eastAsia" w:eastAsia="宋体"/>
                <w:bCs/>
                <w:color w:val="auto"/>
                <w:kern w:val="0"/>
                <w:sz w:val="21"/>
                <w:szCs w:val="21"/>
              </w:rPr>
              <w:t>”</w:t>
            </w:r>
            <w:r>
              <w:rPr>
                <w:rFonts w:eastAsia="宋体"/>
                <w:bCs/>
                <w:color w:val="auto"/>
                <w:kern w:val="0"/>
                <w:sz w:val="21"/>
                <w:szCs w:val="21"/>
              </w:rPr>
              <w:t>。按照上述规定要求确定全厂设置卫生防护距离为生产车间周边</w:t>
            </w:r>
            <w:r>
              <w:rPr>
                <w:rFonts w:hint="eastAsia" w:eastAsia="宋体"/>
                <w:bCs/>
                <w:color w:val="auto"/>
                <w:kern w:val="0"/>
                <w:sz w:val="21"/>
                <w:szCs w:val="21"/>
              </w:rPr>
              <w:t>100</w:t>
            </w:r>
            <w:r>
              <w:rPr>
                <w:rFonts w:eastAsia="宋体"/>
                <w:bCs/>
                <w:color w:val="auto"/>
                <w:kern w:val="0"/>
                <w:sz w:val="21"/>
                <w:szCs w:val="21"/>
              </w:rPr>
              <w:t>米范围。卫生防护距离范围内目前无居民点以及其他环境空气敏感保护点，今后在此范围内也不得建设居民点、学校、医院等环境敏感项目。在此条件下，对当地的环境空气质量影响较小，可满足环境管理要求。</w:t>
            </w:r>
          </w:p>
          <w:p w14:paraId="30FE1AD0">
            <w:pPr>
              <w:pStyle w:val="5"/>
              <w:adjustRightInd w:val="0"/>
              <w:snapToGrid w:val="0"/>
              <w:spacing w:line="360" w:lineRule="auto"/>
              <w:ind w:firstLine="422" w:firstLineChars="200"/>
              <w:rPr>
                <w:b/>
                <w:color w:val="auto"/>
                <w:kern w:val="0"/>
                <w:szCs w:val="21"/>
              </w:rPr>
            </w:pPr>
            <w:r>
              <w:rPr>
                <w:rFonts w:hint="eastAsia"/>
                <w:b/>
                <w:color w:val="auto"/>
                <w:kern w:val="0"/>
                <w:szCs w:val="21"/>
              </w:rPr>
              <w:t>（8）环境监测计划</w:t>
            </w:r>
          </w:p>
          <w:p w14:paraId="32CA2F37">
            <w:pPr>
              <w:pStyle w:val="5"/>
              <w:adjustRightInd w:val="0"/>
              <w:snapToGrid w:val="0"/>
              <w:spacing w:line="360" w:lineRule="auto"/>
              <w:ind w:firstLineChars="200"/>
              <w:rPr>
                <w:b/>
                <w:color w:val="auto"/>
                <w:kern w:val="0"/>
                <w:szCs w:val="21"/>
              </w:rPr>
            </w:pPr>
            <w:r>
              <w:rPr>
                <w:rFonts w:hint="eastAsia"/>
                <w:bCs/>
                <w:color w:val="auto"/>
                <w:kern w:val="0"/>
                <w:szCs w:val="21"/>
              </w:rPr>
              <w:t>根据《排污单位自行监测技术指南 总则》</w:t>
            </w:r>
            <w:r>
              <w:rPr>
                <w:color w:val="auto"/>
              </w:rPr>
              <w:fldChar w:fldCharType="begin"/>
            </w:r>
            <w:r>
              <w:rPr>
                <w:color w:val="auto"/>
              </w:rPr>
              <w:instrText xml:space="preserve"> HYPERLINK "http://www.mee.gov.cn/ywgz/fgbz/bz/bzwb/jcffbz/202001/W020200113417476489912.pdf" </w:instrText>
            </w:r>
            <w:r>
              <w:rPr>
                <w:color w:val="auto"/>
              </w:rPr>
              <w:fldChar w:fldCharType="separate"/>
            </w:r>
            <w:r>
              <w:rPr>
                <w:rFonts w:hint="eastAsia"/>
                <w:bCs/>
                <w:color w:val="auto"/>
                <w:kern w:val="0"/>
                <w:szCs w:val="21"/>
              </w:rPr>
              <w:t>（HJ819-2017）</w:t>
            </w:r>
            <w:r>
              <w:rPr>
                <w:rFonts w:hint="eastAsia"/>
                <w:bCs/>
                <w:color w:val="auto"/>
                <w:kern w:val="0"/>
                <w:szCs w:val="21"/>
              </w:rPr>
              <w:fldChar w:fldCharType="end"/>
            </w:r>
            <w:r>
              <w:rPr>
                <w:rFonts w:hint="eastAsia"/>
                <w:bCs/>
                <w:color w:val="auto"/>
                <w:kern w:val="0"/>
                <w:szCs w:val="21"/>
                <w:lang w:eastAsia="zh-CN"/>
              </w:rPr>
              <w:t>、</w:t>
            </w:r>
            <w:r>
              <w:rPr>
                <w:rFonts w:hint="eastAsia"/>
                <w:bCs/>
                <w:color w:val="auto"/>
                <w:sz w:val="21"/>
                <w:szCs w:val="21"/>
                <w:lang w:eastAsia="zh-CN"/>
              </w:rPr>
              <w:t>《排污许可证申请与核发技术规范 家具制造工业》（HJ 1027-2019）</w:t>
            </w:r>
            <w:r>
              <w:rPr>
                <w:color w:val="auto"/>
                <w:kern w:val="0"/>
                <w:szCs w:val="21"/>
              </w:rPr>
              <w:t>中相关要求</w:t>
            </w:r>
            <w:r>
              <w:rPr>
                <w:bCs/>
                <w:color w:val="auto"/>
                <w:kern w:val="0"/>
                <w:szCs w:val="21"/>
              </w:rPr>
              <w:t>，</w:t>
            </w:r>
            <w:r>
              <w:rPr>
                <w:rFonts w:hint="eastAsia"/>
                <w:bCs/>
                <w:color w:val="auto"/>
                <w:kern w:val="0"/>
                <w:szCs w:val="21"/>
              </w:rPr>
              <w:t>本项目</w:t>
            </w:r>
            <w:r>
              <w:rPr>
                <w:bCs/>
                <w:color w:val="auto"/>
                <w:kern w:val="0"/>
                <w:szCs w:val="21"/>
              </w:rPr>
              <w:t>废气</w:t>
            </w:r>
            <w:r>
              <w:rPr>
                <w:rFonts w:hint="eastAsia"/>
                <w:bCs/>
                <w:color w:val="auto"/>
                <w:kern w:val="0"/>
                <w:szCs w:val="21"/>
              </w:rPr>
              <w:t>例行</w:t>
            </w:r>
            <w:r>
              <w:rPr>
                <w:bCs/>
                <w:color w:val="auto"/>
                <w:kern w:val="0"/>
                <w:szCs w:val="21"/>
              </w:rPr>
              <w:t>监测计划详见</w:t>
            </w:r>
            <w:r>
              <w:rPr>
                <w:rFonts w:hint="eastAsia"/>
                <w:bCs/>
                <w:color w:val="auto"/>
                <w:kern w:val="0"/>
                <w:szCs w:val="21"/>
              </w:rPr>
              <w:t>下表。</w:t>
            </w:r>
          </w:p>
          <w:p w14:paraId="07AF1103">
            <w:pPr>
              <w:adjustRightInd w:val="0"/>
              <w:snapToGrid w:val="0"/>
              <w:jc w:val="center"/>
              <w:rPr>
                <w:b/>
                <w:color w:val="auto"/>
                <w:kern w:val="0"/>
              </w:rPr>
            </w:pPr>
            <w:r>
              <w:rPr>
                <w:b/>
                <w:color w:val="auto"/>
                <w:kern w:val="0"/>
              </w:rPr>
              <w:t>表4-</w:t>
            </w:r>
            <w:r>
              <w:rPr>
                <w:rFonts w:hint="eastAsia"/>
                <w:b/>
                <w:color w:val="auto"/>
                <w:kern w:val="0"/>
                <w:lang w:val="en-US" w:eastAsia="zh-CN"/>
              </w:rPr>
              <w:t>13</w:t>
            </w:r>
            <w:r>
              <w:rPr>
                <w:rFonts w:hint="eastAsia"/>
                <w:b/>
                <w:color w:val="auto"/>
                <w:kern w:val="0"/>
              </w:rPr>
              <w:t xml:space="preserve">   </w:t>
            </w:r>
            <w:r>
              <w:rPr>
                <w:b/>
                <w:color w:val="auto"/>
                <w:kern w:val="0"/>
              </w:rPr>
              <w:t>污染源监测要求</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605"/>
              <w:gridCol w:w="1037"/>
              <w:gridCol w:w="1644"/>
              <w:gridCol w:w="2984"/>
              <w:gridCol w:w="1484"/>
              <w:gridCol w:w="1107"/>
            </w:tblGrid>
            <w:tr w14:paraId="74C0DAB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tcBorders>
                    <w:tl2br w:val="nil"/>
                    <w:tr2bl w:val="nil"/>
                  </w:tcBorders>
                  <w:vAlign w:val="center"/>
                </w:tcPr>
                <w:p w14:paraId="7BBB5FE6">
                  <w:pPr>
                    <w:jc w:val="center"/>
                    <w:rPr>
                      <w:b/>
                      <w:color w:val="auto"/>
                      <w:kern w:val="0"/>
                    </w:rPr>
                  </w:pPr>
                  <w:r>
                    <w:rPr>
                      <w:b/>
                      <w:color w:val="auto"/>
                      <w:kern w:val="0"/>
                    </w:rPr>
                    <w:t>类型</w:t>
                  </w:r>
                </w:p>
              </w:tc>
              <w:tc>
                <w:tcPr>
                  <w:tcW w:w="585" w:type="pct"/>
                  <w:tcBorders>
                    <w:tl2br w:val="nil"/>
                    <w:tr2bl w:val="nil"/>
                  </w:tcBorders>
                  <w:vAlign w:val="center"/>
                </w:tcPr>
                <w:p w14:paraId="787A94ED">
                  <w:pPr>
                    <w:jc w:val="center"/>
                    <w:rPr>
                      <w:b/>
                      <w:color w:val="auto"/>
                      <w:kern w:val="0"/>
                    </w:rPr>
                  </w:pPr>
                  <w:r>
                    <w:rPr>
                      <w:b/>
                      <w:color w:val="auto"/>
                      <w:kern w:val="0"/>
                    </w:rPr>
                    <w:t>监测项目</w:t>
                  </w:r>
                </w:p>
              </w:tc>
              <w:tc>
                <w:tcPr>
                  <w:tcW w:w="927" w:type="pct"/>
                  <w:tcBorders>
                    <w:tl2br w:val="nil"/>
                    <w:tr2bl w:val="nil"/>
                  </w:tcBorders>
                  <w:vAlign w:val="center"/>
                </w:tcPr>
                <w:p w14:paraId="6209207D">
                  <w:pPr>
                    <w:jc w:val="center"/>
                    <w:rPr>
                      <w:b/>
                      <w:color w:val="auto"/>
                      <w:kern w:val="0"/>
                    </w:rPr>
                  </w:pPr>
                  <w:r>
                    <w:rPr>
                      <w:b/>
                      <w:color w:val="auto"/>
                      <w:kern w:val="0"/>
                    </w:rPr>
                    <w:t>监测位置</w:t>
                  </w:r>
                </w:p>
              </w:tc>
              <w:tc>
                <w:tcPr>
                  <w:tcW w:w="1683" w:type="pct"/>
                  <w:tcBorders>
                    <w:tl2br w:val="nil"/>
                    <w:tr2bl w:val="nil"/>
                  </w:tcBorders>
                  <w:vAlign w:val="center"/>
                </w:tcPr>
                <w:p w14:paraId="79580F5F">
                  <w:pPr>
                    <w:jc w:val="center"/>
                    <w:rPr>
                      <w:b/>
                      <w:color w:val="auto"/>
                      <w:kern w:val="0"/>
                    </w:rPr>
                  </w:pPr>
                  <w:r>
                    <w:rPr>
                      <w:b/>
                      <w:color w:val="auto"/>
                      <w:kern w:val="0"/>
                    </w:rPr>
                    <w:t>检测点位</w:t>
                  </w:r>
                </w:p>
              </w:tc>
              <w:tc>
                <w:tcPr>
                  <w:tcW w:w="837" w:type="pct"/>
                  <w:tcBorders>
                    <w:tl2br w:val="nil"/>
                    <w:tr2bl w:val="nil"/>
                  </w:tcBorders>
                  <w:vAlign w:val="center"/>
                </w:tcPr>
                <w:p w14:paraId="61D3996B">
                  <w:pPr>
                    <w:jc w:val="center"/>
                    <w:rPr>
                      <w:b/>
                      <w:color w:val="auto"/>
                      <w:kern w:val="0"/>
                    </w:rPr>
                  </w:pPr>
                  <w:r>
                    <w:rPr>
                      <w:b/>
                      <w:color w:val="auto"/>
                      <w:kern w:val="0"/>
                    </w:rPr>
                    <w:t>监测因子</w:t>
                  </w:r>
                </w:p>
              </w:tc>
              <w:tc>
                <w:tcPr>
                  <w:tcW w:w="624" w:type="pct"/>
                  <w:tcBorders>
                    <w:tl2br w:val="nil"/>
                    <w:tr2bl w:val="nil"/>
                  </w:tcBorders>
                  <w:vAlign w:val="center"/>
                </w:tcPr>
                <w:p w14:paraId="43963E0C">
                  <w:pPr>
                    <w:jc w:val="center"/>
                    <w:rPr>
                      <w:b/>
                      <w:color w:val="auto"/>
                      <w:kern w:val="0"/>
                    </w:rPr>
                  </w:pPr>
                  <w:r>
                    <w:rPr>
                      <w:b/>
                      <w:color w:val="auto"/>
                      <w:kern w:val="0"/>
                    </w:rPr>
                    <w:t>监测频率</w:t>
                  </w:r>
                </w:p>
              </w:tc>
            </w:tr>
            <w:tr w14:paraId="1C58E63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vMerge w:val="restart"/>
                  <w:tcBorders>
                    <w:tl2br w:val="nil"/>
                    <w:tr2bl w:val="nil"/>
                  </w:tcBorders>
                  <w:vAlign w:val="center"/>
                </w:tcPr>
                <w:p w14:paraId="506F3930">
                  <w:pPr>
                    <w:jc w:val="center"/>
                    <w:rPr>
                      <w:color w:val="auto"/>
                      <w:kern w:val="0"/>
                    </w:rPr>
                  </w:pPr>
                  <w:r>
                    <w:rPr>
                      <w:color w:val="auto"/>
                      <w:kern w:val="0"/>
                    </w:rPr>
                    <w:t>例行监测</w:t>
                  </w:r>
                </w:p>
              </w:tc>
              <w:tc>
                <w:tcPr>
                  <w:tcW w:w="585" w:type="pct"/>
                  <w:vMerge w:val="restart"/>
                  <w:tcBorders>
                    <w:tl2br w:val="nil"/>
                    <w:tr2bl w:val="nil"/>
                  </w:tcBorders>
                  <w:vAlign w:val="center"/>
                </w:tcPr>
                <w:p w14:paraId="0114967B">
                  <w:pPr>
                    <w:jc w:val="center"/>
                    <w:rPr>
                      <w:color w:val="auto"/>
                      <w:kern w:val="0"/>
                    </w:rPr>
                  </w:pPr>
                  <w:r>
                    <w:rPr>
                      <w:color w:val="auto"/>
                      <w:kern w:val="0"/>
                    </w:rPr>
                    <w:t>无组织废气监测</w:t>
                  </w:r>
                </w:p>
              </w:tc>
              <w:tc>
                <w:tcPr>
                  <w:tcW w:w="927" w:type="pct"/>
                  <w:vMerge w:val="restart"/>
                  <w:tcBorders>
                    <w:tl2br w:val="nil"/>
                    <w:tr2bl w:val="nil"/>
                  </w:tcBorders>
                  <w:vAlign w:val="center"/>
                </w:tcPr>
                <w:p w14:paraId="59FE2A70">
                  <w:pPr>
                    <w:jc w:val="center"/>
                    <w:rPr>
                      <w:color w:val="auto"/>
                      <w:kern w:val="0"/>
                    </w:rPr>
                  </w:pPr>
                  <w:r>
                    <w:rPr>
                      <w:color w:val="auto"/>
                      <w:kern w:val="0"/>
                    </w:rPr>
                    <w:t>厂界</w:t>
                  </w:r>
                </w:p>
              </w:tc>
              <w:tc>
                <w:tcPr>
                  <w:tcW w:w="1683" w:type="pct"/>
                  <w:vMerge w:val="restart"/>
                  <w:tcBorders>
                    <w:tl2br w:val="nil"/>
                    <w:tr2bl w:val="nil"/>
                  </w:tcBorders>
                  <w:vAlign w:val="center"/>
                </w:tcPr>
                <w:p w14:paraId="210100EB">
                  <w:pPr>
                    <w:jc w:val="center"/>
                    <w:rPr>
                      <w:color w:val="auto"/>
                      <w:kern w:val="0"/>
                    </w:rPr>
                  </w:pPr>
                  <w:r>
                    <w:rPr>
                      <w:color w:val="auto"/>
                      <w:kern w:val="0"/>
                    </w:rPr>
                    <w:t>厂界上风向设置一个监测点，下风向设置三个监测点</w:t>
                  </w:r>
                </w:p>
              </w:tc>
              <w:tc>
                <w:tcPr>
                  <w:tcW w:w="837" w:type="pct"/>
                  <w:tcBorders>
                    <w:tl2br w:val="nil"/>
                    <w:tr2bl w:val="nil"/>
                  </w:tcBorders>
                  <w:vAlign w:val="center"/>
                </w:tcPr>
                <w:p w14:paraId="54D56A8C">
                  <w:pPr>
                    <w:jc w:val="center"/>
                    <w:rPr>
                      <w:color w:val="auto"/>
                      <w:kern w:val="0"/>
                    </w:rPr>
                  </w:pPr>
                  <w:r>
                    <w:rPr>
                      <w:color w:val="auto"/>
                      <w:kern w:val="0"/>
                    </w:rPr>
                    <w:t>非甲烷总烃</w:t>
                  </w:r>
                </w:p>
              </w:tc>
              <w:tc>
                <w:tcPr>
                  <w:tcW w:w="624" w:type="pct"/>
                  <w:tcBorders>
                    <w:tl2br w:val="nil"/>
                    <w:tr2bl w:val="nil"/>
                  </w:tcBorders>
                  <w:vAlign w:val="center"/>
                </w:tcPr>
                <w:p w14:paraId="7DD3DF0F">
                  <w:pPr>
                    <w:jc w:val="center"/>
                    <w:rPr>
                      <w:color w:val="auto"/>
                      <w:kern w:val="0"/>
                    </w:rPr>
                  </w:pPr>
                  <w:r>
                    <w:rPr>
                      <w:color w:val="auto"/>
                      <w:kern w:val="0"/>
                    </w:rPr>
                    <w:t>1次/</w:t>
                  </w:r>
                  <w:r>
                    <w:rPr>
                      <w:rFonts w:hint="eastAsia"/>
                      <w:color w:val="auto"/>
                      <w:kern w:val="0"/>
                    </w:rPr>
                    <w:t>年</w:t>
                  </w:r>
                </w:p>
              </w:tc>
            </w:tr>
            <w:tr w14:paraId="4718F2A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4107F851">
                  <w:pPr>
                    <w:jc w:val="center"/>
                    <w:rPr>
                      <w:color w:val="auto"/>
                      <w:kern w:val="0"/>
                    </w:rPr>
                  </w:pPr>
                </w:p>
              </w:tc>
              <w:tc>
                <w:tcPr>
                  <w:tcW w:w="585" w:type="pct"/>
                  <w:vMerge w:val="continue"/>
                  <w:tcBorders>
                    <w:tl2br w:val="nil"/>
                    <w:tr2bl w:val="nil"/>
                  </w:tcBorders>
                  <w:vAlign w:val="center"/>
                </w:tcPr>
                <w:p w14:paraId="63813C5C">
                  <w:pPr>
                    <w:jc w:val="center"/>
                    <w:rPr>
                      <w:color w:val="auto"/>
                      <w:kern w:val="0"/>
                    </w:rPr>
                  </w:pPr>
                </w:p>
              </w:tc>
              <w:tc>
                <w:tcPr>
                  <w:tcW w:w="927" w:type="pct"/>
                  <w:vMerge w:val="continue"/>
                  <w:tcBorders>
                    <w:tl2br w:val="nil"/>
                    <w:tr2bl w:val="nil"/>
                  </w:tcBorders>
                  <w:vAlign w:val="center"/>
                </w:tcPr>
                <w:p w14:paraId="5CF5169C">
                  <w:pPr>
                    <w:jc w:val="center"/>
                    <w:rPr>
                      <w:color w:val="auto"/>
                      <w:kern w:val="0"/>
                    </w:rPr>
                  </w:pPr>
                </w:p>
              </w:tc>
              <w:tc>
                <w:tcPr>
                  <w:tcW w:w="1683" w:type="pct"/>
                  <w:vMerge w:val="continue"/>
                  <w:tcBorders>
                    <w:tl2br w:val="nil"/>
                    <w:tr2bl w:val="nil"/>
                  </w:tcBorders>
                  <w:vAlign w:val="center"/>
                </w:tcPr>
                <w:p w14:paraId="5524FE05">
                  <w:pPr>
                    <w:jc w:val="center"/>
                    <w:rPr>
                      <w:color w:val="auto"/>
                      <w:kern w:val="0"/>
                    </w:rPr>
                  </w:pPr>
                </w:p>
              </w:tc>
              <w:tc>
                <w:tcPr>
                  <w:tcW w:w="837" w:type="pct"/>
                  <w:tcBorders>
                    <w:tl2br w:val="nil"/>
                    <w:tr2bl w:val="nil"/>
                  </w:tcBorders>
                  <w:vAlign w:val="center"/>
                </w:tcPr>
                <w:p w14:paraId="117B0F0B">
                  <w:pPr>
                    <w:jc w:val="center"/>
                    <w:rPr>
                      <w:color w:val="auto"/>
                      <w:kern w:val="0"/>
                    </w:rPr>
                  </w:pPr>
                  <w:r>
                    <w:rPr>
                      <w:rFonts w:hint="eastAsia"/>
                      <w:color w:val="auto"/>
                      <w:kern w:val="0"/>
                      <w:lang w:val="en-US" w:eastAsia="zh-CN"/>
                    </w:rPr>
                    <w:t>苯系物</w:t>
                  </w:r>
                </w:p>
              </w:tc>
              <w:tc>
                <w:tcPr>
                  <w:tcW w:w="624" w:type="pct"/>
                  <w:tcBorders>
                    <w:tl2br w:val="nil"/>
                    <w:tr2bl w:val="nil"/>
                  </w:tcBorders>
                  <w:vAlign w:val="center"/>
                </w:tcPr>
                <w:p w14:paraId="1EAE8899">
                  <w:pPr>
                    <w:jc w:val="center"/>
                    <w:rPr>
                      <w:color w:val="auto"/>
                      <w:kern w:val="0"/>
                    </w:rPr>
                  </w:pPr>
                  <w:r>
                    <w:rPr>
                      <w:color w:val="auto"/>
                      <w:kern w:val="0"/>
                    </w:rPr>
                    <w:t>1次/</w:t>
                  </w:r>
                  <w:r>
                    <w:rPr>
                      <w:rFonts w:hint="eastAsia"/>
                      <w:color w:val="auto"/>
                      <w:kern w:val="0"/>
                    </w:rPr>
                    <w:t>年</w:t>
                  </w:r>
                </w:p>
              </w:tc>
            </w:tr>
            <w:tr w14:paraId="3C8B83F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5168CFA3">
                  <w:pPr>
                    <w:jc w:val="center"/>
                    <w:rPr>
                      <w:color w:val="auto"/>
                      <w:kern w:val="0"/>
                    </w:rPr>
                  </w:pPr>
                </w:p>
              </w:tc>
              <w:tc>
                <w:tcPr>
                  <w:tcW w:w="585" w:type="pct"/>
                  <w:vMerge w:val="continue"/>
                  <w:tcBorders>
                    <w:tl2br w:val="nil"/>
                    <w:tr2bl w:val="nil"/>
                  </w:tcBorders>
                  <w:vAlign w:val="center"/>
                </w:tcPr>
                <w:p w14:paraId="5B640A91">
                  <w:pPr>
                    <w:jc w:val="center"/>
                    <w:rPr>
                      <w:color w:val="auto"/>
                      <w:kern w:val="0"/>
                    </w:rPr>
                  </w:pPr>
                </w:p>
              </w:tc>
              <w:tc>
                <w:tcPr>
                  <w:tcW w:w="927" w:type="pct"/>
                  <w:vMerge w:val="continue"/>
                  <w:tcBorders>
                    <w:tl2br w:val="nil"/>
                    <w:tr2bl w:val="nil"/>
                  </w:tcBorders>
                  <w:vAlign w:val="center"/>
                </w:tcPr>
                <w:p w14:paraId="1DC61E7E">
                  <w:pPr>
                    <w:jc w:val="center"/>
                    <w:rPr>
                      <w:color w:val="auto"/>
                      <w:kern w:val="0"/>
                    </w:rPr>
                  </w:pPr>
                </w:p>
              </w:tc>
              <w:tc>
                <w:tcPr>
                  <w:tcW w:w="1683" w:type="pct"/>
                  <w:vMerge w:val="continue"/>
                  <w:tcBorders>
                    <w:tl2br w:val="nil"/>
                    <w:tr2bl w:val="nil"/>
                  </w:tcBorders>
                  <w:vAlign w:val="center"/>
                </w:tcPr>
                <w:p w14:paraId="3FFC744C">
                  <w:pPr>
                    <w:jc w:val="center"/>
                    <w:rPr>
                      <w:color w:val="auto"/>
                      <w:kern w:val="0"/>
                    </w:rPr>
                  </w:pPr>
                </w:p>
              </w:tc>
              <w:tc>
                <w:tcPr>
                  <w:tcW w:w="837" w:type="pct"/>
                  <w:tcBorders>
                    <w:tl2br w:val="nil"/>
                    <w:tr2bl w:val="nil"/>
                  </w:tcBorders>
                  <w:vAlign w:val="center"/>
                </w:tcPr>
                <w:p w14:paraId="23E0D371">
                  <w:pPr>
                    <w:jc w:val="center"/>
                    <w:rPr>
                      <w:rFonts w:hint="default"/>
                      <w:color w:val="auto"/>
                      <w:kern w:val="0"/>
                      <w:lang w:val="en-US" w:eastAsia="zh-CN"/>
                    </w:rPr>
                  </w:pPr>
                  <w:r>
                    <w:rPr>
                      <w:rFonts w:hint="eastAsia"/>
                      <w:color w:val="auto"/>
                      <w:kern w:val="0"/>
                      <w:lang w:val="en-US" w:eastAsia="zh-CN"/>
                    </w:rPr>
                    <w:t>二甲苯</w:t>
                  </w:r>
                </w:p>
              </w:tc>
              <w:tc>
                <w:tcPr>
                  <w:tcW w:w="624" w:type="pct"/>
                  <w:tcBorders>
                    <w:tl2br w:val="nil"/>
                    <w:tr2bl w:val="nil"/>
                  </w:tcBorders>
                  <w:vAlign w:val="center"/>
                </w:tcPr>
                <w:p w14:paraId="654C0691">
                  <w:pPr>
                    <w:jc w:val="center"/>
                    <w:rPr>
                      <w:color w:val="auto"/>
                      <w:kern w:val="0"/>
                    </w:rPr>
                  </w:pPr>
                  <w:r>
                    <w:rPr>
                      <w:color w:val="auto"/>
                      <w:kern w:val="0"/>
                    </w:rPr>
                    <w:t>1次/</w:t>
                  </w:r>
                  <w:r>
                    <w:rPr>
                      <w:rFonts w:hint="eastAsia"/>
                      <w:color w:val="auto"/>
                      <w:kern w:val="0"/>
                    </w:rPr>
                    <w:t>年</w:t>
                  </w:r>
                </w:p>
              </w:tc>
            </w:tr>
            <w:tr w14:paraId="0D3486B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1E109F64">
                  <w:pPr>
                    <w:jc w:val="center"/>
                    <w:rPr>
                      <w:color w:val="auto"/>
                      <w:kern w:val="0"/>
                    </w:rPr>
                  </w:pPr>
                </w:p>
              </w:tc>
              <w:tc>
                <w:tcPr>
                  <w:tcW w:w="585" w:type="pct"/>
                  <w:vMerge w:val="continue"/>
                  <w:tcBorders>
                    <w:tl2br w:val="nil"/>
                    <w:tr2bl w:val="nil"/>
                  </w:tcBorders>
                  <w:vAlign w:val="center"/>
                </w:tcPr>
                <w:p w14:paraId="7EE02725">
                  <w:pPr>
                    <w:jc w:val="center"/>
                    <w:rPr>
                      <w:color w:val="auto"/>
                      <w:kern w:val="0"/>
                    </w:rPr>
                  </w:pPr>
                </w:p>
              </w:tc>
              <w:tc>
                <w:tcPr>
                  <w:tcW w:w="927" w:type="pct"/>
                  <w:vMerge w:val="continue"/>
                  <w:tcBorders>
                    <w:tl2br w:val="nil"/>
                    <w:tr2bl w:val="nil"/>
                  </w:tcBorders>
                  <w:vAlign w:val="center"/>
                </w:tcPr>
                <w:p w14:paraId="5E16378C">
                  <w:pPr>
                    <w:jc w:val="center"/>
                    <w:rPr>
                      <w:color w:val="auto"/>
                      <w:kern w:val="0"/>
                    </w:rPr>
                  </w:pPr>
                </w:p>
              </w:tc>
              <w:tc>
                <w:tcPr>
                  <w:tcW w:w="1683" w:type="pct"/>
                  <w:vMerge w:val="continue"/>
                  <w:tcBorders>
                    <w:tl2br w:val="nil"/>
                    <w:tr2bl w:val="nil"/>
                  </w:tcBorders>
                  <w:vAlign w:val="center"/>
                </w:tcPr>
                <w:p w14:paraId="1CBFCD8A">
                  <w:pPr>
                    <w:jc w:val="center"/>
                    <w:rPr>
                      <w:color w:val="auto"/>
                      <w:kern w:val="0"/>
                    </w:rPr>
                  </w:pPr>
                </w:p>
              </w:tc>
              <w:tc>
                <w:tcPr>
                  <w:tcW w:w="837" w:type="pct"/>
                  <w:tcBorders>
                    <w:tl2br w:val="nil"/>
                    <w:tr2bl w:val="nil"/>
                  </w:tcBorders>
                  <w:vAlign w:val="center"/>
                </w:tcPr>
                <w:p w14:paraId="65DC63B4">
                  <w:pPr>
                    <w:jc w:val="center"/>
                    <w:rPr>
                      <w:rFonts w:hint="default"/>
                      <w:color w:val="auto"/>
                      <w:kern w:val="0"/>
                      <w:lang w:val="en-US" w:eastAsia="zh-CN"/>
                    </w:rPr>
                  </w:pPr>
                  <w:r>
                    <w:rPr>
                      <w:rFonts w:hint="eastAsia"/>
                      <w:color w:val="auto"/>
                      <w:kern w:val="0"/>
                      <w:lang w:val="en-US" w:eastAsia="zh-CN"/>
                    </w:rPr>
                    <w:t>三甲苯</w:t>
                  </w:r>
                </w:p>
              </w:tc>
              <w:tc>
                <w:tcPr>
                  <w:tcW w:w="624" w:type="pct"/>
                  <w:tcBorders>
                    <w:tl2br w:val="nil"/>
                    <w:tr2bl w:val="nil"/>
                  </w:tcBorders>
                  <w:vAlign w:val="center"/>
                </w:tcPr>
                <w:p w14:paraId="60046708">
                  <w:pPr>
                    <w:jc w:val="center"/>
                    <w:rPr>
                      <w:color w:val="auto"/>
                      <w:kern w:val="0"/>
                    </w:rPr>
                  </w:pPr>
                  <w:r>
                    <w:rPr>
                      <w:color w:val="auto"/>
                      <w:kern w:val="0"/>
                    </w:rPr>
                    <w:t>1次/</w:t>
                  </w:r>
                  <w:r>
                    <w:rPr>
                      <w:rFonts w:hint="eastAsia"/>
                      <w:color w:val="auto"/>
                      <w:kern w:val="0"/>
                    </w:rPr>
                    <w:t>年</w:t>
                  </w:r>
                </w:p>
              </w:tc>
            </w:tr>
            <w:tr w14:paraId="2FD7D90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26BDF27A">
                  <w:pPr>
                    <w:jc w:val="center"/>
                    <w:rPr>
                      <w:color w:val="auto"/>
                      <w:kern w:val="0"/>
                    </w:rPr>
                  </w:pPr>
                </w:p>
              </w:tc>
              <w:tc>
                <w:tcPr>
                  <w:tcW w:w="585" w:type="pct"/>
                  <w:vMerge w:val="continue"/>
                  <w:tcBorders>
                    <w:tl2br w:val="nil"/>
                    <w:tr2bl w:val="nil"/>
                  </w:tcBorders>
                  <w:vAlign w:val="center"/>
                </w:tcPr>
                <w:p w14:paraId="73B23F72">
                  <w:pPr>
                    <w:jc w:val="center"/>
                    <w:rPr>
                      <w:color w:val="auto"/>
                      <w:kern w:val="0"/>
                    </w:rPr>
                  </w:pPr>
                </w:p>
              </w:tc>
              <w:tc>
                <w:tcPr>
                  <w:tcW w:w="927" w:type="pct"/>
                  <w:vMerge w:val="continue"/>
                  <w:tcBorders>
                    <w:tl2br w:val="nil"/>
                    <w:tr2bl w:val="nil"/>
                  </w:tcBorders>
                  <w:vAlign w:val="center"/>
                </w:tcPr>
                <w:p w14:paraId="67584618">
                  <w:pPr>
                    <w:jc w:val="center"/>
                    <w:rPr>
                      <w:color w:val="auto"/>
                      <w:kern w:val="0"/>
                    </w:rPr>
                  </w:pPr>
                </w:p>
              </w:tc>
              <w:tc>
                <w:tcPr>
                  <w:tcW w:w="1683" w:type="pct"/>
                  <w:vMerge w:val="continue"/>
                  <w:tcBorders>
                    <w:tl2br w:val="nil"/>
                    <w:tr2bl w:val="nil"/>
                  </w:tcBorders>
                  <w:vAlign w:val="center"/>
                </w:tcPr>
                <w:p w14:paraId="2BA7B7CE">
                  <w:pPr>
                    <w:jc w:val="center"/>
                    <w:rPr>
                      <w:color w:val="auto"/>
                      <w:kern w:val="0"/>
                    </w:rPr>
                  </w:pPr>
                </w:p>
              </w:tc>
              <w:tc>
                <w:tcPr>
                  <w:tcW w:w="837" w:type="pct"/>
                  <w:tcBorders>
                    <w:tl2br w:val="nil"/>
                    <w:tr2bl w:val="nil"/>
                  </w:tcBorders>
                  <w:vAlign w:val="center"/>
                </w:tcPr>
                <w:p w14:paraId="7BEA5A88">
                  <w:pPr>
                    <w:jc w:val="center"/>
                    <w:rPr>
                      <w:color w:val="auto"/>
                      <w:kern w:val="0"/>
                    </w:rPr>
                  </w:pPr>
                  <w:r>
                    <w:rPr>
                      <w:rFonts w:hint="eastAsia"/>
                      <w:color w:val="auto"/>
                      <w:kern w:val="0"/>
                      <w:lang w:val="en-US" w:eastAsia="zh-CN"/>
                    </w:rPr>
                    <w:t>颗粒物</w:t>
                  </w:r>
                </w:p>
              </w:tc>
              <w:tc>
                <w:tcPr>
                  <w:tcW w:w="624" w:type="pct"/>
                  <w:tcBorders>
                    <w:tl2br w:val="nil"/>
                    <w:tr2bl w:val="nil"/>
                  </w:tcBorders>
                  <w:vAlign w:val="center"/>
                </w:tcPr>
                <w:p w14:paraId="4C5EC447">
                  <w:pPr>
                    <w:jc w:val="center"/>
                    <w:rPr>
                      <w:color w:val="auto"/>
                      <w:kern w:val="0"/>
                    </w:rPr>
                  </w:pPr>
                  <w:r>
                    <w:rPr>
                      <w:color w:val="auto"/>
                      <w:kern w:val="0"/>
                    </w:rPr>
                    <w:t>1次/</w:t>
                  </w:r>
                  <w:r>
                    <w:rPr>
                      <w:rFonts w:hint="eastAsia"/>
                      <w:color w:val="auto"/>
                      <w:kern w:val="0"/>
                    </w:rPr>
                    <w:t>年</w:t>
                  </w:r>
                </w:p>
              </w:tc>
            </w:tr>
            <w:tr w14:paraId="3754805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0ED4E2BB">
                  <w:pPr>
                    <w:jc w:val="center"/>
                    <w:rPr>
                      <w:color w:val="auto"/>
                      <w:kern w:val="0"/>
                    </w:rPr>
                  </w:pPr>
                </w:p>
              </w:tc>
              <w:tc>
                <w:tcPr>
                  <w:tcW w:w="585" w:type="pct"/>
                  <w:vMerge w:val="continue"/>
                  <w:tcBorders>
                    <w:tl2br w:val="nil"/>
                    <w:tr2bl w:val="nil"/>
                  </w:tcBorders>
                  <w:vAlign w:val="center"/>
                </w:tcPr>
                <w:p w14:paraId="1D7FC93C">
                  <w:pPr>
                    <w:jc w:val="center"/>
                    <w:rPr>
                      <w:color w:val="auto"/>
                      <w:kern w:val="0"/>
                    </w:rPr>
                  </w:pPr>
                </w:p>
              </w:tc>
              <w:tc>
                <w:tcPr>
                  <w:tcW w:w="927" w:type="pct"/>
                  <w:tcBorders>
                    <w:tl2br w:val="nil"/>
                    <w:tr2bl w:val="nil"/>
                  </w:tcBorders>
                  <w:vAlign w:val="center"/>
                </w:tcPr>
                <w:p w14:paraId="3C237D31">
                  <w:pPr>
                    <w:jc w:val="center"/>
                    <w:rPr>
                      <w:rFonts w:hint="eastAsia" w:eastAsia="宋体"/>
                      <w:color w:val="auto"/>
                      <w:kern w:val="0"/>
                      <w:lang w:eastAsia="zh-CN"/>
                    </w:rPr>
                  </w:pPr>
                  <w:r>
                    <w:rPr>
                      <w:rFonts w:hint="eastAsia"/>
                      <w:color w:val="auto"/>
                      <w:kern w:val="0"/>
                      <w:lang w:val="en-US" w:eastAsia="zh-CN"/>
                    </w:rPr>
                    <w:t>车间外</w:t>
                  </w:r>
                </w:p>
              </w:tc>
              <w:tc>
                <w:tcPr>
                  <w:tcW w:w="1683" w:type="pct"/>
                  <w:tcBorders>
                    <w:tl2br w:val="nil"/>
                    <w:tr2bl w:val="nil"/>
                  </w:tcBorders>
                  <w:vAlign w:val="center"/>
                </w:tcPr>
                <w:p w14:paraId="105CF21C">
                  <w:pPr>
                    <w:jc w:val="center"/>
                    <w:rPr>
                      <w:color w:val="auto"/>
                      <w:kern w:val="0"/>
                    </w:rPr>
                  </w:pPr>
                  <w:r>
                    <w:rPr>
                      <w:color w:val="auto"/>
                      <w:kern w:val="0"/>
                    </w:rPr>
                    <w:t>厂房门窗或通风口、其他开口（孔）等排放口外1m，距地面1.5m及以上位置</w:t>
                  </w:r>
                </w:p>
              </w:tc>
              <w:tc>
                <w:tcPr>
                  <w:tcW w:w="837" w:type="pct"/>
                  <w:tcBorders>
                    <w:tl2br w:val="nil"/>
                    <w:tr2bl w:val="nil"/>
                  </w:tcBorders>
                  <w:vAlign w:val="center"/>
                </w:tcPr>
                <w:p w14:paraId="4D07CA2D">
                  <w:pPr>
                    <w:jc w:val="center"/>
                    <w:rPr>
                      <w:color w:val="auto"/>
                      <w:kern w:val="0"/>
                    </w:rPr>
                  </w:pPr>
                  <w:r>
                    <w:rPr>
                      <w:color w:val="auto"/>
                      <w:kern w:val="0"/>
                    </w:rPr>
                    <w:t>非甲烷总烃</w:t>
                  </w:r>
                </w:p>
              </w:tc>
              <w:tc>
                <w:tcPr>
                  <w:tcW w:w="624" w:type="pct"/>
                  <w:tcBorders>
                    <w:tl2br w:val="nil"/>
                    <w:tr2bl w:val="nil"/>
                  </w:tcBorders>
                  <w:vAlign w:val="center"/>
                </w:tcPr>
                <w:p w14:paraId="2F042F48">
                  <w:pPr>
                    <w:jc w:val="center"/>
                    <w:rPr>
                      <w:color w:val="auto"/>
                      <w:kern w:val="0"/>
                    </w:rPr>
                  </w:pPr>
                  <w:r>
                    <w:rPr>
                      <w:color w:val="auto"/>
                      <w:kern w:val="0"/>
                    </w:rPr>
                    <w:t>1次/</w:t>
                  </w:r>
                  <w:r>
                    <w:rPr>
                      <w:rFonts w:hint="eastAsia"/>
                      <w:color w:val="auto"/>
                      <w:kern w:val="0"/>
                    </w:rPr>
                    <w:t>年</w:t>
                  </w:r>
                </w:p>
              </w:tc>
            </w:tr>
            <w:tr w14:paraId="10EB25B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5C3131B1">
                  <w:pPr>
                    <w:jc w:val="center"/>
                    <w:rPr>
                      <w:color w:val="auto"/>
                      <w:kern w:val="0"/>
                    </w:rPr>
                  </w:pPr>
                </w:p>
              </w:tc>
              <w:tc>
                <w:tcPr>
                  <w:tcW w:w="585" w:type="pct"/>
                  <w:vMerge w:val="restart"/>
                  <w:tcBorders>
                    <w:tl2br w:val="nil"/>
                    <w:tr2bl w:val="nil"/>
                  </w:tcBorders>
                  <w:vAlign w:val="center"/>
                </w:tcPr>
                <w:p w14:paraId="14FA0135">
                  <w:pPr>
                    <w:jc w:val="center"/>
                    <w:rPr>
                      <w:color w:val="auto"/>
                      <w:kern w:val="0"/>
                    </w:rPr>
                  </w:pPr>
                  <w:r>
                    <w:rPr>
                      <w:color w:val="auto"/>
                      <w:kern w:val="0"/>
                    </w:rPr>
                    <w:t>有组织废气监测</w:t>
                  </w:r>
                </w:p>
              </w:tc>
              <w:tc>
                <w:tcPr>
                  <w:tcW w:w="927" w:type="pct"/>
                  <w:vMerge w:val="restart"/>
                  <w:tcBorders>
                    <w:tl2br w:val="nil"/>
                    <w:tr2bl w:val="nil"/>
                  </w:tcBorders>
                  <w:vAlign w:val="center"/>
                </w:tcPr>
                <w:p w14:paraId="2BC850D0">
                  <w:pPr>
                    <w:jc w:val="center"/>
                    <w:rPr>
                      <w:rFonts w:hint="default" w:eastAsia="宋体"/>
                      <w:color w:val="auto"/>
                      <w:kern w:val="0"/>
                      <w:lang w:val="en-US" w:eastAsia="zh-CN"/>
                    </w:rPr>
                  </w:pPr>
                  <w:r>
                    <w:rPr>
                      <w:rFonts w:hint="eastAsia"/>
                      <w:color w:val="auto"/>
                      <w:kern w:val="0"/>
                      <w:lang w:val="en-US" w:eastAsia="zh-CN"/>
                    </w:rPr>
                    <w:t>DA001</w:t>
                  </w:r>
                </w:p>
              </w:tc>
              <w:tc>
                <w:tcPr>
                  <w:tcW w:w="1683" w:type="pct"/>
                  <w:vMerge w:val="restart"/>
                  <w:tcBorders>
                    <w:tl2br w:val="nil"/>
                    <w:tr2bl w:val="nil"/>
                  </w:tcBorders>
                  <w:vAlign w:val="center"/>
                </w:tcPr>
                <w:p w14:paraId="6AC4C1CD">
                  <w:pPr>
                    <w:jc w:val="center"/>
                    <w:rPr>
                      <w:color w:val="auto"/>
                      <w:kern w:val="0"/>
                    </w:rPr>
                  </w:pPr>
                  <w:r>
                    <w:rPr>
                      <w:rFonts w:hint="eastAsia"/>
                      <w:color w:val="auto"/>
                      <w:kern w:val="0"/>
                    </w:rPr>
                    <w:t>排气筒</w:t>
                  </w:r>
                  <w:r>
                    <w:rPr>
                      <w:color w:val="auto"/>
                      <w:kern w:val="0"/>
                    </w:rPr>
                    <w:t>进、出口处</w:t>
                  </w:r>
                </w:p>
              </w:tc>
              <w:tc>
                <w:tcPr>
                  <w:tcW w:w="837" w:type="pct"/>
                  <w:tcBorders>
                    <w:tl2br w:val="nil"/>
                    <w:tr2bl w:val="nil"/>
                  </w:tcBorders>
                  <w:vAlign w:val="center"/>
                </w:tcPr>
                <w:p w14:paraId="2E68C20E">
                  <w:pPr>
                    <w:jc w:val="center"/>
                    <w:rPr>
                      <w:color w:val="auto"/>
                      <w:kern w:val="0"/>
                    </w:rPr>
                  </w:pPr>
                  <w:r>
                    <w:rPr>
                      <w:color w:val="auto"/>
                      <w:kern w:val="0"/>
                    </w:rPr>
                    <w:t>非甲烷总烃</w:t>
                  </w:r>
                </w:p>
              </w:tc>
              <w:tc>
                <w:tcPr>
                  <w:tcW w:w="624" w:type="pct"/>
                  <w:tcBorders>
                    <w:tl2br w:val="nil"/>
                    <w:tr2bl w:val="nil"/>
                  </w:tcBorders>
                  <w:vAlign w:val="center"/>
                </w:tcPr>
                <w:p w14:paraId="438DE1E9">
                  <w:pPr>
                    <w:jc w:val="center"/>
                    <w:rPr>
                      <w:color w:val="auto"/>
                      <w:kern w:val="0"/>
                    </w:rPr>
                  </w:pPr>
                  <w:r>
                    <w:rPr>
                      <w:color w:val="auto"/>
                      <w:kern w:val="0"/>
                    </w:rPr>
                    <w:t>1次/</w:t>
                  </w:r>
                  <w:r>
                    <w:rPr>
                      <w:rFonts w:hint="eastAsia"/>
                      <w:color w:val="auto"/>
                      <w:kern w:val="0"/>
                    </w:rPr>
                    <w:t>年</w:t>
                  </w:r>
                </w:p>
              </w:tc>
            </w:tr>
            <w:tr w14:paraId="3F5D407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1F81198B">
                  <w:pPr>
                    <w:jc w:val="center"/>
                    <w:rPr>
                      <w:color w:val="auto"/>
                      <w:kern w:val="0"/>
                    </w:rPr>
                  </w:pPr>
                </w:p>
              </w:tc>
              <w:tc>
                <w:tcPr>
                  <w:tcW w:w="585" w:type="pct"/>
                  <w:vMerge w:val="continue"/>
                  <w:tcBorders>
                    <w:tl2br w:val="nil"/>
                    <w:tr2bl w:val="nil"/>
                  </w:tcBorders>
                  <w:vAlign w:val="center"/>
                </w:tcPr>
                <w:p w14:paraId="4C64BA7F">
                  <w:pPr>
                    <w:jc w:val="center"/>
                    <w:rPr>
                      <w:color w:val="auto"/>
                      <w:kern w:val="0"/>
                    </w:rPr>
                  </w:pPr>
                </w:p>
              </w:tc>
              <w:tc>
                <w:tcPr>
                  <w:tcW w:w="927" w:type="pct"/>
                  <w:vMerge w:val="continue"/>
                  <w:tcBorders>
                    <w:tl2br w:val="nil"/>
                    <w:tr2bl w:val="nil"/>
                  </w:tcBorders>
                  <w:vAlign w:val="center"/>
                </w:tcPr>
                <w:p w14:paraId="0A5947FD">
                  <w:pPr>
                    <w:jc w:val="center"/>
                    <w:rPr>
                      <w:rFonts w:hint="eastAsia"/>
                      <w:color w:val="auto"/>
                      <w:kern w:val="0"/>
                      <w:lang w:val="en-US" w:eastAsia="zh-CN"/>
                    </w:rPr>
                  </w:pPr>
                </w:p>
              </w:tc>
              <w:tc>
                <w:tcPr>
                  <w:tcW w:w="1683" w:type="pct"/>
                  <w:vMerge w:val="continue"/>
                  <w:tcBorders>
                    <w:tl2br w:val="nil"/>
                    <w:tr2bl w:val="nil"/>
                  </w:tcBorders>
                  <w:vAlign w:val="center"/>
                </w:tcPr>
                <w:p w14:paraId="1905A0E2">
                  <w:pPr>
                    <w:jc w:val="center"/>
                    <w:rPr>
                      <w:rFonts w:hint="eastAsia"/>
                      <w:color w:val="auto"/>
                      <w:kern w:val="0"/>
                    </w:rPr>
                  </w:pPr>
                </w:p>
              </w:tc>
              <w:tc>
                <w:tcPr>
                  <w:tcW w:w="837" w:type="pct"/>
                  <w:tcBorders>
                    <w:tl2br w:val="nil"/>
                    <w:tr2bl w:val="nil"/>
                  </w:tcBorders>
                  <w:vAlign w:val="center"/>
                </w:tcPr>
                <w:p w14:paraId="028F87AA">
                  <w:pPr>
                    <w:jc w:val="center"/>
                    <w:rPr>
                      <w:color w:val="auto"/>
                      <w:kern w:val="0"/>
                    </w:rPr>
                  </w:pPr>
                  <w:r>
                    <w:rPr>
                      <w:rFonts w:hint="eastAsia"/>
                      <w:color w:val="auto"/>
                      <w:kern w:val="0"/>
                      <w:lang w:val="en-US" w:eastAsia="zh-CN"/>
                    </w:rPr>
                    <w:t>苯系物</w:t>
                  </w:r>
                </w:p>
              </w:tc>
              <w:tc>
                <w:tcPr>
                  <w:tcW w:w="624" w:type="pct"/>
                  <w:tcBorders>
                    <w:tl2br w:val="nil"/>
                    <w:tr2bl w:val="nil"/>
                  </w:tcBorders>
                  <w:vAlign w:val="center"/>
                </w:tcPr>
                <w:p w14:paraId="54D61660">
                  <w:pPr>
                    <w:jc w:val="center"/>
                    <w:rPr>
                      <w:color w:val="auto"/>
                      <w:kern w:val="0"/>
                    </w:rPr>
                  </w:pPr>
                  <w:r>
                    <w:rPr>
                      <w:color w:val="auto"/>
                      <w:kern w:val="0"/>
                    </w:rPr>
                    <w:t>1次/</w:t>
                  </w:r>
                  <w:r>
                    <w:rPr>
                      <w:rFonts w:hint="eastAsia"/>
                      <w:color w:val="auto"/>
                      <w:kern w:val="0"/>
                    </w:rPr>
                    <w:t>年</w:t>
                  </w:r>
                </w:p>
              </w:tc>
            </w:tr>
            <w:tr w14:paraId="2DBB04E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406A8AD5">
                  <w:pPr>
                    <w:jc w:val="center"/>
                    <w:rPr>
                      <w:color w:val="auto"/>
                      <w:kern w:val="0"/>
                    </w:rPr>
                  </w:pPr>
                </w:p>
              </w:tc>
              <w:tc>
                <w:tcPr>
                  <w:tcW w:w="585" w:type="pct"/>
                  <w:vMerge w:val="continue"/>
                  <w:tcBorders>
                    <w:tl2br w:val="nil"/>
                    <w:tr2bl w:val="nil"/>
                  </w:tcBorders>
                  <w:vAlign w:val="center"/>
                </w:tcPr>
                <w:p w14:paraId="1B207C19">
                  <w:pPr>
                    <w:jc w:val="center"/>
                    <w:rPr>
                      <w:color w:val="auto"/>
                      <w:kern w:val="0"/>
                    </w:rPr>
                  </w:pPr>
                </w:p>
              </w:tc>
              <w:tc>
                <w:tcPr>
                  <w:tcW w:w="927" w:type="pct"/>
                  <w:vMerge w:val="continue"/>
                  <w:tcBorders>
                    <w:tl2br w:val="nil"/>
                    <w:tr2bl w:val="nil"/>
                  </w:tcBorders>
                  <w:vAlign w:val="center"/>
                </w:tcPr>
                <w:p w14:paraId="216BFFAA">
                  <w:pPr>
                    <w:jc w:val="center"/>
                    <w:rPr>
                      <w:rFonts w:hint="eastAsia"/>
                      <w:color w:val="auto"/>
                      <w:kern w:val="0"/>
                      <w:lang w:val="en-US" w:eastAsia="zh-CN"/>
                    </w:rPr>
                  </w:pPr>
                </w:p>
              </w:tc>
              <w:tc>
                <w:tcPr>
                  <w:tcW w:w="1683" w:type="pct"/>
                  <w:vMerge w:val="continue"/>
                  <w:tcBorders>
                    <w:tl2br w:val="nil"/>
                    <w:tr2bl w:val="nil"/>
                  </w:tcBorders>
                  <w:vAlign w:val="center"/>
                </w:tcPr>
                <w:p w14:paraId="359CD062">
                  <w:pPr>
                    <w:jc w:val="center"/>
                    <w:rPr>
                      <w:rFonts w:hint="eastAsia"/>
                      <w:color w:val="auto"/>
                      <w:kern w:val="0"/>
                    </w:rPr>
                  </w:pPr>
                </w:p>
              </w:tc>
              <w:tc>
                <w:tcPr>
                  <w:tcW w:w="837" w:type="pct"/>
                  <w:tcBorders>
                    <w:tl2br w:val="nil"/>
                    <w:tr2bl w:val="nil"/>
                  </w:tcBorders>
                  <w:vAlign w:val="center"/>
                </w:tcPr>
                <w:p w14:paraId="140E1F53">
                  <w:pPr>
                    <w:jc w:val="center"/>
                    <w:rPr>
                      <w:color w:val="auto"/>
                      <w:kern w:val="0"/>
                    </w:rPr>
                  </w:pPr>
                  <w:r>
                    <w:rPr>
                      <w:rFonts w:hint="eastAsia"/>
                      <w:color w:val="auto"/>
                      <w:kern w:val="0"/>
                      <w:lang w:val="en-US" w:eastAsia="zh-CN"/>
                    </w:rPr>
                    <w:t>二甲苯</w:t>
                  </w:r>
                </w:p>
              </w:tc>
              <w:tc>
                <w:tcPr>
                  <w:tcW w:w="624" w:type="pct"/>
                  <w:tcBorders>
                    <w:tl2br w:val="nil"/>
                    <w:tr2bl w:val="nil"/>
                  </w:tcBorders>
                  <w:vAlign w:val="center"/>
                </w:tcPr>
                <w:p w14:paraId="58816FDD">
                  <w:pPr>
                    <w:jc w:val="center"/>
                    <w:rPr>
                      <w:color w:val="auto"/>
                      <w:kern w:val="0"/>
                    </w:rPr>
                  </w:pPr>
                  <w:r>
                    <w:rPr>
                      <w:color w:val="auto"/>
                      <w:kern w:val="0"/>
                    </w:rPr>
                    <w:t>1次/</w:t>
                  </w:r>
                  <w:r>
                    <w:rPr>
                      <w:rFonts w:hint="eastAsia"/>
                      <w:color w:val="auto"/>
                      <w:kern w:val="0"/>
                    </w:rPr>
                    <w:t>年</w:t>
                  </w:r>
                </w:p>
              </w:tc>
            </w:tr>
            <w:tr w14:paraId="18F5B51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69272FD6">
                  <w:pPr>
                    <w:jc w:val="center"/>
                    <w:rPr>
                      <w:color w:val="auto"/>
                      <w:kern w:val="0"/>
                    </w:rPr>
                  </w:pPr>
                </w:p>
              </w:tc>
              <w:tc>
                <w:tcPr>
                  <w:tcW w:w="585" w:type="pct"/>
                  <w:vMerge w:val="continue"/>
                  <w:tcBorders>
                    <w:tl2br w:val="nil"/>
                    <w:tr2bl w:val="nil"/>
                  </w:tcBorders>
                  <w:vAlign w:val="center"/>
                </w:tcPr>
                <w:p w14:paraId="5A4D4843">
                  <w:pPr>
                    <w:jc w:val="center"/>
                    <w:rPr>
                      <w:color w:val="auto"/>
                      <w:kern w:val="0"/>
                    </w:rPr>
                  </w:pPr>
                </w:p>
              </w:tc>
              <w:tc>
                <w:tcPr>
                  <w:tcW w:w="927" w:type="pct"/>
                  <w:vMerge w:val="continue"/>
                  <w:tcBorders>
                    <w:tl2br w:val="nil"/>
                    <w:tr2bl w:val="nil"/>
                  </w:tcBorders>
                  <w:vAlign w:val="center"/>
                </w:tcPr>
                <w:p w14:paraId="2B9C9534">
                  <w:pPr>
                    <w:jc w:val="center"/>
                    <w:rPr>
                      <w:rFonts w:hint="eastAsia"/>
                      <w:color w:val="auto"/>
                      <w:kern w:val="0"/>
                      <w:lang w:val="en-US" w:eastAsia="zh-CN"/>
                    </w:rPr>
                  </w:pPr>
                </w:p>
              </w:tc>
              <w:tc>
                <w:tcPr>
                  <w:tcW w:w="1683" w:type="pct"/>
                  <w:vMerge w:val="continue"/>
                  <w:tcBorders>
                    <w:tl2br w:val="nil"/>
                    <w:tr2bl w:val="nil"/>
                  </w:tcBorders>
                  <w:vAlign w:val="center"/>
                </w:tcPr>
                <w:p w14:paraId="1EAC0373">
                  <w:pPr>
                    <w:jc w:val="center"/>
                    <w:rPr>
                      <w:rFonts w:hint="eastAsia"/>
                      <w:color w:val="auto"/>
                      <w:kern w:val="0"/>
                    </w:rPr>
                  </w:pPr>
                </w:p>
              </w:tc>
              <w:tc>
                <w:tcPr>
                  <w:tcW w:w="837" w:type="pct"/>
                  <w:tcBorders>
                    <w:tl2br w:val="nil"/>
                    <w:tr2bl w:val="nil"/>
                  </w:tcBorders>
                  <w:vAlign w:val="center"/>
                </w:tcPr>
                <w:p w14:paraId="58D83E40">
                  <w:pPr>
                    <w:jc w:val="center"/>
                    <w:rPr>
                      <w:color w:val="auto"/>
                      <w:kern w:val="0"/>
                    </w:rPr>
                  </w:pPr>
                  <w:r>
                    <w:rPr>
                      <w:rFonts w:hint="eastAsia"/>
                      <w:color w:val="auto"/>
                      <w:kern w:val="0"/>
                      <w:lang w:val="en-US" w:eastAsia="zh-CN"/>
                    </w:rPr>
                    <w:t>三甲苯</w:t>
                  </w:r>
                </w:p>
              </w:tc>
              <w:tc>
                <w:tcPr>
                  <w:tcW w:w="624" w:type="pct"/>
                  <w:tcBorders>
                    <w:tl2br w:val="nil"/>
                    <w:tr2bl w:val="nil"/>
                  </w:tcBorders>
                  <w:vAlign w:val="center"/>
                </w:tcPr>
                <w:p w14:paraId="5102336C">
                  <w:pPr>
                    <w:jc w:val="center"/>
                    <w:rPr>
                      <w:color w:val="auto"/>
                      <w:kern w:val="0"/>
                    </w:rPr>
                  </w:pPr>
                  <w:r>
                    <w:rPr>
                      <w:color w:val="auto"/>
                      <w:kern w:val="0"/>
                    </w:rPr>
                    <w:t>1次/</w:t>
                  </w:r>
                  <w:r>
                    <w:rPr>
                      <w:rFonts w:hint="eastAsia"/>
                      <w:color w:val="auto"/>
                      <w:kern w:val="0"/>
                    </w:rPr>
                    <w:t>年</w:t>
                  </w:r>
                </w:p>
              </w:tc>
            </w:tr>
            <w:tr w14:paraId="4570632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491A8C80">
                  <w:pPr>
                    <w:jc w:val="center"/>
                    <w:rPr>
                      <w:color w:val="auto"/>
                      <w:kern w:val="0"/>
                    </w:rPr>
                  </w:pPr>
                </w:p>
              </w:tc>
              <w:tc>
                <w:tcPr>
                  <w:tcW w:w="585" w:type="pct"/>
                  <w:vMerge w:val="continue"/>
                  <w:tcBorders>
                    <w:tl2br w:val="nil"/>
                    <w:tr2bl w:val="nil"/>
                  </w:tcBorders>
                  <w:vAlign w:val="center"/>
                </w:tcPr>
                <w:p w14:paraId="5309B2A2">
                  <w:pPr>
                    <w:jc w:val="center"/>
                    <w:rPr>
                      <w:color w:val="auto"/>
                      <w:kern w:val="0"/>
                    </w:rPr>
                  </w:pPr>
                </w:p>
              </w:tc>
              <w:tc>
                <w:tcPr>
                  <w:tcW w:w="927" w:type="pct"/>
                  <w:vMerge w:val="continue"/>
                  <w:tcBorders>
                    <w:tl2br w:val="nil"/>
                    <w:tr2bl w:val="nil"/>
                  </w:tcBorders>
                  <w:vAlign w:val="center"/>
                </w:tcPr>
                <w:p w14:paraId="47A95AA0">
                  <w:pPr>
                    <w:jc w:val="center"/>
                    <w:rPr>
                      <w:color w:val="auto"/>
                      <w:kern w:val="0"/>
                    </w:rPr>
                  </w:pPr>
                </w:p>
              </w:tc>
              <w:tc>
                <w:tcPr>
                  <w:tcW w:w="1683" w:type="pct"/>
                  <w:vMerge w:val="continue"/>
                  <w:tcBorders>
                    <w:tl2br w:val="nil"/>
                    <w:tr2bl w:val="nil"/>
                  </w:tcBorders>
                  <w:vAlign w:val="center"/>
                </w:tcPr>
                <w:p w14:paraId="543DC60B">
                  <w:pPr>
                    <w:jc w:val="center"/>
                    <w:rPr>
                      <w:color w:val="auto"/>
                      <w:kern w:val="0"/>
                    </w:rPr>
                  </w:pPr>
                </w:p>
              </w:tc>
              <w:tc>
                <w:tcPr>
                  <w:tcW w:w="837" w:type="pct"/>
                  <w:tcBorders>
                    <w:tl2br w:val="nil"/>
                    <w:tr2bl w:val="nil"/>
                  </w:tcBorders>
                  <w:vAlign w:val="center"/>
                </w:tcPr>
                <w:p w14:paraId="351EFD98">
                  <w:pPr>
                    <w:jc w:val="center"/>
                    <w:rPr>
                      <w:rFonts w:hint="eastAsia" w:eastAsia="宋体"/>
                      <w:color w:val="auto"/>
                      <w:kern w:val="0"/>
                      <w:lang w:eastAsia="zh-CN"/>
                    </w:rPr>
                  </w:pPr>
                  <w:r>
                    <w:rPr>
                      <w:rFonts w:hint="eastAsia"/>
                      <w:color w:val="auto"/>
                      <w:kern w:val="0"/>
                      <w:lang w:val="en-US" w:eastAsia="zh-CN"/>
                    </w:rPr>
                    <w:t>颗粒物</w:t>
                  </w:r>
                </w:p>
              </w:tc>
              <w:tc>
                <w:tcPr>
                  <w:tcW w:w="624" w:type="pct"/>
                  <w:tcBorders>
                    <w:tl2br w:val="nil"/>
                    <w:tr2bl w:val="nil"/>
                  </w:tcBorders>
                  <w:vAlign w:val="center"/>
                </w:tcPr>
                <w:p w14:paraId="116F1988">
                  <w:pPr>
                    <w:jc w:val="center"/>
                    <w:rPr>
                      <w:color w:val="auto"/>
                      <w:kern w:val="0"/>
                    </w:rPr>
                  </w:pPr>
                  <w:r>
                    <w:rPr>
                      <w:color w:val="auto"/>
                      <w:kern w:val="0"/>
                    </w:rPr>
                    <w:t>1次/</w:t>
                  </w:r>
                  <w:r>
                    <w:rPr>
                      <w:rFonts w:hint="eastAsia"/>
                      <w:color w:val="auto"/>
                      <w:kern w:val="0"/>
                    </w:rPr>
                    <w:t>年</w:t>
                  </w:r>
                </w:p>
              </w:tc>
            </w:tr>
          </w:tbl>
          <w:p w14:paraId="019BDA9C">
            <w:pPr>
              <w:pStyle w:val="5"/>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eastAsia="宋体"/>
                <w:b/>
                <w:color w:val="auto"/>
                <w:kern w:val="0"/>
                <w:szCs w:val="21"/>
                <w:lang w:val="en-US" w:eastAsia="zh-CN"/>
              </w:rPr>
            </w:pPr>
            <w:r>
              <w:rPr>
                <w:rFonts w:hint="eastAsia"/>
                <w:b/>
                <w:color w:val="auto"/>
                <w:kern w:val="0"/>
                <w:szCs w:val="21"/>
                <w:lang w:eastAsia="zh-CN"/>
              </w:rPr>
              <w:t>（</w:t>
            </w:r>
            <w:r>
              <w:rPr>
                <w:rFonts w:hint="eastAsia"/>
                <w:b/>
                <w:color w:val="auto"/>
                <w:kern w:val="0"/>
                <w:szCs w:val="21"/>
                <w:lang w:val="en-US" w:eastAsia="zh-CN"/>
              </w:rPr>
              <w:t>9</w:t>
            </w:r>
            <w:r>
              <w:rPr>
                <w:rFonts w:hint="eastAsia"/>
                <w:b/>
                <w:color w:val="auto"/>
                <w:kern w:val="0"/>
                <w:szCs w:val="21"/>
                <w:lang w:eastAsia="zh-CN"/>
              </w:rPr>
              <w:t>）</w:t>
            </w:r>
            <w:r>
              <w:rPr>
                <w:rFonts w:hint="eastAsia"/>
                <w:b/>
                <w:color w:val="auto"/>
                <w:kern w:val="0"/>
                <w:szCs w:val="21"/>
                <w:lang w:val="en-US" w:eastAsia="zh-CN"/>
              </w:rPr>
              <w:t>异味影响分析</w:t>
            </w:r>
          </w:p>
          <w:p w14:paraId="7C1B446C">
            <w:pPr>
              <w:pStyle w:val="5"/>
              <w:adjustRightInd w:val="0"/>
              <w:snapToGrid w:val="0"/>
              <w:spacing w:line="360" w:lineRule="auto"/>
              <w:ind w:firstLine="480"/>
              <w:rPr>
                <w:color w:val="auto"/>
                <w:kern w:val="0"/>
                <w:szCs w:val="21"/>
              </w:rPr>
            </w:pPr>
            <w:r>
              <w:rPr>
                <w:rFonts w:hint="eastAsia"/>
                <w:color w:val="auto"/>
                <w:kern w:val="0"/>
                <w:szCs w:val="21"/>
              </w:rPr>
              <w:t>刺激性气味气体，其主要危害为：</w:t>
            </w:r>
          </w:p>
          <w:p w14:paraId="76F57DCF">
            <w:pPr>
              <w:pStyle w:val="5"/>
              <w:adjustRightInd w:val="0"/>
              <w:snapToGrid w:val="0"/>
              <w:spacing w:line="360" w:lineRule="auto"/>
              <w:ind w:firstLine="480"/>
              <w:rPr>
                <w:color w:val="auto"/>
                <w:kern w:val="0"/>
                <w:szCs w:val="21"/>
              </w:rPr>
            </w:pPr>
            <w:r>
              <w:rPr>
                <w:rFonts w:hint="eastAsia"/>
                <w:color w:val="auto"/>
                <w:kern w:val="0"/>
                <w:szCs w:val="21"/>
              </w:rPr>
              <w:t>①危害呼吸系统。人们突然闻到异味，就会产生反射性的抑制吸气，是呼吸次数减少，深度变浅，甚至会暂时停止呼吸，妨碍正常呼吸功能。</w:t>
            </w:r>
          </w:p>
          <w:p w14:paraId="4217A32C">
            <w:pPr>
              <w:pStyle w:val="5"/>
              <w:adjustRightInd w:val="0"/>
              <w:snapToGrid w:val="0"/>
              <w:spacing w:line="360" w:lineRule="auto"/>
              <w:ind w:firstLine="480"/>
              <w:rPr>
                <w:rFonts w:hint="eastAsia"/>
                <w:color w:val="auto"/>
                <w:kern w:val="0"/>
                <w:szCs w:val="21"/>
              </w:rPr>
            </w:pPr>
            <w:r>
              <w:rPr>
                <w:rFonts w:hint="eastAsia"/>
                <w:color w:val="auto"/>
                <w:kern w:val="0"/>
                <w:szCs w:val="21"/>
              </w:rPr>
              <w:t>②危害循环系统。随着呼吸的变化，会出现脉搏和血压的变化。</w:t>
            </w:r>
          </w:p>
          <w:p w14:paraId="6954700B">
            <w:pPr>
              <w:pStyle w:val="5"/>
              <w:adjustRightInd w:val="0"/>
              <w:snapToGrid w:val="0"/>
              <w:spacing w:line="360" w:lineRule="auto"/>
              <w:ind w:firstLine="480"/>
              <w:rPr>
                <w:rFonts w:hint="eastAsia"/>
                <w:color w:val="auto"/>
                <w:kern w:val="0"/>
                <w:szCs w:val="21"/>
              </w:rPr>
            </w:pPr>
            <w:r>
              <w:rPr>
                <w:rFonts w:hint="eastAsia"/>
                <w:color w:val="auto"/>
                <w:kern w:val="0"/>
                <w:szCs w:val="21"/>
              </w:rPr>
              <w:t>③危害消化系统。经常接触异味，会使人厌食，恶心，甚至呕吐，进而发展为消化功能减退。</w:t>
            </w:r>
          </w:p>
          <w:p w14:paraId="5DB068DF">
            <w:pPr>
              <w:pStyle w:val="5"/>
              <w:adjustRightInd w:val="0"/>
              <w:snapToGrid w:val="0"/>
              <w:spacing w:line="360" w:lineRule="auto"/>
              <w:ind w:firstLine="480"/>
              <w:rPr>
                <w:rFonts w:hint="eastAsia"/>
                <w:color w:val="auto"/>
                <w:kern w:val="0"/>
                <w:szCs w:val="21"/>
              </w:rPr>
            </w:pPr>
            <w:r>
              <w:rPr>
                <w:rFonts w:hint="eastAsia"/>
                <w:color w:val="auto"/>
                <w:kern w:val="0"/>
                <w:szCs w:val="21"/>
              </w:rPr>
              <w:t>④危害内分泌系统。经常受异味刺激，会使内分泌系统的分泌功能紊乱，影响机体的代谢活动。</w:t>
            </w:r>
          </w:p>
          <w:p w14:paraId="5D2293AB">
            <w:pPr>
              <w:pStyle w:val="5"/>
              <w:adjustRightInd w:val="0"/>
              <w:snapToGrid w:val="0"/>
              <w:spacing w:line="360" w:lineRule="auto"/>
              <w:ind w:firstLine="480"/>
              <w:rPr>
                <w:rFonts w:hint="eastAsia"/>
                <w:color w:val="auto"/>
                <w:kern w:val="0"/>
                <w:szCs w:val="21"/>
              </w:rPr>
            </w:pPr>
            <w:r>
              <w:rPr>
                <w:rFonts w:hint="eastAsia"/>
                <w:color w:val="auto"/>
                <w:kern w:val="0"/>
                <w:szCs w:val="21"/>
              </w:rPr>
              <w:t>⑤危害神经系统。长期受到一种或几种低浓度异味物质的刺激，会引起嗅觉脱失、嗅觉疲劳等障碍。“久闻而不知其臭”，使嗅觉丧失了第一道防御功能，但脑神经仍不断收到刺激和损伤，最后导致大脑皮层兴奋和抑制的调节失调。</w:t>
            </w:r>
          </w:p>
          <w:p w14:paraId="7DC5B0F9">
            <w:pPr>
              <w:pStyle w:val="5"/>
              <w:adjustRightInd w:val="0"/>
              <w:snapToGrid w:val="0"/>
              <w:spacing w:line="360" w:lineRule="auto"/>
              <w:ind w:firstLine="420" w:firstLineChars="200"/>
              <w:rPr>
                <w:rFonts w:hint="eastAsia"/>
                <w:b w:val="0"/>
                <w:bCs/>
                <w:color w:val="auto"/>
                <w:kern w:val="0"/>
                <w:szCs w:val="21"/>
              </w:rPr>
            </w:pPr>
            <w:r>
              <w:rPr>
                <w:rFonts w:hint="eastAsia"/>
                <w:b w:val="0"/>
                <w:bCs/>
                <w:color w:val="auto"/>
                <w:kern w:val="0"/>
                <w:szCs w:val="21"/>
              </w:rPr>
              <w:t>为了减小异味对周边环境的影响，建设单位在项目运行中应进一步做好异味污染防治措施：</w:t>
            </w:r>
          </w:p>
          <w:p w14:paraId="6AEB5B87">
            <w:pPr>
              <w:pStyle w:val="5"/>
              <w:adjustRightInd w:val="0"/>
              <w:snapToGrid w:val="0"/>
              <w:spacing w:line="360" w:lineRule="auto"/>
              <w:ind w:firstLine="420" w:firstLineChars="200"/>
              <w:rPr>
                <w:rFonts w:hint="eastAsia"/>
                <w:b w:val="0"/>
                <w:bCs/>
                <w:color w:val="auto"/>
                <w:kern w:val="0"/>
                <w:szCs w:val="21"/>
              </w:rPr>
            </w:pPr>
            <w:r>
              <w:rPr>
                <w:rFonts w:hint="eastAsia"/>
                <w:b w:val="0"/>
                <w:bCs/>
                <w:color w:val="auto"/>
                <w:kern w:val="0"/>
                <w:szCs w:val="21"/>
              </w:rPr>
              <w:t>控制好生产过程的工艺参数，减少异味污染物的产生量；做好废气的收集，尽可能提高收集效率（如设备尽可能为密闭设备、集气罩周边加装软帘）；加强废气处理设施的运行管理，确保稳定运行，达标排放。厂区内应充分利用设施、建筑物间空地，在道路两旁和车间四周多种值阔叶常绿树种，以减轻异味影响，改善厂区环境空气质量。</w:t>
            </w:r>
          </w:p>
          <w:p w14:paraId="4BC05E96">
            <w:pPr>
              <w:pStyle w:val="5"/>
              <w:adjustRightInd w:val="0"/>
              <w:snapToGrid w:val="0"/>
              <w:spacing w:line="360" w:lineRule="auto"/>
              <w:ind w:firstLine="422" w:firstLineChars="200"/>
              <w:rPr>
                <w:b/>
                <w:color w:val="auto"/>
                <w:kern w:val="0"/>
                <w:szCs w:val="21"/>
              </w:rPr>
            </w:pPr>
            <w:r>
              <w:rPr>
                <w:rFonts w:hint="eastAsia"/>
                <w:b/>
                <w:color w:val="auto"/>
                <w:kern w:val="0"/>
                <w:szCs w:val="21"/>
              </w:rPr>
              <w:t>（</w:t>
            </w:r>
            <w:r>
              <w:rPr>
                <w:rFonts w:hint="eastAsia"/>
                <w:b/>
                <w:color w:val="auto"/>
                <w:kern w:val="0"/>
                <w:szCs w:val="21"/>
                <w:lang w:val="en-US" w:eastAsia="zh-CN"/>
              </w:rPr>
              <w:t>10</w:t>
            </w:r>
            <w:r>
              <w:rPr>
                <w:rFonts w:hint="eastAsia"/>
                <w:b/>
                <w:color w:val="auto"/>
                <w:kern w:val="0"/>
                <w:szCs w:val="21"/>
              </w:rPr>
              <w:t>）大气环境影响分析结论</w:t>
            </w:r>
          </w:p>
          <w:p w14:paraId="4DC02646">
            <w:pPr>
              <w:pStyle w:val="5"/>
              <w:adjustRightInd w:val="0"/>
              <w:snapToGrid w:val="0"/>
              <w:spacing w:line="360" w:lineRule="auto"/>
              <w:ind w:firstLine="480"/>
              <w:rPr>
                <w:color w:val="auto"/>
                <w:kern w:val="0"/>
                <w:szCs w:val="21"/>
              </w:rPr>
            </w:pPr>
            <w:r>
              <w:rPr>
                <w:color w:val="auto"/>
                <w:kern w:val="0"/>
                <w:szCs w:val="21"/>
              </w:rPr>
              <w:t>项目所在区域为环境空气非达标区，根据</w:t>
            </w:r>
            <w:r>
              <w:rPr>
                <w:rFonts w:hint="eastAsia"/>
                <w:color w:val="auto"/>
                <w:kern w:val="0"/>
                <w:sz w:val="21"/>
              </w:rPr>
              <w:t>《常州市空气质量持续改善行动计划实施方案》（常政发〔2024〕51号）</w:t>
            </w:r>
            <w:r>
              <w:rPr>
                <w:color w:val="auto"/>
                <w:kern w:val="0"/>
                <w:szCs w:val="21"/>
              </w:rPr>
              <w:t>，在落实大气污染防治措施的情况下，区域环境空气质量可以得到改善。</w:t>
            </w:r>
          </w:p>
          <w:p w14:paraId="7EABC2E0">
            <w:pPr>
              <w:adjustRightInd w:val="0"/>
              <w:snapToGrid w:val="0"/>
              <w:spacing w:line="360" w:lineRule="auto"/>
              <w:ind w:firstLine="420" w:firstLineChars="200"/>
              <w:rPr>
                <w:color w:val="auto"/>
                <w:kern w:val="0"/>
                <w:szCs w:val="21"/>
              </w:rPr>
            </w:pPr>
            <w:r>
              <w:rPr>
                <w:rFonts w:hint="eastAsia"/>
                <w:color w:val="auto"/>
                <w:kern w:val="0"/>
              </w:rPr>
              <w:t>本</w:t>
            </w:r>
            <w:r>
              <w:rPr>
                <w:rFonts w:hint="eastAsia"/>
                <w:bCs/>
                <w:color w:val="auto"/>
                <w:kern w:val="0"/>
                <w:lang w:eastAsia="zh-CN"/>
              </w:rPr>
              <w:t>项目</w:t>
            </w:r>
            <w:r>
              <w:rPr>
                <w:rFonts w:hint="eastAsia"/>
                <w:bCs/>
                <w:color w:val="auto"/>
                <w:kern w:val="0"/>
                <w:lang w:val="en-US" w:eastAsia="zh-CN"/>
              </w:rPr>
              <w:t>擦色、调漆、喷漆、刷漆、晾干、喷枪清洗产生的有机废气经调漆房、底漆房、面漆房、晾干房负压收集；喷漆产生的颗粒物经底漆房、面漆房负压收集，颗粒物经水帘装置处理后和</w:t>
            </w:r>
            <w:r>
              <w:rPr>
                <w:rFonts w:hint="eastAsia"/>
                <w:bCs/>
                <w:color w:val="auto"/>
                <w:kern w:val="0"/>
                <w:lang w:eastAsia="zh-CN"/>
              </w:rPr>
              <w:t>有机废气</w:t>
            </w:r>
            <w:r>
              <w:rPr>
                <w:rFonts w:hint="eastAsia"/>
                <w:bCs/>
                <w:color w:val="auto"/>
                <w:kern w:val="0"/>
                <w:lang w:val="en-US" w:eastAsia="zh-CN"/>
              </w:rPr>
              <w:t>一起经吸雾毡去除水分后</w:t>
            </w:r>
            <w:r>
              <w:rPr>
                <w:rFonts w:hint="eastAsia"/>
                <w:bCs/>
                <w:color w:val="auto"/>
                <w:kern w:val="0"/>
                <w:lang w:eastAsia="zh-CN"/>
              </w:rPr>
              <w:t>进入1套“二级活性炭装置”处理后通过1根</w:t>
            </w:r>
            <w:r>
              <w:rPr>
                <w:rFonts w:hint="eastAsia"/>
                <w:bCs/>
                <w:color w:val="auto"/>
                <w:kern w:val="0"/>
                <w:lang w:val="en-US" w:eastAsia="zh-CN"/>
              </w:rPr>
              <w:t>20</w:t>
            </w:r>
            <w:r>
              <w:rPr>
                <w:rFonts w:hint="eastAsia"/>
                <w:bCs/>
                <w:color w:val="auto"/>
                <w:kern w:val="0"/>
                <w:lang w:eastAsia="zh-CN"/>
              </w:rPr>
              <w:t>m高的排气筒DA001排放</w:t>
            </w:r>
            <w:r>
              <w:rPr>
                <w:rFonts w:hint="eastAsia"/>
                <w:color w:val="auto"/>
                <w:kern w:val="0"/>
                <w:shd w:val="clear" w:color="auto" w:fill="FFFFFF"/>
              </w:rPr>
              <w:t>。</w:t>
            </w:r>
            <w:r>
              <w:rPr>
                <w:rFonts w:hint="eastAsia"/>
                <w:color w:val="auto"/>
                <w:kern w:val="0"/>
                <w:szCs w:val="21"/>
                <w:lang w:bidi="ar"/>
              </w:rPr>
              <w:t>废气收集效率较高，</w:t>
            </w:r>
            <w:r>
              <w:rPr>
                <w:color w:val="auto"/>
                <w:kern w:val="0"/>
                <w:szCs w:val="21"/>
                <w:lang w:bidi="ar"/>
              </w:rPr>
              <w:t>可最大限度的降低无组织排放。</w:t>
            </w:r>
          </w:p>
          <w:p w14:paraId="118388D2">
            <w:pPr>
              <w:pStyle w:val="5"/>
              <w:adjustRightInd w:val="0"/>
              <w:snapToGrid w:val="0"/>
              <w:spacing w:line="360" w:lineRule="auto"/>
              <w:ind w:firstLine="480"/>
              <w:rPr>
                <w:color w:val="auto"/>
                <w:kern w:val="0"/>
                <w:szCs w:val="21"/>
              </w:rPr>
            </w:pPr>
            <w:r>
              <w:rPr>
                <w:color w:val="auto"/>
                <w:kern w:val="0"/>
                <w:szCs w:val="21"/>
              </w:rPr>
              <w:t>企业拟通过加强车间通风等措施确保无组织废气排放厂界达标；项目以生产车间为边界设置</w:t>
            </w:r>
            <w:r>
              <w:rPr>
                <w:rFonts w:hint="eastAsia"/>
                <w:color w:val="auto"/>
                <w:kern w:val="0"/>
                <w:szCs w:val="21"/>
              </w:rPr>
              <w:t>100</w:t>
            </w:r>
            <w:r>
              <w:rPr>
                <w:color w:val="auto"/>
                <w:kern w:val="0"/>
                <w:szCs w:val="21"/>
              </w:rPr>
              <w:t>m卫生防护距离。</w:t>
            </w:r>
          </w:p>
          <w:p w14:paraId="6E5306D1">
            <w:pPr>
              <w:adjustRightInd w:val="0"/>
              <w:snapToGrid w:val="0"/>
              <w:spacing w:line="360" w:lineRule="auto"/>
              <w:ind w:firstLine="420" w:firstLineChars="200"/>
              <w:jc w:val="left"/>
              <w:rPr>
                <w:color w:val="auto"/>
                <w:kern w:val="0"/>
              </w:rPr>
            </w:pPr>
            <w:r>
              <w:rPr>
                <w:rFonts w:hint="eastAsia"/>
                <w:color w:val="auto"/>
                <w:kern w:val="0"/>
              </w:rPr>
              <w:t>本</w:t>
            </w:r>
            <w:r>
              <w:rPr>
                <w:color w:val="auto"/>
                <w:kern w:val="0"/>
              </w:rPr>
              <w:t>项目污染物经合理处置后，排放量较低，因此本项目建成后对大气环境影响较小</w:t>
            </w:r>
            <w:r>
              <w:rPr>
                <w:rFonts w:hint="eastAsia"/>
                <w:color w:val="auto"/>
                <w:kern w:val="0"/>
              </w:rPr>
              <w:t>。</w:t>
            </w:r>
          </w:p>
          <w:p w14:paraId="124F83A4">
            <w:pPr>
              <w:adjustRightInd w:val="0"/>
              <w:snapToGrid w:val="0"/>
              <w:spacing w:line="360" w:lineRule="auto"/>
              <w:rPr>
                <w:b/>
                <w:color w:val="auto"/>
                <w:kern w:val="0"/>
              </w:rPr>
            </w:pPr>
            <w:r>
              <w:rPr>
                <w:rFonts w:hint="eastAsia"/>
                <w:b/>
                <w:color w:val="auto"/>
                <w:kern w:val="0"/>
              </w:rPr>
              <w:t>2、地表水环境影响分析</w:t>
            </w:r>
          </w:p>
          <w:p w14:paraId="07064647">
            <w:pPr>
              <w:pStyle w:val="5"/>
              <w:spacing w:line="360" w:lineRule="auto"/>
              <w:ind w:firstLine="482"/>
              <w:rPr>
                <w:b/>
                <w:bCs/>
                <w:color w:val="auto"/>
                <w:kern w:val="0"/>
                <w:szCs w:val="21"/>
              </w:rPr>
            </w:pPr>
            <w:r>
              <w:rPr>
                <w:b/>
                <w:bCs/>
                <w:color w:val="auto"/>
                <w:kern w:val="0"/>
                <w:szCs w:val="21"/>
              </w:rPr>
              <w:t>（1）废水源强</w:t>
            </w:r>
          </w:p>
          <w:p w14:paraId="724C9743">
            <w:pPr>
              <w:pStyle w:val="5"/>
              <w:adjustRightInd w:val="0"/>
              <w:snapToGrid w:val="0"/>
              <w:spacing w:line="360" w:lineRule="auto"/>
              <w:ind w:firstLine="480"/>
              <w:rPr>
                <w:color w:val="auto"/>
                <w:kern w:val="0"/>
                <w:szCs w:val="21"/>
              </w:rPr>
            </w:pPr>
            <w:r>
              <w:rPr>
                <w:color w:val="auto"/>
                <w:kern w:val="0"/>
                <w:szCs w:val="21"/>
              </w:rPr>
              <w:t>项目废水仅为生活污水，排水量为</w:t>
            </w:r>
            <w:r>
              <w:rPr>
                <w:rFonts w:hint="eastAsia"/>
                <w:color w:val="auto"/>
                <w:kern w:val="0"/>
                <w:szCs w:val="21"/>
                <w:lang w:val="en-US" w:eastAsia="zh-CN"/>
              </w:rPr>
              <w:t>840</w:t>
            </w:r>
            <w:r>
              <w:rPr>
                <w:color w:val="auto"/>
                <w:kern w:val="0"/>
                <w:szCs w:val="21"/>
              </w:rPr>
              <w:t>t/a，接管至</w:t>
            </w:r>
            <w:r>
              <w:rPr>
                <w:rFonts w:hint="eastAsia"/>
                <w:color w:val="auto"/>
                <w:kern w:val="0"/>
                <w:szCs w:val="21"/>
              </w:rPr>
              <w:t>常州金坛区第二污水处理有限公司</w:t>
            </w:r>
            <w:r>
              <w:rPr>
                <w:color w:val="auto"/>
                <w:kern w:val="0"/>
                <w:szCs w:val="21"/>
              </w:rPr>
              <w:t>集中处理，处理后尾水排入</w:t>
            </w:r>
            <w:r>
              <w:rPr>
                <w:rFonts w:hint="eastAsia"/>
                <w:color w:val="auto"/>
                <w:kern w:val="0"/>
                <w:szCs w:val="21"/>
              </w:rPr>
              <w:t>尧塘河</w:t>
            </w:r>
            <w:r>
              <w:rPr>
                <w:color w:val="auto"/>
                <w:kern w:val="0"/>
                <w:szCs w:val="21"/>
              </w:rPr>
              <w:t>。废水产生及排放情况见</w:t>
            </w:r>
            <w:r>
              <w:rPr>
                <w:rFonts w:hint="eastAsia"/>
                <w:color w:val="auto"/>
                <w:kern w:val="0"/>
                <w:szCs w:val="21"/>
              </w:rPr>
              <w:t>下表</w:t>
            </w:r>
            <w:r>
              <w:rPr>
                <w:color w:val="auto"/>
                <w:kern w:val="0"/>
                <w:szCs w:val="21"/>
              </w:rPr>
              <w:t>。</w:t>
            </w:r>
          </w:p>
          <w:p w14:paraId="361C4596">
            <w:pPr>
              <w:adjustRightInd w:val="0"/>
              <w:snapToGrid w:val="0"/>
              <w:jc w:val="center"/>
              <w:rPr>
                <w:bCs/>
                <w:color w:val="auto"/>
                <w:kern w:val="0"/>
              </w:rPr>
            </w:pPr>
            <w:r>
              <w:rPr>
                <w:b/>
                <w:color w:val="auto"/>
                <w:kern w:val="0"/>
              </w:rPr>
              <w:t>表4-</w:t>
            </w:r>
            <w:r>
              <w:rPr>
                <w:rFonts w:hint="eastAsia"/>
                <w:b/>
                <w:color w:val="auto"/>
                <w:kern w:val="0"/>
                <w:lang w:val="en-US" w:eastAsia="zh-CN"/>
              </w:rPr>
              <w:t>14</w:t>
            </w:r>
            <w:r>
              <w:rPr>
                <w:b/>
                <w:color w:val="auto"/>
                <w:kern w:val="0"/>
              </w:rPr>
              <w:t xml:space="preserve">   </w:t>
            </w:r>
            <w:r>
              <w:rPr>
                <w:rFonts w:hint="eastAsia"/>
                <w:b/>
                <w:bCs/>
                <w:color w:val="auto"/>
                <w:kern w:val="0"/>
              </w:rPr>
              <w:t>本项目</w:t>
            </w:r>
            <w:r>
              <w:rPr>
                <w:b/>
                <w:color w:val="auto"/>
                <w:kern w:val="0"/>
              </w:rPr>
              <w:t>水污染物产生和排放情况表</w:t>
            </w:r>
          </w:p>
          <w:tbl>
            <w:tblPr>
              <w:tblStyle w:val="59"/>
              <w:tblW w:w="4996"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654"/>
              <w:gridCol w:w="794"/>
              <w:gridCol w:w="928"/>
              <w:gridCol w:w="959"/>
              <w:gridCol w:w="1187"/>
              <w:gridCol w:w="1021"/>
              <w:gridCol w:w="1003"/>
              <w:gridCol w:w="1173"/>
              <w:gridCol w:w="1135"/>
            </w:tblGrid>
            <w:tr w14:paraId="0F4F094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654" w:type="dxa"/>
                  <w:tcBorders>
                    <w:tl2br w:val="nil"/>
                    <w:tr2bl w:val="nil"/>
                  </w:tcBorders>
                  <w:vAlign w:val="center"/>
                </w:tcPr>
                <w:p w14:paraId="348FDBEE">
                  <w:pPr>
                    <w:keepNext w:val="0"/>
                    <w:keepLines w:val="0"/>
                    <w:pageBreakBefore w:val="0"/>
                    <w:kinsoku/>
                    <w:wordWrap/>
                    <w:overflowPunct/>
                    <w:topLinePunct w:val="0"/>
                    <w:autoSpaceDE/>
                    <w:autoSpaceDN/>
                    <w:bidi w:val="0"/>
                    <w:adjustRightInd w:val="0"/>
                    <w:snapToGrid w:val="0"/>
                    <w:jc w:val="center"/>
                    <w:rPr>
                      <w:b/>
                      <w:bCs/>
                      <w:color w:val="auto"/>
                      <w:kern w:val="0"/>
                    </w:rPr>
                  </w:pPr>
                  <w:r>
                    <w:rPr>
                      <w:b/>
                      <w:bCs/>
                      <w:color w:val="auto"/>
                      <w:kern w:val="0"/>
                    </w:rPr>
                    <w:t>废水类型</w:t>
                  </w:r>
                </w:p>
              </w:tc>
              <w:tc>
                <w:tcPr>
                  <w:tcW w:w="794" w:type="dxa"/>
                  <w:tcBorders>
                    <w:tl2br w:val="nil"/>
                    <w:tr2bl w:val="nil"/>
                  </w:tcBorders>
                  <w:vAlign w:val="center"/>
                </w:tcPr>
                <w:p w14:paraId="655D4F0D">
                  <w:pPr>
                    <w:keepNext w:val="0"/>
                    <w:keepLines w:val="0"/>
                    <w:pageBreakBefore w:val="0"/>
                    <w:kinsoku/>
                    <w:wordWrap/>
                    <w:overflowPunct/>
                    <w:topLinePunct w:val="0"/>
                    <w:autoSpaceDE/>
                    <w:autoSpaceDN/>
                    <w:bidi w:val="0"/>
                    <w:adjustRightInd w:val="0"/>
                    <w:snapToGrid w:val="0"/>
                    <w:jc w:val="center"/>
                    <w:rPr>
                      <w:b/>
                      <w:bCs/>
                      <w:color w:val="auto"/>
                      <w:kern w:val="0"/>
                    </w:rPr>
                  </w:pPr>
                  <w:r>
                    <w:rPr>
                      <w:b/>
                      <w:bCs/>
                      <w:color w:val="auto"/>
                      <w:kern w:val="0"/>
                    </w:rPr>
                    <w:t>废水量t/a</w:t>
                  </w:r>
                </w:p>
              </w:tc>
              <w:tc>
                <w:tcPr>
                  <w:tcW w:w="928" w:type="dxa"/>
                  <w:tcBorders>
                    <w:tl2br w:val="nil"/>
                    <w:tr2bl w:val="nil"/>
                  </w:tcBorders>
                  <w:vAlign w:val="center"/>
                </w:tcPr>
                <w:p w14:paraId="47C44B9A">
                  <w:pPr>
                    <w:keepNext w:val="0"/>
                    <w:keepLines w:val="0"/>
                    <w:pageBreakBefore w:val="0"/>
                    <w:kinsoku/>
                    <w:wordWrap/>
                    <w:overflowPunct/>
                    <w:topLinePunct w:val="0"/>
                    <w:autoSpaceDE/>
                    <w:autoSpaceDN/>
                    <w:bidi w:val="0"/>
                    <w:adjustRightInd w:val="0"/>
                    <w:snapToGrid w:val="0"/>
                    <w:jc w:val="center"/>
                    <w:rPr>
                      <w:b/>
                      <w:bCs/>
                      <w:color w:val="auto"/>
                      <w:kern w:val="0"/>
                    </w:rPr>
                  </w:pPr>
                  <w:r>
                    <w:rPr>
                      <w:b/>
                      <w:bCs/>
                      <w:color w:val="auto"/>
                      <w:kern w:val="0"/>
                    </w:rPr>
                    <w:t>污染因子</w:t>
                  </w:r>
                </w:p>
              </w:tc>
              <w:tc>
                <w:tcPr>
                  <w:tcW w:w="959" w:type="dxa"/>
                  <w:tcBorders>
                    <w:tl2br w:val="nil"/>
                    <w:tr2bl w:val="nil"/>
                  </w:tcBorders>
                  <w:vAlign w:val="center"/>
                </w:tcPr>
                <w:p w14:paraId="0F48F9BA">
                  <w:pPr>
                    <w:keepNext w:val="0"/>
                    <w:keepLines w:val="0"/>
                    <w:pageBreakBefore w:val="0"/>
                    <w:kinsoku/>
                    <w:wordWrap/>
                    <w:overflowPunct/>
                    <w:topLinePunct w:val="0"/>
                    <w:autoSpaceDE/>
                    <w:autoSpaceDN/>
                    <w:bidi w:val="0"/>
                    <w:adjustRightInd w:val="0"/>
                    <w:snapToGrid w:val="0"/>
                    <w:jc w:val="center"/>
                    <w:rPr>
                      <w:b/>
                      <w:bCs/>
                      <w:color w:val="auto"/>
                      <w:kern w:val="0"/>
                    </w:rPr>
                  </w:pPr>
                  <w:r>
                    <w:rPr>
                      <w:b/>
                      <w:bCs/>
                      <w:color w:val="auto"/>
                      <w:kern w:val="0"/>
                    </w:rPr>
                    <w:t>浓度mg/L</w:t>
                  </w:r>
                </w:p>
              </w:tc>
              <w:tc>
                <w:tcPr>
                  <w:tcW w:w="1187" w:type="dxa"/>
                  <w:tcBorders>
                    <w:tl2br w:val="nil"/>
                    <w:tr2bl w:val="nil"/>
                  </w:tcBorders>
                  <w:vAlign w:val="center"/>
                </w:tcPr>
                <w:p w14:paraId="6686A436">
                  <w:pPr>
                    <w:keepNext w:val="0"/>
                    <w:keepLines w:val="0"/>
                    <w:pageBreakBefore w:val="0"/>
                    <w:kinsoku/>
                    <w:wordWrap/>
                    <w:overflowPunct/>
                    <w:topLinePunct w:val="0"/>
                    <w:autoSpaceDE/>
                    <w:autoSpaceDN/>
                    <w:bidi w:val="0"/>
                    <w:adjustRightInd w:val="0"/>
                    <w:snapToGrid w:val="0"/>
                    <w:jc w:val="center"/>
                    <w:rPr>
                      <w:b/>
                      <w:bCs/>
                      <w:color w:val="auto"/>
                      <w:kern w:val="0"/>
                    </w:rPr>
                  </w:pPr>
                  <w:r>
                    <w:rPr>
                      <w:b/>
                      <w:bCs/>
                      <w:color w:val="auto"/>
                      <w:kern w:val="0"/>
                    </w:rPr>
                    <w:t>产生量t/a</w:t>
                  </w:r>
                </w:p>
              </w:tc>
              <w:tc>
                <w:tcPr>
                  <w:tcW w:w="1021" w:type="dxa"/>
                  <w:tcBorders>
                    <w:tl2br w:val="nil"/>
                    <w:tr2bl w:val="nil"/>
                  </w:tcBorders>
                  <w:vAlign w:val="center"/>
                </w:tcPr>
                <w:p w14:paraId="5DFB306B">
                  <w:pPr>
                    <w:keepNext w:val="0"/>
                    <w:keepLines w:val="0"/>
                    <w:pageBreakBefore w:val="0"/>
                    <w:kinsoku/>
                    <w:wordWrap/>
                    <w:overflowPunct/>
                    <w:topLinePunct w:val="0"/>
                    <w:autoSpaceDE/>
                    <w:autoSpaceDN/>
                    <w:bidi w:val="0"/>
                    <w:adjustRightInd w:val="0"/>
                    <w:snapToGrid w:val="0"/>
                    <w:jc w:val="center"/>
                    <w:rPr>
                      <w:b/>
                      <w:bCs/>
                      <w:color w:val="auto"/>
                      <w:kern w:val="0"/>
                    </w:rPr>
                  </w:pPr>
                  <w:r>
                    <w:rPr>
                      <w:b/>
                      <w:bCs/>
                      <w:color w:val="auto"/>
                      <w:kern w:val="0"/>
                    </w:rPr>
                    <w:t>拟采取的处理方式</w:t>
                  </w:r>
                </w:p>
              </w:tc>
              <w:tc>
                <w:tcPr>
                  <w:tcW w:w="1003" w:type="dxa"/>
                  <w:tcBorders>
                    <w:tl2br w:val="nil"/>
                    <w:tr2bl w:val="nil"/>
                  </w:tcBorders>
                  <w:vAlign w:val="center"/>
                </w:tcPr>
                <w:p w14:paraId="77FBDEF8">
                  <w:pPr>
                    <w:keepNext w:val="0"/>
                    <w:keepLines w:val="0"/>
                    <w:pageBreakBefore w:val="0"/>
                    <w:kinsoku/>
                    <w:wordWrap/>
                    <w:overflowPunct/>
                    <w:topLinePunct w:val="0"/>
                    <w:autoSpaceDE/>
                    <w:autoSpaceDN/>
                    <w:bidi w:val="0"/>
                    <w:adjustRightInd w:val="0"/>
                    <w:snapToGrid w:val="0"/>
                    <w:jc w:val="center"/>
                    <w:rPr>
                      <w:b/>
                      <w:bCs/>
                      <w:color w:val="auto"/>
                      <w:kern w:val="0"/>
                    </w:rPr>
                  </w:pPr>
                  <w:r>
                    <w:rPr>
                      <w:b/>
                      <w:bCs/>
                      <w:color w:val="auto"/>
                      <w:kern w:val="0"/>
                    </w:rPr>
                    <w:t>浓度mg/L</w:t>
                  </w:r>
                </w:p>
              </w:tc>
              <w:tc>
                <w:tcPr>
                  <w:tcW w:w="1173" w:type="dxa"/>
                  <w:tcBorders>
                    <w:tl2br w:val="nil"/>
                    <w:tr2bl w:val="nil"/>
                  </w:tcBorders>
                  <w:vAlign w:val="center"/>
                </w:tcPr>
                <w:p w14:paraId="0625C539">
                  <w:pPr>
                    <w:keepNext w:val="0"/>
                    <w:keepLines w:val="0"/>
                    <w:pageBreakBefore w:val="0"/>
                    <w:kinsoku/>
                    <w:wordWrap/>
                    <w:overflowPunct/>
                    <w:topLinePunct w:val="0"/>
                    <w:autoSpaceDE/>
                    <w:autoSpaceDN/>
                    <w:bidi w:val="0"/>
                    <w:adjustRightInd w:val="0"/>
                    <w:snapToGrid w:val="0"/>
                    <w:jc w:val="center"/>
                    <w:rPr>
                      <w:b/>
                      <w:bCs/>
                      <w:color w:val="auto"/>
                      <w:kern w:val="0"/>
                    </w:rPr>
                  </w:pPr>
                  <w:r>
                    <w:rPr>
                      <w:b/>
                      <w:bCs/>
                      <w:color w:val="auto"/>
                      <w:kern w:val="0"/>
                    </w:rPr>
                    <w:t>排放量t/a</w:t>
                  </w:r>
                </w:p>
              </w:tc>
              <w:tc>
                <w:tcPr>
                  <w:tcW w:w="1135" w:type="dxa"/>
                  <w:tcBorders>
                    <w:tl2br w:val="nil"/>
                    <w:tr2bl w:val="nil"/>
                  </w:tcBorders>
                  <w:vAlign w:val="center"/>
                </w:tcPr>
                <w:p w14:paraId="427386D7">
                  <w:pPr>
                    <w:keepNext w:val="0"/>
                    <w:keepLines w:val="0"/>
                    <w:pageBreakBefore w:val="0"/>
                    <w:kinsoku/>
                    <w:wordWrap/>
                    <w:overflowPunct/>
                    <w:topLinePunct w:val="0"/>
                    <w:autoSpaceDE/>
                    <w:autoSpaceDN/>
                    <w:bidi w:val="0"/>
                    <w:adjustRightInd w:val="0"/>
                    <w:snapToGrid w:val="0"/>
                    <w:jc w:val="center"/>
                    <w:rPr>
                      <w:b/>
                      <w:bCs/>
                      <w:color w:val="auto"/>
                      <w:kern w:val="0"/>
                    </w:rPr>
                  </w:pPr>
                  <w:r>
                    <w:rPr>
                      <w:b/>
                      <w:bCs/>
                      <w:color w:val="auto"/>
                      <w:kern w:val="0"/>
                    </w:rPr>
                    <w:t>排放去向</w:t>
                  </w:r>
                </w:p>
              </w:tc>
            </w:tr>
            <w:tr w14:paraId="1AD47E9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654" w:type="dxa"/>
                  <w:vMerge w:val="restart"/>
                  <w:tcBorders>
                    <w:tl2br w:val="nil"/>
                    <w:tr2bl w:val="nil"/>
                  </w:tcBorders>
                  <w:vAlign w:val="center"/>
                </w:tcPr>
                <w:p w14:paraId="08C78BFE">
                  <w:pPr>
                    <w:adjustRightInd w:val="0"/>
                    <w:snapToGrid w:val="0"/>
                    <w:jc w:val="center"/>
                    <w:rPr>
                      <w:color w:val="auto"/>
                      <w:kern w:val="0"/>
                    </w:rPr>
                  </w:pPr>
                  <w:r>
                    <w:rPr>
                      <w:color w:val="auto"/>
                      <w:kern w:val="0"/>
                    </w:rPr>
                    <w:t>生活污水</w:t>
                  </w:r>
                </w:p>
              </w:tc>
              <w:tc>
                <w:tcPr>
                  <w:tcW w:w="794" w:type="dxa"/>
                  <w:vMerge w:val="restart"/>
                  <w:tcBorders>
                    <w:tl2br w:val="nil"/>
                    <w:tr2bl w:val="nil"/>
                  </w:tcBorders>
                  <w:vAlign w:val="center"/>
                </w:tcPr>
                <w:p w14:paraId="7B8B4608">
                  <w:pPr>
                    <w:adjustRightInd w:val="0"/>
                    <w:snapToGrid w:val="0"/>
                    <w:jc w:val="center"/>
                    <w:rPr>
                      <w:rFonts w:hint="default" w:eastAsia="宋体"/>
                      <w:color w:val="auto"/>
                      <w:kern w:val="0"/>
                      <w:lang w:val="en-US" w:eastAsia="zh-CN"/>
                    </w:rPr>
                  </w:pPr>
                  <w:r>
                    <w:rPr>
                      <w:rFonts w:hint="eastAsia"/>
                      <w:color w:val="auto"/>
                      <w:kern w:val="0"/>
                      <w:lang w:val="en-US" w:eastAsia="zh-CN"/>
                    </w:rPr>
                    <w:t>840</w:t>
                  </w:r>
                </w:p>
              </w:tc>
              <w:tc>
                <w:tcPr>
                  <w:tcW w:w="928" w:type="dxa"/>
                  <w:tcBorders>
                    <w:tl2br w:val="nil"/>
                    <w:tr2bl w:val="nil"/>
                  </w:tcBorders>
                  <w:vAlign w:val="center"/>
                </w:tcPr>
                <w:p w14:paraId="30BF7DCD">
                  <w:pPr>
                    <w:adjustRightInd w:val="0"/>
                    <w:snapToGrid w:val="0"/>
                    <w:jc w:val="center"/>
                    <w:rPr>
                      <w:color w:val="auto"/>
                      <w:kern w:val="0"/>
                    </w:rPr>
                  </w:pPr>
                  <w:r>
                    <w:rPr>
                      <w:color w:val="auto"/>
                      <w:kern w:val="0"/>
                    </w:rPr>
                    <w:t>pH</w:t>
                  </w:r>
                </w:p>
              </w:tc>
              <w:tc>
                <w:tcPr>
                  <w:tcW w:w="2146" w:type="dxa"/>
                  <w:gridSpan w:val="2"/>
                  <w:tcBorders>
                    <w:tl2br w:val="nil"/>
                    <w:tr2bl w:val="nil"/>
                  </w:tcBorders>
                  <w:vAlign w:val="center"/>
                </w:tcPr>
                <w:p w14:paraId="6D1FFB63">
                  <w:pPr>
                    <w:adjustRightInd w:val="0"/>
                    <w:snapToGrid w:val="0"/>
                    <w:jc w:val="center"/>
                    <w:rPr>
                      <w:color w:val="auto"/>
                      <w:kern w:val="0"/>
                    </w:rPr>
                  </w:pPr>
                  <w:r>
                    <w:rPr>
                      <w:color w:val="auto"/>
                      <w:kern w:val="0"/>
                    </w:rPr>
                    <w:t>6~9</w:t>
                  </w:r>
                </w:p>
              </w:tc>
              <w:tc>
                <w:tcPr>
                  <w:tcW w:w="1021" w:type="dxa"/>
                  <w:vMerge w:val="restart"/>
                  <w:tcBorders>
                    <w:tl2br w:val="nil"/>
                    <w:tr2bl w:val="nil"/>
                  </w:tcBorders>
                  <w:vAlign w:val="center"/>
                </w:tcPr>
                <w:p w14:paraId="52E05EBF">
                  <w:pPr>
                    <w:adjustRightInd w:val="0"/>
                    <w:snapToGrid w:val="0"/>
                    <w:jc w:val="center"/>
                    <w:rPr>
                      <w:color w:val="auto"/>
                      <w:kern w:val="0"/>
                    </w:rPr>
                  </w:pPr>
                  <w:r>
                    <w:rPr>
                      <w:color w:val="auto"/>
                      <w:kern w:val="0"/>
                    </w:rPr>
                    <w:t>接市政污水管网</w:t>
                  </w:r>
                </w:p>
              </w:tc>
              <w:tc>
                <w:tcPr>
                  <w:tcW w:w="2176" w:type="dxa"/>
                  <w:gridSpan w:val="2"/>
                  <w:tcBorders>
                    <w:tl2br w:val="nil"/>
                    <w:tr2bl w:val="nil"/>
                  </w:tcBorders>
                  <w:vAlign w:val="center"/>
                </w:tcPr>
                <w:p w14:paraId="3922BEFA">
                  <w:pPr>
                    <w:adjustRightInd w:val="0"/>
                    <w:snapToGrid w:val="0"/>
                    <w:jc w:val="center"/>
                    <w:rPr>
                      <w:color w:val="auto"/>
                      <w:kern w:val="0"/>
                    </w:rPr>
                  </w:pPr>
                  <w:r>
                    <w:rPr>
                      <w:color w:val="auto"/>
                      <w:kern w:val="0"/>
                    </w:rPr>
                    <w:t>6~9</w:t>
                  </w:r>
                </w:p>
              </w:tc>
              <w:tc>
                <w:tcPr>
                  <w:tcW w:w="1135" w:type="dxa"/>
                  <w:vMerge w:val="restart"/>
                  <w:tcBorders>
                    <w:tl2br w:val="nil"/>
                    <w:tr2bl w:val="nil"/>
                  </w:tcBorders>
                  <w:vAlign w:val="center"/>
                </w:tcPr>
                <w:p w14:paraId="61AB7EA1">
                  <w:pPr>
                    <w:adjustRightInd w:val="0"/>
                    <w:snapToGrid w:val="0"/>
                    <w:jc w:val="center"/>
                    <w:rPr>
                      <w:color w:val="auto"/>
                      <w:kern w:val="0"/>
                    </w:rPr>
                  </w:pPr>
                  <w:r>
                    <w:rPr>
                      <w:rFonts w:hint="eastAsia"/>
                      <w:color w:val="auto"/>
                      <w:kern w:val="0"/>
                    </w:rPr>
                    <w:t>接管</w:t>
                  </w:r>
                  <w:r>
                    <w:rPr>
                      <w:color w:val="auto"/>
                      <w:kern w:val="0"/>
                    </w:rPr>
                    <w:t>进入</w:t>
                  </w:r>
                  <w:r>
                    <w:rPr>
                      <w:rFonts w:hint="eastAsia"/>
                      <w:color w:val="auto"/>
                      <w:kern w:val="0"/>
                    </w:rPr>
                    <w:t>常州金坛区第二污水处理有限公司处理</w:t>
                  </w:r>
                </w:p>
              </w:tc>
            </w:tr>
            <w:tr w14:paraId="6E26BC7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654" w:type="dxa"/>
                  <w:vMerge w:val="continue"/>
                  <w:tcBorders>
                    <w:tl2br w:val="nil"/>
                    <w:tr2bl w:val="nil"/>
                  </w:tcBorders>
                  <w:vAlign w:val="center"/>
                </w:tcPr>
                <w:p w14:paraId="2B5DABC7">
                  <w:pPr>
                    <w:adjustRightInd w:val="0"/>
                    <w:snapToGrid w:val="0"/>
                    <w:jc w:val="center"/>
                    <w:rPr>
                      <w:color w:val="auto"/>
                      <w:kern w:val="0"/>
                    </w:rPr>
                  </w:pPr>
                </w:p>
              </w:tc>
              <w:tc>
                <w:tcPr>
                  <w:tcW w:w="794" w:type="dxa"/>
                  <w:vMerge w:val="continue"/>
                  <w:tcBorders>
                    <w:tl2br w:val="nil"/>
                    <w:tr2bl w:val="nil"/>
                  </w:tcBorders>
                  <w:vAlign w:val="center"/>
                </w:tcPr>
                <w:p w14:paraId="5B80E5B1">
                  <w:pPr>
                    <w:adjustRightInd w:val="0"/>
                    <w:snapToGrid w:val="0"/>
                    <w:jc w:val="center"/>
                    <w:rPr>
                      <w:color w:val="auto"/>
                      <w:kern w:val="0"/>
                    </w:rPr>
                  </w:pPr>
                </w:p>
              </w:tc>
              <w:tc>
                <w:tcPr>
                  <w:tcW w:w="928" w:type="dxa"/>
                  <w:tcBorders>
                    <w:tl2br w:val="nil"/>
                    <w:tr2bl w:val="nil"/>
                  </w:tcBorders>
                  <w:vAlign w:val="center"/>
                </w:tcPr>
                <w:p w14:paraId="0C587639">
                  <w:pPr>
                    <w:widowControl/>
                    <w:adjustRightInd w:val="0"/>
                    <w:snapToGrid w:val="0"/>
                    <w:jc w:val="center"/>
                    <w:rPr>
                      <w:color w:val="auto"/>
                      <w:kern w:val="0"/>
                    </w:rPr>
                  </w:pPr>
                  <w:r>
                    <w:rPr>
                      <w:color w:val="auto"/>
                      <w:kern w:val="0"/>
                    </w:rPr>
                    <w:t>COD</w:t>
                  </w:r>
                </w:p>
              </w:tc>
              <w:tc>
                <w:tcPr>
                  <w:tcW w:w="959" w:type="dxa"/>
                  <w:tcBorders>
                    <w:tl2br w:val="nil"/>
                    <w:tr2bl w:val="nil"/>
                  </w:tcBorders>
                  <w:vAlign w:val="center"/>
                </w:tcPr>
                <w:p w14:paraId="729204CF">
                  <w:pPr>
                    <w:jc w:val="center"/>
                    <w:rPr>
                      <w:rFonts w:hint="default" w:eastAsia="宋体"/>
                      <w:color w:val="auto"/>
                      <w:kern w:val="0"/>
                      <w:lang w:val="en-US" w:eastAsia="zh-CN"/>
                    </w:rPr>
                  </w:pPr>
                  <w:r>
                    <w:rPr>
                      <w:rFonts w:hint="eastAsia" w:eastAsia="仿宋"/>
                      <w:color w:val="auto"/>
                      <w:kern w:val="0"/>
                      <w:lang w:val="en-US" w:eastAsia="zh-CN"/>
                    </w:rPr>
                    <w:t>400</w:t>
                  </w:r>
                </w:p>
              </w:tc>
              <w:tc>
                <w:tcPr>
                  <w:tcW w:w="1187" w:type="dxa"/>
                  <w:tcBorders>
                    <w:tl2br w:val="nil"/>
                    <w:tr2bl w:val="nil"/>
                  </w:tcBorders>
                  <w:vAlign w:val="center"/>
                </w:tcPr>
                <w:p w14:paraId="1273EF7B">
                  <w:pPr>
                    <w:keepNext w:val="0"/>
                    <w:keepLines w:val="0"/>
                    <w:widowControl/>
                    <w:suppressLineNumbers w:val="0"/>
                    <w:jc w:val="center"/>
                    <w:textAlignment w:val="center"/>
                    <w:rPr>
                      <w:rFonts w:hint="default" w:ascii="Times New Roman" w:hAnsi="Times New Roman" w:eastAsia="仿宋" w:cs="Times New Roman"/>
                      <w:color w:val="auto"/>
                      <w:kern w:val="0"/>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0.336</w:t>
                  </w:r>
                </w:p>
              </w:tc>
              <w:tc>
                <w:tcPr>
                  <w:tcW w:w="1021" w:type="dxa"/>
                  <w:vMerge w:val="continue"/>
                  <w:tcBorders>
                    <w:tl2br w:val="nil"/>
                    <w:tr2bl w:val="nil"/>
                  </w:tcBorders>
                  <w:vAlign w:val="center"/>
                </w:tcPr>
                <w:p w14:paraId="1AF4BC3E">
                  <w:pPr>
                    <w:adjustRightInd w:val="0"/>
                    <w:snapToGrid w:val="0"/>
                    <w:jc w:val="center"/>
                    <w:rPr>
                      <w:color w:val="auto"/>
                      <w:kern w:val="0"/>
                    </w:rPr>
                  </w:pPr>
                </w:p>
              </w:tc>
              <w:tc>
                <w:tcPr>
                  <w:tcW w:w="1003" w:type="dxa"/>
                  <w:tcBorders>
                    <w:tl2br w:val="nil"/>
                    <w:tr2bl w:val="nil"/>
                  </w:tcBorders>
                  <w:vAlign w:val="center"/>
                </w:tcPr>
                <w:p w14:paraId="3BAF7A33">
                  <w:pPr>
                    <w:jc w:val="center"/>
                    <w:rPr>
                      <w:color w:val="auto"/>
                      <w:kern w:val="0"/>
                    </w:rPr>
                  </w:pPr>
                  <w:r>
                    <w:rPr>
                      <w:rFonts w:hint="eastAsia" w:eastAsia="仿宋"/>
                      <w:color w:val="auto"/>
                      <w:kern w:val="0"/>
                      <w:lang w:val="en-US" w:eastAsia="zh-CN"/>
                    </w:rPr>
                    <w:t>400</w:t>
                  </w:r>
                </w:p>
              </w:tc>
              <w:tc>
                <w:tcPr>
                  <w:tcW w:w="1173" w:type="dxa"/>
                  <w:tcBorders>
                    <w:tl2br w:val="nil"/>
                    <w:tr2bl w:val="nil"/>
                  </w:tcBorders>
                  <w:vAlign w:val="center"/>
                </w:tcPr>
                <w:p w14:paraId="134DC325">
                  <w:pPr>
                    <w:keepNext w:val="0"/>
                    <w:keepLines w:val="0"/>
                    <w:widowControl/>
                    <w:suppressLineNumbers w:val="0"/>
                    <w:jc w:val="center"/>
                    <w:textAlignment w:val="center"/>
                    <w:rPr>
                      <w:color w:val="auto"/>
                      <w:kern w:val="0"/>
                    </w:rPr>
                  </w:pPr>
                  <w:r>
                    <w:rPr>
                      <w:rFonts w:hint="default" w:ascii="Times New Roman" w:hAnsi="Times New Roman" w:eastAsia="宋体" w:cs="Times New Roman"/>
                      <w:i w:val="0"/>
                      <w:iCs w:val="0"/>
                      <w:snapToGrid w:val="0"/>
                      <w:color w:val="auto"/>
                      <w:kern w:val="0"/>
                      <w:sz w:val="21"/>
                      <w:szCs w:val="21"/>
                      <w:u w:val="none"/>
                      <w:lang w:val="en-US" w:eastAsia="zh-CN" w:bidi="ar"/>
                    </w:rPr>
                    <w:t>0.336</w:t>
                  </w:r>
                </w:p>
              </w:tc>
              <w:tc>
                <w:tcPr>
                  <w:tcW w:w="1135" w:type="dxa"/>
                  <w:vMerge w:val="continue"/>
                  <w:tcBorders>
                    <w:tl2br w:val="nil"/>
                    <w:tr2bl w:val="nil"/>
                  </w:tcBorders>
                  <w:vAlign w:val="center"/>
                </w:tcPr>
                <w:p w14:paraId="283BC9BF">
                  <w:pPr>
                    <w:adjustRightInd w:val="0"/>
                    <w:snapToGrid w:val="0"/>
                    <w:jc w:val="center"/>
                    <w:rPr>
                      <w:color w:val="auto"/>
                      <w:kern w:val="0"/>
                    </w:rPr>
                  </w:pPr>
                </w:p>
              </w:tc>
            </w:tr>
            <w:tr w14:paraId="1769526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654" w:type="dxa"/>
                  <w:vMerge w:val="continue"/>
                  <w:tcBorders>
                    <w:tl2br w:val="nil"/>
                    <w:tr2bl w:val="nil"/>
                  </w:tcBorders>
                  <w:vAlign w:val="center"/>
                </w:tcPr>
                <w:p w14:paraId="054F4D20">
                  <w:pPr>
                    <w:adjustRightInd w:val="0"/>
                    <w:snapToGrid w:val="0"/>
                    <w:jc w:val="center"/>
                    <w:rPr>
                      <w:color w:val="auto"/>
                      <w:kern w:val="0"/>
                    </w:rPr>
                  </w:pPr>
                </w:p>
              </w:tc>
              <w:tc>
                <w:tcPr>
                  <w:tcW w:w="794" w:type="dxa"/>
                  <w:vMerge w:val="continue"/>
                  <w:tcBorders>
                    <w:tl2br w:val="nil"/>
                    <w:tr2bl w:val="nil"/>
                  </w:tcBorders>
                  <w:vAlign w:val="center"/>
                </w:tcPr>
                <w:p w14:paraId="6C31EEAC">
                  <w:pPr>
                    <w:adjustRightInd w:val="0"/>
                    <w:snapToGrid w:val="0"/>
                    <w:jc w:val="center"/>
                    <w:rPr>
                      <w:color w:val="auto"/>
                      <w:kern w:val="0"/>
                    </w:rPr>
                  </w:pPr>
                </w:p>
              </w:tc>
              <w:tc>
                <w:tcPr>
                  <w:tcW w:w="928" w:type="dxa"/>
                  <w:tcBorders>
                    <w:tl2br w:val="nil"/>
                    <w:tr2bl w:val="nil"/>
                  </w:tcBorders>
                  <w:vAlign w:val="center"/>
                </w:tcPr>
                <w:p w14:paraId="2558AC04">
                  <w:pPr>
                    <w:widowControl/>
                    <w:adjustRightInd w:val="0"/>
                    <w:snapToGrid w:val="0"/>
                    <w:jc w:val="center"/>
                    <w:rPr>
                      <w:color w:val="auto"/>
                      <w:kern w:val="0"/>
                    </w:rPr>
                  </w:pPr>
                  <w:r>
                    <w:rPr>
                      <w:color w:val="auto"/>
                      <w:kern w:val="0"/>
                    </w:rPr>
                    <w:t>SS</w:t>
                  </w:r>
                </w:p>
              </w:tc>
              <w:tc>
                <w:tcPr>
                  <w:tcW w:w="959" w:type="dxa"/>
                  <w:tcBorders>
                    <w:tl2br w:val="nil"/>
                    <w:tr2bl w:val="nil"/>
                  </w:tcBorders>
                  <w:vAlign w:val="center"/>
                </w:tcPr>
                <w:p w14:paraId="70C6D751">
                  <w:pPr>
                    <w:jc w:val="center"/>
                    <w:rPr>
                      <w:rFonts w:hint="default" w:eastAsia="宋体"/>
                      <w:color w:val="auto"/>
                      <w:kern w:val="0"/>
                      <w:lang w:val="en-US" w:eastAsia="zh-CN"/>
                    </w:rPr>
                  </w:pPr>
                  <w:r>
                    <w:rPr>
                      <w:rFonts w:hint="eastAsia" w:eastAsia="仿宋"/>
                      <w:color w:val="auto"/>
                      <w:kern w:val="0"/>
                      <w:lang w:val="en-US" w:eastAsia="zh-CN"/>
                    </w:rPr>
                    <w:t>200</w:t>
                  </w:r>
                </w:p>
              </w:tc>
              <w:tc>
                <w:tcPr>
                  <w:tcW w:w="1187" w:type="dxa"/>
                  <w:tcBorders>
                    <w:tl2br w:val="nil"/>
                    <w:tr2bl w:val="nil"/>
                  </w:tcBorders>
                  <w:vAlign w:val="center"/>
                </w:tcPr>
                <w:p w14:paraId="2D30AB25">
                  <w:pPr>
                    <w:keepNext w:val="0"/>
                    <w:keepLines w:val="0"/>
                    <w:widowControl/>
                    <w:suppressLineNumbers w:val="0"/>
                    <w:jc w:val="center"/>
                    <w:textAlignment w:val="center"/>
                    <w:rPr>
                      <w:rFonts w:hint="default" w:ascii="Times New Roman" w:hAnsi="Times New Roman" w:eastAsia="仿宋" w:cs="Times New Roman"/>
                      <w:color w:val="auto"/>
                      <w:kern w:val="0"/>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0.168</w:t>
                  </w:r>
                </w:p>
              </w:tc>
              <w:tc>
                <w:tcPr>
                  <w:tcW w:w="1021" w:type="dxa"/>
                  <w:vMerge w:val="continue"/>
                  <w:tcBorders>
                    <w:tl2br w:val="nil"/>
                    <w:tr2bl w:val="nil"/>
                  </w:tcBorders>
                  <w:vAlign w:val="center"/>
                </w:tcPr>
                <w:p w14:paraId="7E3BFF31">
                  <w:pPr>
                    <w:adjustRightInd w:val="0"/>
                    <w:snapToGrid w:val="0"/>
                    <w:jc w:val="center"/>
                    <w:rPr>
                      <w:color w:val="auto"/>
                      <w:kern w:val="0"/>
                    </w:rPr>
                  </w:pPr>
                </w:p>
              </w:tc>
              <w:tc>
                <w:tcPr>
                  <w:tcW w:w="1003" w:type="dxa"/>
                  <w:tcBorders>
                    <w:tl2br w:val="nil"/>
                    <w:tr2bl w:val="nil"/>
                  </w:tcBorders>
                  <w:vAlign w:val="center"/>
                </w:tcPr>
                <w:p w14:paraId="1C3BF05E">
                  <w:pPr>
                    <w:jc w:val="center"/>
                    <w:rPr>
                      <w:color w:val="auto"/>
                      <w:kern w:val="0"/>
                    </w:rPr>
                  </w:pPr>
                  <w:r>
                    <w:rPr>
                      <w:rFonts w:hint="eastAsia" w:eastAsia="仿宋"/>
                      <w:color w:val="auto"/>
                      <w:kern w:val="0"/>
                      <w:lang w:val="en-US" w:eastAsia="zh-CN"/>
                    </w:rPr>
                    <w:t>200</w:t>
                  </w:r>
                </w:p>
              </w:tc>
              <w:tc>
                <w:tcPr>
                  <w:tcW w:w="1173" w:type="dxa"/>
                  <w:tcBorders>
                    <w:tl2br w:val="nil"/>
                    <w:tr2bl w:val="nil"/>
                  </w:tcBorders>
                  <w:vAlign w:val="center"/>
                </w:tcPr>
                <w:p w14:paraId="43013E28">
                  <w:pPr>
                    <w:keepNext w:val="0"/>
                    <w:keepLines w:val="0"/>
                    <w:widowControl/>
                    <w:suppressLineNumbers w:val="0"/>
                    <w:jc w:val="center"/>
                    <w:textAlignment w:val="center"/>
                    <w:rPr>
                      <w:color w:val="auto"/>
                      <w:kern w:val="0"/>
                    </w:rPr>
                  </w:pPr>
                  <w:r>
                    <w:rPr>
                      <w:rFonts w:hint="default" w:ascii="Times New Roman" w:hAnsi="Times New Roman" w:eastAsia="宋体" w:cs="Times New Roman"/>
                      <w:i w:val="0"/>
                      <w:iCs w:val="0"/>
                      <w:snapToGrid w:val="0"/>
                      <w:color w:val="auto"/>
                      <w:kern w:val="0"/>
                      <w:sz w:val="21"/>
                      <w:szCs w:val="21"/>
                      <w:u w:val="none"/>
                      <w:lang w:val="en-US" w:eastAsia="zh-CN" w:bidi="ar"/>
                    </w:rPr>
                    <w:t>0.168</w:t>
                  </w:r>
                </w:p>
              </w:tc>
              <w:tc>
                <w:tcPr>
                  <w:tcW w:w="1135" w:type="dxa"/>
                  <w:vMerge w:val="continue"/>
                  <w:tcBorders>
                    <w:tl2br w:val="nil"/>
                    <w:tr2bl w:val="nil"/>
                  </w:tcBorders>
                  <w:vAlign w:val="center"/>
                </w:tcPr>
                <w:p w14:paraId="3E69D136">
                  <w:pPr>
                    <w:adjustRightInd w:val="0"/>
                    <w:snapToGrid w:val="0"/>
                    <w:jc w:val="center"/>
                    <w:rPr>
                      <w:color w:val="auto"/>
                      <w:kern w:val="0"/>
                    </w:rPr>
                  </w:pPr>
                </w:p>
              </w:tc>
            </w:tr>
            <w:tr w14:paraId="6BB91B3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654" w:type="dxa"/>
                  <w:vMerge w:val="continue"/>
                  <w:tcBorders>
                    <w:tl2br w:val="nil"/>
                    <w:tr2bl w:val="nil"/>
                  </w:tcBorders>
                  <w:vAlign w:val="center"/>
                </w:tcPr>
                <w:p w14:paraId="1DE8BAD2">
                  <w:pPr>
                    <w:adjustRightInd w:val="0"/>
                    <w:snapToGrid w:val="0"/>
                    <w:jc w:val="center"/>
                    <w:rPr>
                      <w:color w:val="auto"/>
                      <w:kern w:val="0"/>
                    </w:rPr>
                  </w:pPr>
                </w:p>
              </w:tc>
              <w:tc>
                <w:tcPr>
                  <w:tcW w:w="794" w:type="dxa"/>
                  <w:vMerge w:val="continue"/>
                  <w:tcBorders>
                    <w:tl2br w:val="nil"/>
                    <w:tr2bl w:val="nil"/>
                  </w:tcBorders>
                  <w:vAlign w:val="center"/>
                </w:tcPr>
                <w:p w14:paraId="7A271768">
                  <w:pPr>
                    <w:adjustRightInd w:val="0"/>
                    <w:snapToGrid w:val="0"/>
                    <w:jc w:val="center"/>
                    <w:rPr>
                      <w:color w:val="auto"/>
                      <w:kern w:val="0"/>
                    </w:rPr>
                  </w:pPr>
                </w:p>
              </w:tc>
              <w:tc>
                <w:tcPr>
                  <w:tcW w:w="928" w:type="dxa"/>
                  <w:tcBorders>
                    <w:tl2br w:val="nil"/>
                    <w:tr2bl w:val="nil"/>
                  </w:tcBorders>
                  <w:vAlign w:val="center"/>
                </w:tcPr>
                <w:p w14:paraId="5AA3E2BF">
                  <w:pPr>
                    <w:widowControl/>
                    <w:adjustRightInd w:val="0"/>
                    <w:snapToGrid w:val="0"/>
                    <w:jc w:val="center"/>
                    <w:rPr>
                      <w:color w:val="auto"/>
                      <w:kern w:val="0"/>
                    </w:rPr>
                  </w:pPr>
                  <w:r>
                    <w:rPr>
                      <w:color w:val="auto"/>
                      <w:kern w:val="0"/>
                    </w:rPr>
                    <w:t>NH</w:t>
                  </w:r>
                  <w:r>
                    <w:rPr>
                      <w:color w:val="auto"/>
                      <w:kern w:val="0"/>
                      <w:vertAlign w:val="subscript"/>
                    </w:rPr>
                    <w:t>3</w:t>
                  </w:r>
                  <w:r>
                    <w:rPr>
                      <w:color w:val="auto"/>
                      <w:kern w:val="0"/>
                    </w:rPr>
                    <w:t>-N</w:t>
                  </w:r>
                </w:p>
              </w:tc>
              <w:tc>
                <w:tcPr>
                  <w:tcW w:w="959" w:type="dxa"/>
                  <w:tcBorders>
                    <w:tl2br w:val="nil"/>
                    <w:tr2bl w:val="nil"/>
                  </w:tcBorders>
                  <w:vAlign w:val="center"/>
                </w:tcPr>
                <w:p w14:paraId="35F64391">
                  <w:pPr>
                    <w:jc w:val="center"/>
                    <w:rPr>
                      <w:rFonts w:hint="default" w:eastAsia="宋体"/>
                      <w:color w:val="auto"/>
                      <w:kern w:val="0"/>
                      <w:lang w:val="en-US" w:eastAsia="zh-CN"/>
                    </w:rPr>
                  </w:pPr>
                  <w:r>
                    <w:rPr>
                      <w:rFonts w:hint="eastAsia" w:eastAsia="仿宋"/>
                      <w:color w:val="auto"/>
                      <w:kern w:val="0"/>
                      <w:lang w:val="en-US" w:eastAsia="zh-CN"/>
                    </w:rPr>
                    <w:t>25</w:t>
                  </w:r>
                </w:p>
              </w:tc>
              <w:tc>
                <w:tcPr>
                  <w:tcW w:w="1187" w:type="dxa"/>
                  <w:tcBorders>
                    <w:tl2br w:val="nil"/>
                    <w:tr2bl w:val="nil"/>
                  </w:tcBorders>
                  <w:vAlign w:val="center"/>
                </w:tcPr>
                <w:p w14:paraId="7254B305">
                  <w:pPr>
                    <w:keepNext w:val="0"/>
                    <w:keepLines w:val="0"/>
                    <w:widowControl/>
                    <w:suppressLineNumbers w:val="0"/>
                    <w:jc w:val="center"/>
                    <w:textAlignment w:val="center"/>
                    <w:rPr>
                      <w:rFonts w:hint="default" w:ascii="Times New Roman" w:hAnsi="Times New Roman" w:eastAsia="仿宋" w:cs="Times New Roman"/>
                      <w:color w:val="auto"/>
                      <w:kern w:val="0"/>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0.021</w:t>
                  </w:r>
                </w:p>
              </w:tc>
              <w:tc>
                <w:tcPr>
                  <w:tcW w:w="1021" w:type="dxa"/>
                  <w:vMerge w:val="continue"/>
                  <w:tcBorders>
                    <w:tl2br w:val="nil"/>
                    <w:tr2bl w:val="nil"/>
                  </w:tcBorders>
                  <w:vAlign w:val="center"/>
                </w:tcPr>
                <w:p w14:paraId="7E937391">
                  <w:pPr>
                    <w:adjustRightInd w:val="0"/>
                    <w:snapToGrid w:val="0"/>
                    <w:jc w:val="center"/>
                    <w:rPr>
                      <w:color w:val="auto"/>
                      <w:kern w:val="0"/>
                    </w:rPr>
                  </w:pPr>
                </w:p>
              </w:tc>
              <w:tc>
                <w:tcPr>
                  <w:tcW w:w="1003" w:type="dxa"/>
                  <w:tcBorders>
                    <w:tl2br w:val="nil"/>
                    <w:tr2bl w:val="nil"/>
                  </w:tcBorders>
                  <w:vAlign w:val="center"/>
                </w:tcPr>
                <w:p w14:paraId="090B620F">
                  <w:pPr>
                    <w:jc w:val="center"/>
                    <w:rPr>
                      <w:color w:val="auto"/>
                      <w:kern w:val="0"/>
                    </w:rPr>
                  </w:pPr>
                  <w:r>
                    <w:rPr>
                      <w:rFonts w:hint="eastAsia" w:eastAsia="仿宋"/>
                      <w:color w:val="auto"/>
                      <w:kern w:val="0"/>
                      <w:lang w:val="en-US" w:eastAsia="zh-CN"/>
                    </w:rPr>
                    <w:t>25</w:t>
                  </w:r>
                </w:p>
              </w:tc>
              <w:tc>
                <w:tcPr>
                  <w:tcW w:w="1173" w:type="dxa"/>
                  <w:tcBorders>
                    <w:tl2br w:val="nil"/>
                    <w:tr2bl w:val="nil"/>
                  </w:tcBorders>
                  <w:vAlign w:val="center"/>
                </w:tcPr>
                <w:p w14:paraId="529BB1F0">
                  <w:pPr>
                    <w:keepNext w:val="0"/>
                    <w:keepLines w:val="0"/>
                    <w:widowControl/>
                    <w:suppressLineNumbers w:val="0"/>
                    <w:jc w:val="center"/>
                    <w:textAlignment w:val="center"/>
                    <w:rPr>
                      <w:color w:val="auto"/>
                      <w:kern w:val="0"/>
                    </w:rPr>
                  </w:pPr>
                  <w:r>
                    <w:rPr>
                      <w:rFonts w:hint="default" w:ascii="Times New Roman" w:hAnsi="Times New Roman" w:eastAsia="宋体" w:cs="Times New Roman"/>
                      <w:i w:val="0"/>
                      <w:iCs w:val="0"/>
                      <w:snapToGrid w:val="0"/>
                      <w:color w:val="auto"/>
                      <w:kern w:val="0"/>
                      <w:sz w:val="21"/>
                      <w:szCs w:val="21"/>
                      <w:u w:val="none"/>
                      <w:lang w:val="en-US" w:eastAsia="zh-CN" w:bidi="ar"/>
                    </w:rPr>
                    <w:t>0.021</w:t>
                  </w:r>
                </w:p>
              </w:tc>
              <w:tc>
                <w:tcPr>
                  <w:tcW w:w="1135" w:type="dxa"/>
                  <w:vMerge w:val="continue"/>
                  <w:tcBorders>
                    <w:tl2br w:val="nil"/>
                    <w:tr2bl w:val="nil"/>
                  </w:tcBorders>
                  <w:vAlign w:val="center"/>
                </w:tcPr>
                <w:p w14:paraId="313F227A">
                  <w:pPr>
                    <w:adjustRightInd w:val="0"/>
                    <w:snapToGrid w:val="0"/>
                    <w:jc w:val="center"/>
                    <w:rPr>
                      <w:color w:val="auto"/>
                      <w:kern w:val="0"/>
                    </w:rPr>
                  </w:pPr>
                </w:p>
              </w:tc>
            </w:tr>
            <w:tr w14:paraId="744A29C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654" w:type="dxa"/>
                  <w:vMerge w:val="continue"/>
                  <w:tcBorders>
                    <w:tl2br w:val="nil"/>
                    <w:tr2bl w:val="nil"/>
                  </w:tcBorders>
                  <w:vAlign w:val="center"/>
                </w:tcPr>
                <w:p w14:paraId="2AAF2F21">
                  <w:pPr>
                    <w:adjustRightInd w:val="0"/>
                    <w:snapToGrid w:val="0"/>
                    <w:jc w:val="center"/>
                    <w:rPr>
                      <w:color w:val="auto"/>
                      <w:kern w:val="0"/>
                    </w:rPr>
                  </w:pPr>
                </w:p>
              </w:tc>
              <w:tc>
                <w:tcPr>
                  <w:tcW w:w="794" w:type="dxa"/>
                  <w:vMerge w:val="continue"/>
                  <w:tcBorders>
                    <w:tl2br w:val="nil"/>
                    <w:tr2bl w:val="nil"/>
                  </w:tcBorders>
                  <w:vAlign w:val="center"/>
                </w:tcPr>
                <w:p w14:paraId="027357CB">
                  <w:pPr>
                    <w:adjustRightInd w:val="0"/>
                    <w:snapToGrid w:val="0"/>
                    <w:jc w:val="center"/>
                    <w:rPr>
                      <w:color w:val="auto"/>
                      <w:kern w:val="0"/>
                    </w:rPr>
                  </w:pPr>
                </w:p>
              </w:tc>
              <w:tc>
                <w:tcPr>
                  <w:tcW w:w="928" w:type="dxa"/>
                  <w:tcBorders>
                    <w:tl2br w:val="nil"/>
                    <w:tr2bl w:val="nil"/>
                  </w:tcBorders>
                  <w:vAlign w:val="center"/>
                </w:tcPr>
                <w:p w14:paraId="23B292A6">
                  <w:pPr>
                    <w:adjustRightInd w:val="0"/>
                    <w:snapToGrid w:val="0"/>
                    <w:jc w:val="center"/>
                    <w:textAlignment w:val="center"/>
                    <w:rPr>
                      <w:color w:val="auto"/>
                      <w:kern w:val="0"/>
                    </w:rPr>
                  </w:pPr>
                  <w:r>
                    <w:rPr>
                      <w:color w:val="auto"/>
                      <w:kern w:val="0"/>
                    </w:rPr>
                    <w:t>TP</w:t>
                  </w:r>
                </w:p>
              </w:tc>
              <w:tc>
                <w:tcPr>
                  <w:tcW w:w="959" w:type="dxa"/>
                  <w:tcBorders>
                    <w:tl2br w:val="nil"/>
                    <w:tr2bl w:val="nil"/>
                  </w:tcBorders>
                  <w:vAlign w:val="center"/>
                </w:tcPr>
                <w:p w14:paraId="7052A127">
                  <w:pPr>
                    <w:jc w:val="center"/>
                    <w:rPr>
                      <w:color w:val="auto"/>
                      <w:kern w:val="0"/>
                    </w:rPr>
                  </w:pPr>
                  <w:r>
                    <w:rPr>
                      <w:rFonts w:hint="eastAsia" w:eastAsia="仿宋"/>
                      <w:color w:val="auto"/>
                      <w:kern w:val="0"/>
                    </w:rPr>
                    <w:t>3</w:t>
                  </w:r>
                </w:p>
              </w:tc>
              <w:tc>
                <w:tcPr>
                  <w:tcW w:w="1187" w:type="dxa"/>
                  <w:tcBorders>
                    <w:tl2br w:val="nil"/>
                    <w:tr2bl w:val="nil"/>
                  </w:tcBorders>
                  <w:vAlign w:val="center"/>
                </w:tcPr>
                <w:p w14:paraId="1D90B662">
                  <w:pPr>
                    <w:keepNext w:val="0"/>
                    <w:keepLines w:val="0"/>
                    <w:widowControl/>
                    <w:suppressLineNumbers w:val="0"/>
                    <w:jc w:val="center"/>
                    <w:textAlignment w:val="center"/>
                    <w:rPr>
                      <w:rFonts w:hint="default" w:ascii="Times New Roman" w:hAnsi="Times New Roman" w:eastAsia="仿宋" w:cs="Times New Roman"/>
                      <w:color w:val="auto"/>
                      <w:kern w:val="0"/>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0.00252</w:t>
                  </w:r>
                </w:p>
              </w:tc>
              <w:tc>
                <w:tcPr>
                  <w:tcW w:w="1021" w:type="dxa"/>
                  <w:vMerge w:val="continue"/>
                  <w:tcBorders>
                    <w:tl2br w:val="nil"/>
                    <w:tr2bl w:val="nil"/>
                  </w:tcBorders>
                  <w:vAlign w:val="center"/>
                </w:tcPr>
                <w:p w14:paraId="57D5991B">
                  <w:pPr>
                    <w:adjustRightInd w:val="0"/>
                    <w:snapToGrid w:val="0"/>
                    <w:jc w:val="center"/>
                    <w:rPr>
                      <w:color w:val="auto"/>
                      <w:kern w:val="0"/>
                    </w:rPr>
                  </w:pPr>
                </w:p>
              </w:tc>
              <w:tc>
                <w:tcPr>
                  <w:tcW w:w="1003" w:type="dxa"/>
                  <w:tcBorders>
                    <w:tl2br w:val="nil"/>
                    <w:tr2bl w:val="nil"/>
                  </w:tcBorders>
                  <w:vAlign w:val="center"/>
                </w:tcPr>
                <w:p w14:paraId="529DBF9E">
                  <w:pPr>
                    <w:jc w:val="center"/>
                    <w:rPr>
                      <w:color w:val="auto"/>
                      <w:kern w:val="0"/>
                    </w:rPr>
                  </w:pPr>
                  <w:r>
                    <w:rPr>
                      <w:rFonts w:hint="eastAsia" w:eastAsia="仿宋"/>
                      <w:color w:val="auto"/>
                      <w:kern w:val="0"/>
                    </w:rPr>
                    <w:t>3</w:t>
                  </w:r>
                </w:p>
              </w:tc>
              <w:tc>
                <w:tcPr>
                  <w:tcW w:w="1173" w:type="dxa"/>
                  <w:tcBorders>
                    <w:tl2br w:val="nil"/>
                    <w:tr2bl w:val="nil"/>
                  </w:tcBorders>
                  <w:vAlign w:val="center"/>
                </w:tcPr>
                <w:p w14:paraId="65822E6C">
                  <w:pPr>
                    <w:keepNext w:val="0"/>
                    <w:keepLines w:val="0"/>
                    <w:widowControl/>
                    <w:suppressLineNumbers w:val="0"/>
                    <w:jc w:val="center"/>
                    <w:textAlignment w:val="center"/>
                    <w:rPr>
                      <w:color w:val="auto"/>
                      <w:kern w:val="0"/>
                    </w:rPr>
                  </w:pPr>
                  <w:r>
                    <w:rPr>
                      <w:rFonts w:hint="default" w:ascii="Times New Roman" w:hAnsi="Times New Roman" w:eastAsia="宋体" w:cs="Times New Roman"/>
                      <w:i w:val="0"/>
                      <w:iCs w:val="0"/>
                      <w:snapToGrid w:val="0"/>
                      <w:color w:val="auto"/>
                      <w:kern w:val="0"/>
                      <w:sz w:val="21"/>
                      <w:szCs w:val="21"/>
                      <w:u w:val="none"/>
                      <w:lang w:val="en-US" w:eastAsia="zh-CN" w:bidi="ar"/>
                    </w:rPr>
                    <w:t>0.00252</w:t>
                  </w:r>
                </w:p>
              </w:tc>
              <w:tc>
                <w:tcPr>
                  <w:tcW w:w="1135" w:type="dxa"/>
                  <w:vMerge w:val="continue"/>
                  <w:tcBorders>
                    <w:tl2br w:val="nil"/>
                    <w:tr2bl w:val="nil"/>
                  </w:tcBorders>
                  <w:vAlign w:val="center"/>
                </w:tcPr>
                <w:p w14:paraId="1C1FB545">
                  <w:pPr>
                    <w:adjustRightInd w:val="0"/>
                    <w:snapToGrid w:val="0"/>
                    <w:jc w:val="center"/>
                    <w:rPr>
                      <w:color w:val="auto"/>
                      <w:kern w:val="0"/>
                    </w:rPr>
                  </w:pPr>
                </w:p>
              </w:tc>
            </w:tr>
            <w:tr w14:paraId="3506017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654" w:type="dxa"/>
                  <w:vMerge w:val="continue"/>
                  <w:tcBorders>
                    <w:tl2br w:val="nil"/>
                    <w:tr2bl w:val="nil"/>
                  </w:tcBorders>
                  <w:vAlign w:val="center"/>
                </w:tcPr>
                <w:p w14:paraId="38B644C1">
                  <w:pPr>
                    <w:adjustRightInd w:val="0"/>
                    <w:snapToGrid w:val="0"/>
                    <w:jc w:val="center"/>
                    <w:rPr>
                      <w:color w:val="auto"/>
                      <w:kern w:val="0"/>
                    </w:rPr>
                  </w:pPr>
                </w:p>
              </w:tc>
              <w:tc>
                <w:tcPr>
                  <w:tcW w:w="794" w:type="dxa"/>
                  <w:vMerge w:val="continue"/>
                  <w:tcBorders>
                    <w:tl2br w:val="nil"/>
                    <w:tr2bl w:val="nil"/>
                  </w:tcBorders>
                  <w:vAlign w:val="center"/>
                </w:tcPr>
                <w:p w14:paraId="14A38781">
                  <w:pPr>
                    <w:adjustRightInd w:val="0"/>
                    <w:snapToGrid w:val="0"/>
                    <w:jc w:val="center"/>
                    <w:rPr>
                      <w:color w:val="auto"/>
                      <w:kern w:val="0"/>
                    </w:rPr>
                  </w:pPr>
                </w:p>
              </w:tc>
              <w:tc>
                <w:tcPr>
                  <w:tcW w:w="928" w:type="dxa"/>
                  <w:tcBorders>
                    <w:tl2br w:val="nil"/>
                    <w:tr2bl w:val="nil"/>
                  </w:tcBorders>
                  <w:vAlign w:val="center"/>
                </w:tcPr>
                <w:p w14:paraId="3DD1C34D">
                  <w:pPr>
                    <w:adjustRightInd w:val="0"/>
                    <w:snapToGrid w:val="0"/>
                    <w:jc w:val="center"/>
                    <w:textAlignment w:val="center"/>
                    <w:rPr>
                      <w:color w:val="auto"/>
                      <w:kern w:val="0"/>
                    </w:rPr>
                  </w:pPr>
                  <w:r>
                    <w:rPr>
                      <w:color w:val="auto"/>
                      <w:kern w:val="0"/>
                    </w:rPr>
                    <w:t>TN</w:t>
                  </w:r>
                </w:p>
              </w:tc>
              <w:tc>
                <w:tcPr>
                  <w:tcW w:w="959" w:type="dxa"/>
                  <w:tcBorders>
                    <w:tl2br w:val="nil"/>
                    <w:tr2bl w:val="nil"/>
                  </w:tcBorders>
                  <w:vAlign w:val="center"/>
                </w:tcPr>
                <w:p w14:paraId="231CDF16">
                  <w:pPr>
                    <w:jc w:val="center"/>
                    <w:rPr>
                      <w:rFonts w:hint="default"/>
                      <w:color w:val="auto"/>
                      <w:kern w:val="0"/>
                      <w:lang w:val="en-US"/>
                    </w:rPr>
                  </w:pPr>
                  <w:r>
                    <w:rPr>
                      <w:rFonts w:hint="eastAsia" w:eastAsia="仿宋"/>
                      <w:color w:val="auto"/>
                      <w:kern w:val="0"/>
                      <w:lang w:val="en-US" w:eastAsia="zh-CN"/>
                    </w:rPr>
                    <w:t>35</w:t>
                  </w:r>
                </w:p>
              </w:tc>
              <w:tc>
                <w:tcPr>
                  <w:tcW w:w="1187" w:type="dxa"/>
                  <w:tcBorders>
                    <w:tl2br w:val="nil"/>
                    <w:tr2bl w:val="nil"/>
                  </w:tcBorders>
                  <w:vAlign w:val="center"/>
                </w:tcPr>
                <w:p w14:paraId="79DEBFD1">
                  <w:pPr>
                    <w:keepNext w:val="0"/>
                    <w:keepLines w:val="0"/>
                    <w:widowControl/>
                    <w:suppressLineNumbers w:val="0"/>
                    <w:jc w:val="center"/>
                    <w:textAlignment w:val="center"/>
                    <w:rPr>
                      <w:rFonts w:hint="default" w:ascii="Times New Roman" w:hAnsi="Times New Roman" w:eastAsia="仿宋" w:cs="Times New Roman"/>
                      <w:color w:val="auto"/>
                      <w:kern w:val="0"/>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0.0294</w:t>
                  </w:r>
                </w:p>
              </w:tc>
              <w:tc>
                <w:tcPr>
                  <w:tcW w:w="1021" w:type="dxa"/>
                  <w:vMerge w:val="continue"/>
                  <w:tcBorders>
                    <w:tl2br w:val="nil"/>
                    <w:tr2bl w:val="nil"/>
                  </w:tcBorders>
                  <w:vAlign w:val="center"/>
                </w:tcPr>
                <w:p w14:paraId="5AF4FFEA">
                  <w:pPr>
                    <w:adjustRightInd w:val="0"/>
                    <w:snapToGrid w:val="0"/>
                    <w:jc w:val="center"/>
                    <w:rPr>
                      <w:color w:val="auto"/>
                      <w:kern w:val="0"/>
                    </w:rPr>
                  </w:pPr>
                </w:p>
              </w:tc>
              <w:tc>
                <w:tcPr>
                  <w:tcW w:w="1003" w:type="dxa"/>
                  <w:tcBorders>
                    <w:tl2br w:val="nil"/>
                    <w:tr2bl w:val="nil"/>
                  </w:tcBorders>
                  <w:vAlign w:val="center"/>
                </w:tcPr>
                <w:p w14:paraId="71137F02">
                  <w:pPr>
                    <w:jc w:val="center"/>
                    <w:rPr>
                      <w:color w:val="auto"/>
                      <w:kern w:val="0"/>
                    </w:rPr>
                  </w:pPr>
                  <w:r>
                    <w:rPr>
                      <w:rFonts w:hint="eastAsia" w:eastAsia="仿宋"/>
                      <w:color w:val="auto"/>
                      <w:kern w:val="0"/>
                      <w:lang w:val="en-US" w:eastAsia="zh-CN"/>
                    </w:rPr>
                    <w:t>35</w:t>
                  </w:r>
                </w:p>
              </w:tc>
              <w:tc>
                <w:tcPr>
                  <w:tcW w:w="1173" w:type="dxa"/>
                  <w:tcBorders>
                    <w:tl2br w:val="nil"/>
                    <w:tr2bl w:val="nil"/>
                  </w:tcBorders>
                  <w:vAlign w:val="center"/>
                </w:tcPr>
                <w:p w14:paraId="51B66737">
                  <w:pPr>
                    <w:keepNext w:val="0"/>
                    <w:keepLines w:val="0"/>
                    <w:widowControl/>
                    <w:suppressLineNumbers w:val="0"/>
                    <w:jc w:val="center"/>
                    <w:textAlignment w:val="center"/>
                    <w:rPr>
                      <w:color w:val="auto"/>
                      <w:kern w:val="0"/>
                    </w:rPr>
                  </w:pPr>
                  <w:r>
                    <w:rPr>
                      <w:rFonts w:hint="default" w:ascii="Times New Roman" w:hAnsi="Times New Roman" w:eastAsia="宋体" w:cs="Times New Roman"/>
                      <w:i w:val="0"/>
                      <w:iCs w:val="0"/>
                      <w:snapToGrid w:val="0"/>
                      <w:color w:val="auto"/>
                      <w:kern w:val="0"/>
                      <w:sz w:val="21"/>
                      <w:szCs w:val="21"/>
                      <w:u w:val="none"/>
                      <w:lang w:val="en-US" w:eastAsia="zh-CN" w:bidi="ar"/>
                    </w:rPr>
                    <w:t>0.0294</w:t>
                  </w:r>
                </w:p>
              </w:tc>
              <w:tc>
                <w:tcPr>
                  <w:tcW w:w="1135" w:type="dxa"/>
                  <w:vMerge w:val="continue"/>
                  <w:tcBorders>
                    <w:tl2br w:val="nil"/>
                    <w:tr2bl w:val="nil"/>
                  </w:tcBorders>
                  <w:vAlign w:val="center"/>
                </w:tcPr>
                <w:p w14:paraId="7325AD82">
                  <w:pPr>
                    <w:adjustRightInd w:val="0"/>
                    <w:snapToGrid w:val="0"/>
                    <w:jc w:val="center"/>
                    <w:rPr>
                      <w:color w:val="auto"/>
                      <w:kern w:val="0"/>
                    </w:rPr>
                  </w:pPr>
                </w:p>
              </w:tc>
            </w:tr>
          </w:tbl>
          <w:p w14:paraId="52A3625D">
            <w:pPr>
              <w:pStyle w:val="2"/>
              <w:ind w:firstLine="422" w:firstLineChars="200"/>
              <w:rPr>
                <w:b/>
                <w:bCs/>
                <w:color w:val="auto"/>
                <w:sz w:val="21"/>
                <w:szCs w:val="21"/>
              </w:rPr>
            </w:pPr>
            <w:r>
              <w:rPr>
                <w:b/>
                <w:bCs/>
                <w:color w:val="auto"/>
                <w:sz w:val="21"/>
                <w:szCs w:val="21"/>
              </w:rPr>
              <w:t>（2）排放口基本情况</w:t>
            </w:r>
          </w:p>
          <w:p w14:paraId="3F0A7F06">
            <w:pPr>
              <w:adjustRightInd w:val="0"/>
              <w:snapToGrid w:val="0"/>
              <w:jc w:val="center"/>
              <w:rPr>
                <w:b/>
                <w:color w:val="auto"/>
                <w:kern w:val="0"/>
              </w:rPr>
            </w:pPr>
            <w:r>
              <w:rPr>
                <w:b/>
                <w:color w:val="auto"/>
                <w:kern w:val="0"/>
              </w:rPr>
              <w:t>表4-</w:t>
            </w:r>
            <w:r>
              <w:rPr>
                <w:rFonts w:hint="eastAsia"/>
                <w:b/>
                <w:color w:val="auto"/>
                <w:kern w:val="0"/>
                <w:lang w:val="en-US" w:eastAsia="zh-CN"/>
              </w:rPr>
              <w:t>15</w:t>
            </w:r>
            <w:r>
              <w:rPr>
                <w:b/>
                <w:color w:val="auto"/>
                <w:kern w:val="0"/>
              </w:rPr>
              <w:t xml:space="preserve">   废水类别、污染物及污染治理设施信息表</w:t>
            </w:r>
          </w:p>
          <w:tbl>
            <w:tblPr>
              <w:tblStyle w:val="59"/>
              <w:tblW w:w="4996"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489"/>
              <w:gridCol w:w="635"/>
              <w:gridCol w:w="562"/>
              <w:gridCol w:w="543"/>
              <w:gridCol w:w="771"/>
              <w:gridCol w:w="669"/>
              <w:gridCol w:w="705"/>
              <w:gridCol w:w="765"/>
              <w:gridCol w:w="1157"/>
              <w:gridCol w:w="1303"/>
              <w:gridCol w:w="543"/>
              <w:gridCol w:w="712"/>
            </w:tblGrid>
            <w:tr w14:paraId="5C02AC9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340" w:hRule="atLeast"/>
                <w:jc w:val="center"/>
              </w:trPr>
              <w:tc>
                <w:tcPr>
                  <w:tcW w:w="276" w:type="pct"/>
                  <w:tcBorders>
                    <w:tl2br w:val="nil"/>
                    <w:tr2bl w:val="nil"/>
                  </w:tcBorders>
                  <w:noWrap w:val="0"/>
                  <w:vAlign w:val="center"/>
                </w:tcPr>
                <w:p w14:paraId="1697EF1A">
                  <w:pPr>
                    <w:pStyle w:val="696"/>
                    <w:rPr>
                      <w:b/>
                      <w:color w:val="auto"/>
                      <w:kern w:val="0"/>
                      <w:sz w:val="18"/>
                      <w:szCs w:val="18"/>
                      <w:highlight w:val="none"/>
                    </w:rPr>
                  </w:pPr>
                  <w:r>
                    <w:rPr>
                      <w:b/>
                      <w:color w:val="auto"/>
                      <w:kern w:val="0"/>
                      <w:sz w:val="18"/>
                      <w:szCs w:val="18"/>
                      <w:highlight w:val="none"/>
                    </w:rPr>
                    <w:t>废水类别</w:t>
                  </w:r>
                </w:p>
              </w:tc>
              <w:tc>
                <w:tcPr>
                  <w:tcW w:w="358" w:type="pct"/>
                  <w:tcBorders>
                    <w:tl2br w:val="nil"/>
                    <w:tr2bl w:val="nil"/>
                  </w:tcBorders>
                  <w:noWrap w:val="0"/>
                  <w:vAlign w:val="center"/>
                </w:tcPr>
                <w:p w14:paraId="341BAD85">
                  <w:pPr>
                    <w:pStyle w:val="696"/>
                    <w:rPr>
                      <w:b/>
                      <w:color w:val="auto"/>
                      <w:kern w:val="0"/>
                      <w:sz w:val="18"/>
                      <w:szCs w:val="18"/>
                      <w:highlight w:val="none"/>
                    </w:rPr>
                  </w:pPr>
                  <w:r>
                    <w:rPr>
                      <w:b/>
                      <w:color w:val="auto"/>
                      <w:kern w:val="0"/>
                      <w:sz w:val="18"/>
                      <w:szCs w:val="18"/>
                      <w:highlight w:val="none"/>
                    </w:rPr>
                    <w:t>污染物种类</w:t>
                  </w:r>
                </w:p>
              </w:tc>
              <w:tc>
                <w:tcPr>
                  <w:tcW w:w="317" w:type="pct"/>
                  <w:tcBorders>
                    <w:tl2br w:val="nil"/>
                    <w:tr2bl w:val="nil"/>
                  </w:tcBorders>
                  <w:noWrap w:val="0"/>
                  <w:vAlign w:val="center"/>
                </w:tcPr>
                <w:p w14:paraId="29F24403">
                  <w:pPr>
                    <w:pStyle w:val="696"/>
                    <w:rPr>
                      <w:b/>
                      <w:color w:val="auto"/>
                      <w:kern w:val="0"/>
                      <w:sz w:val="18"/>
                      <w:szCs w:val="18"/>
                      <w:highlight w:val="none"/>
                    </w:rPr>
                  </w:pPr>
                  <w:r>
                    <w:rPr>
                      <w:b/>
                      <w:color w:val="auto"/>
                      <w:kern w:val="0"/>
                      <w:sz w:val="18"/>
                      <w:szCs w:val="18"/>
                      <w:highlight w:val="none"/>
                    </w:rPr>
                    <w:t>排放浓度</w:t>
                  </w:r>
                  <w:r>
                    <w:rPr>
                      <w:rFonts w:hint="eastAsia"/>
                      <w:b/>
                      <w:color w:val="auto"/>
                      <w:kern w:val="0"/>
                      <w:sz w:val="18"/>
                      <w:szCs w:val="18"/>
                      <w:highlight w:val="none"/>
                    </w:rPr>
                    <w:t>mg/L</w:t>
                  </w:r>
                </w:p>
              </w:tc>
              <w:tc>
                <w:tcPr>
                  <w:tcW w:w="306" w:type="pct"/>
                  <w:tcBorders>
                    <w:tl2br w:val="nil"/>
                    <w:tr2bl w:val="nil"/>
                  </w:tcBorders>
                  <w:noWrap w:val="0"/>
                  <w:vAlign w:val="center"/>
                </w:tcPr>
                <w:p w14:paraId="4E2F7FD7">
                  <w:pPr>
                    <w:pStyle w:val="696"/>
                    <w:rPr>
                      <w:b/>
                      <w:color w:val="auto"/>
                      <w:kern w:val="0"/>
                      <w:sz w:val="18"/>
                      <w:szCs w:val="18"/>
                      <w:highlight w:val="none"/>
                    </w:rPr>
                  </w:pPr>
                  <w:r>
                    <w:rPr>
                      <w:b/>
                      <w:color w:val="auto"/>
                      <w:kern w:val="0"/>
                      <w:sz w:val="18"/>
                      <w:szCs w:val="18"/>
                      <w:highlight w:val="none"/>
                    </w:rPr>
                    <w:t>排放方式</w:t>
                  </w:r>
                </w:p>
              </w:tc>
              <w:tc>
                <w:tcPr>
                  <w:tcW w:w="435" w:type="pct"/>
                  <w:tcBorders>
                    <w:tl2br w:val="nil"/>
                    <w:tr2bl w:val="nil"/>
                  </w:tcBorders>
                  <w:noWrap w:val="0"/>
                  <w:vAlign w:val="center"/>
                </w:tcPr>
                <w:p w14:paraId="60776F68">
                  <w:pPr>
                    <w:pStyle w:val="696"/>
                    <w:rPr>
                      <w:color w:val="auto"/>
                      <w:kern w:val="0"/>
                      <w:sz w:val="18"/>
                      <w:szCs w:val="18"/>
                      <w:highlight w:val="none"/>
                    </w:rPr>
                  </w:pPr>
                  <w:r>
                    <w:rPr>
                      <w:b/>
                      <w:color w:val="auto"/>
                      <w:kern w:val="0"/>
                      <w:sz w:val="18"/>
                      <w:szCs w:val="18"/>
                      <w:highlight w:val="none"/>
                    </w:rPr>
                    <w:t>排放去向</w:t>
                  </w:r>
                </w:p>
              </w:tc>
              <w:tc>
                <w:tcPr>
                  <w:tcW w:w="377" w:type="pct"/>
                  <w:tcBorders>
                    <w:tl2br w:val="nil"/>
                    <w:tr2bl w:val="nil"/>
                  </w:tcBorders>
                  <w:noWrap w:val="0"/>
                  <w:vAlign w:val="center"/>
                </w:tcPr>
                <w:p w14:paraId="4F0A7A35">
                  <w:pPr>
                    <w:pStyle w:val="696"/>
                    <w:rPr>
                      <w:b/>
                      <w:color w:val="auto"/>
                      <w:kern w:val="0"/>
                      <w:sz w:val="18"/>
                      <w:szCs w:val="18"/>
                      <w:highlight w:val="none"/>
                    </w:rPr>
                  </w:pPr>
                  <w:r>
                    <w:rPr>
                      <w:b/>
                      <w:color w:val="auto"/>
                      <w:kern w:val="0"/>
                      <w:sz w:val="18"/>
                      <w:szCs w:val="18"/>
                      <w:highlight w:val="none"/>
                    </w:rPr>
                    <w:t>排放规律</w:t>
                  </w:r>
                </w:p>
              </w:tc>
              <w:tc>
                <w:tcPr>
                  <w:tcW w:w="398" w:type="pct"/>
                  <w:tcBorders>
                    <w:tl2br w:val="nil"/>
                    <w:tr2bl w:val="nil"/>
                  </w:tcBorders>
                  <w:noWrap w:val="0"/>
                  <w:vAlign w:val="center"/>
                </w:tcPr>
                <w:p w14:paraId="66387B53">
                  <w:pPr>
                    <w:pStyle w:val="696"/>
                    <w:rPr>
                      <w:b/>
                      <w:color w:val="auto"/>
                      <w:kern w:val="0"/>
                      <w:sz w:val="18"/>
                      <w:szCs w:val="18"/>
                      <w:highlight w:val="none"/>
                    </w:rPr>
                  </w:pPr>
                  <w:r>
                    <w:rPr>
                      <w:b/>
                      <w:color w:val="auto"/>
                      <w:kern w:val="0"/>
                      <w:sz w:val="18"/>
                      <w:szCs w:val="18"/>
                      <w:highlight w:val="none"/>
                    </w:rPr>
                    <w:t>排放口编号</w:t>
                  </w:r>
                </w:p>
              </w:tc>
              <w:tc>
                <w:tcPr>
                  <w:tcW w:w="432" w:type="pct"/>
                  <w:tcBorders>
                    <w:tl2br w:val="nil"/>
                    <w:tr2bl w:val="nil"/>
                  </w:tcBorders>
                  <w:noWrap w:val="0"/>
                  <w:vAlign w:val="center"/>
                </w:tcPr>
                <w:p w14:paraId="020618C8">
                  <w:pPr>
                    <w:pStyle w:val="696"/>
                    <w:rPr>
                      <w:b/>
                      <w:color w:val="auto"/>
                      <w:kern w:val="0"/>
                      <w:sz w:val="18"/>
                      <w:szCs w:val="18"/>
                      <w:highlight w:val="none"/>
                    </w:rPr>
                  </w:pPr>
                  <w:r>
                    <w:rPr>
                      <w:b/>
                      <w:color w:val="auto"/>
                      <w:kern w:val="0"/>
                      <w:sz w:val="18"/>
                      <w:szCs w:val="18"/>
                      <w:highlight w:val="none"/>
                    </w:rPr>
                    <w:t>排放口坐标</w:t>
                  </w:r>
                </w:p>
              </w:tc>
              <w:tc>
                <w:tcPr>
                  <w:tcW w:w="653" w:type="pct"/>
                  <w:tcBorders>
                    <w:tl2br w:val="nil"/>
                    <w:tr2bl w:val="nil"/>
                  </w:tcBorders>
                  <w:noWrap w:val="0"/>
                  <w:vAlign w:val="center"/>
                </w:tcPr>
                <w:p w14:paraId="58B699FF">
                  <w:pPr>
                    <w:pStyle w:val="696"/>
                    <w:rPr>
                      <w:b/>
                      <w:color w:val="auto"/>
                      <w:kern w:val="0"/>
                      <w:sz w:val="18"/>
                      <w:szCs w:val="18"/>
                      <w:highlight w:val="none"/>
                    </w:rPr>
                  </w:pPr>
                  <w:r>
                    <w:rPr>
                      <w:b/>
                      <w:color w:val="auto"/>
                      <w:kern w:val="0"/>
                      <w:sz w:val="18"/>
                      <w:szCs w:val="18"/>
                      <w:highlight w:val="none"/>
                    </w:rPr>
                    <w:t>排放口设置是否符合要求</w:t>
                  </w:r>
                </w:p>
              </w:tc>
              <w:tc>
                <w:tcPr>
                  <w:tcW w:w="735" w:type="pct"/>
                  <w:tcBorders>
                    <w:tl2br w:val="nil"/>
                    <w:tr2bl w:val="nil"/>
                  </w:tcBorders>
                  <w:noWrap w:val="0"/>
                  <w:vAlign w:val="center"/>
                </w:tcPr>
                <w:p w14:paraId="5531A32E">
                  <w:pPr>
                    <w:pStyle w:val="696"/>
                    <w:rPr>
                      <w:color w:val="auto"/>
                      <w:kern w:val="0"/>
                      <w:sz w:val="18"/>
                      <w:szCs w:val="18"/>
                      <w:highlight w:val="none"/>
                    </w:rPr>
                  </w:pPr>
                  <w:r>
                    <w:rPr>
                      <w:b/>
                      <w:color w:val="auto"/>
                      <w:kern w:val="0"/>
                      <w:sz w:val="18"/>
                      <w:szCs w:val="18"/>
                      <w:highlight w:val="none"/>
                    </w:rPr>
                    <w:t>排放口类型</w:t>
                  </w:r>
                </w:p>
              </w:tc>
              <w:tc>
                <w:tcPr>
                  <w:tcW w:w="708" w:type="pct"/>
                  <w:gridSpan w:val="2"/>
                  <w:tcBorders>
                    <w:tl2br w:val="nil"/>
                    <w:tr2bl w:val="nil"/>
                  </w:tcBorders>
                  <w:noWrap w:val="0"/>
                  <w:vAlign w:val="center"/>
                </w:tcPr>
                <w:p w14:paraId="3CAFB87C">
                  <w:pPr>
                    <w:pStyle w:val="696"/>
                    <w:rPr>
                      <w:b/>
                      <w:color w:val="auto"/>
                      <w:kern w:val="0"/>
                      <w:sz w:val="18"/>
                      <w:szCs w:val="18"/>
                      <w:highlight w:val="none"/>
                    </w:rPr>
                  </w:pPr>
                  <w:r>
                    <w:rPr>
                      <w:b/>
                      <w:color w:val="auto"/>
                      <w:kern w:val="0"/>
                      <w:sz w:val="18"/>
                      <w:szCs w:val="18"/>
                      <w:highlight w:val="none"/>
                    </w:rPr>
                    <w:t>排放标准</w:t>
                  </w:r>
                  <w:r>
                    <w:rPr>
                      <w:rFonts w:hint="eastAsia"/>
                      <w:b/>
                      <w:color w:val="auto"/>
                      <w:kern w:val="0"/>
                      <w:sz w:val="18"/>
                      <w:szCs w:val="18"/>
                      <w:highlight w:val="none"/>
                    </w:rPr>
                    <w:t>mg/L</w:t>
                  </w:r>
                </w:p>
              </w:tc>
            </w:tr>
            <w:tr w14:paraId="69C1150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276" w:type="pct"/>
                  <w:vMerge w:val="restart"/>
                  <w:tcBorders>
                    <w:tl2br w:val="nil"/>
                    <w:tr2bl w:val="nil"/>
                  </w:tcBorders>
                  <w:noWrap w:val="0"/>
                  <w:vAlign w:val="center"/>
                </w:tcPr>
                <w:p w14:paraId="0460C242">
                  <w:pPr>
                    <w:pStyle w:val="712"/>
                    <w:adjustRightInd w:val="0"/>
                    <w:snapToGrid w:val="0"/>
                    <w:spacing w:line="240" w:lineRule="auto"/>
                    <w:ind w:firstLine="0" w:firstLineChars="0"/>
                    <w:jc w:val="center"/>
                    <w:rPr>
                      <w:color w:val="auto"/>
                      <w:kern w:val="0"/>
                      <w:sz w:val="18"/>
                      <w:szCs w:val="18"/>
                      <w:highlight w:val="none"/>
                    </w:rPr>
                  </w:pPr>
                  <w:r>
                    <w:rPr>
                      <w:color w:val="auto"/>
                      <w:kern w:val="0"/>
                      <w:sz w:val="18"/>
                      <w:szCs w:val="18"/>
                      <w:highlight w:val="none"/>
                    </w:rPr>
                    <w:t>生活污水</w:t>
                  </w:r>
                </w:p>
              </w:tc>
              <w:tc>
                <w:tcPr>
                  <w:tcW w:w="358" w:type="pct"/>
                  <w:tcBorders>
                    <w:tl2br w:val="nil"/>
                    <w:tr2bl w:val="nil"/>
                  </w:tcBorders>
                  <w:noWrap w:val="0"/>
                  <w:vAlign w:val="center"/>
                </w:tcPr>
                <w:p w14:paraId="41A17B3A">
                  <w:pPr>
                    <w:pStyle w:val="712"/>
                    <w:adjustRightInd w:val="0"/>
                    <w:snapToGrid w:val="0"/>
                    <w:spacing w:line="240" w:lineRule="auto"/>
                    <w:ind w:firstLine="0" w:firstLineChars="0"/>
                    <w:jc w:val="center"/>
                    <w:rPr>
                      <w:color w:val="auto"/>
                      <w:kern w:val="0"/>
                      <w:sz w:val="18"/>
                      <w:szCs w:val="18"/>
                      <w:highlight w:val="none"/>
                    </w:rPr>
                  </w:pPr>
                  <w:r>
                    <w:rPr>
                      <w:color w:val="auto"/>
                      <w:kern w:val="0"/>
                      <w:sz w:val="18"/>
                      <w:szCs w:val="18"/>
                      <w:highlight w:val="none"/>
                    </w:rPr>
                    <w:t>COD</w:t>
                  </w:r>
                </w:p>
              </w:tc>
              <w:tc>
                <w:tcPr>
                  <w:tcW w:w="317" w:type="pct"/>
                  <w:tcBorders>
                    <w:tl2br w:val="nil"/>
                    <w:tr2bl w:val="nil"/>
                  </w:tcBorders>
                  <w:noWrap w:val="0"/>
                  <w:vAlign w:val="center"/>
                </w:tcPr>
                <w:p w14:paraId="545FC411">
                  <w:pPr>
                    <w:adjustRightInd w:val="0"/>
                    <w:snapToGrid w:val="0"/>
                    <w:jc w:val="center"/>
                    <w:rPr>
                      <w:color w:val="auto"/>
                      <w:kern w:val="0"/>
                      <w:sz w:val="18"/>
                      <w:szCs w:val="18"/>
                      <w:highlight w:val="none"/>
                    </w:rPr>
                  </w:pPr>
                  <w:r>
                    <w:rPr>
                      <w:color w:val="auto"/>
                      <w:kern w:val="0"/>
                      <w:sz w:val="18"/>
                      <w:szCs w:val="18"/>
                      <w:highlight w:val="none"/>
                    </w:rPr>
                    <w:t>400</w:t>
                  </w:r>
                </w:p>
              </w:tc>
              <w:tc>
                <w:tcPr>
                  <w:tcW w:w="306" w:type="pct"/>
                  <w:vMerge w:val="restart"/>
                  <w:tcBorders>
                    <w:tl2br w:val="nil"/>
                    <w:tr2bl w:val="nil"/>
                  </w:tcBorders>
                  <w:noWrap w:val="0"/>
                  <w:vAlign w:val="center"/>
                </w:tcPr>
                <w:p w14:paraId="680302BF">
                  <w:pPr>
                    <w:pStyle w:val="712"/>
                    <w:adjustRightInd w:val="0"/>
                    <w:snapToGrid w:val="0"/>
                    <w:spacing w:line="240" w:lineRule="auto"/>
                    <w:ind w:firstLine="0" w:firstLineChars="0"/>
                    <w:jc w:val="center"/>
                    <w:rPr>
                      <w:color w:val="auto"/>
                      <w:kern w:val="0"/>
                      <w:sz w:val="18"/>
                      <w:szCs w:val="18"/>
                      <w:highlight w:val="none"/>
                    </w:rPr>
                  </w:pPr>
                  <w:r>
                    <w:rPr>
                      <w:color w:val="auto"/>
                      <w:kern w:val="0"/>
                      <w:sz w:val="18"/>
                      <w:szCs w:val="18"/>
                      <w:highlight w:val="none"/>
                    </w:rPr>
                    <w:t>间接排放</w:t>
                  </w:r>
                </w:p>
              </w:tc>
              <w:tc>
                <w:tcPr>
                  <w:tcW w:w="435" w:type="pct"/>
                  <w:vMerge w:val="restart"/>
                  <w:tcBorders>
                    <w:tl2br w:val="nil"/>
                    <w:tr2bl w:val="nil"/>
                  </w:tcBorders>
                  <w:noWrap w:val="0"/>
                  <w:vAlign w:val="center"/>
                </w:tcPr>
                <w:p w14:paraId="2D38D141">
                  <w:pPr>
                    <w:pStyle w:val="712"/>
                    <w:adjustRightInd w:val="0"/>
                    <w:snapToGrid w:val="0"/>
                    <w:spacing w:line="240" w:lineRule="auto"/>
                    <w:ind w:firstLine="0" w:firstLineChars="0"/>
                    <w:jc w:val="center"/>
                    <w:rPr>
                      <w:rFonts w:hint="eastAsia"/>
                      <w:color w:val="auto"/>
                      <w:kern w:val="0"/>
                      <w:sz w:val="18"/>
                      <w:szCs w:val="18"/>
                      <w:highlight w:val="none"/>
                    </w:rPr>
                  </w:pPr>
                  <w:r>
                    <w:rPr>
                      <w:color w:val="auto"/>
                      <w:kern w:val="0"/>
                      <w:sz w:val="18"/>
                      <w:szCs w:val="18"/>
                      <w:highlight w:val="none"/>
                    </w:rPr>
                    <w:t>排入</w:t>
                  </w:r>
                  <w:r>
                    <w:rPr>
                      <w:rFonts w:hint="eastAsia"/>
                      <w:color w:val="auto"/>
                      <w:kern w:val="0"/>
                      <w:sz w:val="18"/>
                      <w:szCs w:val="18"/>
                      <w:highlight w:val="none"/>
                    </w:rPr>
                    <w:t>常州金坛区第二污水处理有限公司</w:t>
                  </w:r>
                  <w:r>
                    <w:rPr>
                      <w:color w:val="auto"/>
                      <w:kern w:val="0"/>
                      <w:sz w:val="18"/>
                      <w:szCs w:val="18"/>
                      <w:highlight w:val="none"/>
                    </w:rPr>
                    <w:t>处理</w:t>
                  </w:r>
                </w:p>
              </w:tc>
              <w:tc>
                <w:tcPr>
                  <w:tcW w:w="377" w:type="pct"/>
                  <w:vMerge w:val="restart"/>
                  <w:tcBorders>
                    <w:tl2br w:val="nil"/>
                    <w:tr2bl w:val="nil"/>
                  </w:tcBorders>
                  <w:noWrap w:val="0"/>
                  <w:vAlign w:val="center"/>
                </w:tcPr>
                <w:p w14:paraId="2E219DE0">
                  <w:pPr>
                    <w:pStyle w:val="712"/>
                    <w:adjustRightInd w:val="0"/>
                    <w:snapToGrid w:val="0"/>
                    <w:spacing w:line="240" w:lineRule="auto"/>
                    <w:ind w:firstLine="0" w:firstLineChars="0"/>
                    <w:jc w:val="center"/>
                    <w:rPr>
                      <w:color w:val="auto"/>
                      <w:kern w:val="0"/>
                      <w:sz w:val="18"/>
                      <w:szCs w:val="18"/>
                      <w:highlight w:val="none"/>
                    </w:rPr>
                  </w:pPr>
                  <w:r>
                    <w:rPr>
                      <w:color w:val="auto"/>
                      <w:kern w:val="0"/>
                      <w:sz w:val="18"/>
                      <w:szCs w:val="18"/>
                      <w:highlight w:val="none"/>
                    </w:rPr>
                    <w:t>间断排放，流量不稳定</w:t>
                  </w:r>
                </w:p>
              </w:tc>
              <w:tc>
                <w:tcPr>
                  <w:tcW w:w="398" w:type="pct"/>
                  <w:vMerge w:val="restart"/>
                  <w:tcBorders>
                    <w:tl2br w:val="nil"/>
                    <w:tr2bl w:val="nil"/>
                  </w:tcBorders>
                  <w:noWrap w:val="0"/>
                  <w:vAlign w:val="center"/>
                </w:tcPr>
                <w:p w14:paraId="49EEA456">
                  <w:pPr>
                    <w:pStyle w:val="712"/>
                    <w:adjustRightInd w:val="0"/>
                    <w:snapToGrid w:val="0"/>
                    <w:spacing w:line="240" w:lineRule="auto"/>
                    <w:ind w:firstLine="0" w:firstLineChars="0"/>
                    <w:jc w:val="center"/>
                    <w:rPr>
                      <w:color w:val="auto"/>
                      <w:kern w:val="0"/>
                      <w:sz w:val="18"/>
                      <w:szCs w:val="18"/>
                      <w:highlight w:val="none"/>
                    </w:rPr>
                  </w:pPr>
                  <w:r>
                    <w:rPr>
                      <w:color w:val="auto"/>
                      <w:kern w:val="0"/>
                      <w:sz w:val="18"/>
                      <w:szCs w:val="18"/>
                      <w:highlight w:val="none"/>
                    </w:rPr>
                    <w:t>DW001</w:t>
                  </w:r>
                </w:p>
              </w:tc>
              <w:tc>
                <w:tcPr>
                  <w:tcW w:w="432" w:type="pct"/>
                  <w:vMerge w:val="restart"/>
                  <w:tcBorders>
                    <w:tl2br w:val="nil"/>
                    <w:tr2bl w:val="nil"/>
                  </w:tcBorders>
                  <w:noWrap w:val="0"/>
                  <w:vAlign w:val="center"/>
                </w:tcPr>
                <w:p w14:paraId="470B92BA">
                  <w:pPr>
                    <w:pStyle w:val="712"/>
                    <w:adjustRightInd w:val="0"/>
                    <w:snapToGrid w:val="0"/>
                    <w:spacing w:line="240" w:lineRule="auto"/>
                    <w:ind w:firstLine="0" w:firstLineChars="0"/>
                    <w:jc w:val="center"/>
                    <w:rPr>
                      <w:color w:val="auto"/>
                      <w:kern w:val="0"/>
                      <w:sz w:val="18"/>
                      <w:szCs w:val="18"/>
                      <w:highlight w:val="none"/>
                    </w:rPr>
                  </w:pPr>
                  <w:r>
                    <w:rPr>
                      <w:color w:val="auto"/>
                      <w:kern w:val="0"/>
                      <w:sz w:val="18"/>
                      <w:szCs w:val="18"/>
                      <w:highlight w:val="none"/>
                    </w:rPr>
                    <w:t>E</w:t>
                  </w:r>
                  <w:r>
                    <w:rPr>
                      <w:rFonts w:hint="eastAsia"/>
                      <w:color w:val="auto"/>
                      <w:kern w:val="0"/>
                      <w:sz w:val="18"/>
                      <w:szCs w:val="18"/>
                    </w:rPr>
                    <w:t>119.62243438</w:t>
                  </w:r>
                </w:p>
                <w:p w14:paraId="518A48A7">
                  <w:pPr>
                    <w:pStyle w:val="712"/>
                    <w:adjustRightInd w:val="0"/>
                    <w:snapToGrid w:val="0"/>
                    <w:spacing w:line="240" w:lineRule="auto"/>
                    <w:ind w:firstLine="0" w:firstLineChars="0"/>
                    <w:jc w:val="center"/>
                    <w:rPr>
                      <w:color w:val="auto"/>
                      <w:kern w:val="0"/>
                      <w:sz w:val="18"/>
                      <w:szCs w:val="18"/>
                      <w:highlight w:val="none"/>
                    </w:rPr>
                  </w:pPr>
                  <w:r>
                    <w:rPr>
                      <w:color w:val="auto"/>
                      <w:kern w:val="0"/>
                      <w:sz w:val="18"/>
                      <w:szCs w:val="18"/>
                      <w:highlight w:val="none"/>
                    </w:rPr>
                    <w:t>N</w:t>
                  </w:r>
                  <w:r>
                    <w:rPr>
                      <w:rFonts w:hint="eastAsia"/>
                      <w:color w:val="auto"/>
                      <w:kern w:val="0"/>
                      <w:sz w:val="18"/>
                      <w:szCs w:val="18"/>
                    </w:rPr>
                    <w:t>31.71200002</w:t>
                  </w:r>
                </w:p>
              </w:tc>
              <w:tc>
                <w:tcPr>
                  <w:tcW w:w="653" w:type="pct"/>
                  <w:vMerge w:val="restart"/>
                  <w:tcBorders>
                    <w:tl2br w:val="nil"/>
                    <w:tr2bl w:val="nil"/>
                  </w:tcBorders>
                  <w:noWrap w:val="0"/>
                  <w:vAlign w:val="center"/>
                </w:tcPr>
                <w:p w14:paraId="14700D64">
                  <w:pPr>
                    <w:pStyle w:val="712"/>
                    <w:adjustRightInd w:val="0"/>
                    <w:snapToGrid w:val="0"/>
                    <w:spacing w:line="240" w:lineRule="auto"/>
                    <w:ind w:firstLine="0" w:firstLineChars="0"/>
                    <w:jc w:val="center"/>
                    <w:rPr>
                      <w:color w:val="auto"/>
                      <w:kern w:val="0"/>
                      <w:sz w:val="18"/>
                      <w:szCs w:val="18"/>
                      <w:highlight w:val="none"/>
                    </w:rPr>
                  </w:pPr>
                  <w:r>
                    <w:rPr>
                      <w:color w:val="auto"/>
                      <w:kern w:val="0"/>
                      <w:sz w:val="18"/>
                      <w:szCs w:val="18"/>
                      <w:highlight w:val="none"/>
                    </w:rPr>
                    <w:t>是</w:t>
                  </w:r>
                  <w:r>
                    <w:rPr>
                      <w:color w:val="auto"/>
                      <w:kern w:val="0"/>
                      <w:sz w:val="18"/>
                      <w:szCs w:val="18"/>
                      <w:highlight w:val="none"/>
                    </w:rPr>
                    <w:sym w:font="Wingdings 2" w:char="0052"/>
                  </w:r>
                </w:p>
                <w:p w14:paraId="140D7459">
                  <w:pPr>
                    <w:pStyle w:val="712"/>
                    <w:adjustRightInd w:val="0"/>
                    <w:snapToGrid w:val="0"/>
                    <w:spacing w:line="240" w:lineRule="auto"/>
                    <w:ind w:firstLine="0" w:firstLineChars="0"/>
                    <w:jc w:val="center"/>
                    <w:rPr>
                      <w:color w:val="auto"/>
                      <w:kern w:val="0"/>
                      <w:sz w:val="18"/>
                      <w:szCs w:val="18"/>
                      <w:highlight w:val="none"/>
                    </w:rPr>
                  </w:pPr>
                  <w:r>
                    <w:rPr>
                      <w:color w:val="auto"/>
                      <w:kern w:val="0"/>
                      <w:sz w:val="18"/>
                      <w:szCs w:val="18"/>
                      <w:highlight w:val="none"/>
                    </w:rPr>
                    <w:t>否□</w:t>
                  </w:r>
                </w:p>
              </w:tc>
              <w:tc>
                <w:tcPr>
                  <w:tcW w:w="735" w:type="pct"/>
                  <w:vMerge w:val="restart"/>
                  <w:tcBorders>
                    <w:tl2br w:val="nil"/>
                    <w:tr2bl w:val="nil"/>
                  </w:tcBorders>
                  <w:noWrap w:val="0"/>
                  <w:vAlign w:val="center"/>
                </w:tcPr>
                <w:p w14:paraId="40E59049">
                  <w:pPr>
                    <w:pStyle w:val="712"/>
                    <w:adjustRightInd w:val="0"/>
                    <w:snapToGrid w:val="0"/>
                    <w:spacing w:line="240" w:lineRule="auto"/>
                    <w:ind w:firstLine="0" w:firstLineChars="0"/>
                    <w:jc w:val="left"/>
                    <w:rPr>
                      <w:color w:val="auto"/>
                      <w:kern w:val="0"/>
                      <w:sz w:val="18"/>
                      <w:szCs w:val="18"/>
                      <w:highlight w:val="none"/>
                    </w:rPr>
                  </w:pPr>
                  <w:r>
                    <w:rPr>
                      <w:color w:val="auto"/>
                      <w:kern w:val="0"/>
                      <w:sz w:val="18"/>
                      <w:szCs w:val="18"/>
                      <w:highlight w:val="none"/>
                    </w:rPr>
                    <w:sym w:font="Wingdings 2" w:char="0052"/>
                  </w:r>
                  <w:r>
                    <w:rPr>
                      <w:color w:val="auto"/>
                      <w:kern w:val="0"/>
                      <w:sz w:val="18"/>
                      <w:szCs w:val="18"/>
                      <w:highlight w:val="none"/>
                    </w:rPr>
                    <w:t>企业总排</w:t>
                  </w:r>
                </w:p>
                <w:p w14:paraId="5EAB3B1D">
                  <w:pPr>
                    <w:pStyle w:val="712"/>
                    <w:adjustRightInd w:val="0"/>
                    <w:snapToGrid w:val="0"/>
                    <w:spacing w:line="240" w:lineRule="auto"/>
                    <w:ind w:firstLine="0" w:firstLineChars="0"/>
                    <w:jc w:val="left"/>
                    <w:rPr>
                      <w:color w:val="auto"/>
                      <w:kern w:val="0"/>
                      <w:sz w:val="18"/>
                      <w:szCs w:val="18"/>
                      <w:highlight w:val="none"/>
                    </w:rPr>
                  </w:pPr>
                  <w:r>
                    <w:rPr>
                      <w:rFonts w:hint="eastAsia"/>
                      <w:color w:val="auto"/>
                      <w:kern w:val="0"/>
                      <w:sz w:val="18"/>
                      <w:szCs w:val="18"/>
                      <w:highlight w:val="none"/>
                      <w:lang w:eastAsia="zh-CN"/>
                    </w:rPr>
                    <w:t>□</w:t>
                  </w:r>
                  <w:r>
                    <w:rPr>
                      <w:color w:val="auto"/>
                      <w:kern w:val="0"/>
                      <w:sz w:val="18"/>
                      <w:szCs w:val="18"/>
                      <w:highlight w:val="none"/>
                    </w:rPr>
                    <w:t>雨水排放</w:t>
                  </w:r>
                </w:p>
                <w:p w14:paraId="42378967">
                  <w:pPr>
                    <w:pStyle w:val="712"/>
                    <w:adjustRightInd w:val="0"/>
                    <w:snapToGrid w:val="0"/>
                    <w:spacing w:line="240" w:lineRule="auto"/>
                    <w:ind w:firstLine="0" w:firstLineChars="0"/>
                    <w:jc w:val="left"/>
                    <w:rPr>
                      <w:color w:val="auto"/>
                      <w:kern w:val="0"/>
                      <w:sz w:val="18"/>
                      <w:szCs w:val="18"/>
                      <w:highlight w:val="none"/>
                    </w:rPr>
                  </w:pPr>
                  <w:r>
                    <w:rPr>
                      <w:rFonts w:hint="eastAsia"/>
                      <w:color w:val="auto"/>
                      <w:kern w:val="0"/>
                      <w:sz w:val="18"/>
                      <w:szCs w:val="18"/>
                      <w:highlight w:val="none"/>
                      <w:lang w:eastAsia="zh-CN"/>
                    </w:rPr>
                    <w:t>□</w:t>
                  </w:r>
                  <w:r>
                    <w:rPr>
                      <w:color w:val="auto"/>
                      <w:kern w:val="0"/>
                      <w:sz w:val="18"/>
                      <w:szCs w:val="18"/>
                      <w:highlight w:val="none"/>
                    </w:rPr>
                    <w:t>清净下水排放</w:t>
                  </w:r>
                </w:p>
                <w:p w14:paraId="3471B3F7">
                  <w:pPr>
                    <w:pStyle w:val="712"/>
                    <w:adjustRightInd w:val="0"/>
                    <w:snapToGrid w:val="0"/>
                    <w:spacing w:line="240" w:lineRule="auto"/>
                    <w:ind w:firstLine="0" w:firstLineChars="0"/>
                    <w:jc w:val="left"/>
                    <w:rPr>
                      <w:color w:val="auto"/>
                      <w:kern w:val="0"/>
                      <w:sz w:val="18"/>
                      <w:szCs w:val="18"/>
                      <w:highlight w:val="none"/>
                    </w:rPr>
                  </w:pPr>
                  <w:r>
                    <w:rPr>
                      <w:rFonts w:hint="eastAsia"/>
                      <w:color w:val="auto"/>
                      <w:kern w:val="0"/>
                      <w:sz w:val="18"/>
                      <w:szCs w:val="18"/>
                      <w:highlight w:val="none"/>
                      <w:lang w:eastAsia="zh-CN"/>
                    </w:rPr>
                    <w:t>□</w:t>
                  </w:r>
                  <w:r>
                    <w:rPr>
                      <w:color w:val="auto"/>
                      <w:kern w:val="0"/>
                      <w:sz w:val="18"/>
                      <w:szCs w:val="18"/>
                      <w:highlight w:val="none"/>
                    </w:rPr>
                    <w:t>温排水排放</w:t>
                  </w:r>
                </w:p>
                <w:p w14:paraId="109D3DAD">
                  <w:pPr>
                    <w:pStyle w:val="712"/>
                    <w:adjustRightInd w:val="0"/>
                    <w:snapToGrid w:val="0"/>
                    <w:spacing w:line="240" w:lineRule="auto"/>
                    <w:ind w:firstLine="0" w:firstLineChars="0"/>
                    <w:jc w:val="left"/>
                    <w:rPr>
                      <w:rFonts w:hint="eastAsia" w:eastAsia="宋体"/>
                      <w:color w:val="auto"/>
                      <w:kern w:val="0"/>
                      <w:sz w:val="18"/>
                      <w:szCs w:val="18"/>
                      <w:highlight w:val="none"/>
                      <w:lang w:val="en-US" w:eastAsia="zh-CN"/>
                    </w:rPr>
                  </w:pPr>
                  <w:r>
                    <w:rPr>
                      <w:rFonts w:hint="eastAsia"/>
                      <w:color w:val="auto"/>
                      <w:kern w:val="0"/>
                      <w:sz w:val="18"/>
                      <w:szCs w:val="18"/>
                      <w:highlight w:val="none"/>
                      <w:lang w:eastAsia="zh-CN"/>
                    </w:rPr>
                    <w:t>□</w:t>
                  </w:r>
                  <w:r>
                    <w:rPr>
                      <w:color w:val="auto"/>
                      <w:kern w:val="0"/>
                      <w:sz w:val="18"/>
                      <w:szCs w:val="18"/>
                      <w:highlight w:val="none"/>
                    </w:rPr>
                    <w:t>车间或车间处理系统排放口</w:t>
                  </w:r>
                </w:p>
              </w:tc>
              <w:tc>
                <w:tcPr>
                  <w:tcW w:w="306" w:type="pct"/>
                  <w:tcBorders>
                    <w:tl2br w:val="nil"/>
                    <w:tr2bl w:val="nil"/>
                  </w:tcBorders>
                  <w:noWrap w:val="0"/>
                  <w:vAlign w:val="center"/>
                </w:tcPr>
                <w:p w14:paraId="5455CC61">
                  <w:pPr>
                    <w:pStyle w:val="712"/>
                    <w:adjustRightInd w:val="0"/>
                    <w:snapToGrid w:val="0"/>
                    <w:spacing w:line="240" w:lineRule="auto"/>
                    <w:ind w:firstLine="0" w:firstLineChars="0"/>
                    <w:jc w:val="center"/>
                    <w:rPr>
                      <w:color w:val="auto"/>
                      <w:kern w:val="0"/>
                      <w:sz w:val="18"/>
                      <w:szCs w:val="18"/>
                      <w:highlight w:val="none"/>
                    </w:rPr>
                  </w:pPr>
                  <w:r>
                    <w:rPr>
                      <w:color w:val="auto"/>
                      <w:kern w:val="0"/>
                      <w:sz w:val="18"/>
                      <w:szCs w:val="18"/>
                      <w:highlight w:val="none"/>
                    </w:rPr>
                    <w:t>500</w:t>
                  </w:r>
                </w:p>
              </w:tc>
              <w:tc>
                <w:tcPr>
                  <w:tcW w:w="402" w:type="pct"/>
                  <w:vMerge w:val="restart"/>
                  <w:tcBorders>
                    <w:tl2br w:val="nil"/>
                    <w:tr2bl w:val="nil"/>
                  </w:tcBorders>
                  <w:noWrap w:val="0"/>
                  <w:vAlign w:val="center"/>
                </w:tcPr>
                <w:p w14:paraId="4E252B02">
                  <w:pPr>
                    <w:pStyle w:val="712"/>
                    <w:adjustRightInd w:val="0"/>
                    <w:snapToGrid w:val="0"/>
                    <w:spacing w:line="240" w:lineRule="auto"/>
                    <w:ind w:firstLine="0" w:firstLineChars="0"/>
                    <w:jc w:val="center"/>
                    <w:rPr>
                      <w:color w:val="auto"/>
                      <w:kern w:val="0"/>
                      <w:sz w:val="18"/>
                      <w:szCs w:val="18"/>
                      <w:highlight w:val="none"/>
                    </w:rPr>
                  </w:pPr>
                  <w:r>
                    <w:rPr>
                      <w:rFonts w:hint="eastAsia"/>
                      <w:color w:val="auto"/>
                      <w:kern w:val="0"/>
                      <w:sz w:val="18"/>
                      <w:szCs w:val="18"/>
                      <w:highlight w:val="none"/>
                    </w:rPr>
                    <w:t>常州金坛区第二污水处理有限公司</w:t>
                  </w:r>
                  <w:r>
                    <w:rPr>
                      <w:color w:val="auto"/>
                      <w:kern w:val="0"/>
                      <w:sz w:val="18"/>
                      <w:szCs w:val="18"/>
                      <w:highlight w:val="none"/>
                    </w:rPr>
                    <w:t>接管要求</w:t>
                  </w:r>
                </w:p>
              </w:tc>
            </w:tr>
            <w:tr w14:paraId="6EAC144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276" w:type="pct"/>
                  <w:vMerge w:val="continue"/>
                  <w:tcBorders>
                    <w:tl2br w:val="nil"/>
                    <w:tr2bl w:val="nil"/>
                  </w:tcBorders>
                  <w:noWrap w:val="0"/>
                  <w:vAlign w:val="center"/>
                </w:tcPr>
                <w:p w14:paraId="66A6DFB9">
                  <w:pPr>
                    <w:pStyle w:val="712"/>
                    <w:adjustRightInd w:val="0"/>
                    <w:snapToGrid w:val="0"/>
                    <w:spacing w:line="240" w:lineRule="auto"/>
                    <w:ind w:firstLine="0" w:firstLineChars="0"/>
                    <w:jc w:val="center"/>
                    <w:rPr>
                      <w:color w:val="auto"/>
                      <w:kern w:val="0"/>
                      <w:sz w:val="18"/>
                      <w:szCs w:val="18"/>
                      <w:highlight w:val="none"/>
                    </w:rPr>
                  </w:pPr>
                </w:p>
              </w:tc>
              <w:tc>
                <w:tcPr>
                  <w:tcW w:w="358" w:type="pct"/>
                  <w:tcBorders>
                    <w:tl2br w:val="nil"/>
                    <w:tr2bl w:val="nil"/>
                  </w:tcBorders>
                  <w:noWrap w:val="0"/>
                  <w:vAlign w:val="center"/>
                </w:tcPr>
                <w:p w14:paraId="34BAA1DD">
                  <w:pPr>
                    <w:pStyle w:val="712"/>
                    <w:adjustRightInd w:val="0"/>
                    <w:snapToGrid w:val="0"/>
                    <w:spacing w:line="240" w:lineRule="auto"/>
                    <w:ind w:firstLine="0" w:firstLineChars="0"/>
                    <w:jc w:val="center"/>
                    <w:rPr>
                      <w:color w:val="auto"/>
                      <w:kern w:val="0"/>
                      <w:sz w:val="18"/>
                      <w:szCs w:val="18"/>
                      <w:highlight w:val="none"/>
                    </w:rPr>
                  </w:pPr>
                  <w:r>
                    <w:rPr>
                      <w:color w:val="auto"/>
                      <w:kern w:val="0"/>
                      <w:sz w:val="18"/>
                      <w:szCs w:val="18"/>
                      <w:highlight w:val="none"/>
                    </w:rPr>
                    <w:t>SS</w:t>
                  </w:r>
                </w:p>
              </w:tc>
              <w:tc>
                <w:tcPr>
                  <w:tcW w:w="317" w:type="pct"/>
                  <w:tcBorders>
                    <w:tl2br w:val="nil"/>
                    <w:tr2bl w:val="nil"/>
                  </w:tcBorders>
                  <w:noWrap w:val="0"/>
                  <w:vAlign w:val="center"/>
                </w:tcPr>
                <w:p w14:paraId="60FB7E4C">
                  <w:pPr>
                    <w:adjustRightInd w:val="0"/>
                    <w:snapToGrid w:val="0"/>
                    <w:jc w:val="center"/>
                    <w:rPr>
                      <w:color w:val="auto"/>
                      <w:kern w:val="0"/>
                      <w:sz w:val="18"/>
                      <w:szCs w:val="18"/>
                      <w:highlight w:val="none"/>
                    </w:rPr>
                  </w:pPr>
                  <w:r>
                    <w:rPr>
                      <w:color w:val="auto"/>
                      <w:kern w:val="0"/>
                      <w:sz w:val="18"/>
                      <w:szCs w:val="18"/>
                      <w:highlight w:val="none"/>
                    </w:rPr>
                    <w:t>200</w:t>
                  </w:r>
                </w:p>
              </w:tc>
              <w:tc>
                <w:tcPr>
                  <w:tcW w:w="306" w:type="pct"/>
                  <w:vMerge w:val="continue"/>
                  <w:tcBorders>
                    <w:tl2br w:val="nil"/>
                    <w:tr2bl w:val="nil"/>
                  </w:tcBorders>
                  <w:noWrap w:val="0"/>
                  <w:vAlign w:val="center"/>
                </w:tcPr>
                <w:p w14:paraId="4258F75F">
                  <w:pPr>
                    <w:pStyle w:val="712"/>
                    <w:adjustRightInd w:val="0"/>
                    <w:snapToGrid w:val="0"/>
                    <w:spacing w:line="240" w:lineRule="auto"/>
                    <w:ind w:firstLine="0" w:firstLineChars="0"/>
                    <w:jc w:val="center"/>
                    <w:rPr>
                      <w:color w:val="auto"/>
                      <w:kern w:val="0"/>
                      <w:sz w:val="18"/>
                      <w:szCs w:val="18"/>
                      <w:highlight w:val="none"/>
                    </w:rPr>
                  </w:pPr>
                </w:p>
              </w:tc>
              <w:tc>
                <w:tcPr>
                  <w:tcW w:w="435" w:type="pct"/>
                  <w:vMerge w:val="continue"/>
                  <w:tcBorders>
                    <w:tl2br w:val="nil"/>
                    <w:tr2bl w:val="nil"/>
                  </w:tcBorders>
                  <w:noWrap w:val="0"/>
                  <w:vAlign w:val="center"/>
                </w:tcPr>
                <w:p w14:paraId="75AE224B">
                  <w:pPr>
                    <w:pStyle w:val="712"/>
                    <w:adjustRightInd w:val="0"/>
                    <w:snapToGrid w:val="0"/>
                    <w:spacing w:line="240" w:lineRule="auto"/>
                    <w:ind w:firstLine="0" w:firstLineChars="0"/>
                    <w:jc w:val="center"/>
                    <w:rPr>
                      <w:color w:val="auto"/>
                      <w:kern w:val="0"/>
                      <w:sz w:val="18"/>
                      <w:szCs w:val="18"/>
                      <w:highlight w:val="none"/>
                    </w:rPr>
                  </w:pPr>
                </w:p>
              </w:tc>
              <w:tc>
                <w:tcPr>
                  <w:tcW w:w="377" w:type="pct"/>
                  <w:vMerge w:val="continue"/>
                  <w:tcBorders>
                    <w:tl2br w:val="nil"/>
                    <w:tr2bl w:val="nil"/>
                  </w:tcBorders>
                  <w:noWrap w:val="0"/>
                  <w:vAlign w:val="center"/>
                </w:tcPr>
                <w:p w14:paraId="33A4F946">
                  <w:pPr>
                    <w:pStyle w:val="712"/>
                    <w:adjustRightInd w:val="0"/>
                    <w:snapToGrid w:val="0"/>
                    <w:spacing w:line="240" w:lineRule="auto"/>
                    <w:ind w:firstLine="0" w:firstLineChars="0"/>
                    <w:jc w:val="center"/>
                    <w:rPr>
                      <w:color w:val="auto"/>
                      <w:kern w:val="0"/>
                      <w:sz w:val="18"/>
                      <w:szCs w:val="18"/>
                      <w:highlight w:val="none"/>
                    </w:rPr>
                  </w:pPr>
                </w:p>
              </w:tc>
              <w:tc>
                <w:tcPr>
                  <w:tcW w:w="398" w:type="pct"/>
                  <w:vMerge w:val="continue"/>
                  <w:tcBorders>
                    <w:tl2br w:val="nil"/>
                    <w:tr2bl w:val="nil"/>
                  </w:tcBorders>
                  <w:noWrap w:val="0"/>
                  <w:vAlign w:val="center"/>
                </w:tcPr>
                <w:p w14:paraId="2CF97C2F">
                  <w:pPr>
                    <w:pStyle w:val="712"/>
                    <w:adjustRightInd w:val="0"/>
                    <w:snapToGrid w:val="0"/>
                    <w:spacing w:line="240" w:lineRule="auto"/>
                    <w:ind w:firstLine="0" w:firstLineChars="0"/>
                    <w:jc w:val="center"/>
                    <w:rPr>
                      <w:color w:val="auto"/>
                      <w:kern w:val="0"/>
                      <w:sz w:val="18"/>
                      <w:szCs w:val="18"/>
                      <w:highlight w:val="none"/>
                    </w:rPr>
                  </w:pPr>
                </w:p>
              </w:tc>
              <w:tc>
                <w:tcPr>
                  <w:tcW w:w="432" w:type="pct"/>
                  <w:vMerge w:val="continue"/>
                  <w:tcBorders>
                    <w:tl2br w:val="nil"/>
                    <w:tr2bl w:val="nil"/>
                  </w:tcBorders>
                  <w:noWrap w:val="0"/>
                  <w:vAlign w:val="center"/>
                </w:tcPr>
                <w:p w14:paraId="6C5A1237">
                  <w:pPr>
                    <w:pStyle w:val="712"/>
                    <w:adjustRightInd w:val="0"/>
                    <w:snapToGrid w:val="0"/>
                    <w:spacing w:line="240" w:lineRule="auto"/>
                    <w:ind w:firstLine="0" w:firstLineChars="0"/>
                    <w:jc w:val="center"/>
                    <w:rPr>
                      <w:color w:val="auto"/>
                      <w:kern w:val="0"/>
                      <w:sz w:val="18"/>
                      <w:szCs w:val="18"/>
                      <w:highlight w:val="none"/>
                    </w:rPr>
                  </w:pPr>
                </w:p>
              </w:tc>
              <w:tc>
                <w:tcPr>
                  <w:tcW w:w="653" w:type="pct"/>
                  <w:vMerge w:val="continue"/>
                  <w:tcBorders>
                    <w:tl2br w:val="nil"/>
                    <w:tr2bl w:val="nil"/>
                  </w:tcBorders>
                  <w:noWrap w:val="0"/>
                  <w:vAlign w:val="center"/>
                </w:tcPr>
                <w:p w14:paraId="35B6B4D1">
                  <w:pPr>
                    <w:pStyle w:val="712"/>
                    <w:adjustRightInd w:val="0"/>
                    <w:snapToGrid w:val="0"/>
                    <w:spacing w:line="240" w:lineRule="auto"/>
                    <w:ind w:firstLine="0" w:firstLineChars="0"/>
                    <w:jc w:val="center"/>
                    <w:rPr>
                      <w:color w:val="auto"/>
                      <w:kern w:val="0"/>
                      <w:sz w:val="18"/>
                      <w:szCs w:val="18"/>
                      <w:highlight w:val="none"/>
                    </w:rPr>
                  </w:pPr>
                </w:p>
              </w:tc>
              <w:tc>
                <w:tcPr>
                  <w:tcW w:w="735" w:type="pct"/>
                  <w:vMerge w:val="continue"/>
                  <w:tcBorders>
                    <w:tl2br w:val="nil"/>
                    <w:tr2bl w:val="nil"/>
                  </w:tcBorders>
                  <w:noWrap w:val="0"/>
                  <w:vAlign w:val="center"/>
                </w:tcPr>
                <w:p w14:paraId="3CAE4871">
                  <w:pPr>
                    <w:pStyle w:val="712"/>
                    <w:adjustRightInd w:val="0"/>
                    <w:snapToGrid w:val="0"/>
                    <w:spacing w:line="240" w:lineRule="auto"/>
                    <w:ind w:firstLine="0" w:firstLineChars="0"/>
                    <w:jc w:val="center"/>
                    <w:rPr>
                      <w:color w:val="auto"/>
                      <w:kern w:val="0"/>
                      <w:sz w:val="18"/>
                      <w:szCs w:val="18"/>
                      <w:highlight w:val="none"/>
                    </w:rPr>
                  </w:pPr>
                </w:p>
              </w:tc>
              <w:tc>
                <w:tcPr>
                  <w:tcW w:w="306" w:type="pct"/>
                  <w:tcBorders>
                    <w:tl2br w:val="nil"/>
                    <w:tr2bl w:val="nil"/>
                  </w:tcBorders>
                  <w:noWrap w:val="0"/>
                  <w:vAlign w:val="center"/>
                </w:tcPr>
                <w:p w14:paraId="2616F551">
                  <w:pPr>
                    <w:pStyle w:val="712"/>
                    <w:adjustRightInd w:val="0"/>
                    <w:snapToGrid w:val="0"/>
                    <w:spacing w:line="240" w:lineRule="auto"/>
                    <w:ind w:firstLine="0" w:firstLineChars="0"/>
                    <w:jc w:val="center"/>
                    <w:rPr>
                      <w:color w:val="auto"/>
                      <w:kern w:val="0"/>
                      <w:sz w:val="18"/>
                      <w:szCs w:val="18"/>
                      <w:highlight w:val="none"/>
                    </w:rPr>
                  </w:pPr>
                  <w:r>
                    <w:rPr>
                      <w:color w:val="auto"/>
                      <w:kern w:val="0"/>
                      <w:sz w:val="18"/>
                      <w:szCs w:val="18"/>
                      <w:highlight w:val="none"/>
                    </w:rPr>
                    <w:t>250</w:t>
                  </w:r>
                </w:p>
              </w:tc>
              <w:tc>
                <w:tcPr>
                  <w:tcW w:w="402" w:type="pct"/>
                  <w:vMerge w:val="continue"/>
                  <w:tcBorders>
                    <w:tl2br w:val="nil"/>
                    <w:tr2bl w:val="nil"/>
                  </w:tcBorders>
                  <w:noWrap w:val="0"/>
                  <w:vAlign w:val="center"/>
                </w:tcPr>
                <w:p w14:paraId="5A96E824">
                  <w:pPr>
                    <w:pStyle w:val="712"/>
                    <w:adjustRightInd w:val="0"/>
                    <w:snapToGrid w:val="0"/>
                    <w:spacing w:line="240" w:lineRule="auto"/>
                    <w:ind w:firstLine="0" w:firstLineChars="0"/>
                    <w:jc w:val="center"/>
                    <w:rPr>
                      <w:color w:val="auto"/>
                      <w:kern w:val="0"/>
                      <w:sz w:val="18"/>
                      <w:szCs w:val="18"/>
                      <w:highlight w:val="none"/>
                    </w:rPr>
                  </w:pPr>
                </w:p>
              </w:tc>
            </w:tr>
            <w:tr w14:paraId="44C2729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276" w:type="pct"/>
                  <w:vMerge w:val="continue"/>
                  <w:tcBorders>
                    <w:tl2br w:val="nil"/>
                    <w:tr2bl w:val="nil"/>
                  </w:tcBorders>
                  <w:noWrap w:val="0"/>
                  <w:vAlign w:val="center"/>
                </w:tcPr>
                <w:p w14:paraId="2AE5118A">
                  <w:pPr>
                    <w:pStyle w:val="712"/>
                    <w:adjustRightInd w:val="0"/>
                    <w:snapToGrid w:val="0"/>
                    <w:spacing w:line="240" w:lineRule="auto"/>
                    <w:ind w:firstLine="0" w:firstLineChars="0"/>
                    <w:jc w:val="center"/>
                    <w:rPr>
                      <w:color w:val="auto"/>
                      <w:kern w:val="0"/>
                      <w:sz w:val="18"/>
                      <w:szCs w:val="18"/>
                      <w:highlight w:val="none"/>
                    </w:rPr>
                  </w:pPr>
                </w:p>
              </w:tc>
              <w:tc>
                <w:tcPr>
                  <w:tcW w:w="358" w:type="pct"/>
                  <w:tcBorders>
                    <w:tl2br w:val="nil"/>
                    <w:tr2bl w:val="nil"/>
                  </w:tcBorders>
                  <w:noWrap w:val="0"/>
                  <w:vAlign w:val="center"/>
                </w:tcPr>
                <w:p w14:paraId="37E51294">
                  <w:pPr>
                    <w:pStyle w:val="712"/>
                    <w:adjustRightInd w:val="0"/>
                    <w:snapToGrid w:val="0"/>
                    <w:spacing w:line="240" w:lineRule="auto"/>
                    <w:ind w:firstLine="0" w:firstLineChars="0"/>
                    <w:jc w:val="center"/>
                    <w:rPr>
                      <w:rFonts w:hint="default" w:eastAsia="宋体"/>
                      <w:color w:val="auto"/>
                      <w:kern w:val="0"/>
                      <w:sz w:val="18"/>
                      <w:szCs w:val="18"/>
                      <w:highlight w:val="none"/>
                      <w:lang w:val="en-US" w:eastAsia="zh-CN"/>
                    </w:rPr>
                  </w:pPr>
                  <w:r>
                    <w:rPr>
                      <w:rFonts w:hint="eastAsia"/>
                      <w:color w:val="auto"/>
                      <w:kern w:val="0"/>
                      <w:sz w:val="18"/>
                      <w:szCs w:val="18"/>
                      <w:highlight w:val="none"/>
                      <w:lang w:val="en-US" w:eastAsia="zh-CN"/>
                    </w:rPr>
                    <w:t>NH</w:t>
                  </w:r>
                  <w:r>
                    <w:rPr>
                      <w:rFonts w:hint="eastAsia"/>
                      <w:color w:val="auto"/>
                      <w:kern w:val="0"/>
                      <w:sz w:val="18"/>
                      <w:szCs w:val="18"/>
                      <w:highlight w:val="none"/>
                      <w:vertAlign w:val="subscript"/>
                      <w:lang w:val="en-US" w:eastAsia="zh-CN"/>
                    </w:rPr>
                    <w:t>3</w:t>
                  </w:r>
                  <w:r>
                    <w:rPr>
                      <w:rFonts w:hint="eastAsia"/>
                      <w:color w:val="auto"/>
                      <w:kern w:val="0"/>
                      <w:sz w:val="18"/>
                      <w:szCs w:val="18"/>
                      <w:highlight w:val="none"/>
                      <w:lang w:val="en-US" w:eastAsia="zh-CN"/>
                    </w:rPr>
                    <w:t>-N</w:t>
                  </w:r>
                </w:p>
              </w:tc>
              <w:tc>
                <w:tcPr>
                  <w:tcW w:w="317" w:type="pct"/>
                  <w:tcBorders>
                    <w:tl2br w:val="nil"/>
                    <w:tr2bl w:val="nil"/>
                  </w:tcBorders>
                  <w:noWrap w:val="0"/>
                  <w:vAlign w:val="center"/>
                </w:tcPr>
                <w:p w14:paraId="0150939A">
                  <w:pPr>
                    <w:adjustRightInd w:val="0"/>
                    <w:snapToGrid w:val="0"/>
                    <w:jc w:val="center"/>
                    <w:rPr>
                      <w:rFonts w:hint="default" w:eastAsia="宋体"/>
                      <w:color w:val="auto"/>
                      <w:kern w:val="0"/>
                      <w:sz w:val="18"/>
                      <w:szCs w:val="18"/>
                      <w:highlight w:val="none"/>
                      <w:lang w:val="en-US" w:eastAsia="zh-CN"/>
                    </w:rPr>
                  </w:pPr>
                  <w:r>
                    <w:rPr>
                      <w:rFonts w:hint="eastAsia"/>
                      <w:color w:val="auto"/>
                      <w:kern w:val="0"/>
                      <w:sz w:val="18"/>
                      <w:szCs w:val="18"/>
                      <w:highlight w:val="none"/>
                      <w:lang w:val="en-US" w:eastAsia="zh-CN"/>
                    </w:rPr>
                    <w:t>25</w:t>
                  </w:r>
                </w:p>
              </w:tc>
              <w:tc>
                <w:tcPr>
                  <w:tcW w:w="306" w:type="pct"/>
                  <w:vMerge w:val="continue"/>
                  <w:tcBorders>
                    <w:tl2br w:val="nil"/>
                    <w:tr2bl w:val="nil"/>
                  </w:tcBorders>
                  <w:noWrap w:val="0"/>
                  <w:vAlign w:val="center"/>
                </w:tcPr>
                <w:p w14:paraId="39433194">
                  <w:pPr>
                    <w:pStyle w:val="712"/>
                    <w:adjustRightInd w:val="0"/>
                    <w:snapToGrid w:val="0"/>
                    <w:spacing w:line="240" w:lineRule="auto"/>
                    <w:ind w:firstLine="0" w:firstLineChars="0"/>
                    <w:jc w:val="center"/>
                    <w:rPr>
                      <w:color w:val="auto"/>
                      <w:kern w:val="0"/>
                      <w:sz w:val="18"/>
                      <w:szCs w:val="18"/>
                      <w:highlight w:val="none"/>
                    </w:rPr>
                  </w:pPr>
                </w:p>
              </w:tc>
              <w:tc>
                <w:tcPr>
                  <w:tcW w:w="435" w:type="pct"/>
                  <w:vMerge w:val="continue"/>
                  <w:tcBorders>
                    <w:tl2br w:val="nil"/>
                    <w:tr2bl w:val="nil"/>
                  </w:tcBorders>
                  <w:noWrap w:val="0"/>
                  <w:vAlign w:val="center"/>
                </w:tcPr>
                <w:p w14:paraId="27790E34">
                  <w:pPr>
                    <w:pStyle w:val="712"/>
                    <w:adjustRightInd w:val="0"/>
                    <w:snapToGrid w:val="0"/>
                    <w:spacing w:line="240" w:lineRule="auto"/>
                    <w:ind w:firstLine="0" w:firstLineChars="0"/>
                    <w:jc w:val="center"/>
                    <w:rPr>
                      <w:color w:val="auto"/>
                      <w:kern w:val="0"/>
                      <w:sz w:val="18"/>
                      <w:szCs w:val="18"/>
                      <w:highlight w:val="none"/>
                    </w:rPr>
                  </w:pPr>
                </w:p>
              </w:tc>
              <w:tc>
                <w:tcPr>
                  <w:tcW w:w="377" w:type="pct"/>
                  <w:vMerge w:val="continue"/>
                  <w:tcBorders>
                    <w:tl2br w:val="nil"/>
                    <w:tr2bl w:val="nil"/>
                  </w:tcBorders>
                  <w:noWrap w:val="0"/>
                  <w:vAlign w:val="center"/>
                </w:tcPr>
                <w:p w14:paraId="357B226E">
                  <w:pPr>
                    <w:pStyle w:val="712"/>
                    <w:adjustRightInd w:val="0"/>
                    <w:snapToGrid w:val="0"/>
                    <w:spacing w:line="240" w:lineRule="auto"/>
                    <w:ind w:firstLine="0" w:firstLineChars="0"/>
                    <w:jc w:val="center"/>
                    <w:rPr>
                      <w:color w:val="auto"/>
                      <w:kern w:val="0"/>
                      <w:sz w:val="18"/>
                      <w:szCs w:val="18"/>
                      <w:highlight w:val="none"/>
                    </w:rPr>
                  </w:pPr>
                </w:p>
              </w:tc>
              <w:tc>
                <w:tcPr>
                  <w:tcW w:w="398" w:type="pct"/>
                  <w:vMerge w:val="continue"/>
                  <w:tcBorders>
                    <w:tl2br w:val="nil"/>
                    <w:tr2bl w:val="nil"/>
                  </w:tcBorders>
                  <w:noWrap w:val="0"/>
                  <w:vAlign w:val="center"/>
                </w:tcPr>
                <w:p w14:paraId="008A6A02">
                  <w:pPr>
                    <w:pStyle w:val="712"/>
                    <w:adjustRightInd w:val="0"/>
                    <w:snapToGrid w:val="0"/>
                    <w:spacing w:line="240" w:lineRule="auto"/>
                    <w:ind w:firstLine="0" w:firstLineChars="0"/>
                    <w:jc w:val="center"/>
                    <w:rPr>
                      <w:color w:val="auto"/>
                      <w:kern w:val="0"/>
                      <w:sz w:val="18"/>
                      <w:szCs w:val="18"/>
                      <w:highlight w:val="none"/>
                    </w:rPr>
                  </w:pPr>
                </w:p>
              </w:tc>
              <w:tc>
                <w:tcPr>
                  <w:tcW w:w="432" w:type="pct"/>
                  <w:vMerge w:val="continue"/>
                  <w:tcBorders>
                    <w:tl2br w:val="nil"/>
                    <w:tr2bl w:val="nil"/>
                  </w:tcBorders>
                  <w:noWrap w:val="0"/>
                  <w:vAlign w:val="center"/>
                </w:tcPr>
                <w:p w14:paraId="4EDBD17E">
                  <w:pPr>
                    <w:pStyle w:val="712"/>
                    <w:adjustRightInd w:val="0"/>
                    <w:snapToGrid w:val="0"/>
                    <w:spacing w:line="240" w:lineRule="auto"/>
                    <w:ind w:firstLine="0" w:firstLineChars="0"/>
                    <w:jc w:val="center"/>
                    <w:rPr>
                      <w:color w:val="auto"/>
                      <w:kern w:val="0"/>
                      <w:sz w:val="18"/>
                      <w:szCs w:val="18"/>
                      <w:highlight w:val="none"/>
                    </w:rPr>
                  </w:pPr>
                </w:p>
              </w:tc>
              <w:tc>
                <w:tcPr>
                  <w:tcW w:w="653" w:type="pct"/>
                  <w:vMerge w:val="continue"/>
                  <w:tcBorders>
                    <w:tl2br w:val="nil"/>
                    <w:tr2bl w:val="nil"/>
                  </w:tcBorders>
                  <w:noWrap w:val="0"/>
                  <w:vAlign w:val="center"/>
                </w:tcPr>
                <w:p w14:paraId="357D5E07">
                  <w:pPr>
                    <w:pStyle w:val="712"/>
                    <w:adjustRightInd w:val="0"/>
                    <w:snapToGrid w:val="0"/>
                    <w:spacing w:line="240" w:lineRule="auto"/>
                    <w:ind w:firstLine="0" w:firstLineChars="0"/>
                    <w:jc w:val="center"/>
                    <w:rPr>
                      <w:color w:val="auto"/>
                      <w:kern w:val="0"/>
                      <w:sz w:val="18"/>
                      <w:szCs w:val="18"/>
                      <w:highlight w:val="none"/>
                    </w:rPr>
                  </w:pPr>
                </w:p>
              </w:tc>
              <w:tc>
                <w:tcPr>
                  <w:tcW w:w="735" w:type="pct"/>
                  <w:vMerge w:val="continue"/>
                  <w:tcBorders>
                    <w:tl2br w:val="nil"/>
                    <w:tr2bl w:val="nil"/>
                  </w:tcBorders>
                  <w:noWrap w:val="0"/>
                  <w:vAlign w:val="center"/>
                </w:tcPr>
                <w:p w14:paraId="1602DCB2">
                  <w:pPr>
                    <w:pStyle w:val="712"/>
                    <w:adjustRightInd w:val="0"/>
                    <w:snapToGrid w:val="0"/>
                    <w:spacing w:line="240" w:lineRule="auto"/>
                    <w:ind w:firstLine="0" w:firstLineChars="0"/>
                    <w:jc w:val="center"/>
                    <w:rPr>
                      <w:color w:val="auto"/>
                      <w:kern w:val="0"/>
                      <w:sz w:val="18"/>
                      <w:szCs w:val="18"/>
                      <w:highlight w:val="none"/>
                    </w:rPr>
                  </w:pPr>
                </w:p>
              </w:tc>
              <w:tc>
                <w:tcPr>
                  <w:tcW w:w="306" w:type="pct"/>
                  <w:tcBorders>
                    <w:tl2br w:val="nil"/>
                    <w:tr2bl w:val="nil"/>
                  </w:tcBorders>
                  <w:noWrap w:val="0"/>
                  <w:vAlign w:val="center"/>
                </w:tcPr>
                <w:p w14:paraId="092086A1">
                  <w:pPr>
                    <w:pStyle w:val="712"/>
                    <w:adjustRightInd w:val="0"/>
                    <w:snapToGrid w:val="0"/>
                    <w:spacing w:line="240" w:lineRule="auto"/>
                    <w:ind w:firstLine="0" w:firstLineChars="0"/>
                    <w:jc w:val="center"/>
                    <w:rPr>
                      <w:color w:val="auto"/>
                      <w:kern w:val="0"/>
                      <w:sz w:val="18"/>
                      <w:szCs w:val="18"/>
                      <w:highlight w:val="none"/>
                    </w:rPr>
                  </w:pPr>
                  <w:r>
                    <w:rPr>
                      <w:color w:val="auto"/>
                      <w:kern w:val="0"/>
                      <w:sz w:val="18"/>
                      <w:szCs w:val="18"/>
                      <w:highlight w:val="none"/>
                    </w:rPr>
                    <w:t>35</w:t>
                  </w:r>
                </w:p>
              </w:tc>
              <w:tc>
                <w:tcPr>
                  <w:tcW w:w="402" w:type="pct"/>
                  <w:vMerge w:val="continue"/>
                  <w:tcBorders>
                    <w:tl2br w:val="nil"/>
                    <w:tr2bl w:val="nil"/>
                  </w:tcBorders>
                  <w:noWrap w:val="0"/>
                  <w:vAlign w:val="center"/>
                </w:tcPr>
                <w:p w14:paraId="0916A6E1">
                  <w:pPr>
                    <w:pStyle w:val="712"/>
                    <w:adjustRightInd w:val="0"/>
                    <w:snapToGrid w:val="0"/>
                    <w:spacing w:line="240" w:lineRule="auto"/>
                    <w:ind w:firstLine="0" w:firstLineChars="0"/>
                    <w:jc w:val="center"/>
                    <w:rPr>
                      <w:color w:val="auto"/>
                      <w:kern w:val="0"/>
                      <w:sz w:val="18"/>
                      <w:szCs w:val="18"/>
                      <w:highlight w:val="none"/>
                    </w:rPr>
                  </w:pPr>
                </w:p>
              </w:tc>
            </w:tr>
            <w:tr w14:paraId="21873AD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276" w:type="pct"/>
                  <w:vMerge w:val="continue"/>
                  <w:tcBorders>
                    <w:tl2br w:val="nil"/>
                    <w:tr2bl w:val="nil"/>
                  </w:tcBorders>
                  <w:noWrap w:val="0"/>
                  <w:vAlign w:val="center"/>
                </w:tcPr>
                <w:p w14:paraId="2182B973">
                  <w:pPr>
                    <w:pStyle w:val="712"/>
                    <w:adjustRightInd w:val="0"/>
                    <w:snapToGrid w:val="0"/>
                    <w:spacing w:line="240" w:lineRule="auto"/>
                    <w:ind w:firstLine="0" w:firstLineChars="0"/>
                    <w:jc w:val="center"/>
                    <w:rPr>
                      <w:color w:val="auto"/>
                      <w:kern w:val="0"/>
                      <w:sz w:val="18"/>
                      <w:szCs w:val="18"/>
                      <w:highlight w:val="none"/>
                    </w:rPr>
                  </w:pPr>
                </w:p>
              </w:tc>
              <w:tc>
                <w:tcPr>
                  <w:tcW w:w="358" w:type="pct"/>
                  <w:tcBorders>
                    <w:tl2br w:val="nil"/>
                    <w:tr2bl w:val="nil"/>
                  </w:tcBorders>
                  <w:noWrap w:val="0"/>
                  <w:vAlign w:val="center"/>
                </w:tcPr>
                <w:p w14:paraId="59F5C021">
                  <w:pPr>
                    <w:pStyle w:val="712"/>
                    <w:adjustRightInd w:val="0"/>
                    <w:snapToGrid w:val="0"/>
                    <w:spacing w:line="240" w:lineRule="auto"/>
                    <w:ind w:firstLine="0" w:firstLineChars="0"/>
                    <w:jc w:val="center"/>
                    <w:rPr>
                      <w:color w:val="auto"/>
                      <w:kern w:val="0"/>
                      <w:sz w:val="18"/>
                      <w:szCs w:val="18"/>
                      <w:highlight w:val="none"/>
                    </w:rPr>
                  </w:pPr>
                  <w:r>
                    <w:rPr>
                      <w:color w:val="auto"/>
                      <w:kern w:val="0"/>
                      <w:sz w:val="18"/>
                      <w:szCs w:val="18"/>
                      <w:highlight w:val="none"/>
                    </w:rPr>
                    <w:t>TP</w:t>
                  </w:r>
                </w:p>
              </w:tc>
              <w:tc>
                <w:tcPr>
                  <w:tcW w:w="317" w:type="pct"/>
                  <w:tcBorders>
                    <w:tl2br w:val="nil"/>
                    <w:tr2bl w:val="nil"/>
                  </w:tcBorders>
                  <w:noWrap w:val="0"/>
                  <w:vAlign w:val="center"/>
                </w:tcPr>
                <w:p w14:paraId="37E18DD3">
                  <w:pPr>
                    <w:adjustRightInd w:val="0"/>
                    <w:snapToGrid w:val="0"/>
                    <w:jc w:val="center"/>
                    <w:rPr>
                      <w:rFonts w:hint="eastAsia"/>
                      <w:color w:val="auto"/>
                      <w:kern w:val="0"/>
                      <w:sz w:val="18"/>
                      <w:szCs w:val="18"/>
                      <w:highlight w:val="none"/>
                    </w:rPr>
                  </w:pPr>
                  <w:r>
                    <w:rPr>
                      <w:rFonts w:hint="eastAsia"/>
                      <w:color w:val="auto"/>
                      <w:kern w:val="0"/>
                      <w:sz w:val="18"/>
                      <w:szCs w:val="18"/>
                      <w:highlight w:val="none"/>
                    </w:rPr>
                    <w:t>3</w:t>
                  </w:r>
                </w:p>
              </w:tc>
              <w:tc>
                <w:tcPr>
                  <w:tcW w:w="306" w:type="pct"/>
                  <w:vMerge w:val="continue"/>
                  <w:tcBorders>
                    <w:tl2br w:val="nil"/>
                    <w:tr2bl w:val="nil"/>
                  </w:tcBorders>
                  <w:noWrap w:val="0"/>
                  <w:vAlign w:val="center"/>
                </w:tcPr>
                <w:p w14:paraId="7F9953BC">
                  <w:pPr>
                    <w:pStyle w:val="712"/>
                    <w:adjustRightInd w:val="0"/>
                    <w:snapToGrid w:val="0"/>
                    <w:spacing w:line="240" w:lineRule="auto"/>
                    <w:ind w:firstLine="0" w:firstLineChars="0"/>
                    <w:jc w:val="center"/>
                    <w:rPr>
                      <w:color w:val="auto"/>
                      <w:kern w:val="0"/>
                      <w:sz w:val="18"/>
                      <w:szCs w:val="18"/>
                      <w:highlight w:val="none"/>
                    </w:rPr>
                  </w:pPr>
                </w:p>
              </w:tc>
              <w:tc>
                <w:tcPr>
                  <w:tcW w:w="435" w:type="pct"/>
                  <w:vMerge w:val="continue"/>
                  <w:tcBorders>
                    <w:tl2br w:val="nil"/>
                    <w:tr2bl w:val="nil"/>
                  </w:tcBorders>
                  <w:noWrap w:val="0"/>
                  <w:vAlign w:val="center"/>
                </w:tcPr>
                <w:p w14:paraId="5703D448">
                  <w:pPr>
                    <w:pStyle w:val="712"/>
                    <w:adjustRightInd w:val="0"/>
                    <w:snapToGrid w:val="0"/>
                    <w:spacing w:line="240" w:lineRule="auto"/>
                    <w:ind w:firstLine="0" w:firstLineChars="0"/>
                    <w:jc w:val="center"/>
                    <w:rPr>
                      <w:color w:val="auto"/>
                      <w:kern w:val="0"/>
                      <w:sz w:val="18"/>
                      <w:szCs w:val="18"/>
                      <w:highlight w:val="none"/>
                    </w:rPr>
                  </w:pPr>
                </w:p>
              </w:tc>
              <w:tc>
                <w:tcPr>
                  <w:tcW w:w="377" w:type="pct"/>
                  <w:vMerge w:val="continue"/>
                  <w:tcBorders>
                    <w:tl2br w:val="nil"/>
                    <w:tr2bl w:val="nil"/>
                  </w:tcBorders>
                  <w:noWrap w:val="0"/>
                  <w:vAlign w:val="center"/>
                </w:tcPr>
                <w:p w14:paraId="6C31E6C4">
                  <w:pPr>
                    <w:pStyle w:val="712"/>
                    <w:adjustRightInd w:val="0"/>
                    <w:snapToGrid w:val="0"/>
                    <w:spacing w:line="240" w:lineRule="auto"/>
                    <w:ind w:firstLine="0" w:firstLineChars="0"/>
                    <w:jc w:val="center"/>
                    <w:rPr>
                      <w:color w:val="auto"/>
                      <w:kern w:val="0"/>
                      <w:sz w:val="18"/>
                      <w:szCs w:val="18"/>
                      <w:highlight w:val="none"/>
                    </w:rPr>
                  </w:pPr>
                </w:p>
              </w:tc>
              <w:tc>
                <w:tcPr>
                  <w:tcW w:w="398" w:type="pct"/>
                  <w:vMerge w:val="continue"/>
                  <w:tcBorders>
                    <w:tl2br w:val="nil"/>
                    <w:tr2bl w:val="nil"/>
                  </w:tcBorders>
                  <w:noWrap w:val="0"/>
                  <w:vAlign w:val="center"/>
                </w:tcPr>
                <w:p w14:paraId="0ADA10E0">
                  <w:pPr>
                    <w:pStyle w:val="712"/>
                    <w:adjustRightInd w:val="0"/>
                    <w:snapToGrid w:val="0"/>
                    <w:spacing w:line="240" w:lineRule="auto"/>
                    <w:ind w:firstLine="0" w:firstLineChars="0"/>
                    <w:jc w:val="center"/>
                    <w:rPr>
                      <w:color w:val="auto"/>
                      <w:kern w:val="0"/>
                      <w:sz w:val="18"/>
                      <w:szCs w:val="18"/>
                      <w:highlight w:val="none"/>
                    </w:rPr>
                  </w:pPr>
                </w:p>
              </w:tc>
              <w:tc>
                <w:tcPr>
                  <w:tcW w:w="432" w:type="pct"/>
                  <w:vMerge w:val="continue"/>
                  <w:tcBorders>
                    <w:tl2br w:val="nil"/>
                    <w:tr2bl w:val="nil"/>
                  </w:tcBorders>
                  <w:noWrap w:val="0"/>
                  <w:vAlign w:val="center"/>
                </w:tcPr>
                <w:p w14:paraId="52B82720">
                  <w:pPr>
                    <w:pStyle w:val="712"/>
                    <w:adjustRightInd w:val="0"/>
                    <w:snapToGrid w:val="0"/>
                    <w:spacing w:line="240" w:lineRule="auto"/>
                    <w:ind w:firstLine="0" w:firstLineChars="0"/>
                    <w:jc w:val="center"/>
                    <w:rPr>
                      <w:color w:val="auto"/>
                      <w:kern w:val="0"/>
                      <w:sz w:val="18"/>
                      <w:szCs w:val="18"/>
                      <w:highlight w:val="none"/>
                    </w:rPr>
                  </w:pPr>
                </w:p>
              </w:tc>
              <w:tc>
                <w:tcPr>
                  <w:tcW w:w="653" w:type="pct"/>
                  <w:vMerge w:val="continue"/>
                  <w:tcBorders>
                    <w:tl2br w:val="nil"/>
                    <w:tr2bl w:val="nil"/>
                  </w:tcBorders>
                  <w:noWrap w:val="0"/>
                  <w:vAlign w:val="center"/>
                </w:tcPr>
                <w:p w14:paraId="29D1BDF8">
                  <w:pPr>
                    <w:pStyle w:val="712"/>
                    <w:adjustRightInd w:val="0"/>
                    <w:snapToGrid w:val="0"/>
                    <w:spacing w:line="240" w:lineRule="auto"/>
                    <w:ind w:firstLine="0" w:firstLineChars="0"/>
                    <w:jc w:val="center"/>
                    <w:rPr>
                      <w:color w:val="auto"/>
                      <w:kern w:val="0"/>
                      <w:sz w:val="18"/>
                      <w:szCs w:val="18"/>
                      <w:highlight w:val="none"/>
                    </w:rPr>
                  </w:pPr>
                </w:p>
              </w:tc>
              <w:tc>
                <w:tcPr>
                  <w:tcW w:w="735" w:type="pct"/>
                  <w:vMerge w:val="continue"/>
                  <w:tcBorders>
                    <w:tl2br w:val="nil"/>
                    <w:tr2bl w:val="nil"/>
                  </w:tcBorders>
                  <w:noWrap w:val="0"/>
                  <w:vAlign w:val="center"/>
                </w:tcPr>
                <w:p w14:paraId="7753F4D4">
                  <w:pPr>
                    <w:pStyle w:val="712"/>
                    <w:adjustRightInd w:val="0"/>
                    <w:snapToGrid w:val="0"/>
                    <w:spacing w:line="240" w:lineRule="auto"/>
                    <w:ind w:firstLine="0" w:firstLineChars="0"/>
                    <w:jc w:val="center"/>
                    <w:rPr>
                      <w:color w:val="auto"/>
                      <w:kern w:val="0"/>
                      <w:sz w:val="18"/>
                      <w:szCs w:val="18"/>
                      <w:highlight w:val="none"/>
                    </w:rPr>
                  </w:pPr>
                </w:p>
              </w:tc>
              <w:tc>
                <w:tcPr>
                  <w:tcW w:w="306" w:type="pct"/>
                  <w:tcBorders>
                    <w:tl2br w:val="nil"/>
                    <w:tr2bl w:val="nil"/>
                  </w:tcBorders>
                  <w:noWrap w:val="0"/>
                  <w:vAlign w:val="center"/>
                </w:tcPr>
                <w:p w14:paraId="6AC5511F">
                  <w:pPr>
                    <w:pStyle w:val="712"/>
                    <w:adjustRightInd w:val="0"/>
                    <w:snapToGrid w:val="0"/>
                    <w:spacing w:line="240" w:lineRule="auto"/>
                    <w:ind w:firstLine="0" w:firstLineChars="0"/>
                    <w:jc w:val="center"/>
                    <w:rPr>
                      <w:color w:val="auto"/>
                      <w:kern w:val="0"/>
                      <w:sz w:val="18"/>
                      <w:szCs w:val="18"/>
                      <w:highlight w:val="none"/>
                    </w:rPr>
                  </w:pPr>
                  <w:r>
                    <w:rPr>
                      <w:color w:val="auto"/>
                      <w:kern w:val="0"/>
                      <w:sz w:val="18"/>
                      <w:szCs w:val="18"/>
                      <w:highlight w:val="none"/>
                    </w:rPr>
                    <w:t>3</w:t>
                  </w:r>
                </w:p>
              </w:tc>
              <w:tc>
                <w:tcPr>
                  <w:tcW w:w="402" w:type="pct"/>
                  <w:vMerge w:val="continue"/>
                  <w:tcBorders>
                    <w:tl2br w:val="nil"/>
                    <w:tr2bl w:val="nil"/>
                  </w:tcBorders>
                  <w:noWrap w:val="0"/>
                  <w:vAlign w:val="center"/>
                </w:tcPr>
                <w:p w14:paraId="24E93EF0">
                  <w:pPr>
                    <w:pStyle w:val="712"/>
                    <w:adjustRightInd w:val="0"/>
                    <w:snapToGrid w:val="0"/>
                    <w:spacing w:line="240" w:lineRule="auto"/>
                    <w:ind w:firstLine="0" w:firstLineChars="0"/>
                    <w:jc w:val="center"/>
                    <w:rPr>
                      <w:color w:val="auto"/>
                      <w:kern w:val="0"/>
                      <w:sz w:val="18"/>
                      <w:szCs w:val="18"/>
                      <w:highlight w:val="none"/>
                    </w:rPr>
                  </w:pPr>
                </w:p>
              </w:tc>
            </w:tr>
            <w:tr w14:paraId="1844C33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340" w:hRule="atLeast"/>
                <w:jc w:val="center"/>
              </w:trPr>
              <w:tc>
                <w:tcPr>
                  <w:tcW w:w="276" w:type="pct"/>
                  <w:vMerge w:val="continue"/>
                  <w:tcBorders>
                    <w:tl2br w:val="nil"/>
                    <w:tr2bl w:val="nil"/>
                  </w:tcBorders>
                  <w:noWrap w:val="0"/>
                  <w:vAlign w:val="center"/>
                </w:tcPr>
                <w:p w14:paraId="18115C04">
                  <w:pPr>
                    <w:pStyle w:val="712"/>
                    <w:adjustRightInd w:val="0"/>
                    <w:snapToGrid w:val="0"/>
                    <w:spacing w:line="240" w:lineRule="auto"/>
                    <w:ind w:firstLine="0" w:firstLineChars="0"/>
                    <w:jc w:val="center"/>
                    <w:rPr>
                      <w:color w:val="auto"/>
                      <w:kern w:val="0"/>
                      <w:sz w:val="18"/>
                      <w:szCs w:val="18"/>
                      <w:highlight w:val="none"/>
                    </w:rPr>
                  </w:pPr>
                </w:p>
              </w:tc>
              <w:tc>
                <w:tcPr>
                  <w:tcW w:w="358" w:type="pct"/>
                  <w:tcBorders>
                    <w:tl2br w:val="nil"/>
                    <w:tr2bl w:val="nil"/>
                  </w:tcBorders>
                  <w:noWrap w:val="0"/>
                  <w:vAlign w:val="center"/>
                </w:tcPr>
                <w:p w14:paraId="6A6C6A13">
                  <w:pPr>
                    <w:pStyle w:val="712"/>
                    <w:adjustRightInd w:val="0"/>
                    <w:snapToGrid w:val="0"/>
                    <w:spacing w:line="240" w:lineRule="auto"/>
                    <w:ind w:firstLine="0" w:firstLineChars="0"/>
                    <w:jc w:val="center"/>
                    <w:rPr>
                      <w:color w:val="auto"/>
                      <w:kern w:val="0"/>
                      <w:sz w:val="18"/>
                      <w:szCs w:val="18"/>
                      <w:highlight w:val="none"/>
                    </w:rPr>
                  </w:pPr>
                  <w:r>
                    <w:rPr>
                      <w:color w:val="auto"/>
                      <w:kern w:val="0"/>
                      <w:sz w:val="18"/>
                      <w:szCs w:val="18"/>
                      <w:highlight w:val="none"/>
                    </w:rPr>
                    <w:t>TN</w:t>
                  </w:r>
                </w:p>
              </w:tc>
              <w:tc>
                <w:tcPr>
                  <w:tcW w:w="317" w:type="pct"/>
                  <w:tcBorders>
                    <w:tl2br w:val="nil"/>
                    <w:tr2bl w:val="nil"/>
                  </w:tcBorders>
                  <w:noWrap w:val="0"/>
                  <w:vAlign w:val="center"/>
                </w:tcPr>
                <w:p w14:paraId="0F9637D3">
                  <w:pPr>
                    <w:adjustRightInd w:val="0"/>
                    <w:snapToGrid w:val="0"/>
                    <w:jc w:val="center"/>
                    <w:rPr>
                      <w:rFonts w:hint="default" w:eastAsia="宋体"/>
                      <w:color w:val="auto"/>
                      <w:kern w:val="0"/>
                      <w:sz w:val="18"/>
                      <w:szCs w:val="18"/>
                      <w:highlight w:val="none"/>
                      <w:lang w:val="en-US" w:eastAsia="zh-CN"/>
                    </w:rPr>
                  </w:pPr>
                  <w:r>
                    <w:rPr>
                      <w:rFonts w:hint="eastAsia"/>
                      <w:color w:val="auto"/>
                      <w:kern w:val="0"/>
                      <w:sz w:val="18"/>
                      <w:szCs w:val="18"/>
                      <w:highlight w:val="none"/>
                      <w:lang w:val="en-US" w:eastAsia="zh-CN"/>
                    </w:rPr>
                    <w:t>35</w:t>
                  </w:r>
                </w:p>
              </w:tc>
              <w:tc>
                <w:tcPr>
                  <w:tcW w:w="306" w:type="pct"/>
                  <w:vMerge w:val="continue"/>
                  <w:tcBorders>
                    <w:tl2br w:val="nil"/>
                    <w:tr2bl w:val="nil"/>
                  </w:tcBorders>
                  <w:noWrap w:val="0"/>
                  <w:vAlign w:val="center"/>
                </w:tcPr>
                <w:p w14:paraId="68199C29">
                  <w:pPr>
                    <w:pStyle w:val="712"/>
                    <w:adjustRightInd w:val="0"/>
                    <w:snapToGrid w:val="0"/>
                    <w:spacing w:line="240" w:lineRule="auto"/>
                    <w:ind w:firstLine="0" w:firstLineChars="0"/>
                    <w:jc w:val="center"/>
                    <w:rPr>
                      <w:color w:val="auto"/>
                      <w:kern w:val="0"/>
                      <w:sz w:val="18"/>
                      <w:szCs w:val="18"/>
                      <w:highlight w:val="none"/>
                    </w:rPr>
                  </w:pPr>
                </w:p>
              </w:tc>
              <w:tc>
                <w:tcPr>
                  <w:tcW w:w="435" w:type="pct"/>
                  <w:vMerge w:val="continue"/>
                  <w:tcBorders>
                    <w:tl2br w:val="nil"/>
                    <w:tr2bl w:val="nil"/>
                  </w:tcBorders>
                  <w:noWrap w:val="0"/>
                  <w:vAlign w:val="center"/>
                </w:tcPr>
                <w:p w14:paraId="5DFB6985">
                  <w:pPr>
                    <w:pStyle w:val="712"/>
                    <w:adjustRightInd w:val="0"/>
                    <w:snapToGrid w:val="0"/>
                    <w:spacing w:line="240" w:lineRule="auto"/>
                    <w:ind w:firstLine="0" w:firstLineChars="0"/>
                    <w:jc w:val="center"/>
                    <w:rPr>
                      <w:color w:val="auto"/>
                      <w:kern w:val="0"/>
                      <w:sz w:val="18"/>
                      <w:szCs w:val="18"/>
                      <w:highlight w:val="none"/>
                    </w:rPr>
                  </w:pPr>
                </w:p>
              </w:tc>
              <w:tc>
                <w:tcPr>
                  <w:tcW w:w="377" w:type="pct"/>
                  <w:vMerge w:val="continue"/>
                  <w:tcBorders>
                    <w:tl2br w:val="nil"/>
                    <w:tr2bl w:val="nil"/>
                  </w:tcBorders>
                  <w:noWrap w:val="0"/>
                  <w:vAlign w:val="center"/>
                </w:tcPr>
                <w:p w14:paraId="1519BF18">
                  <w:pPr>
                    <w:pStyle w:val="712"/>
                    <w:adjustRightInd w:val="0"/>
                    <w:snapToGrid w:val="0"/>
                    <w:spacing w:line="240" w:lineRule="auto"/>
                    <w:ind w:firstLine="0" w:firstLineChars="0"/>
                    <w:jc w:val="center"/>
                    <w:rPr>
                      <w:color w:val="auto"/>
                      <w:kern w:val="0"/>
                      <w:sz w:val="18"/>
                      <w:szCs w:val="18"/>
                      <w:highlight w:val="none"/>
                    </w:rPr>
                  </w:pPr>
                </w:p>
              </w:tc>
              <w:tc>
                <w:tcPr>
                  <w:tcW w:w="398" w:type="pct"/>
                  <w:vMerge w:val="continue"/>
                  <w:tcBorders>
                    <w:tl2br w:val="nil"/>
                    <w:tr2bl w:val="nil"/>
                  </w:tcBorders>
                  <w:noWrap w:val="0"/>
                  <w:vAlign w:val="center"/>
                </w:tcPr>
                <w:p w14:paraId="747CC204">
                  <w:pPr>
                    <w:pStyle w:val="712"/>
                    <w:adjustRightInd w:val="0"/>
                    <w:snapToGrid w:val="0"/>
                    <w:spacing w:line="240" w:lineRule="auto"/>
                    <w:ind w:firstLine="0" w:firstLineChars="0"/>
                    <w:jc w:val="center"/>
                    <w:rPr>
                      <w:color w:val="auto"/>
                      <w:kern w:val="0"/>
                      <w:sz w:val="18"/>
                      <w:szCs w:val="18"/>
                      <w:highlight w:val="none"/>
                    </w:rPr>
                  </w:pPr>
                </w:p>
              </w:tc>
              <w:tc>
                <w:tcPr>
                  <w:tcW w:w="432" w:type="pct"/>
                  <w:vMerge w:val="continue"/>
                  <w:tcBorders>
                    <w:tl2br w:val="nil"/>
                    <w:tr2bl w:val="nil"/>
                  </w:tcBorders>
                  <w:noWrap w:val="0"/>
                  <w:vAlign w:val="center"/>
                </w:tcPr>
                <w:p w14:paraId="2C635E9F">
                  <w:pPr>
                    <w:pStyle w:val="712"/>
                    <w:adjustRightInd w:val="0"/>
                    <w:snapToGrid w:val="0"/>
                    <w:spacing w:line="240" w:lineRule="auto"/>
                    <w:ind w:firstLine="0" w:firstLineChars="0"/>
                    <w:jc w:val="center"/>
                    <w:rPr>
                      <w:color w:val="auto"/>
                      <w:kern w:val="0"/>
                      <w:sz w:val="18"/>
                      <w:szCs w:val="18"/>
                      <w:highlight w:val="none"/>
                    </w:rPr>
                  </w:pPr>
                </w:p>
              </w:tc>
              <w:tc>
                <w:tcPr>
                  <w:tcW w:w="653" w:type="pct"/>
                  <w:vMerge w:val="continue"/>
                  <w:tcBorders>
                    <w:tl2br w:val="nil"/>
                    <w:tr2bl w:val="nil"/>
                  </w:tcBorders>
                  <w:noWrap w:val="0"/>
                  <w:vAlign w:val="center"/>
                </w:tcPr>
                <w:p w14:paraId="316252A2">
                  <w:pPr>
                    <w:pStyle w:val="712"/>
                    <w:adjustRightInd w:val="0"/>
                    <w:snapToGrid w:val="0"/>
                    <w:spacing w:line="240" w:lineRule="auto"/>
                    <w:ind w:firstLine="0" w:firstLineChars="0"/>
                    <w:jc w:val="center"/>
                    <w:rPr>
                      <w:color w:val="auto"/>
                      <w:kern w:val="0"/>
                      <w:sz w:val="18"/>
                      <w:szCs w:val="18"/>
                      <w:highlight w:val="none"/>
                    </w:rPr>
                  </w:pPr>
                </w:p>
              </w:tc>
              <w:tc>
                <w:tcPr>
                  <w:tcW w:w="735" w:type="pct"/>
                  <w:vMerge w:val="continue"/>
                  <w:tcBorders>
                    <w:tl2br w:val="nil"/>
                    <w:tr2bl w:val="nil"/>
                  </w:tcBorders>
                  <w:noWrap w:val="0"/>
                  <w:vAlign w:val="center"/>
                </w:tcPr>
                <w:p w14:paraId="67DE6A1B">
                  <w:pPr>
                    <w:pStyle w:val="712"/>
                    <w:adjustRightInd w:val="0"/>
                    <w:snapToGrid w:val="0"/>
                    <w:spacing w:line="240" w:lineRule="auto"/>
                    <w:ind w:firstLine="0" w:firstLineChars="0"/>
                    <w:jc w:val="center"/>
                    <w:rPr>
                      <w:color w:val="auto"/>
                      <w:kern w:val="0"/>
                      <w:sz w:val="18"/>
                      <w:szCs w:val="18"/>
                      <w:highlight w:val="none"/>
                    </w:rPr>
                  </w:pPr>
                </w:p>
              </w:tc>
              <w:tc>
                <w:tcPr>
                  <w:tcW w:w="306" w:type="pct"/>
                  <w:tcBorders>
                    <w:tl2br w:val="nil"/>
                    <w:tr2bl w:val="nil"/>
                  </w:tcBorders>
                  <w:noWrap w:val="0"/>
                  <w:vAlign w:val="center"/>
                </w:tcPr>
                <w:p w14:paraId="5FE9B61A">
                  <w:pPr>
                    <w:pStyle w:val="712"/>
                    <w:adjustRightInd w:val="0"/>
                    <w:snapToGrid w:val="0"/>
                    <w:spacing w:line="240" w:lineRule="auto"/>
                    <w:ind w:firstLine="0" w:firstLineChars="0"/>
                    <w:jc w:val="center"/>
                    <w:rPr>
                      <w:color w:val="auto"/>
                      <w:kern w:val="0"/>
                      <w:sz w:val="18"/>
                      <w:szCs w:val="18"/>
                      <w:highlight w:val="none"/>
                    </w:rPr>
                  </w:pPr>
                  <w:r>
                    <w:rPr>
                      <w:color w:val="auto"/>
                      <w:kern w:val="0"/>
                      <w:sz w:val="18"/>
                      <w:szCs w:val="18"/>
                      <w:highlight w:val="none"/>
                    </w:rPr>
                    <w:t>50</w:t>
                  </w:r>
                </w:p>
              </w:tc>
              <w:tc>
                <w:tcPr>
                  <w:tcW w:w="402" w:type="pct"/>
                  <w:vMerge w:val="continue"/>
                  <w:tcBorders>
                    <w:tl2br w:val="nil"/>
                    <w:tr2bl w:val="nil"/>
                  </w:tcBorders>
                  <w:noWrap w:val="0"/>
                  <w:vAlign w:val="center"/>
                </w:tcPr>
                <w:p w14:paraId="39914BE3">
                  <w:pPr>
                    <w:pStyle w:val="712"/>
                    <w:adjustRightInd w:val="0"/>
                    <w:snapToGrid w:val="0"/>
                    <w:spacing w:line="240" w:lineRule="auto"/>
                    <w:ind w:firstLine="0" w:firstLineChars="0"/>
                    <w:jc w:val="center"/>
                    <w:rPr>
                      <w:color w:val="auto"/>
                      <w:kern w:val="0"/>
                      <w:sz w:val="18"/>
                      <w:szCs w:val="18"/>
                      <w:highlight w:val="none"/>
                    </w:rPr>
                  </w:pPr>
                </w:p>
              </w:tc>
            </w:tr>
          </w:tbl>
          <w:p w14:paraId="1FF5976A">
            <w:pPr>
              <w:pStyle w:val="2"/>
              <w:ind w:firstLine="422" w:firstLineChars="200"/>
              <w:rPr>
                <w:b/>
                <w:bCs/>
                <w:color w:val="auto"/>
                <w:sz w:val="21"/>
                <w:szCs w:val="21"/>
              </w:rPr>
            </w:pPr>
            <w:r>
              <w:rPr>
                <w:b/>
                <w:bCs/>
                <w:color w:val="auto"/>
                <w:sz w:val="21"/>
                <w:szCs w:val="21"/>
              </w:rPr>
              <w:t>（3）接管可行性分析</w:t>
            </w:r>
          </w:p>
          <w:p w14:paraId="18D73A2B">
            <w:pPr>
              <w:autoSpaceDE w:val="0"/>
              <w:autoSpaceDN w:val="0"/>
              <w:adjustRightInd w:val="0"/>
              <w:snapToGrid w:val="0"/>
              <w:spacing w:line="360" w:lineRule="auto"/>
              <w:ind w:firstLine="422" w:firstLineChars="200"/>
              <w:rPr>
                <w:b/>
                <w:bCs/>
                <w:color w:val="auto"/>
                <w:kern w:val="0"/>
              </w:rPr>
            </w:pPr>
            <w:r>
              <w:rPr>
                <w:rFonts w:hint="eastAsia"/>
                <w:b/>
                <w:bCs/>
                <w:color w:val="auto"/>
                <w:kern w:val="0"/>
              </w:rPr>
              <w:t>1）废水水质可行性分析</w:t>
            </w:r>
          </w:p>
          <w:p w14:paraId="5BB98F8C">
            <w:pPr>
              <w:autoSpaceDE w:val="0"/>
              <w:autoSpaceDN w:val="0"/>
              <w:adjustRightInd w:val="0"/>
              <w:snapToGrid w:val="0"/>
              <w:spacing w:line="360" w:lineRule="auto"/>
              <w:ind w:firstLine="420" w:firstLineChars="200"/>
              <w:rPr>
                <w:color w:val="auto"/>
                <w:kern w:val="0"/>
              </w:rPr>
            </w:pPr>
            <w:r>
              <w:rPr>
                <w:rFonts w:hint="eastAsia"/>
                <w:color w:val="auto"/>
                <w:kern w:val="0"/>
              </w:rPr>
              <w:t>项目废水中主要含有COD、SS、NH</w:t>
            </w:r>
            <w:r>
              <w:rPr>
                <w:rFonts w:hint="eastAsia"/>
                <w:color w:val="auto"/>
                <w:kern w:val="0"/>
                <w:vertAlign w:val="subscript"/>
              </w:rPr>
              <w:t>3</w:t>
            </w:r>
            <w:r>
              <w:rPr>
                <w:rFonts w:hint="eastAsia"/>
                <w:color w:val="auto"/>
                <w:kern w:val="0"/>
              </w:rPr>
              <w:t>-N、TP、TN等常规指标，</w:t>
            </w:r>
            <w:r>
              <w:rPr>
                <w:color w:val="auto"/>
                <w:kern w:val="0"/>
              </w:rPr>
              <w:t>接管</w:t>
            </w:r>
            <w:r>
              <w:rPr>
                <w:rFonts w:hint="eastAsia"/>
                <w:color w:val="auto"/>
                <w:kern w:val="0"/>
              </w:rPr>
              <w:t>浓度为</w:t>
            </w:r>
            <w:r>
              <w:rPr>
                <w:color w:val="auto"/>
                <w:kern w:val="0"/>
              </w:rPr>
              <w:t>COD</w:t>
            </w:r>
            <w:r>
              <w:rPr>
                <w:rFonts w:hint="eastAsia"/>
                <w:color w:val="auto"/>
                <w:kern w:val="0"/>
              </w:rPr>
              <w:t xml:space="preserve"> </w:t>
            </w:r>
            <w:r>
              <w:rPr>
                <w:rFonts w:hint="eastAsia"/>
                <w:color w:val="auto"/>
                <w:kern w:val="0"/>
                <w:lang w:val="en-US" w:eastAsia="zh-CN"/>
              </w:rPr>
              <w:t>400</w:t>
            </w:r>
            <w:r>
              <w:rPr>
                <w:color w:val="auto"/>
                <w:kern w:val="0"/>
              </w:rPr>
              <w:t>mg/L、SS</w:t>
            </w:r>
            <w:r>
              <w:rPr>
                <w:rFonts w:hint="eastAsia"/>
                <w:color w:val="auto"/>
                <w:kern w:val="0"/>
              </w:rPr>
              <w:t xml:space="preserve"> 2</w:t>
            </w:r>
            <w:r>
              <w:rPr>
                <w:rFonts w:hint="eastAsia"/>
                <w:color w:val="auto"/>
                <w:kern w:val="0"/>
                <w:lang w:val="en-US" w:eastAsia="zh-CN"/>
              </w:rPr>
              <w:t>0</w:t>
            </w:r>
            <w:r>
              <w:rPr>
                <w:rFonts w:hint="eastAsia"/>
                <w:color w:val="auto"/>
                <w:kern w:val="0"/>
              </w:rPr>
              <w:t>0</w:t>
            </w:r>
            <w:r>
              <w:rPr>
                <w:color w:val="auto"/>
                <w:kern w:val="0"/>
              </w:rPr>
              <w:t>mg/L、</w:t>
            </w:r>
            <w:r>
              <w:rPr>
                <w:rFonts w:hint="eastAsia"/>
                <w:color w:val="auto"/>
                <w:kern w:val="0"/>
              </w:rPr>
              <w:t>NH</w:t>
            </w:r>
            <w:r>
              <w:rPr>
                <w:rFonts w:hint="eastAsia"/>
                <w:color w:val="auto"/>
                <w:kern w:val="0"/>
                <w:vertAlign w:val="subscript"/>
              </w:rPr>
              <w:t>3</w:t>
            </w:r>
            <w:r>
              <w:rPr>
                <w:rFonts w:hint="eastAsia"/>
                <w:color w:val="auto"/>
                <w:kern w:val="0"/>
              </w:rPr>
              <w:t xml:space="preserve">-N </w:t>
            </w:r>
            <w:r>
              <w:rPr>
                <w:rFonts w:hint="eastAsia"/>
                <w:color w:val="auto"/>
                <w:kern w:val="0"/>
                <w:lang w:val="en-US" w:eastAsia="zh-CN"/>
              </w:rPr>
              <w:t>2</w:t>
            </w:r>
            <w:r>
              <w:rPr>
                <w:rFonts w:hint="eastAsia"/>
                <w:color w:val="auto"/>
                <w:kern w:val="0"/>
              </w:rPr>
              <w:t>5</w:t>
            </w:r>
            <w:r>
              <w:rPr>
                <w:color w:val="auto"/>
                <w:kern w:val="0"/>
              </w:rPr>
              <w:t>mg/L、</w:t>
            </w:r>
            <w:r>
              <w:rPr>
                <w:rFonts w:hint="eastAsia"/>
                <w:color w:val="auto"/>
                <w:kern w:val="0"/>
              </w:rPr>
              <w:t xml:space="preserve">TP </w:t>
            </w:r>
            <w:r>
              <w:rPr>
                <w:color w:val="auto"/>
                <w:kern w:val="0"/>
              </w:rPr>
              <w:t>3mg/L、TN</w:t>
            </w:r>
            <w:r>
              <w:rPr>
                <w:rFonts w:hint="eastAsia"/>
                <w:color w:val="auto"/>
                <w:kern w:val="0"/>
              </w:rPr>
              <w:t xml:space="preserve"> </w:t>
            </w:r>
            <w:r>
              <w:rPr>
                <w:rFonts w:hint="eastAsia"/>
                <w:color w:val="auto"/>
                <w:kern w:val="0"/>
                <w:lang w:val="en-US" w:eastAsia="zh-CN"/>
              </w:rPr>
              <w:t>35</w:t>
            </w:r>
            <w:r>
              <w:rPr>
                <w:color w:val="auto"/>
                <w:kern w:val="0"/>
              </w:rPr>
              <w:t>mg/L，均可达到接管标准，可生化性好，污水处理厂对</w:t>
            </w:r>
            <w:r>
              <w:rPr>
                <w:rFonts w:hint="eastAsia"/>
                <w:color w:val="auto"/>
                <w:kern w:val="0"/>
              </w:rPr>
              <w:t>本项目</w:t>
            </w:r>
            <w:r>
              <w:rPr>
                <w:color w:val="auto"/>
                <w:kern w:val="0"/>
              </w:rPr>
              <w:t>废水去除效果较好，能做到达标排放，目前项目所在地污水管网已经铺设到位。因此，从工程角度上，项目生活污水具备接管可行性。</w:t>
            </w:r>
          </w:p>
          <w:p w14:paraId="24AD81D2">
            <w:pPr>
              <w:adjustRightInd w:val="0"/>
              <w:snapToGrid w:val="0"/>
              <w:spacing w:line="360" w:lineRule="auto"/>
              <w:ind w:firstLine="422" w:firstLineChars="200"/>
              <w:rPr>
                <w:b/>
                <w:bCs/>
                <w:color w:val="auto"/>
                <w:kern w:val="0"/>
              </w:rPr>
            </w:pPr>
            <w:r>
              <w:rPr>
                <w:rFonts w:hint="eastAsia"/>
                <w:b/>
                <w:bCs/>
                <w:color w:val="auto"/>
                <w:kern w:val="0"/>
              </w:rPr>
              <w:t>2）</w:t>
            </w:r>
            <w:r>
              <w:rPr>
                <w:b/>
                <w:bCs/>
                <w:color w:val="auto"/>
                <w:kern w:val="0"/>
              </w:rPr>
              <w:t>污水处理厂处理负荷可行性分析</w:t>
            </w:r>
          </w:p>
          <w:p w14:paraId="423427D7">
            <w:pPr>
              <w:adjustRightInd w:val="0"/>
              <w:snapToGrid w:val="0"/>
              <w:spacing w:line="360" w:lineRule="auto"/>
              <w:ind w:firstLine="420" w:firstLineChars="200"/>
              <w:rPr>
                <w:color w:val="auto"/>
                <w:kern w:val="0"/>
              </w:rPr>
            </w:pPr>
            <w:r>
              <w:rPr>
                <w:rFonts w:hint="eastAsia"/>
                <w:color w:val="auto"/>
                <w:kern w:val="0"/>
              </w:rPr>
              <w:t>常州金坛区第二污水处理有限公司</w:t>
            </w:r>
            <w:r>
              <w:rPr>
                <w:color w:val="auto"/>
                <w:kern w:val="0"/>
              </w:rPr>
              <w:t>一期建设规模2万m</w:t>
            </w:r>
            <w:r>
              <w:rPr>
                <w:color w:val="auto"/>
                <w:kern w:val="0"/>
                <w:vertAlign w:val="superscript"/>
              </w:rPr>
              <w:t>3</w:t>
            </w:r>
            <w:r>
              <w:rPr>
                <w:color w:val="auto"/>
                <w:kern w:val="0"/>
              </w:rPr>
              <w:t>/d，于2005年底建成运营；二期2万m</w:t>
            </w:r>
            <w:r>
              <w:rPr>
                <w:color w:val="auto"/>
                <w:kern w:val="0"/>
                <w:vertAlign w:val="superscript"/>
              </w:rPr>
              <w:t>3</w:t>
            </w:r>
            <w:r>
              <w:rPr>
                <w:color w:val="auto"/>
                <w:kern w:val="0"/>
              </w:rPr>
              <w:t>/d，已于2009年底正式投入运营；三期2万m</w:t>
            </w:r>
            <w:r>
              <w:rPr>
                <w:color w:val="auto"/>
                <w:kern w:val="0"/>
                <w:vertAlign w:val="superscript"/>
              </w:rPr>
              <w:t>3</w:t>
            </w:r>
            <w:r>
              <w:rPr>
                <w:color w:val="auto"/>
                <w:kern w:val="0"/>
              </w:rPr>
              <w:t>/d，已于2014年4月8日取得原金坛市环保局的环评批复。目前</w:t>
            </w:r>
            <w:r>
              <w:rPr>
                <w:rFonts w:hint="eastAsia"/>
                <w:color w:val="auto"/>
                <w:kern w:val="0"/>
              </w:rPr>
              <w:t>常州金坛区第二污水处理有限公司</w:t>
            </w:r>
            <w:r>
              <w:rPr>
                <w:color w:val="auto"/>
                <w:kern w:val="0"/>
              </w:rPr>
              <w:t>处理能力已达6万m</w:t>
            </w:r>
            <w:r>
              <w:rPr>
                <w:color w:val="auto"/>
                <w:kern w:val="0"/>
                <w:vertAlign w:val="superscript"/>
              </w:rPr>
              <w:t>3</w:t>
            </w:r>
            <w:r>
              <w:rPr>
                <w:color w:val="auto"/>
                <w:kern w:val="0"/>
              </w:rPr>
              <w:t>/d，实际污水处理量为5.5万m</w:t>
            </w:r>
            <w:r>
              <w:rPr>
                <w:color w:val="auto"/>
                <w:kern w:val="0"/>
                <w:vertAlign w:val="superscript"/>
              </w:rPr>
              <w:t>3</w:t>
            </w:r>
            <w:r>
              <w:rPr>
                <w:color w:val="auto"/>
                <w:kern w:val="0"/>
              </w:rPr>
              <w:t>/d，尚有0.5万m</w:t>
            </w:r>
            <w:r>
              <w:rPr>
                <w:color w:val="auto"/>
                <w:kern w:val="0"/>
                <w:vertAlign w:val="superscript"/>
              </w:rPr>
              <w:t>3</w:t>
            </w:r>
            <w:r>
              <w:rPr>
                <w:color w:val="auto"/>
                <w:kern w:val="0"/>
              </w:rPr>
              <w:t>/d的余量，且规划建设规模为16万m</w:t>
            </w:r>
            <w:r>
              <w:rPr>
                <w:color w:val="auto"/>
                <w:kern w:val="0"/>
                <w:vertAlign w:val="superscript"/>
              </w:rPr>
              <w:t>3</w:t>
            </w:r>
            <w:r>
              <w:rPr>
                <w:color w:val="auto"/>
                <w:kern w:val="0"/>
              </w:rPr>
              <w:t>/d。</w:t>
            </w:r>
          </w:p>
          <w:p w14:paraId="5040E456">
            <w:pPr>
              <w:adjustRightInd w:val="0"/>
              <w:snapToGrid w:val="0"/>
              <w:spacing w:line="360" w:lineRule="auto"/>
              <w:ind w:firstLine="420" w:firstLineChars="200"/>
              <w:rPr>
                <w:color w:val="auto"/>
                <w:kern w:val="0"/>
              </w:rPr>
            </w:pPr>
            <w:r>
              <w:rPr>
                <w:rFonts w:hint="eastAsia"/>
                <w:color w:val="auto"/>
                <w:kern w:val="0"/>
              </w:rPr>
              <w:t>本</w:t>
            </w:r>
            <w:r>
              <w:rPr>
                <w:color w:val="auto"/>
                <w:kern w:val="0"/>
              </w:rPr>
              <w:t>项目建成后污水排放量为</w:t>
            </w:r>
            <w:r>
              <w:rPr>
                <w:rFonts w:hint="eastAsia"/>
                <w:color w:val="auto"/>
                <w:kern w:val="0"/>
                <w:lang w:val="en-US" w:eastAsia="zh-CN"/>
              </w:rPr>
              <w:t>2.8</w:t>
            </w:r>
            <w:r>
              <w:rPr>
                <w:color w:val="auto"/>
                <w:kern w:val="0"/>
              </w:rPr>
              <w:t>m</w:t>
            </w:r>
            <w:r>
              <w:rPr>
                <w:color w:val="auto"/>
                <w:kern w:val="0"/>
                <w:vertAlign w:val="superscript"/>
              </w:rPr>
              <w:t>3</w:t>
            </w:r>
            <w:r>
              <w:rPr>
                <w:color w:val="auto"/>
                <w:kern w:val="0"/>
              </w:rPr>
              <w:t>/d，占</w:t>
            </w:r>
            <w:r>
              <w:rPr>
                <w:rFonts w:hint="eastAsia"/>
                <w:color w:val="auto"/>
                <w:kern w:val="0"/>
              </w:rPr>
              <w:t>常州金坛区第二污水处理有限公司</w:t>
            </w:r>
            <w:r>
              <w:rPr>
                <w:color w:val="auto"/>
                <w:kern w:val="0"/>
              </w:rPr>
              <w:t>处理余量的比例较小，仅</w:t>
            </w:r>
            <w:r>
              <w:rPr>
                <w:rFonts w:hint="eastAsia"/>
                <w:color w:val="auto"/>
                <w:kern w:val="0"/>
              </w:rPr>
              <w:t>0.</w:t>
            </w:r>
            <w:r>
              <w:rPr>
                <w:rFonts w:hint="eastAsia"/>
                <w:color w:val="auto"/>
                <w:kern w:val="0"/>
                <w:lang w:val="en-US" w:eastAsia="zh-CN"/>
              </w:rPr>
              <w:t>056</w:t>
            </w:r>
            <w:r>
              <w:rPr>
                <w:color w:val="auto"/>
                <w:kern w:val="0"/>
              </w:rPr>
              <w:t>%。因此，从水量分析，</w:t>
            </w:r>
            <w:r>
              <w:rPr>
                <w:rFonts w:hint="eastAsia"/>
                <w:color w:val="auto"/>
                <w:kern w:val="0"/>
              </w:rPr>
              <w:t>常州金坛区第二污水处理有限公司</w:t>
            </w:r>
            <w:r>
              <w:rPr>
                <w:color w:val="auto"/>
                <w:kern w:val="0"/>
              </w:rPr>
              <w:t>接纳</w:t>
            </w:r>
            <w:r>
              <w:rPr>
                <w:rFonts w:hint="eastAsia"/>
                <w:color w:val="auto"/>
                <w:kern w:val="0"/>
              </w:rPr>
              <w:t>本项目</w:t>
            </w:r>
            <w:r>
              <w:rPr>
                <w:color w:val="auto"/>
                <w:kern w:val="0"/>
              </w:rPr>
              <w:t>废水是可行的。</w:t>
            </w:r>
          </w:p>
          <w:p w14:paraId="70A5AF00">
            <w:pPr>
              <w:pStyle w:val="27"/>
              <w:spacing w:line="360" w:lineRule="auto"/>
              <w:ind w:left="0" w:leftChars="0" w:right="0" w:rightChars="0" w:firstLine="422"/>
              <w:rPr>
                <w:b/>
                <w:bCs/>
                <w:color w:val="auto"/>
                <w:kern w:val="0"/>
                <w:sz w:val="21"/>
              </w:rPr>
            </w:pPr>
            <w:r>
              <w:rPr>
                <w:rFonts w:hint="eastAsia"/>
                <w:b/>
                <w:bCs/>
                <w:color w:val="auto"/>
                <w:kern w:val="0"/>
                <w:sz w:val="21"/>
              </w:rPr>
              <w:t>3）</w:t>
            </w:r>
            <w:r>
              <w:rPr>
                <w:b/>
                <w:bCs/>
                <w:color w:val="auto"/>
                <w:kern w:val="0"/>
                <w:sz w:val="21"/>
              </w:rPr>
              <w:t>污水处理厂处理工艺可行性分析</w:t>
            </w:r>
          </w:p>
          <w:p w14:paraId="12B4FD41">
            <w:pPr>
              <w:pStyle w:val="27"/>
              <w:spacing w:line="360" w:lineRule="auto"/>
              <w:ind w:left="0" w:leftChars="0" w:right="0" w:rightChars="0" w:firstLine="420"/>
              <w:rPr>
                <w:color w:val="auto"/>
                <w:kern w:val="0"/>
                <w:sz w:val="21"/>
              </w:rPr>
            </w:pPr>
            <w:r>
              <w:rPr>
                <w:rFonts w:hint="eastAsia"/>
                <w:color w:val="auto"/>
                <w:kern w:val="0"/>
                <w:sz w:val="21"/>
              </w:rPr>
              <w:t>常州金坛区第二污水处理有限公司</w:t>
            </w:r>
            <w:r>
              <w:rPr>
                <w:color w:val="auto"/>
                <w:kern w:val="0"/>
                <w:sz w:val="21"/>
              </w:rPr>
              <w:t>采用A</w:t>
            </w:r>
            <w:r>
              <w:rPr>
                <w:color w:val="auto"/>
                <w:kern w:val="0"/>
                <w:sz w:val="21"/>
                <w:vertAlign w:val="superscript"/>
              </w:rPr>
              <w:t>2</w:t>
            </w:r>
            <w:r>
              <w:rPr>
                <w:color w:val="auto"/>
                <w:kern w:val="0"/>
                <w:sz w:val="21"/>
              </w:rPr>
              <w:t>/O工艺，把除磷、脱氮和降解有机物三个生化过程结合起来，在厌氧段和缺氧段为除磷和脱氮提供各自不同的反应条件。污水处理厂尾水执行《城镇污水处理厂污染物排放标准》（GB18918-2002）一级A标准及《太湖地区城镇污水处理厂及重点工业行业重要水污染物排放限值》（DB32/1072-2018）标准，排入尧塘河。具体工艺流程见下图</w:t>
            </w:r>
            <w:r>
              <w:rPr>
                <w:rFonts w:hint="eastAsia"/>
                <w:color w:val="auto"/>
                <w:kern w:val="0"/>
                <w:sz w:val="21"/>
              </w:rPr>
              <w:t>：</w:t>
            </w:r>
          </w:p>
          <w:p w14:paraId="5F0A1A13">
            <w:pPr>
              <w:adjustRightInd w:val="0"/>
              <w:snapToGrid w:val="0"/>
              <w:jc w:val="center"/>
              <w:rPr>
                <w:color w:val="auto"/>
                <w:kern w:val="0"/>
              </w:rPr>
            </w:pPr>
            <w:r>
              <w:rPr>
                <w:color w:val="auto"/>
                <w:kern w:val="0"/>
              </w:rPr>
              <w:object>
                <v:shape id="_x0000_i1038" o:spt="75" type="#_x0000_t75" style="height:136.5pt;width:407.25pt;" o:ole="t" filled="f" o:preferrelative="t" stroked="f" coordsize="21600,21600">
                  <v:path/>
                  <v:fill on="f" focussize="0,0"/>
                  <v:stroke on="f" joinstyle="miter"/>
                  <v:imagedata r:id="rId39" o:title=""/>
                  <o:lock v:ext="edit" aspectratio="t"/>
                  <w10:wrap type="none"/>
                  <w10:anchorlock/>
                </v:shape>
                <o:OLEObject Type="Embed" ProgID="Visio.Drawing.11" ShapeID="_x0000_i1038" DrawAspect="Content" ObjectID="_1468075738" r:id="rId38">
                  <o:LockedField>false</o:LockedField>
                </o:OLEObject>
              </w:object>
            </w:r>
          </w:p>
          <w:p w14:paraId="5F936096">
            <w:pPr>
              <w:snapToGrid w:val="0"/>
              <w:spacing w:line="360" w:lineRule="auto"/>
              <w:jc w:val="center"/>
              <w:rPr>
                <w:b/>
                <w:color w:val="auto"/>
                <w:kern w:val="0"/>
              </w:rPr>
            </w:pPr>
            <w:r>
              <w:rPr>
                <w:b/>
                <w:color w:val="auto"/>
                <w:kern w:val="0"/>
              </w:rPr>
              <w:t>图4-</w:t>
            </w:r>
            <w:r>
              <w:rPr>
                <w:rFonts w:hint="eastAsia"/>
                <w:b/>
                <w:color w:val="auto"/>
                <w:kern w:val="0"/>
                <w:lang w:val="en-US" w:eastAsia="zh-CN"/>
              </w:rPr>
              <w:t>2</w:t>
            </w:r>
            <w:r>
              <w:rPr>
                <w:rFonts w:hint="eastAsia"/>
                <w:b/>
                <w:color w:val="auto"/>
                <w:kern w:val="0"/>
              </w:rPr>
              <w:t xml:space="preserve">   </w:t>
            </w:r>
            <w:r>
              <w:rPr>
                <w:rFonts w:hint="eastAsia"/>
                <w:b/>
                <w:bCs/>
                <w:color w:val="auto"/>
                <w:kern w:val="0"/>
              </w:rPr>
              <w:t>常州金坛区第二污水处理有限公司</w:t>
            </w:r>
            <w:r>
              <w:rPr>
                <w:b/>
                <w:color w:val="auto"/>
                <w:kern w:val="0"/>
              </w:rPr>
              <w:t>处理工艺流程图</w:t>
            </w:r>
          </w:p>
          <w:p w14:paraId="5A279E29">
            <w:pPr>
              <w:pStyle w:val="27"/>
              <w:spacing w:line="360" w:lineRule="auto"/>
              <w:ind w:left="0" w:leftChars="0" w:right="0" w:rightChars="0" w:firstLine="420"/>
              <w:rPr>
                <w:color w:val="auto"/>
                <w:kern w:val="0"/>
                <w:sz w:val="21"/>
              </w:rPr>
            </w:pPr>
            <w:r>
              <w:rPr>
                <w:color w:val="auto"/>
                <w:kern w:val="0"/>
                <w:sz w:val="21"/>
              </w:rPr>
              <w:t>污水处理工艺简述</w:t>
            </w:r>
            <w:r>
              <w:rPr>
                <w:rFonts w:hint="eastAsia"/>
                <w:color w:val="auto"/>
                <w:kern w:val="0"/>
                <w:sz w:val="21"/>
              </w:rPr>
              <w:t>：</w:t>
            </w:r>
            <w:r>
              <w:rPr>
                <w:color w:val="auto"/>
                <w:kern w:val="0"/>
                <w:sz w:val="21"/>
              </w:rPr>
              <w:t>废水经过粗格栅隔去除尺寸较大的杂质由进水泵房的污水泵将污水经细格栅打入旋流沉砂池。污水经过沉砂后进入A</w:t>
            </w:r>
            <w:r>
              <w:rPr>
                <w:color w:val="auto"/>
                <w:kern w:val="0"/>
                <w:sz w:val="21"/>
                <w:vertAlign w:val="superscript"/>
              </w:rPr>
              <w:t>2</w:t>
            </w:r>
            <w:r>
              <w:rPr>
                <w:color w:val="auto"/>
                <w:kern w:val="0"/>
                <w:sz w:val="21"/>
              </w:rPr>
              <w:t>/O反应池进行生化处理，通过厌氧、缺氧和好氧交替变化的环境完成除磷脱氮，处理后废水经加氯接触消毒后排放。A</w:t>
            </w:r>
            <w:r>
              <w:rPr>
                <w:color w:val="auto"/>
                <w:kern w:val="0"/>
                <w:sz w:val="21"/>
                <w:vertAlign w:val="superscript"/>
              </w:rPr>
              <w:t>2</w:t>
            </w:r>
            <w:r>
              <w:rPr>
                <w:color w:val="auto"/>
                <w:kern w:val="0"/>
                <w:sz w:val="21"/>
              </w:rPr>
              <w:t>/O反应池剩余污泥从沉淀区排出，进入污泥均质池（回流污泥泵房），然后进入污泥浓缩脱水车间采用板框压滤机压成泥饼外运。污泥处理产生的废水返回到废水处理工艺流程，尾水处理达标后排入尧塘河。</w:t>
            </w:r>
          </w:p>
          <w:p w14:paraId="13B4DE90">
            <w:pPr>
              <w:pStyle w:val="27"/>
              <w:spacing w:line="360" w:lineRule="auto"/>
              <w:ind w:left="0" w:leftChars="0" w:right="0" w:rightChars="0" w:firstLine="420"/>
              <w:rPr>
                <w:color w:val="auto"/>
                <w:kern w:val="0"/>
                <w:sz w:val="21"/>
              </w:rPr>
            </w:pPr>
            <w:r>
              <w:rPr>
                <w:rFonts w:hint="eastAsia"/>
                <w:color w:val="auto"/>
                <w:kern w:val="0"/>
                <w:sz w:val="21"/>
              </w:rPr>
              <w:t>本项目</w:t>
            </w:r>
            <w:r>
              <w:rPr>
                <w:color w:val="auto"/>
                <w:kern w:val="0"/>
                <w:sz w:val="21"/>
              </w:rPr>
              <w:t>废水主要污染物为COD、SS、NH</w:t>
            </w:r>
            <w:r>
              <w:rPr>
                <w:color w:val="auto"/>
                <w:kern w:val="0"/>
                <w:sz w:val="21"/>
                <w:vertAlign w:val="subscript"/>
              </w:rPr>
              <w:t>3</w:t>
            </w:r>
            <w:r>
              <w:rPr>
                <w:color w:val="auto"/>
                <w:kern w:val="0"/>
                <w:sz w:val="21"/>
              </w:rPr>
              <w:t>-N、TP和TN，水质简单，可生化性好，从废水排放达标分析结果可知，废水水质满足</w:t>
            </w:r>
            <w:r>
              <w:rPr>
                <w:rFonts w:hint="eastAsia"/>
                <w:color w:val="auto"/>
                <w:kern w:val="0"/>
                <w:sz w:val="21"/>
              </w:rPr>
              <w:t>常州金坛区第二污水处理有限公司</w:t>
            </w:r>
            <w:r>
              <w:rPr>
                <w:color w:val="auto"/>
                <w:kern w:val="0"/>
                <w:sz w:val="21"/>
              </w:rPr>
              <w:t>接管水质要求。即从处理工艺上接管可行。此外，</w:t>
            </w:r>
            <w:r>
              <w:rPr>
                <w:rFonts w:hint="eastAsia"/>
                <w:color w:val="auto"/>
                <w:kern w:val="0"/>
                <w:sz w:val="21"/>
              </w:rPr>
              <w:t>本项目</w:t>
            </w:r>
            <w:r>
              <w:rPr>
                <w:color w:val="auto"/>
                <w:kern w:val="0"/>
                <w:sz w:val="21"/>
              </w:rPr>
              <w:t>外排废水中</w:t>
            </w:r>
            <w:r>
              <w:rPr>
                <w:rFonts w:hint="eastAsia"/>
                <w:color w:val="auto"/>
                <w:kern w:val="0"/>
                <w:sz w:val="21"/>
              </w:rPr>
              <w:t>仅为生活污水</w:t>
            </w:r>
            <w:r>
              <w:rPr>
                <w:color w:val="auto"/>
                <w:kern w:val="0"/>
                <w:sz w:val="21"/>
              </w:rPr>
              <w:t>，</w:t>
            </w:r>
            <w:r>
              <w:rPr>
                <w:rFonts w:hint="eastAsia"/>
                <w:color w:val="auto"/>
                <w:kern w:val="0"/>
                <w:sz w:val="21"/>
              </w:rPr>
              <w:t>无生产废水外排，</w:t>
            </w:r>
            <w:r>
              <w:rPr>
                <w:color w:val="auto"/>
                <w:kern w:val="0"/>
                <w:sz w:val="21"/>
              </w:rPr>
              <w:t>满足《江苏省太湖水污染防治条例》的有关规定。</w:t>
            </w:r>
          </w:p>
          <w:p w14:paraId="17F0468D">
            <w:pPr>
              <w:pStyle w:val="27"/>
              <w:spacing w:line="360" w:lineRule="auto"/>
              <w:ind w:left="0" w:leftChars="0" w:right="0" w:rightChars="0" w:firstLine="422"/>
              <w:rPr>
                <w:b/>
                <w:bCs/>
                <w:color w:val="auto"/>
                <w:kern w:val="0"/>
                <w:sz w:val="21"/>
              </w:rPr>
            </w:pPr>
            <w:r>
              <w:rPr>
                <w:rFonts w:hint="eastAsia"/>
                <w:b/>
                <w:bCs/>
                <w:color w:val="auto"/>
                <w:kern w:val="0"/>
                <w:sz w:val="21"/>
                <w:lang w:val="en-US" w:eastAsia="zh-CN"/>
              </w:rPr>
              <w:t>4</w:t>
            </w:r>
            <w:r>
              <w:rPr>
                <w:rFonts w:hint="eastAsia"/>
                <w:b/>
                <w:bCs/>
                <w:color w:val="auto"/>
                <w:kern w:val="0"/>
                <w:sz w:val="21"/>
              </w:rPr>
              <w:t>）</w:t>
            </w:r>
            <w:r>
              <w:rPr>
                <w:b/>
                <w:bCs/>
                <w:color w:val="auto"/>
                <w:kern w:val="0"/>
                <w:sz w:val="21"/>
              </w:rPr>
              <w:t>管网配套情况</w:t>
            </w:r>
          </w:p>
          <w:p w14:paraId="7CB96A73">
            <w:pPr>
              <w:pStyle w:val="27"/>
              <w:spacing w:line="360" w:lineRule="auto"/>
              <w:ind w:left="0" w:leftChars="0" w:right="0" w:rightChars="0" w:firstLine="420"/>
              <w:rPr>
                <w:color w:val="auto"/>
                <w:kern w:val="0"/>
                <w:sz w:val="21"/>
              </w:rPr>
            </w:pPr>
            <w:r>
              <w:rPr>
                <w:rFonts w:hint="eastAsia"/>
                <w:color w:val="auto"/>
                <w:kern w:val="0"/>
                <w:sz w:val="21"/>
              </w:rPr>
              <w:t>常州金坛区第二污水处理有限公司</w:t>
            </w:r>
            <w:r>
              <w:rPr>
                <w:color w:val="auto"/>
                <w:kern w:val="0"/>
                <w:sz w:val="21"/>
              </w:rPr>
              <w:t>位于常州市金坛区汇贤北路与新常金一级公路交汇，主要处理</w:t>
            </w:r>
            <w:r>
              <w:rPr>
                <w:rFonts w:hint="eastAsia"/>
                <w:color w:val="auto"/>
                <w:kern w:val="0"/>
                <w:sz w:val="21"/>
              </w:rPr>
              <w:t>开发区</w:t>
            </w:r>
            <w:r>
              <w:rPr>
                <w:color w:val="auto"/>
                <w:kern w:val="0"/>
                <w:sz w:val="21"/>
              </w:rPr>
              <w:t>内各企业生产废水、生活污水及镇区生活污水。</w:t>
            </w:r>
            <w:r>
              <w:rPr>
                <w:rFonts w:hint="eastAsia"/>
                <w:color w:val="auto"/>
                <w:kern w:val="0"/>
                <w:sz w:val="21"/>
              </w:rPr>
              <w:t>本项目</w:t>
            </w:r>
            <w:r>
              <w:rPr>
                <w:color w:val="auto"/>
                <w:kern w:val="0"/>
                <w:sz w:val="21"/>
              </w:rPr>
              <w:t>所在地属于该污水处理厂的服务范围内，目前项目所在地的污水管网已经铺设到位，</w:t>
            </w:r>
            <w:r>
              <w:rPr>
                <w:rFonts w:hint="eastAsia"/>
                <w:color w:val="auto"/>
                <w:kern w:val="0"/>
                <w:sz w:val="21"/>
              </w:rPr>
              <w:t>本项目</w:t>
            </w:r>
            <w:r>
              <w:rPr>
                <w:color w:val="auto"/>
                <w:kern w:val="0"/>
                <w:sz w:val="21"/>
              </w:rPr>
              <w:t>废水可由市政污水管网接入，最终纳入</w:t>
            </w:r>
            <w:r>
              <w:rPr>
                <w:rFonts w:hint="eastAsia"/>
                <w:color w:val="auto"/>
                <w:kern w:val="0"/>
                <w:sz w:val="21"/>
              </w:rPr>
              <w:t>常州金坛区第二污水处理有限公司</w:t>
            </w:r>
            <w:r>
              <w:rPr>
                <w:color w:val="auto"/>
                <w:kern w:val="0"/>
                <w:sz w:val="21"/>
              </w:rPr>
              <w:t>集中处理。</w:t>
            </w:r>
          </w:p>
          <w:p w14:paraId="199B837C">
            <w:pPr>
              <w:pStyle w:val="5"/>
              <w:adjustRightInd w:val="0"/>
              <w:snapToGrid w:val="0"/>
              <w:spacing w:line="360" w:lineRule="auto"/>
              <w:ind w:firstLineChars="200"/>
              <w:rPr>
                <w:color w:val="auto"/>
                <w:kern w:val="0"/>
                <w:szCs w:val="21"/>
              </w:rPr>
            </w:pPr>
            <w:r>
              <w:rPr>
                <w:color w:val="auto"/>
                <w:kern w:val="0"/>
                <w:szCs w:val="21"/>
              </w:rPr>
              <w:t>根据以上分析，综合考虑污水管网铺设情况、污水处理厂接纳能力及水质浓度达标情况等因素，</w:t>
            </w:r>
            <w:r>
              <w:rPr>
                <w:rFonts w:hint="eastAsia"/>
                <w:color w:val="auto"/>
                <w:kern w:val="0"/>
                <w:szCs w:val="21"/>
              </w:rPr>
              <w:t>本项目</w:t>
            </w:r>
            <w:r>
              <w:rPr>
                <w:color w:val="auto"/>
                <w:kern w:val="0"/>
                <w:szCs w:val="21"/>
              </w:rPr>
              <w:t>污水接入</w:t>
            </w:r>
            <w:r>
              <w:rPr>
                <w:rFonts w:hint="eastAsia"/>
                <w:color w:val="auto"/>
                <w:kern w:val="0"/>
                <w:szCs w:val="21"/>
              </w:rPr>
              <w:t>常州金坛区第二污水处理有限公司</w:t>
            </w:r>
            <w:r>
              <w:rPr>
                <w:color w:val="auto"/>
                <w:kern w:val="0"/>
                <w:szCs w:val="21"/>
              </w:rPr>
              <w:t>集中处理是可行的。</w:t>
            </w:r>
          </w:p>
          <w:p w14:paraId="4E59E642">
            <w:pPr>
              <w:pStyle w:val="5"/>
              <w:adjustRightInd w:val="0"/>
              <w:snapToGrid w:val="0"/>
              <w:spacing w:line="360" w:lineRule="auto"/>
              <w:ind w:firstLine="422" w:firstLineChars="200"/>
              <w:rPr>
                <w:b/>
                <w:bCs/>
                <w:color w:val="auto"/>
                <w:kern w:val="0"/>
                <w:szCs w:val="21"/>
              </w:rPr>
            </w:pPr>
            <w:r>
              <w:rPr>
                <w:rFonts w:hint="eastAsia"/>
                <w:b/>
                <w:bCs/>
                <w:color w:val="auto"/>
                <w:kern w:val="0"/>
                <w:szCs w:val="21"/>
              </w:rPr>
              <w:t>（4）</w:t>
            </w:r>
            <w:r>
              <w:rPr>
                <w:b/>
                <w:bCs/>
                <w:color w:val="auto"/>
                <w:kern w:val="0"/>
                <w:szCs w:val="21"/>
              </w:rPr>
              <w:t>环境监测</w:t>
            </w:r>
          </w:p>
          <w:p w14:paraId="1D75C70C">
            <w:pPr>
              <w:pStyle w:val="5"/>
              <w:adjustRightInd w:val="0"/>
              <w:snapToGrid w:val="0"/>
              <w:spacing w:line="360" w:lineRule="auto"/>
              <w:ind w:firstLineChars="200"/>
              <w:rPr>
                <w:color w:val="auto"/>
                <w:kern w:val="0"/>
                <w:szCs w:val="21"/>
              </w:rPr>
            </w:pPr>
            <w:r>
              <w:rPr>
                <w:color w:val="auto"/>
                <w:kern w:val="0"/>
                <w:szCs w:val="21"/>
              </w:rPr>
              <w:t>根据</w:t>
            </w:r>
            <w:r>
              <w:rPr>
                <w:rFonts w:hint="eastAsia"/>
                <w:bCs/>
                <w:color w:val="auto"/>
                <w:kern w:val="0"/>
                <w:szCs w:val="21"/>
              </w:rPr>
              <w:t>《排污单位自行监测技术指南 总则》</w:t>
            </w:r>
            <w:r>
              <w:rPr>
                <w:rFonts w:hint="eastAsia"/>
                <w:bCs/>
                <w:color w:val="auto"/>
                <w:kern w:val="0"/>
                <w:szCs w:val="21"/>
              </w:rPr>
              <w:fldChar w:fldCharType="begin"/>
            </w:r>
            <w:r>
              <w:rPr>
                <w:bCs/>
                <w:color w:val="auto"/>
                <w:kern w:val="0"/>
                <w:szCs w:val="21"/>
              </w:rPr>
              <w:instrText xml:space="preserve"> HYPERLINK "http://www.mee.gov.cn/ywgz/fgbz/bz/bzwb/jcffbz/202001/W020200113417476489912.pdf" </w:instrText>
            </w:r>
            <w:r>
              <w:rPr>
                <w:rFonts w:hint="eastAsia"/>
                <w:bCs/>
                <w:color w:val="auto"/>
                <w:kern w:val="0"/>
                <w:szCs w:val="21"/>
              </w:rPr>
              <w:fldChar w:fldCharType="separate"/>
            </w:r>
            <w:r>
              <w:rPr>
                <w:rFonts w:hint="eastAsia"/>
                <w:bCs/>
                <w:color w:val="auto"/>
                <w:kern w:val="0"/>
                <w:szCs w:val="21"/>
              </w:rPr>
              <w:t>（HJ819-2017）</w:t>
            </w:r>
            <w:r>
              <w:rPr>
                <w:rFonts w:hint="eastAsia"/>
                <w:bCs/>
                <w:color w:val="auto"/>
                <w:kern w:val="0"/>
                <w:szCs w:val="21"/>
              </w:rPr>
              <w:fldChar w:fldCharType="end"/>
            </w:r>
            <w:r>
              <w:rPr>
                <w:rFonts w:hint="eastAsia"/>
                <w:bCs/>
                <w:color w:val="auto"/>
                <w:kern w:val="0"/>
                <w:szCs w:val="21"/>
                <w:lang w:eastAsia="zh-CN"/>
              </w:rPr>
              <w:t>、</w:t>
            </w:r>
            <w:r>
              <w:rPr>
                <w:rFonts w:hint="eastAsia"/>
                <w:bCs/>
                <w:color w:val="auto"/>
                <w:sz w:val="21"/>
                <w:szCs w:val="21"/>
                <w:lang w:eastAsia="zh-CN"/>
              </w:rPr>
              <w:t>《排污许可证申请与核发技术规范 家具制造工业》（HJ 1027-2019）</w:t>
            </w:r>
            <w:r>
              <w:rPr>
                <w:color w:val="auto"/>
                <w:kern w:val="0"/>
                <w:szCs w:val="21"/>
              </w:rPr>
              <w:t>中相关要求，建设单位废水例行监测计划详见下表。</w:t>
            </w:r>
          </w:p>
          <w:p w14:paraId="7A242C13">
            <w:pPr>
              <w:pStyle w:val="5"/>
              <w:snapToGrid w:val="0"/>
              <w:ind w:firstLine="0"/>
              <w:jc w:val="center"/>
              <w:rPr>
                <w:b/>
                <w:color w:val="auto"/>
                <w:kern w:val="0"/>
                <w:szCs w:val="21"/>
              </w:rPr>
            </w:pPr>
            <w:r>
              <w:rPr>
                <w:b/>
                <w:color w:val="auto"/>
                <w:kern w:val="0"/>
                <w:szCs w:val="21"/>
              </w:rPr>
              <w:t>表4-</w:t>
            </w:r>
            <w:r>
              <w:rPr>
                <w:rFonts w:hint="eastAsia"/>
                <w:b/>
                <w:color w:val="auto"/>
                <w:kern w:val="0"/>
                <w:szCs w:val="21"/>
                <w:lang w:val="en-US" w:eastAsia="zh-CN"/>
              </w:rPr>
              <w:t>16</w:t>
            </w:r>
            <w:r>
              <w:rPr>
                <w:rFonts w:hint="eastAsia"/>
                <w:b/>
                <w:color w:val="auto"/>
                <w:kern w:val="0"/>
                <w:szCs w:val="21"/>
              </w:rPr>
              <w:t xml:space="preserve">   </w:t>
            </w:r>
            <w:r>
              <w:rPr>
                <w:b/>
                <w:color w:val="auto"/>
                <w:kern w:val="0"/>
                <w:szCs w:val="21"/>
              </w:rPr>
              <w:t>污染源监测计划</w:t>
            </w:r>
          </w:p>
          <w:tbl>
            <w:tblPr>
              <w:tblStyle w:val="59"/>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23"/>
              <w:gridCol w:w="1023"/>
              <w:gridCol w:w="1130"/>
              <w:gridCol w:w="1642"/>
              <w:gridCol w:w="2940"/>
              <w:gridCol w:w="1101"/>
            </w:tblGrid>
            <w:tr w14:paraId="3CCE02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7" w:type="pct"/>
                  <w:vAlign w:val="center"/>
                </w:tcPr>
                <w:p w14:paraId="6819EE7A">
                  <w:pPr>
                    <w:snapToGrid w:val="0"/>
                    <w:jc w:val="center"/>
                    <w:rPr>
                      <w:b/>
                      <w:color w:val="auto"/>
                      <w:kern w:val="0"/>
                    </w:rPr>
                  </w:pPr>
                  <w:r>
                    <w:rPr>
                      <w:b/>
                      <w:color w:val="auto"/>
                      <w:kern w:val="0"/>
                    </w:rPr>
                    <w:t>类型</w:t>
                  </w:r>
                </w:p>
              </w:tc>
              <w:tc>
                <w:tcPr>
                  <w:tcW w:w="577" w:type="pct"/>
                  <w:vAlign w:val="center"/>
                </w:tcPr>
                <w:p w14:paraId="74BF4118">
                  <w:pPr>
                    <w:snapToGrid w:val="0"/>
                    <w:jc w:val="center"/>
                    <w:rPr>
                      <w:b/>
                      <w:color w:val="auto"/>
                      <w:kern w:val="0"/>
                    </w:rPr>
                  </w:pPr>
                  <w:r>
                    <w:rPr>
                      <w:b/>
                      <w:color w:val="auto"/>
                      <w:kern w:val="0"/>
                    </w:rPr>
                    <w:t>监测项目</w:t>
                  </w:r>
                </w:p>
              </w:tc>
              <w:tc>
                <w:tcPr>
                  <w:tcW w:w="637" w:type="pct"/>
                  <w:vAlign w:val="center"/>
                </w:tcPr>
                <w:p w14:paraId="0C9BD7DB">
                  <w:pPr>
                    <w:snapToGrid w:val="0"/>
                    <w:jc w:val="center"/>
                    <w:rPr>
                      <w:b/>
                      <w:color w:val="auto"/>
                      <w:kern w:val="0"/>
                    </w:rPr>
                  </w:pPr>
                  <w:r>
                    <w:rPr>
                      <w:b/>
                      <w:color w:val="auto"/>
                      <w:kern w:val="0"/>
                    </w:rPr>
                    <w:t>监测位置</w:t>
                  </w:r>
                </w:p>
              </w:tc>
              <w:tc>
                <w:tcPr>
                  <w:tcW w:w="926" w:type="pct"/>
                  <w:vAlign w:val="center"/>
                </w:tcPr>
                <w:p w14:paraId="1F2BE7E2">
                  <w:pPr>
                    <w:snapToGrid w:val="0"/>
                    <w:jc w:val="center"/>
                    <w:rPr>
                      <w:b/>
                      <w:color w:val="auto"/>
                      <w:kern w:val="0"/>
                    </w:rPr>
                  </w:pPr>
                  <w:r>
                    <w:rPr>
                      <w:b/>
                      <w:color w:val="auto"/>
                      <w:kern w:val="0"/>
                    </w:rPr>
                    <w:t>检测点位</w:t>
                  </w:r>
                </w:p>
              </w:tc>
              <w:tc>
                <w:tcPr>
                  <w:tcW w:w="1658" w:type="pct"/>
                  <w:vAlign w:val="center"/>
                </w:tcPr>
                <w:p w14:paraId="6A0007E6">
                  <w:pPr>
                    <w:snapToGrid w:val="0"/>
                    <w:jc w:val="center"/>
                    <w:rPr>
                      <w:b/>
                      <w:color w:val="auto"/>
                      <w:kern w:val="0"/>
                    </w:rPr>
                  </w:pPr>
                  <w:r>
                    <w:rPr>
                      <w:b/>
                      <w:color w:val="auto"/>
                      <w:kern w:val="0"/>
                    </w:rPr>
                    <w:t>监测因子</w:t>
                  </w:r>
                </w:p>
              </w:tc>
              <w:tc>
                <w:tcPr>
                  <w:tcW w:w="621" w:type="pct"/>
                  <w:vAlign w:val="center"/>
                </w:tcPr>
                <w:p w14:paraId="4CB70751">
                  <w:pPr>
                    <w:snapToGrid w:val="0"/>
                    <w:jc w:val="center"/>
                    <w:rPr>
                      <w:b/>
                      <w:color w:val="auto"/>
                      <w:kern w:val="0"/>
                    </w:rPr>
                  </w:pPr>
                  <w:r>
                    <w:rPr>
                      <w:b/>
                      <w:color w:val="auto"/>
                      <w:kern w:val="0"/>
                    </w:rPr>
                    <w:t>监测频率</w:t>
                  </w:r>
                </w:p>
              </w:tc>
            </w:tr>
            <w:tr w14:paraId="0AA062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7" w:type="pct"/>
                  <w:vAlign w:val="center"/>
                </w:tcPr>
                <w:p w14:paraId="4FF1C327">
                  <w:pPr>
                    <w:snapToGrid w:val="0"/>
                    <w:jc w:val="center"/>
                    <w:rPr>
                      <w:color w:val="auto"/>
                      <w:kern w:val="0"/>
                    </w:rPr>
                  </w:pPr>
                  <w:r>
                    <w:rPr>
                      <w:color w:val="auto"/>
                      <w:kern w:val="0"/>
                    </w:rPr>
                    <w:t>例行监测计划</w:t>
                  </w:r>
                </w:p>
              </w:tc>
              <w:tc>
                <w:tcPr>
                  <w:tcW w:w="577" w:type="pct"/>
                  <w:vAlign w:val="center"/>
                </w:tcPr>
                <w:p w14:paraId="15F876C8">
                  <w:pPr>
                    <w:snapToGrid w:val="0"/>
                    <w:jc w:val="center"/>
                    <w:rPr>
                      <w:color w:val="auto"/>
                      <w:kern w:val="0"/>
                    </w:rPr>
                  </w:pPr>
                  <w:r>
                    <w:rPr>
                      <w:color w:val="auto"/>
                      <w:kern w:val="0"/>
                    </w:rPr>
                    <w:t>废水监测</w:t>
                  </w:r>
                </w:p>
              </w:tc>
              <w:tc>
                <w:tcPr>
                  <w:tcW w:w="637" w:type="pct"/>
                  <w:vAlign w:val="center"/>
                </w:tcPr>
                <w:p w14:paraId="4827EC97">
                  <w:pPr>
                    <w:snapToGrid w:val="0"/>
                    <w:jc w:val="center"/>
                    <w:rPr>
                      <w:color w:val="auto"/>
                      <w:kern w:val="0"/>
                    </w:rPr>
                  </w:pPr>
                  <w:r>
                    <w:rPr>
                      <w:rFonts w:hint="eastAsia"/>
                      <w:color w:val="auto"/>
                      <w:kern w:val="0"/>
                    </w:rPr>
                    <w:t>污水</w:t>
                  </w:r>
                </w:p>
              </w:tc>
              <w:tc>
                <w:tcPr>
                  <w:tcW w:w="926" w:type="pct"/>
                  <w:vAlign w:val="center"/>
                </w:tcPr>
                <w:p w14:paraId="663A13DD">
                  <w:pPr>
                    <w:snapToGrid w:val="0"/>
                    <w:jc w:val="center"/>
                    <w:rPr>
                      <w:color w:val="auto"/>
                      <w:kern w:val="0"/>
                    </w:rPr>
                  </w:pPr>
                  <w:r>
                    <w:rPr>
                      <w:rFonts w:hint="eastAsia"/>
                      <w:color w:val="auto"/>
                      <w:kern w:val="0"/>
                    </w:rPr>
                    <w:t>生活污水</w:t>
                  </w:r>
                  <w:r>
                    <w:rPr>
                      <w:color w:val="auto"/>
                      <w:kern w:val="0"/>
                    </w:rPr>
                    <w:t>排放口</w:t>
                  </w:r>
                </w:p>
              </w:tc>
              <w:tc>
                <w:tcPr>
                  <w:tcW w:w="1658" w:type="pct"/>
                  <w:vAlign w:val="center"/>
                </w:tcPr>
                <w:p w14:paraId="6039AEF8">
                  <w:pPr>
                    <w:snapToGrid w:val="0"/>
                    <w:jc w:val="center"/>
                    <w:rPr>
                      <w:color w:val="auto"/>
                      <w:kern w:val="0"/>
                    </w:rPr>
                  </w:pPr>
                  <w:r>
                    <w:rPr>
                      <w:color w:val="auto"/>
                      <w:kern w:val="0"/>
                    </w:rPr>
                    <w:t>pH值、悬浮物、化学需氧量、氨氮、总磷、总氮</w:t>
                  </w:r>
                </w:p>
              </w:tc>
              <w:tc>
                <w:tcPr>
                  <w:tcW w:w="621" w:type="pct"/>
                  <w:vAlign w:val="center"/>
                </w:tcPr>
                <w:p w14:paraId="662302A9">
                  <w:pPr>
                    <w:snapToGrid w:val="0"/>
                    <w:jc w:val="center"/>
                    <w:rPr>
                      <w:color w:val="auto"/>
                      <w:kern w:val="0"/>
                    </w:rPr>
                  </w:pPr>
                  <w:r>
                    <w:rPr>
                      <w:color w:val="auto"/>
                      <w:kern w:val="0"/>
                    </w:rPr>
                    <w:t>1次/</w:t>
                  </w:r>
                  <w:r>
                    <w:rPr>
                      <w:rFonts w:hint="eastAsia"/>
                      <w:color w:val="auto"/>
                      <w:kern w:val="0"/>
                    </w:rPr>
                    <w:t>年</w:t>
                  </w:r>
                </w:p>
              </w:tc>
            </w:tr>
          </w:tbl>
          <w:p w14:paraId="7EE67397">
            <w:pPr>
              <w:pStyle w:val="5"/>
              <w:adjustRightInd w:val="0"/>
              <w:snapToGrid w:val="0"/>
              <w:spacing w:line="360" w:lineRule="auto"/>
              <w:ind w:firstLine="422" w:firstLineChars="200"/>
              <w:rPr>
                <w:b/>
                <w:bCs/>
                <w:color w:val="auto"/>
                <w:kern w:val="0"/>
                <w:szCs w:val="21"/>
              </w:rPr>
            </w:pPr>
            <w:r>
              <w:rPr>
                <w:rFonts w:hint="eastAsia"/>
                <w:b/>
                <w:bCs/>
                <w:color w:val="auto"/>
                <w:kern w:val="0"/>
                <w:szCs w:val="21"/>
              </w:rPr>
              <w:t>（5）</w:t>
            </w:r>
            <w:r>
              <w:rPr>
                <w:b/>
                <w:bCs/>
                <w:color w:val="auto"/>
                <w:kern w:val="0"/>
                <w:szCs w:val="21"/>
              </w:rPr>
              <w:t>结论</w:t>
            </w:r>
          </w:p>
          <w:p w14:paraId="0694E97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eastAsia="宋体"/>
                <w:color w:val="auto"/>
                <w:kern w:val="0"/>
                <w:sz w:val="21"/>
                <w:szCs w:val="21"/>
              </w:rPr>
            </w:pPr>
            <w:r>
              <w:rPr>
                <w:rFonts w:eastAsia="宋体"/>
                <w:color w:val="auto"/>
                <w:kern w:val="0"/>
                <w:sz w:val="21"/>
                <w:szCs w:val="21"/>
              </w:rPr>
              <w:t>综上</w:t>
            </w:r>
            <w:r>
              <w:rPr>
                <w:rFonts w:hint="eastAsia" w:eastAsia="宋体"/>
                <w:color w:val="auto"/>
                <w:kern w:val="0"/>
                <w:sz w:val="21"/>
                <w:szCs w:val="21"/>
              </w:rPr>
              <w:t>所述</w:t>
            </w:r>
            <w:r>
              <w:rPr>
                <w:rFonts w:eastAsia="宋体"/>
                <w:color w:val="auto"/>
                <w:kern w:val="0"/>
                <w:sz w:val="21"/>
                <w:szCs w:val="21"/>
              </w:rPr>
              <w:t>，项目生活污水水质能够达常州金坛区第二污水处理有限公司</w:t>
            </w:r>
            <w:r>
              <w:rPr>
                <w:rFonts w:hint="eastAsia"/>
                <w:color w:val="auto"/>
                <w:kern w:val="0"/>
                <w:sz w:val="21"/>
                <w:szCs w:val="21"/>
                <w:lang w:val="en-US" w:eastAsia="zh-CN"/>
              </w:rPr>
              <w:t>纳污</w:t>
            </w:r>
            <w:r>
              <w:rPr>
                <w:rFonts w:eastAsia="宋体"/>
                <w:color w:val="auto"/>
                <w:kern w:val="0"/>
                <w:sz w:val="21"/>
                <w:szCs w:val="21"/>
              </w:rPr>
              <w:t>限</w:t>
            </w:r>
            <w:r>
              <w:rPr>
                <w:rFonts w:hint="eastAsia" w:eastAsia="宋体"/>
                <w:color w:val="auto"/>
                <w:kern w:val="0"/>
                <w:sz w:val="21"/>
                <w:szCs w:val="21"/>
              </w:rPr>
              <w:t>值和《污水排入城镇下水道水质标准》（GB/T31962-2015）表1中B等</w:t>
            </w:r>
            <w:r>
              <w:rPr>
                <w:rFonts w:eastAsia="宋体"/>
                <w:color w:val="auto"/>
                <w:kern w:val="0"/>
                <w:sz w:val="21"/>
                <w:szCs w:val="21"/>
              </w:rPr>
              <w:t>级标准，常州金坛区第二污水处理有限公司尾水中SS排放执行《城镇污水处理厂污染物排放标准》（GB18918-2002）中一级A标准，COD、</w:t>
            </w:r>
            <w:r>
              <w:rPr>
                <w:rFonts w:hint="eastAsia" w:eastAsia="宋体"/>
                <w:color w:val="auto"/>
                <w:kern w:val="0"/>
                <w:sz w:val="21"/>
                <w:szCs w:val="21"/>
              </w:rPr>
              <w:t>NH</w:t>
            </w:r>
            <w:r>
              <w:rPr>
                <w:rFonts w:hint="eastAsia" w:eastAsia="宋体"/>
                <w:color w:val="auto"/>
                <w:kern w:val="0"/>
                <w:sz w:val="21"/>
                <w:szCs w:val="21"/>
                <w:vertAlign w:val="subscript"/>
              </w:rPr>
              <w:t>3</w:t>
            </w:r>
            <w:r>
              <w:rPr>
                <w:rFonts w:hint="eastAsia" w:eastAsia="宋体"/>
                <w:color w:val="auto"/>
                <w:kern w:val="0"/>
                <w:sz w:val="21"/>
                <w:szCs w:val="21"/>
              </w:rPr>
              <w:t>-N</w:t>
            </w:r>
            <w:r>
              <w:rPr>
                <w:rFonts w:eastAsia="宋体"/>
                <w:color w:val="auto"/>
                <w:kern w:val="0"/>
                <w:sz w:val="21"/>
                <w:szCs w:val="21"/>
              </w:rPr>
              <w:t>、TP和TN排放执行《太湖地区镇污水处理厂及重点工业行业主要水污染物排放限值》（DB32/1072—2018）中表2中的标准</w:t>
            </w:r>
            <w:r>
              <w:rPr>
                <w:rFonts w:hint="eastAsia" w:eastAsia="宋体"/>
                <w:color w:val="auto"/>
                <w:kern w:val="0"/>
                <w:sz w:val="21"/>
                <w:szCs w:val="21"/>
              </w:rPr>
              <w:t>，纳污水体尧塘河</w:t>
            </w:r>
            <w:r>
              <w:rPr>
                <w:rFonts w:eastAsia="宋体"/>
                <w:color w:val="auto"/>
                <w:kern w:val="0"/>
                <w:sz w:val="21"/>
                <w:szCs w:val="21"/>
              </w:rPr>
              <w:t>《地表水环境质量标准》（GB3838-2002）中</w:t>
            </w:r>
            <w:r>
              <w:rPr>
                <w:rFonts w:hint="eastAsia" w:eastAsia="宋体"/>
                <w:color w:val="auto"/>
                <w:kern w:val="0"/>
                <w:sz w:val="21"/>
                <w:szCs w:val="21"/>
              </w:rPr>
              <w:t>III</w:t>
            </w:r>
            <w:r>
              <w:rPr>
                <w:rFonts w:eastAsia="宋体"/>
                <w:color w:val="auto"/>
                <w:kern w:val="0"/>
                <w:sz w:val="21"/>
                <w:szCs w:val="21"/>
              </w:rPr>
              <w:t>类标准。引用常州金坛区第二污水处理有限公司环评结论可知，废水经污水处理厂处理达标排放后对地表水环境影响较小。因此本次评价认为</w:t>
            </w:r>
            <w:r>
              <w:rPr>
                <w:rFonts w:hint="eastAsia" w:eastAsia="宋体"/>
                <w:color w:val="auto"/>
                <w:kern w:val="0"/>
                <w:sz w:val="21"/>
                <w:szCs w:val="21"/>
              </w:rPr>
              <w:t>本项目</w:t>
            </w:r>
            <w:r>
              <w:rPr>
                <w:rFonts w:eastAsia="宋体"/>
                <w:color w:val="auto"/>
                <w:kern w:val="0"/>
                <w:sz w:val="21"/>
                <w:szCs w:val="21"/>
              </w:rPr>
              <w:t>对地表水环境影响是可以接受的。</w:t>
            </w:r>
          </w:p>
          <w:p w14:paraId="759D7D6A">
            <w:pPr>
              <w:spacing w:line="360" w:lineRule="auto"/>
              <w:rPr>
                <w:b/>
                <w:bCs/>
                <w:color w:val="auto"/>
                <w:kern w:val="0"/>
              </w:rPr>
            </w:pPr>
            <w:r>
              <w:rPr>
                <w:rFonts w:hint="eastAsia"/>
                <w:b/>
                <w:bCs/>
                <w:color w:val="auto"/>
                <w:kern w:val="0"/>
              </w:rPr>
              <w:t>3、</w:t>
            </w:r>
            <w:r>
              <w:rPr>
                <w:b/>
                <w:bCs/>
                <w:color w:val="auto"/>
                <w:kern w:val="0"/>
              </w:rPr>
              <w:t>噪声</w:t>
            </w:r>
            <w:r>
              <w:rPr>
                <w:rFonts w:hint="eastAsia"/>
                <w:b/>
                <w:bCs/>
                <w:color w:val="auto"/>
                <w:kern w:val="0"/>
              </w:rPr>
              <w:t>环境影响分析</w:t>
            </w:r>
          </w:p>
          <w:p w14:paraId="61824279">
            <w:pPr>
              <w:spacing w:line="360" w:lineRule="auto"/>
              <w:ind w:firstLine="422" w:firstLineChars="200"/>
              <w:rPr>
                <w:b/>
                <w:bCs/>
                <w:color w:val="auto"/>
                <w:kern w:val="0"/>
              </w:rPr>
            </w:pPr>
            <w:r>
              <w:rPr>
                <w:rFonts w:hint="eastAsia"/>
                <w:b/>
                <w:bCs/>
                <w:color w:val="auto"/>
                <w:kern w:val="0"/>
              </w:rPr>
              <w:t>（1）</w:t>
            </w:r>
            <w:r>
              <w:rPr>
                <w:b/>
                <w:bCs/>
                <w:color w:val="auto"/>
                <w:kern w:val="0"/>
              </w:rPr>
              <w:t>噪声源</w:t>
            </w:r>
          </w:p>
          <w:p w14:paraId="511D5866">
            <w:pPr>
              <w:adjustRightInd w:val="0"/>
              <w:snapToGrid w:val="0"/>
              <w:spacing w:line="360" w:lineRule="auto"/>
              <w:ind w:firstLine="420" w:firstLineChars="200"/>
              <w:jc w:val="left"/>
              <w:rPr>
                <w:color w:val="auto"/>
                <w:kern w:val="0"/>
              </w:rPr>
            </w:pPr>
            <w:r>
              <w:rPr>
                <w:rFonts w:hint="eastAsia"/>
                <w:color w:val="auto"/>
                <w:kern w:val="0"/>
              </w:rPr>
              <w:t>项目噪声源主要为各机械设备的运转噪声，主要噪声源强如下表所示。</w:t>
            </w:r>
          </w:p>
          <w:p w14:paraId="7A2E9346">
            <w:pPr>
              <w:jc w:val="center"/>
              <w:rPr>
                <w:b/>
                <w:color w:val="auto"/>
                <w:kern w:val="0"/>
              </w:rPr>
            </w:pPr>
            <w:r>
              <w:rPr>
                <w:b/>
                <w:color w:val="auto"/>
                <w:kern w:val="0"/>
              </w:rPr>
              <w:t>表4-</w:t>
            </w:r>
            <w:r>
              <w:rPr>
                <w:rFonts w:hint="eastAsia"/>
                <w:b/>
                <w:color w:val="auto"/>
                <w:kern w:val="0"/>
                <w:lang w:val="en-US" w:eastAsia="zh-CN"/>
              </w:rPr>
              <w:t>17</w:t>
            </w:r>
            <w:r>
              <w:rPr>
                <w:b/>
                <w:color w:val="auto"/>
                <w:kern w:val="0"/>
              </w:rPr>
              <w:t xml:space="preserve">   本项目主要噪声设备和源强数值表</w:t>
            </w:r>
            <w:r>
              <w:rPr>
                <w:rFonts w:hint="eastAsia"/>
                <w:b/>
                <w:color w:val="auto"/>
                <w:kern w:val="0"/>
              </w:rPr>
              <w:t>（室内声源）</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19"/>
              <w:gridCol w:w="649"/>
              <w:gridCol w:w="519"/>
              <w:gridCol w:w="707"/>
              <w:gridCol w:w="638"/>
              <w:gridCol w:w="365"/>
              <w:gridCol w:w="365"/>
              <w:gridCol w:w="365"/>
              <w:gridCol w:w="365"/>
              <w:gridCol w:w="365"/>
              <w:gridCol w:w="365"/>
              <w:gridCol w:w="370"/>
              <w:gridCol w:w="707"/>
              <w:gridCol w:w="785"/>
              <w:gridCol w:w="792"/>
              <w:gridCol w:w="880"/>
            </w:tblGrid>
            <w:tr w14:paraId="2E317B5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9" w:hRule="atLeast"/>
                <w:jc w:val="center"/>
              </w:trPr>
              <w:tc>
                <w:tcPr>
                  <w:tcW w:w="350" w:type="pct"/>
                  <w:vMerge w:val="restart"/>
                  <w:vAlign w:val="center"/>
                </w:tcPr>
                <w:p w14:paraId="1BA17E7F">
                  <w:pPr>
                    <w:adjustRightInd w:val="0"/>
                    <w:snapToGrid w:val="0"/>
                    <w:jc w:val="center"/>
                    <w:rPr>
                      <w:b/>
                      <w:bCs/>
                      <w:color w:val="auto"/>
                      <w:kern w:val="0"/>
                      <w:sz w:val="18"/>
                      <w:szCs w:val="18"/>
                    </w:rPr>
                  </w:pPr>
                  <w:r>
                    <w:rPr>
                      <w:rFonts w:hint="eastAsia"/>
                      <w:b/>
                      <w:bCs/>
                      <w:color w:val="auto"/>
                      <w:kern w:val="0"/>
                      <w:sz w:val="18"/>
                      <w:szCs w:val="18"/>
                    </w:rPr>
                    <w:t>建筑物名称</w:t>
                  </w:r>
                </w:p>
              </w:tc>
              <w:tc>
                <w:tcPr>
                  <w:tcW w:w="367" w:type="pct"/>
                  <w:vMerge w:val="restart"/>
                  <w:vAlign w:val="center"/>
                </w:tcPr>
                <w:p w14:paraId="3F673F8D">
                  <w:pPr>
                    <w:adjustRightInd w:val="0"/>
                    <w:snapToGrid w:val="0"/>
                    <w:jc w:val="center"/>
                    <w:rPr>
                      <w:b/>
                      <w:bCs/>
                      <w:color w:val="auto"/>
                      <w:kern w:val="0"/>
                      <w:sz w:val="18"/>
                      <w:szCs w:val="18"/>
                    </w:rPr>
                  </w:pPr>
                  <w:r>
                    <w:rPr>
                      <w:rFonts w:hint="eastAsia"/>
                      <w:b/>
                      <w:bCs/>
                      <w:color w:val="auto"/>
                      <w:kern w:val="0"/>
                      <w:sz w:val="18"/>
                      <w:szCs w:val="18"/>
                    </w:rPr>
                    <w:t>声源名称</w:t>
                  </w:r>
                </w:p>
              </w:tc>
              <w:tc>
                <w:tcPr>
                  <w:tcW w:w="293" w:type="pct"/>
                  <w:vMerge w:val="restart"/>
                  <w:vAlign w:val="center"/>
                </w:tcPr>
                <w:p w14:paraId="14AD9BA0">
                  <w:pPr>
                    <w:adjustRightInd w:val="0"/>
                    <w:snapToGrid w:val="0"/>
                    <w:jc w:val="center"/>
                    <w:rPr>
                      <w:b/>
                      <w:bCs/>
                      <w:color w:val="auto"/>
                      <w:kern w:val="0"/>
                      <w:sz w:val="18"/>
                      <w:szCs w:val="18"/>
                    </w:rPr>
                  </w:pPr>
                  <w:r>
                    <w:rPr>
                      <w:rFonts w:hint="eastAsia"/>
                      <w:b/>
                      <w:bCs/>
                      <w:color w:val="auto"/>
                      <w:kern w:val="0"/>
                      <w:sz w:val="18"/>
                      <w:szCs w:val="18"/>
                    </w:rPr>
                    <w:t>数量台/套</w:t>
                  </w:r>
                </w:p>
              </w:tc>
              <w:tc>
                <w:tcPr>
                  <w:tcW w:w="399" w:type="pct"/>
                  <w:vMerge w:val="restart"/>
                  <w:vAlign w:val="center"/>
                </w:tcPr>
                <w:p w14:paraId="3C1C011D">
                  <w:pPr>
                    <w:adjustRightInd w:val="0"/>
                    <w:snapToGrid w:val="0"/>
                    <w:jc w:val="center"/>
                    <w:rPr>
                      <w:b/>
                      <w:bCs/>
                      <w:color w:val="auto"/>
                      <w:kern w:val="0"/>
                      <w:sz w:val="18"/>
                      <w:szCs w:val="18"/>
                    </w:rPr>
                  </w:pPr>
                  <w:r>
                    <w:rPr>
                      <w:rFonts w:hint="eastAsia"/>
                      <w:b/>
                      <w:bCs/>
                      <w:color w:val="auto"/>
                      <w:kern w:val="0"/>
                      <w:sz w:val="18"/>
                      <w:szCs w:val="18"/>
                    </w:rPr>
                    <w:t>单台声功率级dB（A）</w:t>
                  </w:r>
                </w:p>
              </w:tc>
              <w:tc>
                <w:tcPr>
                  <w:tcW w:w="360" w:type="pct"/>
                  <w:vMerge w:val="restart"/>
                  <w:vAlign w:val="center"/>
                </w:tcPr>
                <w:p w14:paraId="2FF2BB00">
                  <w:pPr>
                    <w:adjustRightInd w:val="0"/>
                    <w:snapToGrid w:val="0"/>
                    <w:jc w:val="center"/>
                    <w:rPr>
                      <w:b/>
                      <w:bCs/>
                      <w:color w:val="auto"/>
                      <w:kern w:val="0"/>
                      <w:sz w:val="18"/>
                      <w:szCs w:val="18"/>
                    </w:rPr>
                  </w:pPr>
                  <w:r>
                    <w:rPr>
                      <w:rFonts w:hint="eastAsia"/>
                      <w:b/>
                      <w:bCs/>
                      <w:color w:val="auto"/>
                      <w:kern w:val="0"/>
                      <w:sz w:val="18"/>
                      <w:szCs w:val="18"/>
                    </w:rPr>
                    <w:t>声源控制措施</w:t>
                  </w:r>
                </w:p>
              </w:tc>
              <w:tc>
                <w:tcPr>
                  <w:tcW w:w="618" w:type="pct"/>
                  <w:gridSpan w:val="3"/>
                  <w:vAlign w:val="center"/>
                </w:tcPr>
                <w:p w14:paraId="0E5C5B7F">
                  <w:pPr>
                    <w:adjustRightInd w:val="0"/>
                    <w:snapToGrid w:val="0"/>
                    <w:jc w:val="center"/>
                    <w:rPr>
                      <w:b/>
                      <w:bCs/>
                      <w:color w:val="auto"/>
                      <w:kern w:val="0"/>
                      <w:sz w:val="18"/>
                      <w:szCs w:val="18"/>
                    </w:rPr>
                  </w:pPr>
                  <w:r>
                    <w:rPr>
                      <w:b/>
                      <w:bCs/>
                      <w:color w:val="auto"/>
                      <w:kern w:val="0"/>
                      <w:sz w:val="18"/>
                      <w:szCs w:val="18"/>
                    </w:rPr>
                    <w:t>空间相对位置</w:t>
                  </w:r>
                  <w:r>
                    <w:rPr>
                      <w:rFonts w:hint="eastAsia"/>
                      <w:b/>
                      <w:bCs/>
                      <w:color w:val="auto"/>
                      <w:kern w:val="0"/>
                      <w:sz w:val="18"/>
                      <w:szCs w:val="18"/>
                    </w:rPr>
                    <w:t>（</w:t>
                  </w:r>
                  <w:r>
                    <w:rPr>
                      <w:b/>
                      <w:bCs/>
                      <w:color w:val="auto"/>
                      <w:kern w:val="0"/>
                      <w:sz w:val="18"/>
                      <w:szCs w:val="18"/>
                    </w:rPr>
                    <w:t>m</w:t>
                  </w:r>
                  <w:r>
                    <w:rPr>
                      <w:rFonts w:hint="eastAsia"/>
                      <w:b/>
                      <w:bCs/>
                      <w:color w:val="auto"/>
                      <w:kern w:val="0"/>
                      <w:sz w:val="18"/>
                      <w:szCs w:val="18"/>
                    </w:rPr>
                    <w:t>）</w:t>
                  </w:r>
                  <w:r>
                    <w:rPr>
                      <w:rFonts w:hint="eastAsia"/>
                      <w:b/>
                      <w:bCs/>
                      <w:color w:val="auto"/>
                      <w:kern w:val="0"/>
                      <w:sz w:val="18"/>
                      <w:szCs w:val="18"/>
                      <w:vertAlign w:val="superscript"/>
                    </w:rPr>
                    <w:t>①</w:t>
                  </w:r>
                </w:p>
              </w:tc>
              <w:tc>
                <w:tcPr>
                  <w:tcW w:w="827" w:type="pct"/>
                  <w:gridSpan w:val="4"/>
                  <w:vAlign w:val="center"/>
                </w:tcPr>
                <w:p w14:paraId="23FEEF24">
                  <w:pPr>
                    <w:adjustRightInd w:val="0"/>
                    <w:snapToGrid w:val="0"/>
                    <w:jc w:val="center"/>
                    <w:rPr>
                      <w:b/>
                      <w:bCs/>
                      <w:color w:val="auto"/>
                      <w:kern w:val="0"/>
                      <w:sz w:val="18"/>
                      <w:szCs w:val="18"/>
                    </w:rPr>
                  </w:pPr>
                  <w:r>
                    <w:rPr>
                      <w:rFonts w:hint="eastAsia"/>
                      <w:b/>
                      <w:bCs/>
                      <w:color w:val="auto"/>
                      <w:kern w:val="0"/>
                      <w:sz w:val="18"/>
                      <w:szCs w:val="18"/>
                    </w:rPr>
                    <w:t>距室内边界距离m</w:t>
                  </w:r>
                  <w:r>
                    <w:rPr>
                      <w:rFonts w:hint="eastAsia"/>
                      <w:b/>
                      <w:bCs/>
                      <w:color w:val="auto"/>
                      <w:kern w:val="0"/>
                      <w:sz w:val="18"/>
                      <w:szCs w:val="18"/>
                      <w:vertAlign w:val="superscript"/>
                    </w:rPr>
                    <w:t>②</w:t>
                  </w:r>
                </w:p>
              </w:tc>
              <w:tc>
                <w:tcPr>
                  <w:tcW w:w="399" w:type="pct"/>
                  <w:vMerge w:val="restart"/>
                  <w:vAlign w:val="center"/>
                </w:tcPr>
                <w:p w14:paraId="32B77227">
                  <w:pPr>
                    <w:adjustRightInd w:val="0"/>
                    <w:snapToGrid w:val="0"/>
                    <w:jc w:val="center"/>
                    <w:rPr>
                      <w:b/>
                      <w:bCs/>
                      <w:color w:val="auto"/>
                      <w:kern w:val="0"/>
                      <w:sz w:val="18"/>
                      <w:szCs w:val="18"/>
                    </w:rPr>
                  </w:pPr>
                  <w:r>
                    <w:rPr>
                      <w:rFonts w:hint="eastAsia"/>
                      <w:b/>
                      <w:bCs/>
                      <w:color w:val="auto"/>
                      <w:kern w:val="0"/>
                      <w:sz w:val="18"/>
                      <w:szCs w:val="18"/>
                    </w:rPr>
                    <w:t>室内边界声级dB（A）</w:t>
                  </w:r>
                </w:p>
              </w:tc>
              <w:tc>
                <w:tcPr>
                  <w:tcW w:w="443" w:type="pct"/>
                  <w:vMerge w:val="restart"/>
                  <w:vAlign w:val="center"/>
                </w:tcPr>
                <w:p w14:paraId="445CAC4C">
                  <w:pPr>
                    <w:adjustRightInd w:val="0"/>
                    <w:snapToGrid w:val="0"/>
                    <w:jc w:val="center"/>
                    <w:rPr>
                      <w:b/>
                      <w:bCs/>
                      <w:color w:val="auto"/>
                      <w:kern w:val="0"/>
                      <w:sz w:val="18"/>
                      <w:szCs w:val="18"/>
                    </w:rPr>
                  </w:pPr>
                  <w:r>
                    <w:rPr>
                      <w:rFonts w:hint="eastAsia"/>
                      <w:b/>
                      <w:bCs/>
                      <w:color w:val="auto"/>
                      <w:kern w:val="0"/>
                      <w:sz w:val="18"/>
                      <w:szCs w:val="18"/>
                    </w:rPr>
                    <w:t>建筑物插入损失dB（A）</w:t>
                  </w:r>
                </w:p>
              </w:tc>
              <w:tc>
                <w:tcPr>
                  <w:tcW w:w="941" w:type="pct"/>
                  <w:gridSpan w:val="2"/>
                  <w:vAlign w:val="center"/>
                </w:tcPr>
                <w:p w14:paraId="31533458">
                  <w:pPr>
                    <w:adjustRightInd w:val="0"/>
                    <w:snapToGrid w:val="0"/>
                    <w:jc w:val="center"/>
                    <w:rPr>
                      <w:b/>
                      <w:bCs/>
                      <w:color w:val="auto"/>
                      <w:kern w:val="0"/>
                      <w:sz w:val="18"/>
                      <w:szCs w:val="18"/>
                    </w:rPr>
                  </w:pPr>
                  <w:r>
                    <w:rPr>
                      <w:rFonts w:hint="eastAsia"/>
                      <w:b/>
                      <w:bCs/>
                      <w:color w:val="auto"/>
                      <w:kern w:val="0"/>
                      <w:sz w:val="18"/>
                      <w:szCs w:val="18"/>
                    </w:rPr>
                    <w:t>建筑物外噪声</w:t>
                  </w:r>
                </w:p>
              </w:tc>
            </w:tr>
            <w:tr w14:paraId="46BC3DC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01" w:hRule="atLeast"/>
                <w:jc w:val="center"/>
              </w:trPr>
              <w:tc>
                <w:tcPr>
                  <w:tcW w:w="350" w:type="pct"/>
                  <w:vMerge w:val="continue"/>
                  <w:vAlign w:val="center"/>
                </w:tcPr>
                <w:p w14:paraId="21FEC577">
                  <w:pPr>
                    <w:adjustRightInd w:val="0"/>
                    <w:snapToGrid w:val="0"/>
                    <w:jc w:val="center"/>
                    <w:rPr>
                      <w:b/>
                      <w:bCs/>
                      <w:color w:val="auto"/>
                      <w:kern w:val="0"/>
                      <w:sz w:val="18"/>
                      <w:szCs w:val="18"/>
                    </w:rPr>
                  </w:pPr>
                </w:p>
              </w:tc>
              <w:tc>
                <w:tcPr>
                  <w:tcW w:w="367" w:type="pct"/>
                  <w:vMerge w:val="continue"/>
                  <w:vAlign w:val="center"/>
                </w:tcPr>
                <w:p w14:paraId="12DFC8C5">
                  <w:pPr>
                    <w:adjustRightInd w:val="0"/>
                    <w:snapToGrid w:val="0"/>
                    <w:jc w:val="center"/>
                    <w:rPr>
                      <w:b/>
                      <w:bCs/>
                      <w:color w:val="auto"/>
                      <w:kern w:val="0"/>
                      <w:sz w:val="18"/>
                      <w:szCs w:val="18"/>
                    </w:rPr>
                  </w:pPr>
                </w:p>
              </w:tc>
              <w:tc>
                <w:tcPr>
                  <w:tcW w:w="293" w:type="pct"/>
                  <w:vMerge w:val="continue"/>
                  <w:vAlign w:val="center"/>
                </w:tcPr>
                <w:p w14:paraId="2C7E4353">
                  <w:pPr>
                    <w:adjustRightInd w:val="0"/>
                    <w:snapToGrid w:val="0"/>
                    <w:jc w:val="center"/>
                    <w:rPr>
                      <w:b/>
                      <w:bCs/>
                      <w:color w:val="auto"/>
                      <w:kern w:val="0"/>
                      <w:sz w:val="18"/>
                      <w:szCs w:val="18"/>
                    </w:rPr>
                  </w:pPr>
                </w:p>
              </w:tc>
              <w:tc>
                <w:tcPr>
                  <w:tcW w:w="399" w:type="pct"/>
                  <w:vMerge w:val="continue"/>
                  <w:vAlign w:val="center"/>
                </w:tcPr>
                <w:p w14:paraId="04A5510A">
                  <w:pPr>
                    <w:adjustRightInd w:val="0"/>
                    <w:snapToGrid w:val="0"/>
                    <w:jc w:val="center"/>
                    <w:rPr>
                      <w:b/>
                      <w:bCs/>
                      <w:color w:val="auto"/>
                      <w:kern w:val="0"/>
                      <w:sz w:val="18"/>
                      <w:szCs w:val="18"/>
                    </w:rPr>
                  </w:pPr>
                </w:p>
              </w:tc>
              <w:tc>
                <w:tcPr>
                  <w:tcW w:w="360" w:type="pct"/>
                  <w:vMerge w:val="continue"/>
                  <w:vAlign w:val="center"/>
                </w:tcPr>
                <w:p w14:paraId="6F5A3846">
                  <w:pPr>
                    <w:adjustRightInd w:val="0"/>
                    <w:snapToGrid w:val="0"/>
                    <w:jc w:val="center"/>
                    <w:rPr>
                      <w:b/>
                      <w:bCs/>
                      <w:color w:val="auto"/>
                      <w:kern w:val="0"/>
                      <w:sz w:val="18"/>
                      <w:szCs w:val="18"/>
                    </w:rPr>
                  </w:pPr>
                </w:p>
              </w:tc>
              <w:tc>
                <w:tcPr>
                  <w:tcW w:w="206" w:type="pct"/>
                  <w:vAlign w:val="center"/>
                </w:tcPr>
                <w:p w14:paraId="65009688">
                  <w:pPr>
                    <w:adjustRightInd w:val="0"/>
                    <w:snapToGrid w:val="0"/>
                    <w:jc w:val="center"/>
                    <w:rPr>
                      <w:b/>
                      <w:bCs/>
                      <w:color w:val="auto"/>
                      <w:kern w:val="0"/>
                      <w:sz w:val="18"/>
                      <w:szCs w:val="18"/>
                    </w:rPr>
                  </w:pPr>
                  <w:r>
                    <w:rPr>
                      <w:b/>
                      <w:bCs/>
                      <w:color w:val="auto"/>
                      <w:kern w:val="0"/>
                      <w:sz w:val="18"/>
                      <w:szCs w:val="18"/>
                    </w:rPr>
                    <w:t>X</w:t>
                  </w:r>
                </w:p>
              </w:tc>
              <w:tc>
                <w:tcPr>
                  <w:tcW w:w="206" w:type="pct"/>
                  <w:vAlign w:val="center"/>
                </w:tcPr>
                <w:p w14:paraId="4ADA81B4">
                  <w:pPr>
                    <w:adjustRightInd w:val="0"/>
                    <w:snapToGrid w:val="0"/>
                    <w:jc w:val="center"/>
                    <w:rPr>
                      <w:b/>
                      <w:bCs/>
                      <w:color w:val="auto"/>
                      <w:kern w:val="0"/>
                      <w:sz w:val="18"/>
                      <w:szCs w:val="18"/>
                    </w:rPr>
                  </w:pPr>
                  <w:r>
                    <w:rPr>
                      <w:b/>
                      <w:bCs/>
                      <w:color w:val="auto"/>
                      <w:kern w:val="0"/>
                      <w:sz w:val="18"/>
                      <w:szCs w:val="18"/>
                    </w:rPr>
                    <w:t>Y</w:t>
                  </w:r>
                </w:p>
              </w:tc>
              <w:tc>
                <w:tcPr>
                  <w:tcW w:w="206" w:type="pct"/>
                  <w:vAlign w:val="center"/>
                </w:tcPr>
                <w:p w14:paraId="3363C5AE">
                  <w:pPr>
                    <w:adjustRightInd w:val="0"/>
                    <w:snapToGrid w:val="0"/>
                    <w:jc w:val="center"/>
                    <w:rPr>
                      <w:b/>
                      <w:bCs/>
                      <w:color w:val="auto"/>
                      <w:kern w:val="0"/>
                      <w:sz w:val="18"/>
                      <w:szCs w:val="18"/>
                    </w:rPr>
                  </w:pPr>
                  <w:r>
                    <w:rPr>
                      <w:b/>
                      <w:bCs/>
                      <w:color w:val="auto"/>
                      <w:kern w:val="0"/>
                      <w:sz w:val="18"/>
                      <w:szCs w:val="18"/>
                    </w:rPr>
                    <w:t>Z</w:t>
                  </w:r>
                </w:p>
              </w:tc>
              <w:tc>
                <w:tcPr>
                  <w:tcW w:w="206" w:type="pct"/>
                  <w:vAlign w:val="center"/>
                </w:tcPr>
                <w:p w14:paraId="68D1DD35">
                  <w:pPr>
                    <w:adjustRightInd w:val="0"/>
                    <w:snapToGrid w:val="0"/>
                    <w:jc w:val="center"/>
                    <w:rPr>
                      <w:b/>
                      <w:bCs/>
                      <w:color w:val="auto"/>
                      <w:kern w:val="0"/>
                      <w:sz w:val="18"/>
                      <w:szCs w:val="18"/>
                    </w:rPr>
                  </w:pPr>
                  <w:r>
                    <w:rPr>
                      <w:rFonts w:hint="eastAsia"/>
                      <w:b/>
                      <w:bCs/>
                      <w:color w:val="auto"/>
                      <w:kern w:val="0"/>
                      <w:sz w:val="18"/>
                      <w:szCs w:val="18"/>
                    </w:rPr>
                    <w:t>东</w:t>
                  </w:r>
                </w:p>
              </w:tc>
              <w:tc>
                <w:tcPr>
                  <w:tcW w:w="206" w:type="pct"/>
                  <w:vAlign w:val="center"/>
                </w:tcPr>
                <w:p w14:paraId="7AC89850">
                  <w:pPr>
                    <w:adjustRightInd w:val="0"/>
                    <w:snapToGrid w:val="0"/>
                    <w:jc w:val="center"/>
                    <w:rPr>
                      <w:b/>
                      <w:bCs/>
                      <w:color w:val="auto"/>
                      <w:kern w:val="0"/>
                      <w:sz w:val="18"/>
                      <w:szCs w:val="18"/>
                    </w:rPr>
                  </w:pPr>
                  <w:r>
                    <w:rPr>
                      <w:rFonts w:hint="eastAsia"/>
                      <w:b/>
                      <w:bCs/>
                      <w:color w:val="auto"/>
                      <w:kern w:val="0"/>
                      <w:sz w:val="18"/>
                      <w:szCs w:val="18"/>
                    </w:rPr>
                    <w:t>南</w:t>
                  </w:r>
                </w:p>
              </w:tc>
              <w:tc>
                <w:tcPr>
                  <w:tcW w:w="206" w:type="pct"/>
                  <w:vAlign w:val="center"/>
                </w:tcPr>
                <w:p w14:paraId="586CDCCC">
                  <w:pPr>
                    <w:adjustRightInd w:val="0"/>
                    <w:snapToGrid w:val="0"/>
                    <w:jc w:val="center"/>
                    <w:rPr>
                      <w:b/>
                      <w:bCs/>
                      <w:color w:val="auto"/>
                      <w:kern w:val="0"/>
                      <w:sz w:val="18"/>
                      <w:szCs w:val="18"/>
                    </w:rPr>
                  </w:pPr>
                  <w:r>
                    <w:rPr>
                      <w:rFonts w:hint="eastAsia"/>
                      <w:b/>
                      <w:bCs/>
                      <w:color w:val="auto"/>
                      <w:kern w:val="0"/>
                      <w:sz w:val="18"/>
                      <w:szCs w:val="18"/>
                    </w:rPr>
                    <w:t>西</w:t>
                  </w:r>
                </w:p>
              </w:tc>
              <w:tc>
                <w:tcPr>
                  <w:tcW w:w="208" w:type="pct"/>
                  <w:vAlign w:val="center"/>
                </w:tcPr>
                <w:p w14:paraId="4DDB15F9">
                  <w:pPr>
                    <w:adjustRightInd w:val="0"/>
                    <w:snapToGrid w:val="0"/>
                    <w:jc w:val="center"/>
                    <w:rPr>
                      <w:b/>
                      <w:bCs/>
                      <w:color w:val="auto"/>
                      <w:kern w:val="0"/>
                      <w:sz w:val="18"/>
                      <w:szCs w:val="18"/>
                    </w:rPr>
                  </w:pPr>
                  <w:r>
                    <w:rPr>
                      <w:rFonts w:hint="eastAsia"/>
                      <w:b/>
                      <w:bCs/>
                      <w:color w:val="auto"/>
                      <w:kern w:val="0"/>
                      <w:sz w:val="18"/>
                      <w:szCs w:val="18"/>
                    </w:rPr>
                    <w:t>北</w:t>
                  </w:r>
                </w:p>
              </w:tc>
              <w:tc>
                <w:tcPr>
                  <w:tcW w:w="399" w:type="pct"/>
                  <w:vMerge w:val="continue"/>
                  <w:vAlign w:val="center"/>
                </w:tcPr>
                <w:p w14:paraId="141D3B1E">
                  <w:pPr>
                    <w:adjustRightInd w:val="0"/>
                    <w:snapToGrid w:val="0"/>
                    <w:jc w:val="center"/>
                    <w:rPr>
                      <w:b/>
                      <w:bCs/>
                      <w:color w:val="auto"/>
                      <w:kern w:val="0"/>
                      <w:sz w:val="18"/>
                      <w:szCs w:val="18"/>
                    </w:rPr>
                  </w:pPr>
                </w:p>
              </w:tc>
              <w:tc>
                <w:tcPr>
                  <w:tcW w:w="443" w:type="pct"/>
                  <w:vMerge w:val="continue"/>
                  <w:vAlign w:val="center"/>
                </w:tcPr>
                <w:p w14:paraId="6431F885">
                  <w:pPr>
                    <w:adjustRightInd w:val="0"/>
                    <w:snapToGrid w:val="0"/>
                    <w:jc w:val="center"/>
                    <w:rPr>
                      <w:b/>
                      <w:bCs/>
                      <w:color w:val="auto"/>
                      <w:kern w:val="0"/>
                      <w:sz w:val="18"/>
                      <w:szCs w:val="18"/>
                    </w:rPr>
                  </w:pPr>
                </w:p>
              </w:tc>
              <w:tc>
                <w:tcPr>
                  <w:tcW w:w="447" w:type="pct"/>
                  <w:vAlign w:val="center"/>
                </w:tcPr>
                <w:p w14:paraId="300AEA01">
                  <w:pPr>
                    <w:adjustRightInd w:val="0"/>
                    <w:snapToGrid w:val="0"/>
                    <w:jc w:val="center"/>
                    <w:rPr>
                      <w:b/>
                      <w:bCs/>
                      <w:color w:val="auto"/>
                      <w:kern w:val="0"/>
                      <w:sz w:val="18"/>
                      <w:szCs w:val="18"/>
                    </w:rPr>
                  </w:pPr>
                  <w:r>
                    <w:rPr>
                      <w:rFonts w:hint="eastAsia"/>
                      <w:b/>
                      <w:bCs/>
                      <w:color w:val="auto"/>
                      <w:kern w:val="0"/>
                      <w:sz w:val="18"/>
                      <w:szCs w:val="18"/>
                    </w:rPr>
                    <w:t>声压级dB（A）</w:t>
                  </w:r>
                  <w:r>
                    <w:rPr>
                      <w:rFonts w:hint="eastAsia"/>
                      <w:b/>
                      <w:bCs/>
                      <w:color w:val="auto"/>
                      <w:kern w:val="0"/>
                      <w:sz w:val="18"/>
                      <w:szCs w:val="18"/>
                      <w:vertAlign w:val="superscript"/>
                    </w:rPr>
                    <w:t>③</w:t>
                  </w:r>
                </w:p>
              </w:tc>
              <w:tc>
                <w:tcPr>
                  <w:tcW w:w="494" w:type="pct"/>
                  <w:vAlign w:val="center"/>
                </w:tcPr>
                <w:p w14:paraId="32AE0C3F">
                  <w:pPr>
                    <w:adjustRightInd w:val="0"/>
                    <w:snapToGrid w:val="0"/>
                    <w:jc w:val="center"/>
                    <w:rPr>
                      <w:b/>
                      <w:bCs/>
                      <w:color w:val="auto"/>
                      <w:kern w:val="0"/>
                      <w:sz w:val="18"/>
                      <w:szCs w:val="18"/>
                    </w:rPr>
                  </w:pPr>
                  <w:r>
                    <w:rPr>
                      <w:rFonts w:hint="eastAsia"/>
                      <w:b/>
                      <w:bCs/>
                      <w:color w:val="auto"/>
                      <w:kern w:val="0"/>
                      <w:sz w:val="18"/>
                      <w:szCs w:val="18"/>
                    </w:rPr>
                    <w:t>建筑物外距离</w:t>
                  </w:r>
                  <w:r>
                    <w:rPr>
                      <w:rFonts w:hint="eastAsia"/>
                      <w:b/>
                      <w:bCs/>
                      <w:color w:val="auto"/>
                      <w:kern w:val="0"/>
                      <w:sz w:val="18"/>
                      <w:szCs w:val="18"/>
                      <w:vertAlign w:val="superscript"/>
                    </w:rPr>
                    <w:t>④</w:t>
                  </w:r>
                </w:p>
              </w:tc>
            </w:tr>
            <w:tr w14:paraId="05C5E9A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jc w:val="center"/>
              </w:trPr>
              <w:tc>
                <w:tcPr>
                  <w:tcW w:w="350" w:type="pct"/>
                  <w:vMerge w:val="restart"/>
                  <w:tcMar>
                    <w:left w:w="28" w:type="dxa"/>
                    <w:right w:w="28" w:type="dxa"/>
                  </w:tcMar>
                  <w:vAlign w:val="center"/>
                </w:tcPr>
                <w:p w14:paraId="747C8869">
                  <w:pPr>
                    <w:adjustRightInd w:val="0"/>
                    <w:snapToGrid w:val="0"/>
                    <w:jc w:val="center"/>
                    <w:rPr>
                      <w:color w:val="auto"/>
                      <w:kern w:val="0"/>
                      <w:sz w:val="18"/>
                      <w:szCs w:val="18"/>
                    </w:rPr>
                  </w:pPr>
                  <w:r>
                    <w:rPr>
                      <w:rFonts w:hint="eastAsia"/>
                      <w:color w:val="auto"/>
                      <w:kern w:val="0"/>
                      <w:sz w:val="18"/>
                      <w:szCs w:val="18"/>
                    </w:rPr>
                    <w:t>车间</w:t>
                  </w:r>
                </w:p>
              </w:tc>
              <w:tc>
                <w:tcPr>
                  <w:tcW w:w="367" w:type="pct"/>
                  <w:tcMar>
                    <w:left w:w="28" w:type="dxa"/>
                    <w:right w:w="28" w:type="dxa"/>
                  </w:tcMar>
                  <w:vAlign w:val="center"/>
                </w:tcPr>
                <w:p w14:paraId="3D3721DC">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裁板机</w:t>
                  </w:r>
                </w:p>
              </w:tc>
              <w:tc>
                <w:tcPr>
                  <w:tcW w:w="293" w:type="pct"/>
                  <w:tcMar>
                    <w:left w:w="28" w:type="dxa"/>
                    <w:right w:w="28" w:type="dxa"/>
                  </w:tcMar>
                  <w:vAlign w:val="center"/>
                </w:tcPr>
                <w:p w14:paraId="089C1DB4">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1</w:t>
                  </w:r>
                </w:p>
              </w:tc>
              <w:tc>
                <w:tcPr>
                  <w:tcW w:w="399" w:type="pct"/>
                  <w:tcMar>
                    <w:left w:w="28" w:type="dxa"/>
                    <w:right w:w="28" w:type="dxa"/>
                  </w:tcMar>
                  <w:vAlign w:val="center"/>
                </w:tcPr>
                <w:p w14:paraId="39620DF4">
                  <w:pPr>
                    <w:adjustRightInd w:val="0"/>
                    <w:snapToGrid w:val="0"/>
                    <w:jc w:val="center"/>
                    <w:rPr>
                      <w:color w:val="auto"/>
                      <w:kern w:val="0"/>
                      <w:sz w:val="18"/>
                      <w:szCs w:val="18"/>
                    </w:rPr>
                  </w:pPr>
                  <w:r>
                    <w:rPr>
                      <w:rFonts w:hint="eastAsia"/>
                      <w:color w:val="auto"/>
                      <w:kern w:val="0"/>
                      <w:sz w:val="18"/>
                      <w:szCs w:val="18"/>
                    </w:rPr>
                    <w:t>80</w:t>
                  </w:r>
                </w:p>
              </w:tc>
              <w:tc>
                <w:tcPr>
                  <w:tcW w:w="360" w:type="pct"/>
                  <w:vMerge w:val="restart"/>
                  <w:tcMar>
                    <w:left w:w="28" w:type="dxa"/>
                    <w:right w:w="28" w:type="dxa"/>
                  </w:tcMar>
                  <w:vAlign w:val="center"/>
                </w:tcPr>
                <w:p w14:paraId="7ABF7566">
                  <w:pPr>
                    <w:adjustRightInd w:val="0"/>
                    <w:snapToGrid w:val="0"/>
                    <w:jc w:val="center"/>
                    <w:rPr>
                      <w:color w:val="auto"/>
                      <w:kern w:val="0"/>
                      <w:sz w:val="18"/>
                      <w:szCs w:val="18"/>
                    </w:rPr>
                  </w:pPr>
                  <w:r>
                    <w:rPr>
                      <w:rFonts w:hint="eastAsia"/>
                      <w:color w:val="auto"/>
                      <w:kern w:val="0"/>
                      <w:sz w:val="18"/>
                      <w:szCs w:val="18"/>
                    </w:rPr>
                    <w:t>隔声、减振</w:t>
                  </w:r>
                </w:p>
              </w:tc>
              <w:tc>
                <w:tcPr>
                  <w:tcW w:w="206" w:type="pct"/>
                  <w:tcMar>
                    <w:left w:w="28" w:type="dxa"/>
                    <w:right w:w="28" w:type="dxa"/>
                  </w:tcMar>
                  <w:vAlign w:val="center"/>
                </w:tcPr>
                <w:p w14:paraId="0B2DE3AF">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-31</w:t>
                  </w:r>
                </w:p>
              </w:tc>
              <w:tc>
                <w:tcPr>
                  <w:tcW w:w="206" w:type="pct"/>
                  <w:tcMar>
                    <w:left w:w="28" w:type="dxa"/>
                    <w:right w:w="28" w:type="dxa"/>
                  </w:tcMar>
                  <w:vAlign w:val="center"/>
                </w:tcPr>
                <w:p w14:paraId="6E0E8614">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-15</w:t>
                  </w:r>
                </w:p>
              </w:tc>
              <w:tc>
                <w:tcPr>
                  <w:tcW w:w="206" w:type="pct"/>
                  <w:tcMar>
                    <w:left w:w="28" w:type="dxa"/>
                    <w:right w:w="28" w:type="dxa"/>
                  </w:tcMar>
                  <w:vAlign w:val="center"/>
                </w:tcPr>
                <w:p w14:paraId="682F63D9">
                  <w:pPr>
                    <w:adjustRightInd w:val="0"/>
                    <w:snapToGrid w:val="0"/>
                    <w:jc w:val="center"/>
                    <w:rPr>
                      <w:rFonts w:hint="eastAsia" w:eastAsia="宋体"/>
                      <w:color w:val="auto"/>
                      <w:kern w:val="0"/>
                      <w:sz w:val="18"/>
                      <w:szCs w:val="18"/>
                      <w:lang w:val="en-US" w:eastAsia="zh-CN"/>
                    </w:rPr>
                  </w:pPr>
                  <w:r>
                    <w:rPr>
                      <w:rFonts w:hint="eastAsia"/>
                      <w:color w:val="auto"/>
                      <w:kern w:val="0"/>
                      <w:sz w:val="18"/>
                      <w:szCs w:val="18"/>
                      <w:lang w:val="en-US" w:eastAsia="zh-CN"/>
                    </w:rPr>
                    <w:t>1</w:t>
                  </w:r>
                </w:p>
              </w:tc>
              <w:tc>
                <w:tcPr>
                  <w:tcW w:w="206" w:type="pct"/>
                  <w:tcMar>
                    <w:left w:w="28" w:type="dxa"/>
                    <w:right w:w="28" w:type="dxa"/>
                  </w:tcMar>
                  <w:vAlign w:val="center"/>
                </w:tcPr>
                <w:p w14:paraId="7147E82C">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72</w:t>
                  </w:r>
                </w:p>
              </w:tc>
              <w:tc>
                <w:tcPr>
                  <w:tcW w:w="206" w:type="pct"/>
                  <w:tcMar>
                    <w:left w:w="28" w:type="dxa"/>
                    <w:right w:w="28" w:type="dxa"/>
                  </w:tcMar>
                  <w:vAlign w:val="center"/>
                </w:tcPr>
                <w:p w14:paraId="10ABD504">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9</w:t>
                  </w:r>
                </w:p>
              </w:tc>
              <w:tc>
                <w:tcPr>
                  <w:tcW w:w="206" w:type="pct"/>
                  <w:tcMar>
                    <w:left w:w="28" w:type="dxa"/>
                    <w:right w:w="28" w:type="dxa"/>
                  </w:tcMar>
                  <w:vAlign w:val="center"/>
                </w:tcPr>
                <w:p w14:paraId="54E8EC20">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28</w:t>
                  </w:r>
                </w:p>
              </w:tc>
              <w:tc>
                <w:tcPr>
                  <w:tcW w:w="208" w:type="pct"/>
                  <w:tcMar>
                    <w:left w:w="28" w:type="dxa"/>
                    <w:right w:w="28" w:type="dxa"/>
                  </w:tcMar>
                  <w:vAlign w:val="center"/>
                </w:tcPr>
                <w:p w14:paraId="00E2AE69">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19</w:t>
                  </w:r>
                </w:p>
              </w:tc>
              <w:tc>
                <w:tcPr>
                  <w:tcW w:w="399" w:type="pct"/>
                  <w:tcMar>
                    <w:left w:w="28" w:type="dxa"/>
                    <w:right w:w="28" w:type="dxa"/>
                  </w:tcMar>
                  <w:vAlign w:val="center"/>
                </w:tcPr>
                <w:p w14:paraId="30CC1FEC">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52.3</w:t>
                  </w:r>
                </w:p>
              </w:tc>
              <w:tc>
                <w:tcPr>
                  <w:tcW w:w="443" w:type="pct"/>
                  <w:tcMar>
                    <w:left w:w="28" w:type="dxa"/>
                    <w:right w:w="28" w:type="dxa"/>
                  </w:tcMar>
                  <w:vAlign w:val="center"/>
                </w:tcPr>
                <w:p w14:paraId="0D7C517A">
                  <w:pPr>
                    <w:adjustRightInd w:val="0"/>
                    <w:snapToGrid w:val="0"/>
                    <w:jc w:val="center"/>
                    <w:rPr>
                      <w:color w:val="auto"/>
                      <w:kern w:val="0"/>
                      <w:sz w:val="18"/>
                      <w:szCs w:val="18"/>
                    </w:rPr>
                  </w:pPr>
                  <w:r>
                    <w:rPr>
                      <w:rFonts w:hint="eastAsia"/>
                      <w:color w:val="auto"/>
                      <w:kern w:val="0"/>
                      <w:sz w:val="18"/>
                      <w:szCs w:val="18"/>
                    </w:rPr>
                    <w:t>25</w:t>
                  </w:r>
                </w:p>
              </w:tc>
              <w:tc>
                <w:tcPr>
                  <w:tcW w:w="447" w:type="pct"/>
                  <w:tcMar>
                    <w:left w:w="28" w:type="dxa"/>
                    <w:right w:w="28" w:type="dxa"/>
                  </w:tcMar>
                  <w:vAlign w:val="center"/>
                </w:tcPr>
                <w:p w14:paraId="56E0D049">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21.3</w:t>
                  </w:r>
                </w:p>
              </w:tc>
              <w:tc>
                <w:tcPr>
                  <w:tcW w:w="494" w:type="pct"/>
                  <w:tcMar>
                    <w:left w:w="28" w:type="dxa"/>
                    <w:right w:w="28" w:type="dxa"/>
                  </w:tcMar>
                  <w:vAlign w:val="center"/>
                </w:tcPr>
                <w:p w14:paraId="56CA00A8">
                  <w:pPr>
                    <w:adjustRightInd w:val="0"/>
                    <w:snapToGrid w:val="0"/>
                    <w:jc w:val="center"/>
                    <w:rPr>
                      <w:color w:val="auto"/>
                      <w:kern w:val="0"/>
                      <w:sz w:val="18"/>
                      <w:szCs w:val="18"/>
                    </w:rPr>
                  </w:pPr>
                  <w:r>
                    <w:rPr>
                      <w:rFonts w:hint="eastAsia"/>
                      <w:color w:val="auto"/>
                      <w:kern w:val="0"/>
                      <w:sz w:val="18"/>
                      <w:szCs w:val="18"/>
                    </w:rPr>
                    <w:t>1</w:t>
                  </w:r>
                </w:p>
              </w:tc>
            </w:tr>
            <w:tr w14:paraId="4166CBB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jc w:val="center"/>
              </w:trPr>
              <w:tc>
                <w:tcPr>
                  <w:tcW w:w="350" w:type="pct"/>
                  <w:vMerge w:val="continue"/>
                  <w:tcMar>
                    <w:left w:w="28" w:type="dxa"/>
                    <w:right w:w="28" w:type="dxa"/>
                  </w:tcMar>
                  <w:vAlign w:val="center"/>
                </w:tcPr>
                <w:p w14:paraId="5080FCCC">
                  <w:pPr>
                    <w:adjustRightInd w:val="0"/>
                    <w:snapToGrid w:val="0"/>
                    <w:jc w:val="center"/>
                    <w:rPr>
                      <w:color w:val="auto"/>
                      <w:kern w:val="0"/>
                      <w:sz w:val="18"/>
                      <w:szCs w:val="18"/>
                    </w:rPr>
                  </w:pPr>
                </w:p>
              </w:tc>
              <w:tc>
                <w:tcPr>
                  <w:tcW w:w="367" w:type="pct"/>
                  <w:tcMar>
                    <w:left w:w="28" w:type="dxa"/>
                    <w:right w:w="28" w:type="dxa"/>
                  </w:tcMar>
                  <w:vAlign w:val="center"/>
                </w:tcPr>
                <w:p w14:paraId="55893E6E">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推台锯</w:t>
                  </w:r>
                </w:p>
              </w:tc>
              <w:tc>
                <w:tcPr>
                  <w:tcW w:w="293" w:type="pct"/>
                  <w:tcMar>
                    <w:left w:w="28" w:type="dxa"/>
                    <w:right w:w="28" w:type="dxa"/>
                  </w:tcMar>
                  <w:vAlign w:val="center"/>
                </w:tcPr>
                <w:p w14:paraId="516BDCC1">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5</w:t>
                  </w:r>
                </w:p>
              </w:tc>
              <w:tc>
                <w:tcPr>
                  <w:tcW w:w="399" w:type="pct"/>
                  <w:tcMar>
                    <w:left w:w="28" w:type="dxa"/>
                    <w:right w:w="28" w:type="dxa"/>
                  </w:tcMar>
                  <w:vAlign w:val="center"/>
                </w:tcPr>
                <w:p w14:paraId="33E7CBB6">
                  <w:pPr>
                    <w:adjustRightInd w:val="0"/>
                    <w:snapToGrid w:val="0"/>
                    <w:jc w:val="center"/>
                    <w:rPr>
                      <w:color w:val="auto"/>
                      <w:kern w:val="0"/>
                      <w:sz w:val="18"/>
                      <w:szCs w:val="18"/>
                    </w:rPr>
                  </w:pPr>
                  <w:r>
                    <w:rPr>
                      <w:rFonts w:hint="eastAsia"/>
                      <w:color w:val="auto"/>
                      <w:kern w:val="0"/>
                      <w:sz w:val="18"/>
                      <w:szCs w:val="18"/>
                    </w:rPr>
                    <w:t>80</w:t>
                  </w:r>
                </w:p>
              </w:tc>
              <w:tc>
                <w:tcPr>
                  <w:tcW w:w="360" w:type="pct"/>
                  <w:vMerge w:val="continue"/>
                  <w:tcMar>
                    <w:left w:w="28" w:type="dxa"/>
                    <w:right w:w="28" w:type="dxa"/>
                  </w:tcMar>
                  <w:vAlign w:val="center"/>
                </w:tcPr>
                <w:p w14:paraId="35D68D26">
                  <w:pPr>
                    <w:adjustRightInd w:val="0"/>
                    <w:snapToGrid w:val="0"/>
                    <w:jc w:val="center"/>
                    <w:rPr>
                      <w:color w:val="auto"/>
                      <w:kern w:val="0"/>
                      <w:sz w:val="18"/>
                      <w:szCs w:val="18"/>
                    </w:rPr>
                  </w:pPr>
                </w:p>
              </w:tc>
              <w:tc>
                <w:tcPr>
                  <w:tcW w:w="206" w:type="pct"/>
                  <w:tcMar>
                    <w:left w:w="28" w:type="dxa"/>
                    <w:right w:w="28" w:type="dxa"/>
                  </w:tcMar>
                  <w:vAlign w:val="center"/>
                </w:tcPr>
                <w:p w14:paraId="3E1E4467">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-23</w:t>
                  </w:r>
                </w:p>
              </w:tc>
              <w:tc>
                <w:tcPr>
                  <w:tcW w:w="206" w:type="pct"/>
                  <w:tcMar>
                    <w:left w:w="28" w:type="dxa"/>
                    <w:right w:w="28" w:type="dxa"/>
                  </w:tcMar>
                  <w:vAlign w:val="center"/>
                </w:tcPr>
                <w:p w14:paraId="7A1FE4B6">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0</w:t>
                  </w:r>
                </w:p>
              </w:tc>
              <w:tc>
                <w:tcPr>
                  <w:tcW w:w="206" w:type="pct"/>
                  <w:tcMar>
                    <w:left w:w="28" w:type="dxa"/>
                    <w:right w:w="28" w:type="dxa"/>
                  </w:tcMar>
                  <w:vAlign w:val="center"/>
                </w:tcPr>
                <w:p w14:paraId="40DC2AA8">
                  <w:pPr>
                    <w:adjustRightInd w:val="0"/>
                    <w:snapToGrid w:val="0"/>
                    <w:jc w:val="center"/>
                    <w:rPr>
                      <w:color w:val="auto"/>
                      <w:kern w:val="0"/>
                      <w:sz w:val="18"/>
                      <w:szCs w:val="18"/>
                    </w:rPr>
                  </w:pPr>
                  <w:r>
                    <w:rPr>
                      <w:rFonts w:hint="eastAsia"/>
                      <w:color w:val="auto"/>
                      <w:kern w:val="0"/>
                      <w:sz w:val="18"/>
                      <w:szCs w:val="18"/>
                      <w:lang w:val="en-US" w:eastAsia="zh-CN"/>
                    </w:rPr>
                    <w:t>1</w:t>
                  </w:r>
                </w:p>
              </w:tc>
              <w:tc>
                <w:tcPr>
                  <w:tcW w:w="206" w:type="pct"/>
                  <w:tcMar>
                    <w:left w:w="28" w:type="dxa"/>
                    <w:right w:w="28" w:type="dxa"/>
                  </w:tcMar>
                  <w:vAlign w:val="center"/>
                </w:tcPr>
                <w:p w14:paraId="2D07F538">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64</w:t>
                  </w:r>
                </w:p>
              </w:tc>
              <w:tc>
                <w:tcPr>
                  <w:tcW w:w="206" w:type="pct"/>
                  <w:tcMar>
                    <w:left w:w="28" w:type="dxa"/>
                    <w:right w:w="28" w:type="dxa"/>
                  </w:tcMar>
                  <w:vAlign w:val="center"/>
                </w:tcPr>
                <w:p w14:paraId="3A252B06">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10</w:t>
                  </w:r>
                </w:p>
              </w:tc>
              <w:tc>
                <w:tcPr>
                  <w:tcW w:w="206" w:type="pct"/>
                  <w:tcMar>
                    <w:left w:w="28" w:type="dxa"/>
                    <w:right w:w="28" w:type="dxa"/>
                  </w:tcMar>
                  <w:vAlign w:val="center"/>
                </w:tcPr>
                <w:p w14:paraId="52D3B3D7">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36</w:t>
                  </w:r>
                </w:p>
              </w:tc>
              <w:tc>
                <w:tcPr>
                  <w:tcW w:w="208" w:type="pct"/>
                  <w:tcMar>
                    <w:left w:w="28" w:type="dxa"/>
                    <w:right w:w="28" w:type="dxa"/>
                  </w:tcMar>
                  <w:vAlign w:val="center"/>
                </w:tcPr>
                <w:p w14:paraId="21722BD1">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18</w:t>
                  </w:r>
                </w:p>
              </w:tc>
              <w:tc>
                <w:tcPr>
                  <w:tcW w:w="399" w:type="pct"/>
                  <w:tcMar>
                    <w:left w:w="28" w:type="dxa"/>
                    <w:right w:w="28" w:type="dxa"/>
                  </w:tcMar>
                  <w:vAlign w:val="center"/>
                </w:tcPr>
                <w:p w14:paraId="15E40C32">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59.8</w:t>
                  </w:r>
                </w:p>
              </w:tc>
              <w:tc>
                <w:tcPr>
                  <w:tcW w:w="443" w:type="pct"/>
                  <w:tcMar>
                    <w:left w:w="28" w:type="dxa"/>
                    <w:right w:w="28" w:type="dxa"/>
                  </w:tcMar>
                  <w:vAlign w:val="center"/>
                </w:tcPr>
                <w:p w14:paraId="4F846A6A">
                  <w:pPr>
                    <w:adjustRightInd w:val="0"/>
                    <w:snapToGrid w:val="0"/>
                    <w:jc w:val="center"/>
                    <w:rPr>
                      <w:color w:val="auto"/>
                      <w:kern w:val="0"/>
                      <w:sz w:val="18"/>
                      <w:szCs w:val="18"/>
                    </w:rPr>
                  </w:pPr>
                  <w:r>
                    <w:rPr>
                      <w:rFonts w:hint="eastAsia"/>
                      <w:color w:val="auto"/>
                      <w:kern w:val="0"/>
                      <w:sz w:val="18"/>
                      <w:szCs w:val="18"/>
                    </w:rPr>
                    <w:t>25</w:t>
                  </w:r>
                </w:p>
              </w:tc>
              <w:tc>
                <w:tcPr>
                  <w:tcW w:w="447" w:type="pct"/>
                  <w:tcMar>
                    <w:left w:w="28" w:type="dxa"/>
                    <w:right w:w="28" w:type="dxa"/>
                  </w:tcMar>
                  <w:vAlign w:val="center"/>
                </w:tcPr>
                <w:p w14:paraId="532DA7EB">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28.8</w:t>
                  </w:r>
                </w:p>
              </w:tc>
              <w:tc>
                <w:tcPr>
                  <w:tcW w:w="494" w:type="pct"/>
                  <w:tcMar>
                    <w:left w:w="28" w:type="dxa"/>
                    <w:right w:w="28" w:type="dxa"/>
                  </w:tcMar>
                  <w:vAlign w:val="center"/>
                </w:tcPr>
                <w:p w14:paraId="6E60A762">
                  <w:pPr>
                    <w:adjustRightInd w:val="0"/>
                    <w:snapToGrid w:val="0"/>
                    <w:jc w:val="center"/>
                    <w:rPr>
                      <w:color w:val="auto"/>
                      <w:kern w:val="0"/>
                      <w:sz w:val="18"/>
                      <w:szCs w:val="18"/>
                    </w:rPr>
                  </w:pPr>
                  <w:r>
                    <w:rPr>
                      <w:rFonts w:hint="eastAsia"/>
                      <w:color w:val="auto"/>
                      <w:kern w:val="0"/>
                      <w:sz w:val="18"/>
                      <w:szCs w:val="18"/>
                    </w:rPr>
                    <w:t>1</w:t>
                  </w:r>
                </w:p>
              </w:tc>
            </w:tr>
            <w:tr w14:paraId="7F02008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jc w:val="center"/>
              </w:trPr>
              <w:tc>
                <w:tcPr>
                  <w:tcW w:w="350" w:type="pct"/>
                  <w:vMerge w:val="continue"/>
                  <w:tcMar>
                    <w:left w:w="28" w:type="dxa"/>
                    <w:right w:w="28" w:type="dxa"/>
                  </w:tcMar>
                  <w:vAlign w:val="center"/>
                </w:tcPr>
                <w:p w14:paraId="093762A1">
                  <w:pPr>
                    <w:adjustRightInd w:val="0"/>
                    <w:snapToGrid w:val="0"/>
                    <w:jc w:val="center"/>
                    <w:rPr>
                      <w:color w:val="auto"/>
                      <w:kern w:val="0"/>
                      <w:sz w:val="18"/>
                      <w:szCs w:val="18"/>
                    </w:rPr>
                  </w:pPr>
                </w:p>
              </w:tc>
              <w:tc>
                <w:tcPr>
                  <w:tcW w:w="367" w:type="pct"/>
                  <w:tcMar>
                    <w:left w:w="28" w:type="dxa"/>
                    <w:right w:w="28" w:type="dxa"/>
                  </w:tcMar>
                  <w:vAlign w:val="center"/>
                </w:tcPr>
                <w:p w14:paraId="7E6C9524">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开料机</w:t>
                  </w:r>
                </w:p>
              </w:tc>
              <w:tc>
                <w:tcPr>
                  <w:tcW w:w="293" w:type="pct"/>
                  <w:tcMar>
                    <w:left w:w="28" w:type="dxa"/>
                    <w:right w:w="28" w:type="dxa"/>
                  </w:tcMar>
                  <w:vAlign w:val="center"/>
                </w:tcPr>
                <w:p w14:paraId="3BF8B672">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2</w:t>
                  </w:r>
                </w:p>
              </w:tc>
              <w:tc>
                <w:tcPr>
                  <w:tcW w:w="399" w:type="pct"/>
                  <w:tcMar>
                    <w:left w:w="28" w:type="dxa"/>
                    <w:right w:w="28" w:type="dxa"/>
                  </w:tcMar>
                  <w:vAlign w:val="center"/>
                </w:tcPr>
                <w:p w14:paraId="01D3B2B8">
                  <w:pPr>
                    <w:adjustRightInd w:val="0"/>
                    <w:snapToGrid w:val="0"/>
                    <w:jc w:val="center"/>
                    <w:rPr>
                      <w:color w:val="auto"/>
                      <w:kern w:val="0"/>
                      <w:sz w:val="18"/>
                      <w:szCs w:val="18"/>
                    </w:rPr>
                  </w:pPr>
                  <w:r>
                    <w:rPr>
                      <w:rFonts w:hint="eastAsia"/>
                      <w:color w:val="auto"/>
                      <w:kern w:val="0"/>
                      <w:sz w:val="18"/>
                      <w:szCs w:val="18"/>
                    </w:rPr>
                    <w:t>75</w:t>
                  </w:r>
                </w:p>
              </w:tc>
              <w:tc>
                <w:tcPr>
                  <w:tcW w:w="360" w:type="pct"/>
                  <w:vMerge w:val="continue"/>
                  <w:tcMar>
                    <w:left w:w="28" w:type="dxa"/>
                    <w:right w:w="28" w:type="dxa"/>
                  </w:tcMar>
                  <w:vAlign w:val="center"/>
                </w:tcPr>
                <w:p w14:paraId="770B5C53">
                  <w:pPr>
                    <w:adjustRightInd w:val="0"/>
                    <w:snapToGrid w:val="0"/>
                    <w:jc w:val="center"/>
                    <w:rPr>
                      <w:color w:val="auto"/>
                      <w:kern w:val="0"/>
                      <w:sz w:val="18"/>
                      <w:szCs w:val="18"/>
                    </w:rPr>
                  </w:pPr>
                </w:p>
              </w:tc>
              <w:tc>
                <w:tcPr>
                  <w:tcW w:w="206" w:type="pct"/>
                  <w:tcMar>
                    <w:left w:w="28" w:type="dxa"/>
                    <w:right w:w="28" w:type="dxa"/>
                  </w:tcMar>
                  <w:vAlign w:val="center"/>
                </w:tcPr>
                <w:p w14:paraId="049E2F05">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-40</w:t>
                  </w:r>
                </w:p>
              </w:tc>
              <w:tc>
                <w:tcPr>
                  <w:tcW w:w="206" w:type="pct"/>
                  <w:tcMar>
                    <w:left w:w="28" w:type="dxa"/>
                    <w:right w:w="28" w:type="dxa"/>
                  </w:tcMar>
                  <w:vAlign w:val="center"/>
                </w:tcPr>
                <w:p w14:paraId="4E067E33">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12</w:t>
                  </w:r>
                </w:p>
              </w:tc>
              <w:tc>
                <w:tcPr>
                  <w:tcW w:w="206" w:type="pct"/>
                  <w:tcMar>
                    <w:left w:w="28" w:type="dxa"/>
                    <w:right w:w="28" w:type="dxa"/>
                  </w:tcMar>
                  <w:vAlign w:val="center"/>
                </w:tcPr>
                <w:p w14:paraId="3AAB4631">
                  <w:pPr>
                    <w:adjustRightInd w:val="0"/>
                    <w:snapToGrid w:val="0"/>
                    <w:jc w:val="center"/>
                    <w:rPr>
                      <w:color w:val="auto"/>
                      <w:kern w:val="0"/>
                      <w:sz w:val="18"/>
                      <w:szCs w:val="18"/>
                    </w:rPr>
                  </w:pPr>
                  <w:r>
                    <w:rPr>
                      <w:rFonts w:hint="eastAsia"/>
                      <w:color w:val="auto"/>
                      <w:kern w:val="0"/>
                      <w:sz w:val="18"/>
                      <w:szCs w:val="18"/>
                      <w:lang w:val="en-US" w:eastAsia="zh-CN"/>
                    </w:rPr>
                    <w:t>1</w:t>
                  </w:r>
                </w:p>
              </w:tc>
              <w:tc>
                <w:tcPr>
                  <w:tcW w:w="206" w:type="pct"/>
                  <w:tcMar>
                    <w:left w:w="28" w:type="dxa"/>
                    <w:right w:w="28" w:type="dxa"/>
                  </w:tcMar>
                  <w:vAlign w:val="center"/>
                </w:tcPr>
                <w:p w14:paraId="67C5C941">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90</w:t>
                  </w:r>
                </w:p>
              </w:tc>
              <w:tc>
                <w:tcPr>
                  <w:tcW w:w="206" w:type="pct"/>
                  <w:tcMar>
                    <w:left w:w="28" w:type="dxa"/>
                    <w:right w:w="28" w:type="dxa"/>
                  </w:tcMar>
                  <w:vAlign w:val="center"/>
                </w:tcPr>
                <w:p w14:paraId="00B5C7FA">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26</w:t>
                  </w:r>
                </w:p>
              </w:tc>
              <w:tc>
                <w:tcPr>
                  <w:tcW w:w="206" w:type="pct"/>
                  <w:tcMar>
                    <w:left w:w="28" w:type="dxa"/>
                    <w:right w:w="28" w:type="dxa"/>
                  </w:tcMar>
                  <w:vAlign w:val="center"/>
                </w:tcPr>
                <w:p w14:paraId="4E5D4F47">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10</w:t>
                  </w:r>
                </w:p>
              </w:tc>
              <w:tc>
                <w:tcPr>
                  <w:tcW w:w="208" w:type="pct"/>
                  <w:tcMar>
                    <w:left w:w="28" w:type="dxa"/>
                    <w:right w:w="28" w:type="dxa"/>
                  </w:tcMar>
                  <w:vAlign w:val="center"/>
                </w:tcPr>
                <w:p w14:paraId="6B339642">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2</w:t>
                  </w:r>
                </w:p>
              </w:tc>
              <w:tc>
                <w:tcPr>
                  <w:tcW w:w="399" w:type="pct"/>
                  <w:tcMar>
                    <w:left w:w="28" w:type="dxa"/>
                    <w:right w:w="28" w:type="dxa"/>
                  </w:tcMar>
                  <w:vAlign w:val="center"/>
                </w:tcPr>
                <w:p w14:paraId="55273010">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63.2</w:t>
                  </w:r>
                </w:p>
              </w:tc>
              <w:tc>
                <w:tcPr>
                  <w:tcW w:w="443" w:type="pct"/>
                  <w:tcMar>
                    <w:left w:w="28" w:type="dxa"/>
                    <w:right w:w="28" w:type="dxa"/>
                  </w:tcMar>
                  <w:vAlign w:val="center"/>
                </w:tcPr>
                <w:p w14:paraId="2FC315B7">
                  <w:pPr>
                    <w:adjustRightInd w:val="0"/>
                    <w:snapToGrid w:val="0"/>
                    <w:jc w:val="center"/>
                    <w:rPr>
                      <w:color w:val="auto"/>
                      <w:kern w:val="0"/>
                      <w:sz w:val="18"/>
                      <w:szCs w:val="18"/>
                    </w:rPr>
                  </w:pPr>
                  <w:r>
                    <w:rPr>
                      <w:rFonts w:hint="eastAsia"/>
                      <w:color w:val="auto"/>
                      <w:kern w:val="0"/>
                      <w:sz w:val="18"/>
                      <w:szCs w:val="18"/>
                    </w:rPr>
                    <w:t>25</w:t>
                  </w:r>
                </w:p>
              </w:tc>
              <w:tc>
                <w:tcPr>
                  <w:tcW w:w="447" w:type="pct"/>
                  <w:tcMar>
                    <w:left w:w="28" w:type="dxa"/>
                    <w:right w:w="28" w:type="dxa"/>
                  </w:tcMar>
                  <w:vAlign w:val="center"/>
                </w:tcPr>
                <w:p w14:paraId="3BE3E6C2">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32.2</w:t>
                  </w:r>
                </w:p>
              </w:tc>
              <w:tc>
                <w:tcPr>
                  <w:tcW w:w="494" w:type="pct"/>
                  <w:tcMar>
                    <w:left w:w="28" w:type="dxa"/>
                    <w:right w:w="28" w:type="dxa"/>
                  </w:tcMar>
                  <w:vAlign w:val="center"/>
                </w:tcPr>
                <w:p w14:paraId="1505CC0F">
                  <w:pPr>
                    <w:adjustRightInd w:val="0"/>
                    <w:snapToGrid w:val="0"/>
                    <w:jc w:val="center"/>
                    <w:rPr>
                      <w:color w:val="auto"/>
                      <w:kern w:val="0"/>
                      <w:sz w:val="18"/>
                      <w:szCs w:val="18"/>
                    </w:rPr>
                  </w:pPr>
                  <w:r>
                    <w:rPr>
                      <w:rFonts w:hint="eastAsia"/>
                      <w:color w:val="auto"/>
                      <w:kern w:val="0"/>
                      <w:sz w:val="18"/>
                      <w:szCs w:val="18"/>
                    </w:rPr>
                    <w:t>1</w:t>
                  </w:r>
                </w:p>
              </w:tc>
            </w:tr>
            <w:tr w14:paraId="11F678B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jc w:val="center"/>
              </w:trPr>
              <w:tc>
                <w:tcPr>
                  <w:tcW w:w="350" w:type="pct"/>
                  <w:vMerge w:val="continue"/>
                  <w:tcMar>
                    <w:left w:w="28" w:type="dxa"/>
                    <w:right w:w="28" w:type="dxa"/>
                  </w:tcMar>
                  <w:vAlign w:val="center"/>
                </w:tcPr>
                <w:p w14:paraId="71607B0B">
                  <w:pPr>
                    <w:adjustRightInd w:val="0"/>
                    <w:snapToGrid w:val="0"/>
                    <w:jc w:val="center"/>
                    <w:rPr>
                      <w:color w:val="auto"/>
                      <w:kern w:val="0"/>
                      <w:sz w:val="18"/>
                      <w:szCs w:val="18"/>
                    </w:rPr>
                  </w:pPr>
                </w:p>
              </w:tc>
              <w:tc>
                <w:tcPr>
                  <w:tcW w:w="367" w:type="pct"/>
                  <w:tcMar>
                    <w:left w:w="28" w:type="dxa"/>
                    <w:right w:w="28" w:type="dxa"/>
                  </w:tcMar>
                  <w:vAlign w:val="center"/>
                </w:tcPr>
                <w:p w14:paraId="55687738">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带锯</w:t>
                  </w:r>
                </w:p>
              </w:tc>
              <w:tc>
                <w:tcPr>
                  <w:tcW w:w="293" w:type="pct"/>
                  <w:tcMar>
                    <w:left w:w="28" w:type="dxa"/>
                    <w:right w:w="28" w:type="dxa"/>
                  </w:tcMar>
                  <w:vAlign w:val="center"/>
                </w:tcPr>
                <w:p w14:paraId="6B689AF9">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1</w:t>
                  </w:r>
                </w:p>
              </w:tc>
              <w:tc>
                <w:tcPr>
                  <w:tcW w:w="399" w:type="pct"/>
                  <w:tcMar>
                    <w:left w:w="28" w:type="dxa"/>
                    <w:right w:w="28" w:type="dxa"/>
                  </w:tcMar>
                  <w:vAlign w:val="center"/>
                </w:tcPr>
                <w:p w14:paraId="4D654938">
                  <w:pPr>
                    <w:adjustRightInd w:val="0"/>
                    <w:snapToGrid w:val="0"/>
                    <w:jc w:val="center"/>
                    <w:rPr>
                      <w:color w:val="auto"/>
                      <w:kern w:val="0"/>
                      <w:sz w:val="18"/>
                      <w:szCs w:val="18"/>
                    </w:rPr>
                  </w:pPr>
                  <w:r>
                    <w:rPr>
                      <w:rFonts w:hint="eastAsia"/>
                      <w:color w:val="auto"/>
                      <w:kern w:val="0"/>
                      <w:sz w:val="18"/>
                      <w:szCs w:val="18"/>
                    </w:rPr>
                    <w:t>75</w:t>
                  </w:r>
                </w:p>
              </w:tc>
              <w:tc>
                <w:tcPr>
                  <w:tcW w:w="360" w:type="pct"/>
                  <w:vMerge w:val="continue"/>
                  <w:tcMar>
                    <w:left w:w="28" w:type="dxa"/>
                    <w:right w:w="28" w:type="dxa"/>
                  </w:tcMar>
                  <w:vAlign w:val="center"/>
                </w:tcPr>
                <w:p w14:paraId="69D6F9A5">
                  <w:pPr>
                    <w:adjustRightInd w:val="0"/>
                    <w:snapToGrid w:val="0"/>
                    <w:jc w:val="center"/>
                    <w:rPr>
                      <w:color w:val="auto"/>
                      <w:kern w:val="0"/>
                      <w:sz w:val="18"/>
                      <w:szCs w:val="18"/>
                    </w:rPr>
                  </w:pPr>
                </w:p>
              </w:tc>
              <w:tc>
                <w:tcPr>
                  <w:tcW w:w="206" w:type="pct"/>
                  <w:tcMar>
                    <w:left w:w="28" w:type="dxa"/>
                    <w:right w:w="28" w:type="dxa"/>
                  </w:tcMar>
                  <w:vAlign w:val="center"/>
                </w:tcPr>
                <w:p w14:paraId="6EAB7EAB">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-31</w:t>
                  </w:r>
                </w:p>
              </w:tc>
              <w:tc>
                <w:tcPr>
                  <w:tcW w:w="206" w:type="pct"/>
                  <w:tcMar>
                    <w:left w:w="28" w:type="dxa"/>
                    <w:right w:w="28" w:type="dxa"/>
                  </w:tcMar>
                  <w:vAlign w:val="center"/>
                </w:tcPr>
                <w:p w14:paraId="31CD79E6">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12</w:t>
                  </w:r>
                </w:p>
              </w:tc>
              <w:tc>
                <w:tcPr>
                  <w:tcW w:w="206" w:type="pct"/>
                  <w:tcMar>
                    <w:left w:w="28" w:type="dxa"/>
                    <w:right w:w="28" w:type="dxa"/>
                  </w:tcMar>
                  <w:vAlign w:val="center"/>
                </w:tcPr>
                <w:p w14:paraId="71938630">
                  <w:pPr>
                    <w:adjustRightInd w:val="0"/>
                    <w:snapToGrid w:val="0"/>
                    <w:jc w:val="center"/>
                    <w:rPr>
                      <w:color w:val="auto"/>
                      <w:kern w:val="0"/>
                      <w:sz w:val="18"/>
                      <w:szCs w:val="18"/>
                    </w:rPr>
                  </w:pPr>
                  <w:r>
                    <w:rPr>
                      <w:rFonts w:hint="eastAsia"/>
                      <w:color w:val="auto"/>
                      <w:kern w:val="0"/>
                      <w:sz w:val="18"/>
                      <w:szCs w:val="18"/>
                      <w:lang w:val="en-US" w:eastAsia="zh-CN"/>
                    </w:rPr>
                    <w:t>1</w:t>
                  </w:r>
                </w:p>
              </w:tc>
              <w:tc>
                <w:tcPr>
                  <w:tcW w:w="206" w:type="pct"/>
                  <w:tcMar>
                    <w:left w:w="28" w:type="dxa"/>
                    <w:right w:w="28" w:type="dxa"/>
                  </w:tcMar>
                  <w:vAlign w:val="center"/>
                </w:tcPr>
                <w:p w14:paraId="67C53B38">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81</w:t>
                  </w:r>
                </w:p>
              </w:tc>
              <w:tc>
                <w:tcPr>
                  <w:tcW w:w="206" w:type="pct"/>
                  <w:tcMar>
                    <w:left w:w="28" w:type="dxa"/>
                    <w:right w:w="28" w:type="dxa"/>
                  </w:tcMar>
                  <w:vAlign w:val="center"/>
                </w:tcPr>
                <w:p w14:paraId="49A1FAD5">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26</w:t>
                  </w:r>
                </w:p>
              </w:tc>
              <w:tc>
                <w:tcPr>
                  <w:tcW w:w="206" w:type="pct"/>
                  <w:tcMar>
                    <w:left w:w="28" w:type="dxa"/>
                    <w:right w:w="28" w:type="dxa"/>
                  </w:tcMar>
                  <w:vAlign w:val="center"/>
                </w:tcPr>
                <w:p w14:paraId="3F596A7F">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19</w:t>
                  </w:r>
                </w:p>
              </w:tc>
              <w:tc>
                <w:tcPr>
                  <w:tcW w:w="208" w:type="pct"/>
                  <w:tcMar>
                    <w:left w:w="28" w:type="dxa"/>
                    <w:right w:w="28" w:type="dxa"/>
                  </w:tcMar>
                  <w:vAlign w:val="center"/>
                </w:tcPr>
                <w:p w14:paraId="7A608BF1">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2</w:t>
                  </w:r>
                </w:p>
              </w:tc>
              <w:tc>
                <w:tcPr>
                  <w:tcW w:w="399" w:type="pct"/>
                  <w:tcMar>
                    <w:left w:w="28" w:type="dxa"/>
                    <w:right w:w="28" w:type="dxa"/>
                  </w:tcMar>
                  <w:vAlign w:val="center"/>
                </w:tcPr>
                <w:p w14:paraId="32A5E5AD">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63.7</w:t>
                  </w:r>
                </w:p>
              </w:tc>
              <w:tc>
                <w:tcPr>
                  <w:tcW w:w="443" w:type="pct"/>
                  <w:tcMar>
                    <w:left w:w="28" w:type="dxa"/>
                    <w:right w:w="28" w:type="dxa"/>
                  </w:tcMar>
                  <w:vAlign w:val="center"/>
                </w:tcPr>
                <w:p w14:paraId="33551B42">
                  <w:pPr>
                    <w:adjustRightInd w:val="0"/>
                    <w:snapToGrid w:val="0"/>
                    <w:jc w:val="center"/>
                    <w:rPr>
                      <w:color w:val="auto"/>
                      <w:kern w:val="0"/>
                      <w:sz w:val="18"/>
                      <w:szCs w:val="18"/>
                    </w:rPr>
                  </w:pPr>
                  <w:r>
                    <w:rPr>
                      <w:rFonts w:hint="eastAsia"/>
                      <w:color w:val="auto"/>
                      <w:kern w:val="0"/>
                      <w:sz w:val="18"/>
                      <w:szCs w:val="18"/>
                    </w:rPr>
                    <w:t>25</w:t>
                  </w:r>
                </w:p>
              </w:tc>
              <w:tc>
                <w:tcPr>
                  <w:tcW w:w="447" w:type="pct"/>
                  <w:tcMar>
                    <w:left w:w="28" w:type="dxa"/>
                    <w:right w:w="28" w:type="dxa"/>
                  </w:tcMar>
                  <w:vAlign w:val="center"/>
                </w:tcPr>
                <w:p w14:paraId="589433B6">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32.7</w:t>
                  </w:r>
                </w:p>
              </w:tc>
              <w:tc>
                <w:tcPr>
                  <w:tcW w:w="494" w:type="pct"/>
                  <w:tcMar>
                    <w:left w:w="28" w:type="dxa"/>
                    <w:right w:w="28" w:type="dxa"/>
                  </w:tcMar>
                  <w:vAlign w:val="center"/>
                </w:tcPr>
                <w:p w14:paraId="0362D8DF">
                  <w:pPr>
                    <w:adjustRightInd w:val="0"/>
                    <w:snapToGrid w:val="0"/>
                    <w:jc w:val="center"/>
                    <w:rPr>
                      <w:color w:val="auto"/>
                      <w:kern w:val="0"/>
                      <w:sz w:val="18"/>
                      <w:szCs w:val="18"/>
                    </w:rPr>
                  </w:pPr>
                  <w:r>
                    <w:rPr>
                      <w:rFonts w:hint="eastAsia"/>
                      <w:color w:val="auto"/>
                      <w:kern w:val="0"/>
                      <w:sz w:val="18"/>
                      <w:szCs w:val="18"/>
                    </w:rPr>
                    <w:t>1</w:t>
                  </w:r>
                </w:p>
              </w:tc>
            </w:tr>
            <w:tr w14:paraId="12EF950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jc w:val="center"/>
              </w:trPr>
              <w:tc>
                <w:tcPr>
                  <w:tcW w:w="350" w:type="pct"/>
                  <w:vMerge w:val="continue"/>
                  <w:tcMar>
                    <w:left w:w="28" w:type="dxa"/>
                    <w:right w:w="28" w:type="dxa"/>
                  </w:tcMar>
                  <w:vAlign w:val="center"/>
                </w:tcPr>
                <w:p w14:paraId="4656D238">
                  <w:pPr>
                    <w:adjustRightInd w:val="0"/>
                    <w:snapToGrid w:val="0"/>
                    <w:jc w:val="center"/>
                    <w:rPr>
                      <w:color w:val="auto"/>
                      <w:kern w:val="0"/>
                      <w:sz w:val="18"/>
                      <w:szCs w:val="18"/>
                    </w:rPr>
                  </w:pPr>
                </w:p>
              </w:tc>
              <w:tc>
                <w:tcPr>
                  <w:tcW w:w="367" w:type="pct"/>
                  <w:tcMar>
                    <w:left w:w="28" w:type="dxa"/>
                    <w:right w:w="28" w:type="dxa"/>
                  </w:tcMar>
                  <w:vAlign w:val="center"/>
                </w:tcPr>
                <w:p w14:paraId="3F8F8A9B">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刨床、刨机</w:t>
                  </w:r>
                </w:p>
              </w:tc>
              <w:tc>
                <w:tcPr>
                  <w:tcW w:w="293" w:type="pct"/>
                  <w:tcMar>
                    <w:left w:w="28" w:type="dxa"/>
                    <w:right w:w="28" w:type="dxa"/>
                  </w:tcMar>
                  <w:vAlign w:val="center"/>
                </w:tcPr>
                <w:p w14:paraId="5488EC5D">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3</w:t>
                  </w:r>
                </w:p>
              </w:tc>
              <w:tc>
                <w:tcPr>
                  <w:tcW w:w="399" w:type="pct"/>
                  <w:tcMar>
                    <w:left w:w="28" w:type="dxa"/>
                    <w:right w:w="28" w:type="dxa"/>
                  </w:tcMar>
                  <w:vAlign w:val="center"/>
                </w:tcPr>
                <w:p w14:paraId="43F8B8AD">
                  <w:pPr>
                    <w:adjustRightInd w:val="0"/>
                    <w:snapToGrid w:val="0"/>
                    <w:jc w:val="center"/>
                    <w:rPr>
                      <w:color w:val="auto"/>
                      <w:kern w:val="0"/>
                      <w:sz w:val="18"/>
                      <w:szCs w:val="18"/>
                    </w:rPr>
                  </w:pPr>
                  <w:r>
                    <w:rPr>
                      <w:rFonts w:hint="eastAsia"/>
                      <w:color w:val="auto"/>
                      <w:kern w:val="0"/>
                      <w:sz w:val="18"/>
                      <w:szCs w:val="18"/>
                    </w:rPr>
                    <w:t>80</w:t>
                  </w:r>
                </w:p>
              </w:tc>
              <w:tc>
                <w:tcPr>
                  <w:tcW w:w="360" w:type="pct"/>
                  <w:vMerge w:val="continue"/>
                  <w:tcMar>
                    <w:left w:w="28" w:type="dxa"/>
                    <w:right w:w="28" w:type="dxa"/>
                  </w:tcMar>
                  <w:vAlign w:val="center"/>
                </w:tcPr>
                <w:p w14:paraId="0A6F7EE7">
                  <w:pPr>
                    <w:adjustRightInd w:val="0"/>
                    <w:snapToGrid w:val="0"/>
                    <w:jc w:val="center"/>
                    <w:rPr>
                      <w:color w:val="auto"/>
                      <w:kern w:val="0"/>
                      <w:sz w:val="18"/>
                      <w:szCs w:val="18"/>
                    </w:rPr>
                  </w:pPr>
                </w:p>
              </w:tc>
              <w:tc>
                <w:tcPr>
                  <w:tcW w:w="206" w:type="pct"/>
                  <w:tcMar>
                    <w:left w:w="28" w:type="dxa"/>
                    <w:right w:w="28" w:type="dxa"/>
                  </w:tcMar>
                  <w:vAlign w:val="center"/>
                </w:tcPr>
                <w:p w14:paraId="11775C3F">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-30</w:t>
                  </w:r>
                </w:p>
              </w:tc>
              <w:tc>
                <w:tcPr>
                  <w:tcW w:w="206" w:type="pct"/>
                  <w:tcMar>
                    <w:left w:w="28" w:type="dxa"/>
                    <w:right w:w="28" w:type="dxa"/>
                  </w:tcMar>
                  <w:vAlign w:val="center"/>
                </w:tcPr>
                <w:p w14:paraId="02FA5C5A">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12</w:t>
                  </w:r>
                </w:p>
              </w:tc>
              <w:tc>
                <w:tcPr>
                  <w:tcW w:w="206" w:type="pct"/>
                  <w:tcMar>
                    <w:left w:w="28" w:type="dxa"/>
                    <w:right w:w="28" w:type="dxa"/>
                  </w:tcMar>
                  <w:vAlign w:val="center"/>
                </w:tcPr>
                <w:p w14:paraId="5D1955D9">
                  <w:pPr>
                    <w:adjustRightInd w:val="0"/>
                    <w:snapToGrid w:val="0"/>
                    <w:jc w:val="center"/>
                    <w:rPr>
                      <w:color w:val="auto"/>
                      <w:kern w:val="0"/>
                      <w:sz w:val="18"/>
                      <w:szCs w:val="18"/>
                    </w:rPr>
                  </w:pPr>
                  <w:r>
                    <w:rPr>
                      <w:rFonts w:hint="eastAsia"/>
                      <w:color w:val="auto"/>
                      <w:kern w:val="0"/>
                      <w:sz w:val="18"/>
                      <w:szCs w:val="18"/>
                      <w:lang w:val="en-US" w:eastAsia="zh-CN"/>
                    </w:rPr>
                    <w:t>1</w:t>
                  </w:r>
                </w:p>
              </w:tc>
              <w:tc>
                <w:tcPr>
                  <w:tcW w:w="206" w:type="pct"/>
                  <w:tcMar>
                    <w:left w:w="28" w:type="dxa"/>
                    <w:right w:w="28" w:type="dxa"/>
                  </w:tcMar>
                  <w:vAlign w:val="center"/>
                </w:tcPr>
                <w:p w14:paraId="5A4BA9B3">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80</w:t>
                  </w:r>
                </w:p>
              </w:tc>
              <w:tc>
                <w:tcPr>
                  <w:tcW w:w="206" w:type="pct"/>
                  <w:tcMar>
                    <w:left w:w="28" w:type="dxa"/>
                    <w:right w:w="28" w:type="dxa"/>
                  </w:tcMar>
                  <w:vAlign w:val="center"/>
                </w:tcPr>
                <w:p w14:paraId="7D68470B">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26</w:t>
                  </w:r>
                </w:p>
              </w:tc>
              <w:tc>
                <w:tcPr>
                  <w:tcW w:w="206" w:type="pct"/>
                  <w:tcMar>
                    <w:left w:w="28" w:type="dxa"/>
                    <w:right w:w="28" w:type="dxa"/>
                  </w:tcMar>
                  <w:vAlign w:val="center"/>
                </w:tcPr>
                <w:p w14:paraId="08B4DFDF">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20</w:t>
                  </w:r>
                </w:p>
              </w:tc>
              <w:tc>
                <w:tcPr>
                  <w:tcW w:w="208" w:type="pct"/>
                  <w:tcMar>
                    <w:left w:w="28" w:type="dxa"/>
                    <w:right w:w="28" w:type="dxa"/>
                  </w:tcMar>
                  <w:vAlign w:val="center"/>
                </w:tcPr>
                <w:p w14:paraId="39302D4B">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2</w:t>
                  </w:r>
                </w:p>
              </w:tc>
              <w:tc>
                <w:tcPr>
                  <w:tcW w:w="399" w:type="pct"/>
                  <w:tcMar>
                    <w:left w:w="28" w:type="dxa"/>
                    <w:right w:w="28" w:type="dxa"/>
                  </w:tcMar>
                  <w:vAlign w:val="center"/>
                </w:tcPr>
                <w:p w14:paraId="6FC28D84">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66.1</w:t>
                  </w:r>
                </w:p>
              </w:tc>
              <w:tc>
                <w:tcPr>
                  <w:tcW w:w="443" w:type="pct"/>
                  <w:tcMar>
                    <w:left w:w="28" w:type="dxa"/>
                    <w:right w:w="28" w:type="dxa"/>
                  </w:tcMar>
                  <w:vAlign w:val="center"/>
                </w:tcPr>
                <w:p w14:paraId="208DDC35">
                  <w:pPr>
                    <w:adjustRightInd w:val="0"/>
                    <w:snapToGrid w:val="0"/>
                    <w:jc w:val="center"/>
                    <w:rPr>
                      <w:color w:val="auto"/>
                      <w:kern w:val="0"/>
                      <w:sz w:val="18"/>
                      <w:szCs w:val="18"/>
                    </w:rPr>
                  </w:pPr>
                  <w:r>
                    <w:rPr>
                      <w:rFonts w:hint="eastAsia"/>
                      <w:color w:val="auto"/>
                      <w:kern w:val="0"/>
                      <w:sz w:val="18"/>
                      <w:szCs w:val="18"/>
                    </w:rPr>
                    <w:t>25</w:t>
                  </w:r>
                </w:p>
              </w:tc>
              <w:tc>
                <w:tcPr>
                  <w:tcW w:w="447" w:type="pct"/>
                  <w:tcMar>
                    <w:left w:w="28" w:type="dxa"/>
                    <w:right w:w="28" w:type="dxa"/>
                  </w:tcMar>
                  <w:vAlign w:val="center"/>
                </w:tcPr>
                <w:p w14:paraId="6D16EB52">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35.1</w:t>
                  </w:r>
                </w:p>
              </w:tc>
              <w:tc>
                <w:tcPr>
                  <w:tcW w:w="494" w:type="pct"/>
                  <w:tcMar>
                    <w:left w:w="28" w:type="dxa"/>
                    <w:right w:w="28" w:type="dxa"/>
                  </w:tcMar>
                  <w:vAlign w:val="center"/>
                </w:tcPr>
                <w:p w14:paraId="7CA40814">
                  <w:pPr>
                    <w:adjustRightInd w:val="0"/>
                    <w:snapToGrid w:val="0"/>
                    <w:jc w:val="center"/>
                    <w:rPr>
                      <w:color w:val="auto"/>
                      <w:kern w:val="0"/>
                      <w:sz w:val="18"/>
                      <w:szCs w:val="18"/>
                    </w:rPr>
                  </w:pPr>
                  <w:r>
                    <w:rPr>
                      <w:rFonts w:hint="eastAsia"/>
                      <w:color w:val="auto"/>
                      <w:kern w:val="0"/>
                      <w:sz w:val="18"/>
                      <w:szCs w:val="18"/>
                    </w:rPr>
                    <w:t>1</w:t>
                  </w:r>
                </w:p>
              </w:tc>
            </w:tr>
            <w:tr w14:paraId="09A058E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jc w:val="center"/>
              </w:trPr>
              <w:tc>
                <w:tcPr>
                  <w:tcW w:w="350" w:type="pct"/>
                  <w:vMerge w:val="continue"/>
                  <w:tcMar>
                    <w:left w:w="28" w:type="dxa"/>
                    <w:right w:w="28" w:type="dxa"/>
                  </w:tcMar>
                  <w:vAlign w:val="center"/>
                </w:tcPr>
                <w:p w14:paraId="732068A0">
                  <w:pPr>
                    <w:adjustRightInd w:val="0"/>
                    <w:snapToGrid w:val="0"/>
                    <w:jc w:val="center"/>
                    <w:rPr>
                      <w:color w:val="auto"/>
                      <w:kern w:val="0"/>
                      <w:sz w:val="18"/>
                      <w:szCs w:val="18"/>
                    </w:rPr>
                  </w:pPr>
                </w:p>
              </w:tc>
              <w:tc>
                <w:tcPr>
                  <w:tcW w:w="367" w:type="pct"/>
                  <w:tcMar>
                    <w:left w:w="28" w:type="dxa"/>
                    <w:right w:w="28" w:type="dxa"/>
                  </w:tcMar>
                  <w:vAlign w:val="center"/>
                </w:tcPr>
                <w:p w14:paraId="339485A2">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铣床、镂铣床</w:t>
                  </w:r>
                </w:p>
              </w:tc>
              <w:tc>
                <w:tcPr>
                  <w:tcW w:w="293" w:type="pct"/>
                  <w:tcMar>
                    <w:left w:w="28" w:type="dxa"/>
                    <w:right w:w="28" w:type="dxa"/>
                  </w:tcMar>
                  <w:vAlign w:val="center"/>
                </w:tcPr>
                <w:p w14:paraId="421E21F4">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3</w:t>
                  </w:r>
                </w:p>
              </w:tc>
              <w:tc>
                <w:tcPr>
                  <w:tcW w:w="399" w:type="pct"/>
                  <w:tcMar>
                    <w:left w:w="28" w:type="dxa"/>
                    <w:right w:w="28" w:type="dxa"/>
                  </w:tcMar>
                  <w:vAlign w:val="center"/>
                </w:tcPr>
                <w:p w14:paraId="31F3D804">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75</w:t>
                  </w:r>
                </w:p>
              </w:tc>
              <w:tc>
                <w:tcPr>
                  <w:tcW w:w="360" w:type="pct"/>
                  <w:vMerge w:val="continue"/>
                  <w:tcMar>
                    <w:left w:w="28" w:type="dxa"/>
                    <w:right w:w="28" w:type="dxa"/>
                  </w:tcMar>
                  <w:vAlign w:val="center"/>
                </w:tcPr>
                <w:p w14:paraId="1BDA53CD">
                  <w:pPr>
                    <w:adjustRightInd w:val="0"/>
                    <w:snapToGrid w:val="0"/>
                    <w:jc w:val="center"/>
                    <w:rPr>
                      <w:color w:val="auto"/>
                      <w:kern w:val="0"/>
                      <w:sz w:val="18"/>
                      <w:szCs w:val="18"/>
                    </w:rPr>
                  </w:pPr>
                </w:p>
              </w:tc>
              <w:tc>
                <w:tcPr>
                  <w:tcW w:w="206" w:type="pct"/>
                  <w:tcMar>
                    <w:left w:w="28" w:type="dxa"/>
                    <w:right w:w="28" w:type="dxa"/>
                  </w:tcMar>
                  <w:vAlign w:val="center"/>
                </w:tcPr>
                <w:p w14:paraId="65B16818">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-29</w:t>
                  </w:r>
                </w:p>
              </w:tc>
              <w:tc>
                <w:tcPr>
                  <w:tcW w:w="206" w:type="pct"/>
                  <w:tcMar>
                    <w:left w:w="28" w:type="dxa"/>
                    <w:right w:w="28" w:type="dxa"/>
                  </w:tcMar>
                  <w:vAlign w:val="center"/>
                </w:tcPr>
                <w:p w14:paraId="72CD3D20">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11</w:t>
                  </w:r>
                </w:p>
              </w:tc>
              <w:tc>
                <w:tcPr>
                  <w:tcW w:w="206" w:type="pct"/>
                  <w:tcMar>
                    <w:left w:w="28" w:type="dxa"/>
                    <w:right w:w="28" w:type="dxa"/>
                  </w:tcMar>
                  <w:vAlign w:val="center"/>
                </w:tcPr>
                <w:p w14:paraId="04393370">
                  <w:pPr>
                    <w:adjustRightInd w:val="0"/>
                    <w:snapToGrid w:val="0"/>
                    <w:jc w:val="center"/>
                    <w:rPr>
                      <w:rFonts w:hint="eastAsia" w:eastAsia="宋体"/>
                      <w:color w:val="auto"/>
                      <w:kern w:val="0"/>
                      <w:sz w:val="18"/>
                      <w:szCs w:val="18"/>
                      <w:lang w:val="en-US" w:eastAsia="zh-CN"/>
                    </w:rPr>
                  </w:pPr>
                  <w:r>
                    <w:rPr>
                      <w:rFonts w:hint="eastAsia"/>
                      <w:color w:val="auto"/>
                      <w:kern w:val="0"/>
                      <w:sz w:val="18"/>
                      <w:szCs w:val="18"/>
                      <w:lang w:val="en-US" w:eastAsia="zh-CN"/>
                    </w:rPr>
                    <w:t>1</w:t>
                  </w:r>
                </w:p>
              </w:tc>
              <w:tc>
                <w:tcPr>
                  <w:tcW w:w="206" w:type="pct"/>
                  <w:tcMar>
                    <w:left w:w="28" w:type="dxa"/>
                    <w:right w:w="28" w:type="dxa"/>
                  </w:tcMar>
                  <w:vAlign w:val="center"/>
                </w:tcPr>
                <w:p w14:paraId="48D83EFF">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79</w:t>
                  </w:r>
                </w:p>
              </w:tc>
              <w:tc>
                <w:tcPr>
                  <w:tcW w:w="206" w:type="pct"/>
                  <w:tcMar>
                    <w:left w:w="28" w:type="dxa"/>
                    <w:right w:w="28" w:type="dxa"/>
                  </w:tcMar>
                  <w:vAlign w:val="center"/>
                </w:tcPr>
                <w:p w14:paraId="5A1AB6F6">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25</w:t>
                  </w:r>
                </w:p>
              </w:tc>
              <w:tc>
                <w:tcPr>
                  <w:tcW w:w="206" w:type="pct"/>
                  <w:tcMar>
                    <w:left w:w="28" w:type="dxa"/>
                    <w:right w:w="28" w:type="dxa"/>
                  </w:tcMar>
                  <w:vAlign w:val="center"/>
                </w:tcPr>
                <w:p w14:paraId="384506AD">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21</w:t>
                  </w:r>
                </w:p>
              </w:tc>
              <w:tc>
                <w:tcPr>
                  <w:tcW w:w="208" w:type="pct"/>
                  <w:tcMar>
                    <w:left w:w="28" w:type="dxa"/>
                    <w:right w:w="28" w:type="dxa"/>
                  </w:tcMar>
                  <w:vAlign w:val="center"/>
                </w:tcPr>
                <w:p w14:paraId="69C55544">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3</w:t>
                  </w:r>
                </w:p>
              </w:tc>
              <w:tc>
                <w:tcPr>
                  <w:tcW w:w="399" w:type="pct"/>
                  <w:tcMar>
                    <w:left w:w="28" w:type="dxa"/>
                    <w:right w:w="28" w:type="dxa"/>
                  </w:tcMar>
                  <w:vAlign w:val="center"/>
                </w:tcPr>
                <w:p w14:paraId="3C91E406">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66.4</w:t>
                  </w:r>
                </w:p>
              </w:tc>
              <w:tc>
                <w:tcPr>
                  <w:tcW w:w="443" w:type="pct"/>
                  <w:tcMar>
                    <w:left w:w="28" w:type="dxa"/>
                    <w:right w:w="28" w:type="dxa"/>
                  </w:tcMar>
                  <w:vAlign w:val="center"/>
                </w:tcPr>
                <w:p w14:paraId="1F23770C">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25</w:t>
                  </w:r>
                </w:p>
              </w:tc>
              <w:tc>
                <w:tcPr>
                  <w:tcW w:w="447" w:type="pct"/>
                  <w:tcMar>
                    <w:left w:w="28" w:type="dxa"/>
                    <w:right w:w="28" w:type="dxa"/>
                  </w:tcMar>
                  <w:vAlign w:val="center"/>
                </w:tcPr>
                <w:p w14:paraId="7C82AA91">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35.4</w:t>
                  </w:r>
                </w:p>
              </w:tc>
              <w:tc>
                <w:tcPr>
                  <w:tcW w:w="494" w:type="pct"/>
                  <w:tcMar>
                    <w:left w:w="28" w:type="dxa"/>
                    <w:right w:w="28" w:type="dxa"/>
                  </w:tcMar>
                  <w:vAlign w:val="center"/>
                </w:tcPr>
                <w:p w14:paraId="68D56D9F">
                  <w:pPr>
                    <w:adjustRightInd w:val="0"/>
                    <w:snapToGrid w:val="0"/>
                    <w:jc w:val="center"/>
                    <w:rPr>
                      <w:rFonts w:hint="eastAsia"/>
                      <w:color w:val="auto"/>
                      <w:kern w:val="0"/>
                      <w:sz w:val="18"/>
                      <w:szCs w:val="18"/>
                    </w:rPr>
                  </w:pPr>
                  <w:r>
                    <w:rPr>
                      <w:rFonts w:hint="eastAsia"/>
                      <w:color w:val="auto"/>
                      <w:kern w:val="0"/>
                      <w:sz w:val="18"/>
                      <w:szCs w:val="18"/>
                    </w:rPr>
                    <w:t>1</w:t>
                  </w:r>
                </w:p>
              </w:tc>
            </w:tr>
            <w:tr w14:paraId="1EF9924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jc w:val="center"/>
              </w:trPr>
              <w:tc>
                <w:tcPr>
                  <w:tcW w:w="350" w:type="pct"/>
                  <w:vMerge w:val="continue"/>
                  <w:tcMar>
                    <w:left w:w="28" w:type="dxa"/>
                    <w:right w:w="28" w:type="dxa"/>
                  </w:tcMar>
                  <w:vAlign w:val="center"/>
                </w:tcPr>
                <w:p w14:paraId="2C0DE922">
                  <w:pPr>
                    <w:adjustRightInd w:val="0"/>
                    <w:snapToGrid w:val="0"/>
                    <w:jc w:val="center"/>
                    <w:rPr>
                      <w:color w:val="auto"/>
                      <w:kern w:val="0"/>
                      <w:sz w:val="18"/>
                      <w:szCs w:val="18"/>
                    </w:rPr>
                  </w:pPr>
                </w:p>
              </w:tc>
              <w:tc>
                <w:tcPr>
                  <w:tcW w:w="367" w:type="pct"/>
                  <w:tcMar>
                    <w:left w:w="28" w:type="dxa"/>
                    <w:right w:w="28" w:type="dxa"/>
                  </w:tcMar>
                  <w:vAlign w:val="center"/>
                </w:tcPr>
                <w:p w14:paraId="0319F4A9">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砂光机</w:t>
                  </w:r>
                </w:p>
              </w:tc>
              <w:tc>
                <w:tcPr>
                  <w:tcW w:w="293" w:type="pct"/>
                  <w:tcMar>
                    <w:left w:w="28" w:type="dxa"/>
                    <w:right w:w="28" w:type="dxa"/>
                  </w:tcMar>
                  <w:vAlign w:val="center"/>
                </w:tcPr>
                <w:p w14:paraId="61D98464">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2</w:t>
                  </w:r>
                </w:p>
              </w:tc>
              <w:tc>
                <w:tcPr>
                  <w:tcW w:w="399" w:type="pct"/>
                  <w:tcMar>
                    <w:left w:w="28" w:type="dxa"/>
                    <w:right w:w="28" w:type="dxa"/>
                  </w:tcMar>
                  <w:vAlign w:val="center"/>
                </w:tcPr>
                <w:p w14:paraId="192DB5EB">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80</w:t>
                  </w:r>
                </w:p>
              </w:tc>
              <w:tc>
                <w:tcPr>
                  <w:tcW w:w="360" w:type="pct"/>
                  <w:vMerge w:val="continue"/>
                  <w:tcMar>
                    <w:left w:w="28" w:type="dxa"/>
                    <w:right w:w="28" w:type="dxa"/>
                  </w:tcMar>
                  <w:vAlign w:val="center"/>
                </w:tcPr>
                <w:p w14:paraId="4CC78EAC">
                  <w:pPr>
                    <w:adjustRightInd w:val="0"/>
                    <w:snapToGrid w:val="0"/>
                    <w:jc w:val="center"/>
                    <w:rPr>
                      <w:color w:val="auto"/>
                      <w:kern w:val="0"/>
                      <w:sz w:val="18"/>
                      <w:szCs w:val="18"/>
                    </w:rPr>
                  </w:pPr>
                </w:p>
              </w:tc>
              <w:tc>
                <w:tcPr>
                  <w:tcW w:w="206" w:type="pct"/>
                  <w:tcMar>
                    <w:left w:w="28" w:type="dxa"/>
                    <w:right w:w="28" w:type="dxa"/>
                  </w:tcMar>
                  <w:vAlign w:val="center"/>
                </w:tcPr>
                <w:p w14:paraId="7BB4403A">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-40</w:t>
                  </w:r>
                </w:p>
              </w:tc>
              <w:tc>
                <w:tcPr>
                  <w:tcW w:w="206" w:type="pct"/>
                  <w:tcMar>
                    <w:left w:w="28" w:type="dxa"/>
                    <w:right w:w="28" w:type="dxa"/>
                  </w:tcMar>
                  <w:vAlign w:val="center"/>
                </w:tcPr>
                <w:p w14:paraId="6E68AFF3">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4</w:t>
                  </w:r>
                </w:p>
              </w:tc>
              <w:tc>
                <w:tcPr>
                  <w:tcW w:w="206" w:type="pct"/>
                  <w:tcMar>
                    <w:left w:w="28" w:type="dxa"/>
                    <w:right w:w="28" w:type="dxa"/>
                  </w:tcMar>
                  <w:vAlign w:val="center"/>
                </w:tcPr>
                <w:p w14:paraId="2FF7BF9F">
                  <w:pPr>
                    <w:adjustRightInd w:val="0"/>
                    <w:snapToGrid w:val="0"/>
                    <w:jc w:val="center"/>
                    <w:rPr>
                      <w:rFonts w:hint="eastAsia" w:eastAsia="宋体"/>
                      <w:color w:val="auto"/>
                      <w:kern w:val="0"/>
                      <w:sz w:val="18"/>
                      <w:szCs w:val="18"/>
                      <w:lang w:val="en-US" w:eastAsia="zh-CN"/>
                    </w:rPr>
                  </w:pPr>
                  <w:r>
                    <w:rPr>
                      <w:rFonts w:hint="eastAsia"/>
                      <w:color w:val="auto"/>
                      <w:kern w:val="0"/>
                      <w:sz w:val="18"/>
                      <w:szCs w:val="18"/>
                      <w:lang w:val="en-US" w:eastAsia="zh-CN"/>
                    </w:rPr>
                    <w:t>1</w:t>
                  </w:r>
                </w:p>
              </w:tc>
              <w:tc>
                <w:tcPr>
                  <w:tcW w:w="206" w:type="pct"/>
                  <w:tcMar>
                    <w:left w:w="28" w:type="dxa"/>
                    <w:right w:w="28" w:type="dxa"/>
                  </w:tcMar>
                  <w:vAlign w:val="center"/>
                </w:tcPr>
                <w:p w14:paraId="0378FCA6">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90</w:t>
                  </w:r>
                </w:p>
              </w:tc>
              <w:tc>
                <w:tcPr>
                  <w:tcW w:w="206" w:type="pct"/>
                  <w:tcMar>
                    <w:left w:w="28" w:type="dxa"/>
                    <w:right w:w="28" w:type="dxa"/>
                  </w:tcMar>
                  <w:vAlign w:val="center"/>
                </w:tcPr>
                <w:p w14:paraId="0BBC330A">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18</w:t>
                  </w:r>
                </w:p>
              </w:tc>
              <w:tc>
                <w:tcPr>
                  <w:tcW w:w="206" w:type="pct"/>
                  <w:tcMar>
                    <w:left w:w="28" w:type="dxa"/>
                    <w:right w:w="28" w:type="dxa"/>
                  </w:tcMar>
                  <w:vAlign w:val="center"/>
                </w:tcPr>
                <w:p w14:paraId="34A1585F">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10</w:t>
                  </w:r>
                </w:p>
              </w:tc>
              <w:tc>
                <w:tcPr>
                  <w:tcW w:w="208" w:type="pct"/>
                  <w:tcMar>
                    <w:left w:w="28" w:type="dxa"/>
                    <w:right w:w="28" w:type="dxa"/>
                  </w:tcMar>
                  <w:vAlign w:val="center"/>
                </w:tcPr>
                <w:p w14:paraId="6047B430">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10</w:t>
                  </w:r>
                </w:p>
              </w:tc>
              <w:tc>
                <w:tcPr>
                  <w:tcW w:w="399" w:type="pct"/>
                  <w:tcMar>
                    <w:left w:w="28" w:type="dxa"/>
                    <w:right w:w="28" w:type="dxa"/>
                  </w:tcMar>
                  <w:vAlign w:val="center"/>
                </w:tcPr>
                <w:p w14:paraId="43ADDCE7">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67.3</w:t>
                  </w:r>
                </w:p>
              </w:tc>
              <w:tc>
                <w:tcPr>
                  <w:tcW w:w="443" w:type="pct"/>
                  <w:tcMar>
                    <w:left w:w="28" w:type="dxa"/>
                    <w:right w:w="28" w:type="dxa"/>
                  </w:tcMar>
                  <w:vAlign w:val="center"/>
                </w:tcPr>
                <w:p w14:paraId="422FC472">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25</w:t>
                  </w:r>
                </w:p>
              </w:tc>
              <w:tc>
                <w:tcPr>
                  <w:tcW w:w="447" w:type="pct"/>
                  <w:tcMar>
                    <w:left w:w="28" w:type="dxa"/>
                    <w:right w:w="28" w:type="dxa"/>
                  </w:tcMar>
                  <w:vAlign w:val="center"/>
                </w:tcPr>
                <w:p w14:paraId="508DC477">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36.3</w:t>
                  </w:r>
                </w:p>
              </w:tc>
              <w:tc>
                <w:tcPr>
                  <w:tcW w:w="494" w:type="pct"/>
                  <w:tcMar>
                    <w:left w:w="28" w:type="dxa"/>
                    <w:right w:w="28" w:type="dxa"/>
                  </w:tcMar>
                  <w:vAlign w:val="center"/>
                </w:tcPr>
                <w:p w14:paraId="4C050611">
                  <w:pPr>
                    <w:adjustRightInd w:val="0"/>
                    <w:snapToGrid w:val="0"/>
                    <w:jc w:val="center"/>
                    <w:rPr>
                      <w:rFonts w:hint="eastAsia"/>
                      <w:color w:val="auto"/>
                      <w:kern w:val="0"/>
                      <w:sz w:val="18"/>
                      <w:szCs w:val="18"/>
                    </w:rPr>
                  </w:pPr>
                  <w:r>
                    <w:rPr>
                      <w:rFonts w:hint="eastAsia"/>
                      <w:color w:val="auto"/>
                      <w:kern w:val="0"/>
                      <w:sz w:val="18"/>
                      <w:szCs w:val="18"/>
                    </w:rPr>
                    <w:t>1</w:t>
                  </w:r>
                </w:p>
              </w:tc>
            </w:tr>
            <w:tr w14:paraId="3A51088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jc w:val="center"/>
              </w:trPr>
              <w:tc>
                <w:tcPr>
                  <w:tcW w:w="350" w:type="pct"/>
                  <w:vMerge w:val="continue"/>
                  <w:tcMar>
                    <w:left w:w="28" w:type="dxa"/>
                    <w:right w:w="28" w:type="dxa"/>
                  </w:tcMar>
                  <w:vAlign w:val="center"/>
                </w:tcPr>
                <w:p w14:paraId="638C99F8">
                  <w:pPr>
                    <w:adjustRightInd w:val="0"/>
                    <w:snapToGrid w:val="0"/>
                    <w:jc w:val="center"/>
                    <w:rPr>
                      <w:color w:val="auto"/>
                      <w:kern w:val="0"/>
                      <w:sz w:val="18"/>
                      <w:szCs w:val="18"/>
                    </w:rPr>
                  </w:pPr>
                </w:p>
              </w:tc>
              <w:tc>
                <w:tcPr>
                  <w:tcW w:w="367" w:type="pct"/>
                  <w:tcMar>
                    <w:left w:w="28" w:type="dxa"/>
                    <w:right w:w="28" w:type="dxa"/>
                  </w:tcMar>
                  <w:vAlign w:val="center"/>
                </w:tcPr>
                <w:p w14:paraId="3F86B5BE">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冷压机</w:t>
                  </w:r>
                </w:p>
              </w:tc>
              <w:tc>
                <w:tcPr>
                  <w:tcW w:w="293" w:type="pct"/>
                  <w:tcMar>
                    <w:left w:w="28" w:type="dxa"/>
                    <w:right w:w="28" w:type="dxa"/>
                  </w:tcMar>
                  <w:vAlign w:val="center"/>
                </w:tcPr>
                <w:p w14:paraId="35E0342A">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5</w:t>
                  </w:r>
                </w:p>
              </w:tc>
              <w:tc>
                <w:tcPr>
                  <w:tcW w:w="399" w:type="pct"/>
                  <w:tcMar>
                    <w:left w:w="28" w:type="dxa"/>
                    <w:right w:w="28" w:type="dxa"/>
                  </w:tcMar>
                  <w:vAlign w:val="center"/>
                </w:tcPr>
                <w:p w14:paraId="7623B9D4">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75</w:t>
                  </w:r>
                </w:p>
              </w:tc>
              <w:tc>
                <w:tcPr>
                  <w:tcW w:w="360" w:type="pct"/>
                  <w:vMerge w:val="continue"/>
                  <w:tcMar>
                    <w:left w:w="28" w:type="dxa"/>
                    <w:right w:w="28" w:type="dxa"/>
                  </w:tcMar>
                  <w:vAlign w:val="center"/>
                </w:tcPr>
                <w:p w14:paraId="640EF1C1">
                  <w:pPr>
                    <w:adjustRightInd w:val="0"/>
                    <w:snapToGrid w:val="0"/>
                    <w:jc w:val="center"/>
                    <w:rPr>
                      <w:color w:val="auto"/>
                      <w:kern w:val="0"/>
                      <w:sz w:val="18"/>
                      <w:szCs w:val="18"/>
                    </w:rPr>
                  </w:pPr>
                </w:p>
              </w:tc>
              <w:tc>
                <w:tcPr>
                  <w:tcW w:w="206" w:type="pct"/>
                  <w:tcMar>
                    <w:left w:w="28" w:type="dxa"/>
                    <w:right w:w="28" w:type="dxa"/>
                  </w:tcMar>
                  <w:vAlign w:val="center"/>
                </w:tcPr>
                <w:p w14:paraId="31C48732">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-38</w:t>
                  </w:r>
                </w:p>
              </w:tc>
              <w:tc>
                <w:tcPr>
                  <w:tcW w:w="206" w:type="pct"/>
                  <w:tcMar>
                    <w:left w:w="28" w:type="dxa"/>
                    <w:right w:w="28" w:type="dxa"/>
                  </w:tcMar>
                  <w:vAlign w:val="center"/>
                </w:tcPr>
                <w:p w14:paraId="4BD0B3DE">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4</w:t>
                  </w:r>
                </w:p>
              </w:tc>
              <w:tc>
                <w:tcPr>
                  <w:tcW w:w="206" w:type="pct"/>
                  <w:tcMar>
                    <w:left w:w="28" w:type="dxa"/>
                    <w:right w:w="28" w:type="dxa"/>
                  </w:tcMar>
                  <w:vAlign w:val="center"/>
                </w:tcPr>
                <w:p w14:paraId="69F2B6AB">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1</w:t>
                  </w:r>
                </w:p>
              </w:tc>
              <w:tc>
                <w:tcPr>
                  <w:tcW w:w="206" w:type="pct"/>
                  <w:tcMar>
                    <w:left w:w="28" w:type="dxa"/>
                    <w:right w:w="28" w:type="dxa"/>
                  </w:tcMar>
                  <w:vAlign w:val="center"/>
                </w:tcPr>
                <w:p w14:paraId="576C37A4">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88</w:t>
                  </w:r>
                </w:p>
              </w:tc>
              <w:tc>
                <w:tcPr>
                  <w:tcW w:w="206" w:type="pct"/>
                  <w:tcMar>
                    <w:left w:w="28" w:type="dxa"/>
                    <w:right w:w="28" w:type="dxa"/>
                  </w:tcMar>
                  <w:vAlign w:val="center"/>
                </w:tcPr>
                <w:p w14:paraId="51F4CAD8">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18</w:t>
                  </w:r>
                </w:p>
              </w:tc>
              <w:tc>
                <w:tcPr>
                  <w:tcW w:w="206" w:type="pct"/>
                  <w:tcMar>
                    <w:left w:w="28" w:type="dxa"/>
                    <w:right w:w="28" w:type="dxa"/>
                  </w:tcMar>
                  <w:vAlign w:val="center"/>
                </w:tcPr>
                <w:p w14:paraId="0463EA17">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12</w:t>
                  </w:r>
                </w:p>
              </w:tc>
              <w:tc>
                <w:tcPr>
                  <w:tcW w:w="208" w:type="pct"/>
                  <w:tcMar>
                    <w:left w:w="28" w:type="dxa"/>
                    <w:right w:w="28" w:type="dxa"/>
                  </w:tcMar>
                  <w:vAlign w:val="center"/>
                </w:tcPr>
                <w:p w14:paraId="0C0FD6E1">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10</w:t>
                  </w:r>
                </w:p>
              </w:tc>
              <w:tc>
                <w:tcPr>
                  <w:tcW w:w="399" w:type="pct"/>
                  <w:tcMar>
                    <w:left w:w="28" w:type="dxa"/>
                    <w:right w:w="28" w:type="dxa"/>
                  </w:tcMar>
                  <w:vAlign w:val="center"/>
                </w:tcPr>
                <w:p w14:paraId="0B73E1DF">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67.8</w:t>
                  </w:r>
                </w:p>
              </w:tc>
              <w:tc>
                <w:tcPr>
                  <w:tcW w:w="443" w:type="pct"/>
                  <w:tcMar>
                    <w:left w:w="28" w:type="dxa"/>
                    <w:right w:w="28" w:type="dxa"/>
                  </w:tcMar>
                  <w:vAlign w:val="center"/>
                </w:tcPr>
                <w:p w14:paraId="2A979C75">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25</w:t>
                  </w:r>
                </w:p>
              </w:tc>
              <w:tc>
                <w:tcPr>
                  <w:tcW w:w="447" w:type="pct"/>
                  <w:tcMar>
                    <w:left w:w="28" w:type="dxa"/>
                    <w:right w:w="28" w:type="dxa"/>
                  </w:tcMar>
                  <w:vAlign w:val="center"/>
                </w:tcPr>
                <w:p w14:paraId="04D0DD3A">
                  <w:pPr>
                    <w:adjustRightInd w:val="0"/>
                    <w:snapToGrid w:val="0"/>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36.8</w:t>
                  </w:r>
                </w:p>
              </w:tc>
              <w:tc>
                <w:tcPr>
                  <w:tcW w:w="494" w:type="pct"/>
                  <w:tcMar>
                    <w:left w:w="28" w:type="dxa"/>
                    <w:right w:w="28" w:type="dxa"/>
                  </w:tcMar>
                  <w:vAlign w:val="center"/>
                </w:tcPr>
                <w:p w14:paraId="4435E6B2">
                  <w:pPr>
                    <w:adjustRightInd w:val="0"/>
                    <w:snapToGrid w:val="0"/>
                    <w:jc w:val="center"/>
                    <w:rPr>
                      <w:rFonts w:hint="eastAsia"/>
                      <w:color w:val="auto"/>
                      <w:kern w:val="0"/>
                      <w:sz w:val="18"/>
                      <w:szCs w:val="18"/>
                    </w:rPr>
                  </w:pPr>
                  <w:r>
                    <w:rPr>
                      <w:rFonts w:hint="eastAsia"/>
                      <w:color w:val="auto"/>
                      <w:kern w:val="0"/>
                      <w:sz w:val="18"/>
                      <w:szCs w:val="18"/>
                    </w:rPr>
                    <w:t>1</w:t>
                  </w:r>
                </w:p>
              </w:tc>
            </w:tr>
            <w:tr w14:paraId="6F25E1D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jc w:val="center"/>
              </w:trPr>
              <w:tc>
                <w:tcPr>
                  <w:tcW w:w="350" w:type="pct"/>
                  <w:vMerge w:val="continue"/>
                  <w:tcMar>
                    <w:left w:w="28" w:type="dxa"/>
                    <w:right w:w="28" w:type="dxa"/>
                  </w:tcMar>
                  <w:vAlign w:val="center"/>
                </w:tcPr>
                <w:p w14:paraId="518A6A24">
                  <w:pPr>
                    <w:adjustRightInd w:val="0"/>
                    <w:snapToGrid w:val="0"/>
                    <w:jc w:val="center"/>
                    <w:rPr>
                      <w:color w:val="auto"/>
                      <w:kern w:val="0"/>
                      <w:sz w:val="18"/>
                      <w:szCs w:val="18"/>
                    </w:rPr>
                  </w:pPr>
                </w:p>
              </w:tc>
              <w:tc>
                <w:tcPr>
                  <w:tcW w:w="367" w:type="pct"/>
                  <w:tcMar>
                    <w:left w:w="28" w:type="dxa"/>
                    <w:right w:w="28" w:type="dxa"/>
                  </w:tcMar>
                  <w:vAlign w:val="center"/>
                </w:tcPr>
                <w:p w14:paraId="394A9523">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涂胶机</w:t>
                  </w:r>
                </w:p>
              </w:tc>
              <w:tc>
                <w:tcPr>
                  <w:tcW w:w="293" w:type="pct"/>
                  <w:tcMar>
                    <w:left w:w="28" w:type="dxa"/>
                    <w:right w:w="28" w:type="dxa"/>
                  </w:tcMar>
                  <w:vAlign w:val="center"/>
                </w:tcPr>
                <w:p w14:paraId="248DEF2D">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1</w:t>
                  </w:r>
                </w:p>
              </w:tc>
              <w:tc>
                <w:tcPr>
                  <w:tcW w:w="399" w:type="pct"/>
                  <w:tcMar>
                    <w:left w:w="28" w:type="dxa"/>
                    <w:right w:w="28" w:type="dxa"/>
                  </w:tcMar>
                  <w:vAlign w:val="center"/>
                </w:tcPr>
                <w:p w14:paraId="230ED946">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80</w:t>
                  </w:r>
                </w:p>
              </w:tc>
              <w:tc>
                <w:tcPr>
                  <w:tcW w:w="360" w:type="pct"/>
                  <w:vMerge w:val="continue"/>
                  <w:tcMar>
                    <w:left w:w="28" w:type="dxa"/>
                    <w:right w:w="28" w:type="dxa"/>
                  </w:tcMar>
                  <w:vAlign w:val="center"/>
                </w:tcPr>
                <w:p w14:paraId="1489EF9A">
                  <w:pPr>
                    <w:adjustRightInd w:val="0"/>
                    <w:snapToGrid w:val="0"/>
                    <w:jc w:val="center"/>
                    <w:rPr>
                      <w:color w:val="auto"/>
                      <w:kern w:val="0"/>
                      <w:sz w:val="18"/>
                      <w:szCs w:val="18"/>
                    </w:rPr>
                  </w:pPr>
                </w:p>
              </w:tc>
              <w:tc>
                <w:tcPr>
                  <w:tcW w:w="206" w:type="pct"/>
                  <w:tcMar>
                    <w:left w:w="28" w:type="dxa"/>
                    <w:right w:w="28" w:type="dxa"/>
                  </w:tcMar>
                  <w:vAlign w:val="center"/>
                </w:tcPr>
                <w:p w14:paraId="1BD27B59">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-27</w:t>
                  </w:r>
                </w:p>
              </w:tc>
              <w:tc>
                <w:tcPr>
                  <w:tcW w:w="206" w:type="pct"/>
                  <w:tcMar>
                    <w:left w:w="28" w:type="dxa"/>
                    <w:right w:w="28" w:type="dxa"/>
                  </w:tcMar>
                  <w:vAlign w:val="center"/>
                </w:tcPr>
                <w:p w14:paraId="754F2121">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4</w:t>
                  </w:r>
                </w:p>
              </w:tc>
              <w:tc>
                <w:tcPr>
                  <w:tcW w:w="206" w:type="pct"/>
                  <w:tcMar>
                    <w:left w:w="28" w:type="dxa"/>
                    <w:right w:w="28" w:type="dxa"/>
                  </w:tcMar>
                  <w:vAlign w:val="center"/>
                </w:tcPr>
                <w:p w14:paraId="64A63BDA">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1</w:t>
                  </w:r>
                </w:p>
              </w:tc>
              <w:tc>
                <w:tcPr>
                  <w:tcW w:w="206" w:type="pct"/>
                  <w:tcMar>
                    <w:left w:w="28" w:type="dxa"/>
                    <w:right w:w="28" w:type="dxa"/>
                  </w:tcMar>
                  <w:vAlign w:val="center"/>
                </w:tcPr>
                <w:p w14:paraId="6BC75FEB">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77</w:t>
                  </w:r>
                </w:p>
              </w:tc>
              <w:tc>
                <w:tcPr>
                  <w:tcW w:w="206" w:type="pct"/>
                  <w:tcMar>
                    <w:left w:w="28" w:type="dxa"/>
                    <w:right w:w="28" w:type="dxa"/>
                  </w:tcMar>
                  <w:vAlign w:val="center"/>
                </w:tcPr>
                <w:p w14:paraId="72F25968">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18</w:t>
                  </w:r>
                </w:p>
              </w:tc>
              <w:tc>
                <w:tcPr>
                  <w:tcW w:w="206" w:type="pct"/>
                  <w:tcMar>
                    <w:left w:w="28" w:type="dxa"/>
                    <w:right w:w="28" w:type="dxa"/>
                  </w:tcMar>
                  <w:vAlign w:val="center"/>
                </w:tcPr>
                <w:p w14:paraId="790C446E">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23</w:t>
                  </w:r>
                </w:p>
              </w:tc>
              <w:tc>
                <w:tcPr>
                  <w:tcW w:w="208" w:type="pct"/>
                  <w:tcMar>
                    <w:left w:w="28" w:type="dxa"/>
                    <w:right w:w="28" w:type="dxa"/>
                  </w:tcMar>
                  <w:vAlign w:val="center"/>
                </w:tcPr>
                <w:p w14:paraId="2EAF5D14">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10</w:t>
                  </w:r>
                </w:p>
              </w:tc>
              <w:tc>
                <w:tcPr>
                  <w:tcW w:w="399" w:type="pct"/>
                  <w:tcMar>
                    <w:left w:w="28" w:type="dxa"/>
                    <w:right w:w="28" w:type="dxa"/>
                  </w:tcMar>
                  <w:vAlign w:val="center"/>
                </w:tcPr>
                <w:p w14:paraId="3CA2DA27">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67.9</w:t>
                  </w:r>
                </w:p>
              </w:tc>
              <w:tc>
                <w:tcPr>
                  <w:tcW w:w="443" w:type="pct"/>
                  <w:tcMar>
                    <w:left w:w="28" w:type="dxa"/>
                    <w:right w:w="28" w:type="dxa"/>
                  </w:tcMar>
                  <w:vAlign w:val="center"/>
                </w:tcPr>
                <w:p w14:paraId="2CC4FFEC">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25</w:t>
                  </w:r>
                </w:p>
              </w:tc>
              <w:tc>
                <w:tcPr>
                  <w:tcW w:w="447" w:type="pct"/>
                  <w:tcMar>
                    <w:left w:w="28" w:type="dxa"/>
                    <w:right w:w="28" w:type="dxa"/>
                  </w:tcMar>
                  <w:vAlign w:val="center"/>
                </w:tcPr>
                <w:p w14:paraId="2309B0E8">
                  <w:pPr>
                    <w:adjustRightInd w:val="0"/>
                    <w:snapToGrid w:val="0"/>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36.9</w:t>
                  </w:r>
                </w:p>
              </w:tc>
              <w:tc>
                <w:tcPr>
                  <w:tcW w:w="494" w:type="pct"/>
                  <w:tcMar>
                    <w:left w:w="28" w:type="dxa"/>
                    <w:right w:w="28" w:type="dxa"/>
                  </w:tcMar>
                  <w:vAlign w:val="center"/>
                </w:tcPr>
                <w:p w14:paraId="7D0C94F0">
                  <w:pPr>
                    <w:adjustRightInd w:val="0"/>
                    <w:snapToGrid w:val="0"/>
                    <w:jc w:val="center"/>
                    <w:rPr>
                      <w:rFonts w:hint="eastAsia"/>
                      <w:color w:val="auto"/>
                      <w:kern w:val="0"/>
                      <w:sz w:val="18"/>
                      <w:szCs w:val="18"/>
                    </w:rPr>
                  </w:pPr>
                  <w:r>
                    <w:rPr>
                      <w:rFonts w:hint="eastAsia"/>
                      <w:color w:val="auto"/>
                      <w:kern w:val="0"/>
                      <w:sz w:val="18"/>
                      <w:szCs w:val="18"/>
                    </w:rPr>
                    <w:t>1</w:t>
                  </w:r>
                </w:p>
              </w:tc>
            </w:tr>
            <w:tr w14:paraId="34DA457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jc w:val="center"/>
              </w:trPr>
              <w:tc>
                <w:tcPr>
                  <w:tcW w:w="350" w:type="pct"/>
                  <w:vMerge w:val="continue"/>
                  <w:tcMar>
                    <w:left w:w="28" w:type="dxa"/>
                    <w:right w:w="28" w:type="dxa"/>
                  </w:tcMar>
                  <w:vAlign w:val="center"/>
                </w:tcPr>
                <w:p w14:paraId="333D15F1">
                  <w:pPr>
                    <w:adjustRightInd w:val="0"/>
                    <w:snapToGrid w:val="0"/>
                    <w:jc w:val="center"/>
                    <w:rPr>
                      <w:color w:val="auto"/>
                      <w:kern w:val="0"/>
                      <w:sz w:val="18"/>
                      <w:szCs w:val="18"/>
                    </w:rPr>
                  </w:pPr>
                </w:p>
              </w:tc>
              <w:tc>
                <w:tcPr>
                  <w:tcW w:w="367" w:type="pct"/>
                  <w:tcMar>
                    <w:left w:w="28" w:type="dxa"/>
                    <w:right w:w="28" w:type="dxa"/>
                  </w:tcMar>
                  <w:vAlign w:val="center"/>
                </w:tcPr>
                <w:p w14:paraId="6473FD9F">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加工中心</w:t>
                  </w:r>
                </w:p>
              </w:tc>
              <w:tc>
                <w:tcPr>
                  <w:tcW w:w="293" w:type="pct"/>
                  <w:tcMar>
                    <w:left w:w="28" w:type="dxa"/>
                    <w:right w:w="28" w:type="dxa"/>
                  </w:tcMar>
                  <w:vAlign w:val="center"/>
                </w:tcPr>
                <w:p w14:paraId="2E2C1D1F">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2</w:t>
                  </w:r>
                </w:p>
              </w:tc>
              <w:tc>
                <w:tcPr>
                  <w:tcW w:w="399" w:type="pct"/>
                  <w:tcMar>
                    <w:left w:w="28" w:type="dxa"/>
                    <w:right w:w="28" w:type="dxa"/>
                  </w:tcMar>
                  <w:vAlign w:val="center"/>
                </w:tcPr>
                <w:p w14:paraId="3022563B">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80</w:t>
                  </w:r>
                </w:p>
              </w:tc>
              <w:tc>
                <w:tcPr>
                  <w:tcW w:w="360" w:type="pct"/>
                  <w:vMerge w:val="continue"/>
                  <w:tcMar>
                    <w:left w:w="28" w:type="dxa"/>
                    <w:right w:w="28" w:type="dxa"/>
                  </w:tcMar>
                  <w:vAlign w:val="center"/>
                </w:tcPr>
                <w:p w14:paraId="1BCBF97F">
                  <w:pPr>
                    <w:adjustRightInd w:val="0"/>
                    <w:snapToGrid w:val="0"/>
                    <w:jc w:val="center"/>
                    <w:rPr>
                      <w:color w:val="auto"/>
                      <w:kern w:val="0"/>
                      <w:sz w:val="18"/>
                      <w:szCs w:val="18"/>
                    </w:rPr>
                  </w:pPr>
                </w:p>
              </w:tc>
              <w:tc>
                <w:tcPr>
                  <w:tcW w:w="206" w:type="pct"/>
                  <w:tcMar>
                    <w:left w:w="28" w:type="dxa"/>
                    <w:right w:w="28" w:type="dxa"/>
                  </w:tcMar>
                  <w:vAlign w:val="center"/>
                </w:tcPr>
                <w:p w14:paraId="7E3ACF73">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-4</w:t>
                  </w:r>
                </w:p>
              </w:tc>
              <w:tc>
                <w:tcPr>
                  <w:tcW w:w="206" w:type="pct"/>
                  <w:tcMar>
                    <w:left w:w="28" w:type="dxa"/>
                    <w:right w:w="28" w:type="dxa"/>
                  </w:tcMar>
                  <w:vAlign w:val="center"/>
                </w:tcPr>
                <w:p w14:paraId="337AAF3B">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-11</w:t>
                  </w:r>
                </w:p>
              </w:tc>
              <w:tc>
                <w:tcPr>
                  <w:tcW w:w="206" w:type="pct"/>
                  <w:tcMar>
                    <w:left w:w="28" w:type="dxa"/>
                    <w:right w:w="28" w:type="dxa"/>
                  </w:tcMar>
                  <w:vAlign w:val="center"/>
                </w:tcPr>
                <w:p w14:paraId="7522F923">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1</w:t>
                  </w:r>
                </w:p>
              </w:tc>
              <w:tc>
                <w:tcPr>
                  <w:tcW w:w="206" w:type="pct"/>
                  <w:tcMar>
                    <w:left w:w="28" w:type="dxa"/>
                    <w:right w:w="28" w:type="dxa"/>
                  </w:tcMar>
                  <w:vAlign w:val="center"/>
                </w:tcPr>
                <w:p w14:paraId="5ABA8B84">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47</w:t>
                  </w:r>
                </w:p>
              </w:tc>
              <w:tc>
                <w:tcPr>
                  <w:tcW w:w="206" w:type="pct"/>
                  <w:tcMar>
                    <w:left w:w="28" w:type="dxa"/>
                    <w:right w:w="28" w:type="dxa"/>
                  </w:tcMar>
                  <w:vAlign w:val="center"/>
                </w:tcPr>
                <w:p w14:paraId="37D2861D">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3</w:t>
                  </w:r>
                </w:p>
              </w:tc>
              <w:tc>
                <w:tcPr>
                  <w:tcW w:w="206" w:type="pct"/>
                  <w:tcMar>
                    <w:left w:w="28" w:type="dxa"/>
                    <w:right w:w="28" w:type="dxa"/>
                  </w:tcMar>
                  <w:vAlign w:val="center"/>
                </w:tcPr>
                <w:p w14:paraId="202FF870">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53</w:t>
                  </w:r>
                </w:p>
              </w:tc>
              <w:tc>
                <w:tcPr>
                  <w:tcW w:w="208" w:type="pct"/>
                  <w:tcMar>
                    <w:left w:w="28" w:type="dxa"/>
                    <w:right w:w="28" w:type="dxa"/>
                  </w:tcMar>
                  <w:vAlign w:val="center"/>
                </w:tcPr>
                <w:p w14:paraId="547E9F51">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25</w:t>
                  </w:r>
                </w:p>
              </w:tc>
              <w:tc>
                <w:tcPr>
                  <w:tcW w:w="399" w:type="pct"/>
                  <w:tcMar>
                    <w:left w:w="28" w:type="dxa"/>
                    <w:right w:w="28" w:type="dxa"/>
                  </w:tcMar>
                  <w:vAlign w:val="center"/>
                </w:tcPr>
                <w:p w14:paraId="0EC6141B">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69.7</w:t>
                  </w:r>
                </w:p>
              </w:tc>
              <w:tc>
                <w:tcPr>
                  <w:tcW w:w="443" w:type="pct"/>
                  <w:tcMar>
                    <w:left w:w="28" w:type="dxa"/>
                    <w:right w:w="28" w:type="dxa"/>
                  </w:tcMar>
                  <w:vAlign w:val="center"/>
                </w:tcPr>
                <w:p w14:paraId="6ACA8649">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25</w:t>
                  </w:r>
                </w:p>
              </w:tc>
              <w:tc>
                <w:tcPr>
                  <w:tcW w:w="447" w:type="pct"/>
                  <w:tcMar>
                    <w:left w:w="28" w:type="dxa"/>
                    <w:right w:w="28" w:type="dxa"/>
                  </w:tcMar>
                  <w:vAlign w:val="center"/>
                </w:tcPr>
                <w:p w14:paraId="0F0299ED">
                  <w:pPr>
                    <w:adjustRightInd w:val="0"/>
                    <w:snapToGrid w:val="0"/>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38.7</w:t>
                  </w:r>
                </w:p>
              </w:tc>
              <w:tc>
                <w:tcPr>
                  <w:tcW w:w="494" w:type="pct"/>
                  <w:tcMar>
                    <w:left w:w="28" w:type="dxa"/>
                    <w:right w:w="28" w:type="dxa"/>
                  </w:tcMar>
                  <w:vAlign w:val="center"/>
                </w:tcPr>
                <w:p w14:paraId="0B05BEC2">
                  <w:pPr>
                    <w:adjustRightInd w:val="0"/>
                    <w:snapToGrid w:val="0"/>
                    <w:jc w:val="center"/>
                    <w:rPr>
                      <w:rFonts w:hint="eastAsia"/>
                      <w:color w:val="auto"/>
                      <w:kern w:val="0"/>
                      <w:sz w:val="18"/>
                      <w:szCs w:val="18"/>
                    </w:rPr>
                  </w:pPr>
                  <w:r>
                    <w:rPr>
                      <w:rFonts w:hint="eastAsia"/>
                      <w:color w:val="auto"/>
                      <w:kern w:val="0"/>
                      <w:sz w:val="18"/>
                      <w:szCs w:val="18"/>
                    </w:rPr>
                    <w:t>1</w:t>
                  </w:r>
                </w:p>
              </w:tc>
            </w:tr>
            <w:tr w14:paraId="503391B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jc w:val="center"/>
              </w:trPr>
              <w:tc>
                <w:tcPr>
                  <w:tcW w:w="350" w:type="pct"/>
                  <w:vMerge w:val="continue"/>
                  <w:tcMar>
                    <w:left w:w="28" w:type="dxa"/>
                    <w:right w:w="28" w:type="dxa"/>
                  </w:tcMar>
                  <w:vAlign w:val="center"/>
                </w:tcPr>
                <w:p w14:paraId="04593BF3">
                  <w:pPr>
                    <w:adjustRightInd w:val="0"/>
                    <w:snapToGrid w:val="0"/>
                    <w:jc w:val="center"/>
                    <w:rPr>
                      <w:color w:val="auto"/>
                      <w:kern w:val="0"/>
                      <w:sz w:val="18"/>
                      <w:szCs w:val="18"/>
                    </w:rPr>
                  </w:pPr>
                </w:p>
              </w:tc>
              <w:tc>
                <w:tcPr>
                  <w:tcW w:w="367" w:type="pct"/>
                  <w:tcMar>
                    <w:left w:w="28" w:type="dxa"/>
                    <w:right w:w="28" w:type="dxa"/>
                  </w:tcMar>
                  <w:vAlign w:val="center"/>
                </w:tcPr>
                <w:p w14:paraId="13CABB20">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车床</w:t>
                  </w:r>
                </w:p>
              </w:tc>
              <w:tc>
                <w:tcPr>
                  <w:tcW w:w="293" w:type="pct"/>
                  <w:tcMar>
                    <w:left w:w="28" w:type="dxa"/>
                    <w:right w:w="28" w:type="dxa"/>
                  </w:tcMar>
                  <w:vAlign w:val="center"/>
                </w:tcPr>
                <w:p w14:paraId="52B7BB13">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1</w:t>
                  </w:r>
                </w:p>
              </w:tc>
              <w:tc>
                <w:tcPr>
                  <w:tcW w:w="399" w:type="pct"/>
                  <w:tcMar>
                    <w:left w:w="28" w:type="dxa"/>
                    <w:right w:w="28" w:type="dxa"/>
                  </w:tcMar>
                  <w:vAlign w:val="center"/>
                </w:tcPr>
                <w:p w14:paraId="6EF7B7BD">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80</w:t>
                  </w:r>
                </w:p>
              </w:tc>
              <w:tc>
                <w:tcPr>
                  <w:tcW w:w="360" w:type="pct"/>
                  <w:vMerge w:val="continue"/>
                  <w:tcMar>
                    <w:left w:w="28" w:type="dxa"/>
                    <w:right w:w="28" w:type="dxa"/>
                  </w:tcMar>
                  <w:vAlign w:val="center"/>
                </w:tcPr>
                <w:p w14:paraId="1B97FFC3">
                  <w:pPr>
                    <w:adjustRightInd w:val="0"/>
                    <w:snapToGrid w:val="0"/>
                    <w:jc w:val="center"/>
                    <w:rPr>
                      <w:color w:val="auto"/>
                      <w:kern w:val="0"/>
                      <w:sz w:val="18"/>
                      <w:szCs w:val="18"/>
                    </w:rPr>
                  </w:pPr>
                </w:p>
              </w:tc>
              <w:tc>
                <w:tcPr>
                  <w:tcW w:w="206" w:type="pct"/>
                  <w:tcMar>
                    <w:left w:w="28" w:type="dxa"/>
                    <w:right w:w="28" w:type="dxa"/>
                  </w:tcMar>
                  <w:vAlign w:val="center"/>
                </w:tcPr>
                <w:p w14:paraId="45FE9B15">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-4</w:t>
                  </w:r>
                </w:p>
              </w:tc>
              <w:tc>
                <w:tcPr>
                  <w:tcW w:w="206" w:type="pct"/>
                  <w:tcMar>
                    <w:left w:w="28" w:type="dxa"/>
                    <w:right w:w="28" w:type="dxa"/>
                  </w:tcMar>
                  <w:vAlign w:val="center"/>
                </w:tcPr>
                <w:p w14:paraId="259CCC03">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-9</w:t>
                  </w:r>
                </w:p>
              </w:tc>
              <w:tc>
                <w:tcPr>
                  <w:tcW w:w="206" w:type="pct"/>
                  <w:tcMar>
                    <w:left w:w="28" w:type="dxa"/>
                    <w:right w:w="28" w:type="dxa"/>
                  </w:tcMar>
                  <w:vAlign w:val="center"/>
                </w:tcPr>
                <w:p w14:paraId="3999E241">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1</w:t>
                  </w:r>
                </w:p>
              </w:tc>
              <w:tc>
                <w:tcPr>
                  <w:tcW w:w="206" w:type="pct"/>
                  <w:tcMar>
                    <w:left w:w="28" w:type="dxa"/>
                    <w:right w:w="28" w:type="dxa"/>
                  </w:tcMar>
                  <w:vAlign w:val="center"/>
                </w:tcPr>
                <w:p w14:paraId="3E35A363">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47</w:t>
                  </w:r>
                </w:p>
              </w:tc>
              <w:tc>
                <w:tcPr>
                  <w:tcW w:w="206" w:type="pct"/>
                  <w:tcMar>
                    <w:left w:w="28" w:type="dxa"/>
                    <w:right w:w="28" w:type="dxa"/>
                  </w:tcMar>
                  <w:vAlign w:val="center"/>
                </w:tcPr>
                <w:p w14:paraId="12BA94DF">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5</w:t>
                  </w:r>
                </w:p>
              </w:tc>
              <w:tc>
                <w:tcPr>
                  <w:tcW w:w="206" w:type="pct"/>
                  <w:tcMar>
                    <w:left w:w="28" w:type="dxa"/>
                    <w:right w:w="28" w:type="dxa"/>
                  </w:tcMar>
                  <w:vAlign w:val="center"/>
                </w:tcPr>
                <w:p w14:paraId="68C8270B">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53</w:t>
                  </w:r>
                </w:p>
              </w:tc>
              <w:tc>
                <w:tcPr>
                  <w:tcW w:w="208" w:type="pct"/>
                  <w:tcMar>
                    <w:left w:w="28" w:type="dxa"/>
                    <w:right w:w="28" w:type="dxa"/>
                  </w:tcMar>
                  <w:vAlign w:val="center"/>
                </w:tcPr>
                <w:p w14:paraId="29D21A26">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23</w:t>
                  </w:r>
                </w:p>
              </w:tc>
              <w:tc>
                <w:tcPr>
                  <w:tcW w:w="399" w:type="pct"/>
                  <w:tcMar>
                    <w:left w:w="28" w:type="dxa"/>
                    <w:right w:w="28" w:type="dxa"/>
                  </w:tcMar>
                  <w:vAlign w:val="center"/>
                </w:tcPr>
                <w:p w14:paraId="7AB27D2D">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69.9</w:t>
                  </w:r>
                </w:p>
              </w:tc>
              <w:tc>
                <w:tcPr>
                  <w:tcW w:w="443" w:type="pct"/>
                  <w:tcMar>
                    <w:left w:w="28" w:type="dxa"/>
                    <w:right w:w="28" w:type="dxa"/>
                  </w:tcMar>
                  <w:vAlign w:val="center"/>
                </w:tcPr>
                <w:p w14:paraId="11636933">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25</w:t>
                  </w:r>
                </w:p>
              </w:tc>
              <w:tc>
                <w:tcPr>
                  <w:tcW w:w="447" w:type="pct"/>
                  <w:tcMar>
                    <w:left w:w="28" w:type="dxa"/>
                    <w:right w:w="28" w:type="dxa"/>
                  </w:tcMar>
                  <w:vAlign w:val="center"/>
                </w:tcPr>
                <w:p w14:paraId="331076F1">
                  <w:pPr>
                    <w:adjustRightInd w:val="0"/>
                    <w:snapToGrid w:val="0"/>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38.9</w:t>
                  </w:r>
                </w:p>
              </w:tc>
              <w:tc>
                <w:tcPr>
                  <w:tcW w:w="494" w:type="pct"/>
                  <w:tcMar>
                    <w:left w:w="28" w:type="dxa"/>
                    <w:right w:w="28" w:type="dxa"/>
                  </w:tcMar>
                  <w:vAlign w:val="center"/>
                </w:tcPr>
                <w:p w14:paraId="112C254C">
                  <w:pPr>
                    <w:adjustRightInd w:val="0"/>
                    <w:snapToGrid w:val="0"/>
                    <w:jc w:val="center"/>
                    <w:rPr>
                      <w:rFonts w:hint="eastAsia"/>
                      <w:color w:val="auto"/>
                      <w:kern w:val="0"/>
                      <w:sz w:val="18"/>
                      <w:szCs w:val="18"/>
                    </w:rPr>
                  </w:pPr>
                  <w:r>
                    <w:rPr>
                      <w:rFonts w:hint="eastAsia"/>
                      <w:color w:val="auto"/>
                      <w:kern w:val="0"/>
                      <w:sz w:val="18"/>
                      <w:szCs w:val="18"/>
                    </w:rPr>
                    <w:t>1</w:t>
                  </w:r>
                </w:p>
              </w:tc>
            </w:tr>
            <w:tr w14:paraId="40277D8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jc w:val="center"/>
              </w:trPr>
              <w:tc>
                <w:tcPr>
                  <w:tcW w:w="350" w:type="pct"/>
                  <w:vMerge w:val="continue"/>
                  <w:tcMar>
                    <w:left w:w="28" w:type="dxa"/>
                    <w:right w:w="28" w:type="dxa"/>
                  </w:tcMar>
                  <w:vAlign w:val="center"/>
                </w:tcPr>
                <w:p w14:paraId="56390EFD">
                  <w:pPr>
                    <w:adjustRightInd w:val="0"/>
                    <w:snapToGrid w:val="0"/>
                    <w:jc w:val="center"/>
                    <w:rPr>
                      <w:color w:val="auto"/>
                      <w:kern w:val="0"/>
                      <w:sz w:val="18"/>
                      <w:szCs w:val="18"/>
                    </w:rPr>
                  </w:pPr>
                </w:p>
              </w:tc>
              <w:tc>
                <w:tcPr>
                  <w:tcW w:w="367" w:type="pct"/>
                  <w:tcMar>
                    <w:left w:w="28" w:type="dxa"/>
                    <w:right w:w="28" w:type="dxa"/>
                  </w:tcMar>
                  <w:vAlign w:val="center"/>
                </w:tcPr>
                <w:p w14:paraId="52EA7ACF">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封边机</w:t>
                  </w:r>
                </w:p>
              </w:tc>
              <w:tc>
                <w:tcPr>
                  <w:tcW w:w="293" w:type="pct"/>
                  <w:tcMar>
                    <w:left w:w="28" w:type="dxa"/>
                    <w:right w:w="28" w:type="dxa"/>
                  </w:tcMar>
                  <w:vAlign w:val="center"/>
                </w:tcPr>
                <w:p w14:paraId="53F6C0A0">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2</w:t>
                  </w:r>
                </w:p>
              </w:tc>
              <w:tc>
                <w:tcPr>
                  <w:tcW w:w="399" w:type="pct"/>
                  <w:tcMar>
                    <w:left w:w="28" w:type="dxa"/>
                    <w:right w:w="28" w:type="dxa"/>
                  </w:tcMar>
                  <w:vAlign w:val="center"/>
                </w:tcPr>
                <w:p w14:paraId="1C735911">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75</w:t>
                  </w:r>
                </w:p>
              </w:tc>
              <w:tc>
                <w:tcPr>
                  <w:tcW w:w="360" w:type="pct"/>
                  <w:vMerge w:val="continue"/>
                  <w:tcMar>
                    <w:left w:w="28" w:type="dxa"/>
                    <w:right w:w="28" w:type="dxa"/>
                  </w:tcMar>
                  <w:vAlign w:val="center"/>
                </w:tcPr>
                <w:p w14:paraId="13A46247">
                  <w:pPr>
                    <w:adjustRightInd w:val="0"/>
                    <w:snapToGrid w:val="0"/>
                    <w:jc w:val="center"/>
                    <w:rPr>
                      <w:color w:val="auto"/>
                      <w:kern w:val="0"/>
                      <w:sz w:val="18"/>
                      <w:szCs w:val="18"/>
                    </w:rPr>
                  </w:pPr>
                </w:p>
              </w:tc>
              <w:tc>
                <w:tcPr>
                  <w:tcW w:w="206" w:type="pct"/>
                  <w:tcMar>
                    <w:left w:w="28" w:type="dxa"/>
                    <w:right w:w="28" w:type="dxa"/>
                  </w:tcMar>
                  <w:vAlign w:val="center"/>
                </w:tcPr>
                <w:p w14:paraId="7EDE7716">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-14</w:t>
                  </w:r>
                </w:p>
              </w:tc>
              <w:tc>
                <w:tcPr>
                  <w:tcW w:w="206" w:type="pct"/>
                  <w:tcMar>
                    <w:left w:w="28" w:type="dxa"/>
                    <w:right w:w="28" w:type="dxa"/>
                  </w:tcMar>
                  <w:vAlign w:val="center"/>
                </w:tcPr>
                <w:p w14:paraId="4AFBCBF5">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-11</w:t>
                  </w:r>
                </w:p>
              </w:tc>
              <w:tc>
                <w:tcPr>
                  <w:tcW w:w="206" w:type="pct"/>
                  <w:tcMar>
                    <w:left w:w="28" w:type="dxa"/>
                    <w:right w:w="28" w:type="dxa"/>
                  </w:tcMar>
                  <w:vAlign w:val="center"/>
                </w:tcPr>
                <w:p w14:paraId="78C5D1BA">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1</w:t>
                  </w:r>
                </w:p>
              </w:tc>
              <w:tc>
                <w:tcPr>
                  <w:tcW w:w="206" w:type="pct"/>
                  <w:tcMar>
                    <w:left w:w="28" w:type="dxa"/>
                    <w:right w:w="28" w:type="dxa"/>
                  </w:tcMar>
                  <w:vAlign w:val="center"/>
                </w:tcPr>
                <w:p w14:paraId="0B83D125">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64</w:t>
                  </w:r>
                </w:p>
              </w:tc>
              <w:tc>
                <w:tcPr>
                  <w:tcW w:w="206" w:type="pct"/>
                  <w:tcMar>
                    <w:left w:w="28" w:type="dxa"/>
                    <w:right w:w="28" w:type="dxa"/>
                  </w:tcMar>
                  <w:vAlign w:val="center"/>
                </w:tcPr>
                <w:p w14:paraId="0C16DEA6">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3</w:t>
                  </w:r>
                </w:p>
              </w:tc>
              <w:tc>
                <w:tcPr>
                  <w:tcW w:w="206" w:type="pct"/>
                  <w:tcMar>
                    <w:left w:w="28" w:type="dxa"/>
                    <w:right w:w="28" w:type="dxa"/>
                  </w:tcMar>
                  <w:vAlign w:val="center"/>
                </w:tcPr>
                <w:p w14:paraId="016A1CA7">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36</w:t>
                  </w:r>
                </w:p>
              </w:tc>
              <w:tc>
                <w:tcPr>
                  <w:tcW w:w="208" w:type="pct"/>
                  <w:tcMar>
                    <w:left w:w="28" w:type="dxa"/>
                    <w:right w:w="28" w:type="dxa"/>
                  </w:tcMar>
                  <w:vAlign w:val="center"/>
                </w:tcPr>
                <w:p w14:paraId="60F6D6FE">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25</w:t>
                  </w:r>
                </w:p>
              </w:tc>
              <w:tc>
                <w:tcPr>
                  <w:tcW w:w="399" w:type="pct"/>
                  <w:tcMar>
                    <w:left w:w="28" w:type="dxa"/>
                    <w:right w:w="28" w:type="dxa"/>
                  </w:tcMar>
                  <w:vAlign w:val="center"/>
                </w:tcPr>
                <w:p w14:paraId="3803B17D">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70.2</w:t>
                  </w:r>
                </w:p>
              </w:tc>
              <w:tc>
                <w:tcPr>
                  <w:tcW w:w="443" w:type="pct"/>
                  <w:tcMar>
                    <w:left w:w="28" w:type="dxa"/>
                    <w:right w:w="28" w:type="dxa"/>
                  </w:tcMar>
                  <w:vAlign w:val="center"/>
                </w:tcPr>
                <w:p w14:paraId="23C4E170">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25</w:t>
                  </w:r>
                </w:p>
              </w:tc>
              <w:tc>
                <w:tcPr>
                  <w:tcW w:w="447" w:type="pct"/>
                  <w:tcMar>
                    <w:left w:w="28" w:type="dxa"/>
                    <w:right w:w="28" w:type="dxa"/>
                  </w:tcMar>
                  <w:vAlign w:val="center"/>
                </w:tcPr>
                <w:p w14:paraId="46A635EC">
                  <w:pPr>
                    <w:adjustRightInd w:val="0"/>
                    <w:snapToGrid w:val="0"/>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39.2</w:t>
                  </w:r>
                </w:p>
              </w:tc>
              <w:tc>
                <w:tcPr>
                  <w:tcW w:w="494" w:type="pct"/>
                  <w:tcMar>
                    <w:left w:w="28" w:type="dxa"/>
                    <w:right w:w="28" w:type="dxa"/>
                  </w:tcMar>
                  <w:vAlign w:val="center"/>
                </w:tcPr>
                <w:p w14:paraId="71A5B60B">
                  <w:pPr>
                    <w:adjustRightInd w:val="0"/>
                    <w:snapToGrid w:val="0"/>
                    <w:jc w:val="center"/>
                    <w:rPr>
                      <w:rFonts w:hint="eastAsia"/>
                      <w:color w:val="auto"/>
                      <w:kern w:val="0"/>
                      <w:sz w:val="18"/>
                      <w:szCs w:val="18"/>
                    </w:rPr>
                  </w:pPr>
                  <w:r>
                    <w:rPr>
                      <w:rFonts w:hint="eastAsia"/>
                      <w:color w:val="auto"/>
                      <w:kern w:val="0"/>
                      <w:sz w:val="18"/>
                      <w:szCs w:val="18"/>
                    </w:rPr>
                    <w:t>1</w:t>
                  </w:r>
                </w:p>
              </w:tc>
            </w:tr>
            <w:tr w14:paraId="4DD8864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jc w:val="center"/>
              </w:trPr>
              <w:tc>
                <w:tcPr>
                  <w:tcW w:w="350" w:type="pct"/>
                  <w:vMerge w:val="continue"/>
                  <w:tcMar>
                    <w:left w:w="28" w:type="dxa"/>
                    <w:right w:w="28" w:type="dxa"/>
                  </w:tcMar>
                  <w:vAlign w:val="center"/>
                </w:tcPr>
                <w:p w14:paraId="77642C2A">
                  <w:pPr>
                    <w:adjustRightInd w:val="0"/>
                    <w:snapToGrid w:val="0"/>
                    <w:jc w:val="center"/>
                    <w:rPr>
                      <w:color w:val="auto"/>
                      <w:kern w:val="0"/>
                      <w:sz w:val="18"/>
                      <w:szCs w:val="18"/>
                    </w:rPr>
                  </w:pPr>
                </w:p>
              </w:tc>
              <w:tc>
                <w:tcPr>
                  <w:tcW w:w="367" w:type="pct"/>
                  <w:tcMar>
                    <w:left w:w="28" w:type="dxa"/>
                    <w:right w:w="28" w:type="dxa"/>
                  </w:tcMar>
                  <w:vAlign w:val="center"/>
                </w:tcPr>
                <w:p w14:paraId="4C58B18C">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钻床</w:t>
                  </w:r>
                </w:p>
              </w:tc>
              <w:tc>
                <w:tcPr>
                  <w:tcW w:w="293" w:type="pct"/>
                  <w:tcMar>
                    <w:left w:w="28" w:type="dxa"/>
                    <w:right w:w="28" w:type="dxa"/>
                  </w:tcMar>
                  <w:vAlign w:val="center"/>
                </w:tcPr>
                <w:p w14:paraId="3665BCA8">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4</w:t>
                  </w:r>
                </w:p>
              </w:tc>
              <w:tc>
                <w:tcPr>
                  <w:tcW w:w="399" w:type="pct"/>
                  <w:tcMar>
                    <w:left w:w="28" w:type="dxa"/>
                    <w:right w:w="28" w:type="dxa"/>
                  </w:tcMar>
                  <w:vAlign w:val="center"/>
                </w:tcPr>
                <w:p w14:paraId="79DDC807">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80</w:t>
                  </w:r>
                </w:p>
              </w:tc>
              <w:tc>
                <w:tcPr>
                  <w:tcW w:w="360" w:type="pct"/>
                  <w:vMerge w:val="continue"/>
                  <w:tcMar>
                    <w:left w:w="28" w:type="dxa"/>
                    <w:right w:w="28" w:type="dxa"/>
                  </w:tcMar>
                  <w:vAlign w:val="center"/>
                </w:tcPr>
                <w:p w14:paraId="2DB41D78">
                  <w:pPr>
                    <w:adjustRightInd w:val="0"/>
                    <w:snapToGrid w:val="0"/>
                    <w:jc w:val="center"/>
                    <w:rPr>
                      <w:color w:val="auto"/>
                      <w:kern w:val="0"/>
                      <w:sz w:val="18"/>
                      <w:szCs w:val="18"/>
                    </w:rPr>
                  </w:pPr>
                </w:p>
              </w:tc>
              <w:tc>
                <w:tcPr>
                  <w:tcW w:w="206" w:type="pct"/>
                  <w:tcMar>
                    <w:left w:w="28" w:type="dxa"/>
                    <w:right w:w="28" w:type="dxa"/>
                  </w:tcMar>
                  <w:vAlign w:val="center"/>
                </w:tcPr>
                <w:p w14:paraId="63E4FE7A">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0</w:t>
                  </w:r>
                </w:p>
              </w:tc>
              <w:tc>
                <w:tcPr>
                  <w:tcW w:w="206" w:type="pct"/>
                  <w:tcMar>
                    <w:left w:w="28" w:type="dxa"/>
                    <w:right w:w="28" w:type="dxa"/>
                  </w:tcMar>
                  <w:vAlign w:val="center"/>
                </w:tcPr>
                <w:p w14:paraId="10B50F6B">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-12</w:t>
                  </w:r>
                </w:p>
              </w:tc>
              <w:tc>
                <w:tcPr>
                  <w:tcW w:w="206" w:type="pct"/>
                  <w:tcMar>
                    <w:left w:w="28" w:type="dxa"/>
                    <w:right w:w="28" w:type="dxa"/>
                  </w:tcMar>
                  <w:vAlign w:val="center"/>
                </w:tcPr>
                <w:p w14:paraId="626E8A64">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1</w:t>
                  </w:r>
                </w:p>
              </w:tc>
              <w:tc>
                <w:tcPr>
                  <w:tcW w:w="206" w:type="pct"/>
                  <w:tcMar>
                    <w:left w:w="28" w:type="dxa"/>
                    <w:right w:w="28" w:type="dxa"/>
                  </w:tcMar>
                  <w:vAlign w:val="center"/>
                </w:tcPr>
                <w:p w14:paraId="7B6E95C0">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50</w:t>
                  </w:r>
                </w:p>
              </w:tc>
              <w:tc>
                <w:tcPr>
                  <w:tcW w:w="206" w:type="pct"/>
                  <w:tcMar>
                    <w:left w:w="28" w:type="dxa"/>
                    <w:right w:w="28" w:type="dxa"/>
                  </w:tcMar>
                  <w:vAlign w:val="center"/>
                </w:tcPr>
                <w:p w14:paraId="128A4658">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2</w:t>
                  </w:r>
                </w:p>
              </w:tc>
              <w:tc>
                <w:tcPr>
                  <w:tcW w:w="206" w:type="pct"/>
                  <w:tcMar>
                    <w:left w:w="28" w:type="dxa"/>
                    <w:right w:w="28" w:type="dxa"/>
                  </w:tcMar>
                  <w:vAlign w:val="center"/>
                </w:tcPr>
                <w:p w14:paraId="0DDC47E5">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50</w:t>
                  </w:r>
                </w:p>
              </w:tc>
              <w:tc>
                <w:tcPr>
                  <w:tcW w:w="208" w:type="pct"/>
                  <w:tcMar>
                    <w:left w:w="28" w:type="dxa"/>
                    <w:right w:w="28" w:type="dxa"/>
                  </w:tcMar>
                  <w:vAlign w:val="center"/>
                </w:tcPr>
                <w:p w14:paraId="443E033B">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26</w:t>
                  </w:r>
                </w:p>
              </w:tc>
              <w:tc>
                <w:tcPr>
                  <w:tcW w:w="399" w:type="pct"/>
                  <w:tcMar>
                    <w:left w:w="28" w:type="dxa"/>
                    <w:right w:w="28" w:type="dxa"/>
                  </w:tcMar>
                  <w:vAlign w:val="center"/>
                </w:tcPr>
                <w:p w14:paraId="228972EA">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71.9</w:t>
                  </w:r>
                </w:p>
              </w:tc>
              <w:tc>
                <w:tcPr>
                  <w:tcW w:w="443" w:type="pct"/>
                  <w:tcMar>
                    <w:left w:w="28" w:type="dxa"/>
                    <w:right w:w="28" w:type="dxa"/>
                  </w:tcMar>
                  <w:vAlign w:val="center"/>
                </w:tcPr>
                <w:p w14:paraId="1BE576C3">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25</w:t>
                  </w:r>
                </w:p>
              </w:tc>
              <w:tc>
                <w:tcPr>
                  <w:tcW w:w="447" w:type="pct"/>
                  <w:tcMar>
                    <w:left w:w="28" w:type="dxa"/>
                    <w:right w:w="28" w:type="dxa"/>
                  </w:tcMar>
                  <w:vAlign w:val="center"/>
                </w:tcPr>
                <w:p w14:paraId="499206D8">
                  <w:pPr>
                    <w:adjustRightInd w:val="0"/>
                    <w:snapToGrid w:val="0"/>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40.9</w:t>
                  </w:r>
                </w:p>
              </w:tc>
              <w:tc>
                <w:tcPr>
                  <w:tcW w:w="494" w:type="pct"/>
                  <w:tcMar>
                    <w:left w:w="28" w:type="dxa"/>
                    <w:right w:w="28" w:type="dxa"/>
                  </w:tcMar>
                  <w:vAlign w:val="center"/>
                </w:tcPr>
                <w:p w14:paraId="0EBDC79F">
                  <w:pPr>
                    <w:adjustRightInd w:val="0"/>
                    <w:snapToGrid w:val="0"/>
                    <w:jc w:val="center"/>
                    <w:rPr>
                      <w:rFonts w:hint="eastAsia"/>
                      <w:color w:val="auto"/>
                      <w:kern w:val="0"/>
                      <w:sz w:val="18"/>
                      <w:szCs w:val="18"/>
                    </w:rPr>
                  </w:pPr>
                  <w:r>
                    <w:rPr>
                      <w:rFonts w:hint="eastAsia"/>
                      <w:color w:val="auto"/>
                      <w:kern w:val="0"/>
                      <w:sz w:val="18"/>
                      <w:szCs w:val="18"/>
                    </w:rPr>
                    <w:t>1</w:t>
                  </w:r>
                </w:p>
              </w:tc>
            </w:tr>
            <w:tr w14:paraId="5C2DE50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jc w:val="center"/>
              </w:trPr>
              <w:tc>
                <w:tcPr>
                  <w:tcW w:w="350" w:type="pct"/>
                  <w:vMerge w:val="continue"/>
                  <w:tcMar>
                    <w:left w:w="28" w:type="dxa"/>
                    <w:right w:w="28" w:type="dxa"/>
                  </w:tcMar>
                  <w:vAlign w:val="center"/>
                </w:tcPr>
                <w:p w14:paraId="4BAC7542">
                  <w:pPr>
                    <w:adjustRightInd w:val="0"/>
                    <w:snapToGrid w:val="0"/>
                    <w:jc w:val="center"/>
                    <w:rPr>
                      <w:color w:val="auto"/>
                      <w:kern w:val="0"/>
                      <w:sz w:val="18"/>
                      <w:szCs w:val="18"/>
                    </w:rPr>
                  </w:pPr>
                </w:p>
              </w:tc>
              <w:tc>
                <w:tcPr>
                  <w:tcW w:w="367" w:type="pct"/>
                  <w:tcMar>
                    <w:left w:w="28" w:type="dxa"/>
                    <w:right w:w="28" w:type="dxa"/>
                  </w:tcMar>
                  <w:vAlign w:val="center"/>
                </w:tcPr>
                <w:p w14:paraId="38630C1B">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实木飞榫机</w:t>
                  </w:r>
                </w:p>
              </w:tc>
              <w:tc>
                <w:tcPr>
                  <w:tcW w:w="293" w:type="pct"/>
                  <w:tcMar>
                    <w:left w:w="28" w:type="dxa"/>
                    <w:right w:w="28" w:type="dxa"/>
                  </w:tcMar>
                  <w:vAlign w:val="center"/>
                </w:tcPr>
                <w:p w14:paraId="332F4F60">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1</w:t>
                  </w:r>
                </w:p>
              </w:tc>
              <w:tc>
                <w:tcPr>
                  <w:tcW w:w="399" w:type="pct"/>
                  <w:tcMar>
                    <w:left w:w="28" w:type="dxa"/>
                    <w:right w:w="28" w:type="dxa"/>
                  </w:tcMar>
                  <w:vAlign w:val="center"/>
                </w:tcPr>
                <w:p w14:paraId="4CB409EC">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80</w:t>
                  </w:r>
                </w:p>
              </w:tc>
              <w:tc>
                <w:tcPr>
                  <w:tcW w:w="360" w:type="pct"/>
                  <w:vMerge w:val="continue"/>
                  <w:tcMar>
                    <w:left w:w="28" w:type="dxa"/>
                    <w:right w:w="28" w:type="dxa"/>
                  </w:tcMar>
                  <w:vAlign w:val="center"/>
                </w:tcPr>
                <w:p w14:paraId="19BFC0AE">
                  <w:pPr>
                    <w:adjustRightInd w:val="0"/>
                    <w:snapToGrid w:val="0"/>
                    <w:jc w:val="center"/>
                    <w:rPr>
                      <w:color w:val="auto"/>
                      <w:kern w:val="0"/>
                      <w:sz w:val="18"/>
                      <w:szCs w:val="18"/>
                    </w:rPr>
                  </w:pPr>
                </w:p>
              </w:tc>
              <w:tc>
                <w:tcPr>
                  <w:tcW w:w="206" w:type="pct"/>
                  <w:tcMar>
                    <w:left w:w="28" w:type="dxa"/>
                    <w:right w:w="28" w:type="dxa"/>
                  </w:tcMar>
                  <w:vAlign w:val="center"/>
                </w:tcPr>
                <w:p w14:paraId="16849A04">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0</w:t>
                  </w:r>
                </w:p>
              </w:tc>
              <w:tc>
                <w:tcPr>
                  <w:tcW w:w="206" w:type="pct"/>
                  <w:tcMar>
                    <w:left w:w="28" w:type="dxa"/>
                    <w:right w:w="28" w:type="dxa"/>
                  </w:tcMar>
                  <w:vAlign w:val="center"/>
                </w:tcPr>
                <w:p w14:paraId="500E409C">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-4</w:t>
                  </w:r>
                </w:p>
              </w:tc>
              <w:tc>
                <w:tcPr>
                  <w:tcW w:w="206" w:type="pct"/>
                  <w:tcMar>
                    <w:left w:w="28" w:type="dxa"/>
                    <w:right w:w="28" w:type="dxa"/>
                  </w:tcMar>
                  <w:vAlign w:val="center"/>
                </w:tcPr>
                <w:p w14:paraId="7B187DAC">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1</w:t>
                  </w:r>
                </w:p>
              </w:tc>
              <w:tc>
                <w:tcPr>
                  <w:tcW w:w="206" w:type="pct"/>
                  <w:tcMar>
                    <w:left w:w="28" w:type="dxa"/>
                    <w:right w:w="28" w:type="dxa"/>
                  </w:tcMar>
                  <w:vAlign w:val="center"/>
                </w:tcPr>
                <w:p w14:paraId="6AC9332B">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50</w:t>
                  </w:r>
                </w:p>
              </w:tc>
              <w:tc>
                <w:tcPr>
                  <w:tcW w:w="206" w:type="pct"/>
                  <w:tcMar>
                    <w:left w:w="28" w:type="dxa"/>
                    <w:right w:w="28" w:type="dxa"/>
                  </w:tcMar>
                  <w:vAlign w:val="center"/>
                </w:tcPr>
                <w:p w14:paraId="31D85E7F">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10</w:t>
                  </w:r>
                </w:p>
              </w:tc>
              <w:tc>
                <w:tcPr>
                  <w:tcW w:w="206" w:type="pct"/>
                  <w:tcMar>
                    <w:left w:w="28" w:type="dxa"/>
                    <w:right w:w="28" w:type="dxa"/>
                  </w:tcMar>
                  <w:vAlign w:val="center"/>
                </w:tcPr>
                <w:p w14:paraId="501BB2EB">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50</w:t>
                  </w:r>
                </w:p>
              </w:tc>
              <w:tc>
                <w:tcPr>
                  <w:tcW w:w="208" w:type="pct"/>
                  <w:tcMar>
                    <w:left w:w="28" w:type="dxa"/>
                    <w:right w:w="28" w:type="dxa"/>
                  </w:tcMar>
                  <w:vAlign w:val="center"/>
                </w:tcPr>
                <w:p w14:paraId="32DF7447">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18</w:t>
                  </w:r>
                </w:p>
              </w:tc>
              <w:tc>
                <w:tcPr>
                  <w:tcW w:w="399" w:type="pct"/>
                  <w:tcMar>
                    <w:left w:w="28" w:type="dxa"/>
                    <w:right w:w="28" w:type="dxa"/>
                  </w:tcMar>
                  <w:vAlign w:val="center"/>
                </w:tcPr>
                <w:p w14:paraId="3FE7DA59">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72</w:t>
                  </w:r>
                </w:p>
              </w:tc>
              <w:tc>
                <w:tcPr>
                  <w:tcW w:w="443" w:type="pct"/>
                  <w:tcMar>
                    <w:left w:w="28" w:type="dxa"/>
                    <w:right w:w="28" w:type="dxa"/>
                  </w:tcMar>
                  <w:vAlign w:val="center"/>
                </w:tcPr>
                <w:p w14:paraId="5B5D69C0">
                  <w:pPr>
                    <w:adjustRightInd w:val="0"/>
                    <w:snapToGrid w:val="0"/>
                    <w:jc w:val="center"/>
                    <w:rPr>
                      <w:rFonts w:hint="eastAsia"/>
                      <w:color w:val="auto"/>
                      <w:kern w:val="0"/>
                      <w:sz w:val="18"/>
                      <w:szCs w:val="18"/>
                      <w:lang w:val="en-US" w:eastAsia="zh-CN"/>
                    </w:rPr>
                  </w:pPr>
                  <w:r>
                    <w:rPr>
                      <w:rFonts w:hint="eastAsia"/>
                      <w:color w:val="auto"/>
                      <w:kern w:val="0"/>
                      <w:sz w:val="18"/>
                      <w:szCs w:val="18"/>
                      <w:lang w:val="en-US" w:eastAsia="zh-CN"/>
                    </w:rPr>
                    <w:t>25</w:t>
                  </w:r>
                </w:p>
              </w:tc>
              <w:tc>
                <w:tcPr>
                  <w:tcW w:w="447" w:type="pct"/>
                  <w:tcMar>
                    <w:left w:w="28" w:type="dxa"/>
                    <w:right w:w="28" w:type="dxa"/>
                  </w:tcMar>
                  <w:vAlign w:val="center"/>
                </w:tcPr>
                <w:p w14:paraId="38B982C4">
                  <w:pPr>
                    <w:adjustRightInd w:val="0"/>
                    <w:snapToGrid w:val="0"/>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41</w:t>
                  </w:r>
                </w:p>
              </w:tc>
              <w:tc>
                <w:tcPr>
                  <w:tcW w:w="494" w:type="pct"/>
                  <w:tcMar>
                    <w:left w:w="28" w:type="dxa"/>
                    <w:right w:w="28" w:type="dxa"/>
                  </w:tcMar>
                  <w:vAlign w:val="center"/>
                </w:tcPr>
                <w:p w14:paraId="780868A9">
                  <w:pPr>
                    <w:adjustRightInd w:val="0"/>
                    <w:snapToGrid w:val="0"/>
                    <w:jc w:val="center"/>
                    <w:rPr>
                      <w:rFonts w:hint="eastAsia"/>
                      <w:color w:val="auto"/>
                      <w:kern w:val="0"/>
                      <w:sz w:val="18"/>
                      <w:szCs w:val="18"/>
                    </w:rPr>
                  </w:pPr>
                  <w:r>
                    <w:rPr>
                      <w:rFonts w:hint="eastAsia"/>
                      <w:color w:val="auto"/>
                      <w:kern w:val="0"/>
                      <w:sz w:val="18"/>
                      <w:szCs w:val="18"/>
                    </w:rPr>
                    <w:t>1</w:t>
                  </w:r>
                </w:p>
              </w:tc>
            </w:tr>
            <w:tr w14:paraId="2A38E0B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4" w:hRule="atLeast"/>
                <w:jc w:val="center"/>
              </w:trPr>
              <w:tc>
                <w:tcPr>
                  <w:tcW w:w="5000" w:type="pct"/>
                  <w:gridSpan w:val="16"/>
                  <w:tcMar>
                    <w:left w:w="28" w:type="dxa"/>
                    <w:right w:w="28" w:type="dxa"/>
                  </w:tcMar>
                  <w:vAlign w:val="center"/>
                </w:tcPr>
                <w:p w14:paraId="55FF2EFA">
                  <w:pPr>
                    <w:adjustRightInd w:val="0"/>
                    <w:snapToGrid w:val="0"/>
                    <w:jc w:val="left"/>
                    <w:rPr>
                      <w:color w:val="auto"/>
                      <w:kern w:val="0"/>
                      <w:sz w:val="18"/>
                      <w:szCs w:val="18"/>
                    </w:rPr>
                  </w:pPr>
                  <w:r>
                    <w:rPr>
                      <w:rFonts w:hint="eastAsia"/>
                      <w:color w:val="auto"/>
                      <w:kern w:val="0"/>
                      <w:sz w:val="18"/>
                      <w:szCs w:val="18"/>
                    </w:rPr>
                    <w:t>注：①本项目以</w:t>
                  </w:r>
                  <w:r>
                    <w:rPr>
                      <w:rFonts w:hint="eastAsia"/>
                      <w:color w:val="auto"/>
                      <w:kern w:val="0"/>
                      <w:sz w:val="18"/>
                      <w:szCs w:val="18"/>
                      <w:lang w:val="en-US" w:eastAsia="zh-CN"/>
                    </w:rPr>
                    <w:t>车间</w:t>
                  </w:r>
                  <w:r>
                    <w:rPr>
                      <w:rFonts w:hint="eastAsia"/>
                      <w:color w:val="auto"/>
                      <w:kern w:val="0"/>
                      <w:sz w:val="18"/>
                      <w:szCs w:val="18"/>
                    </w:rPr>
                    <w:t>中心为坐标原点；②为距室内边界距离；③“声压级</w:t>
                  </w:r>
                  <w:r>
                    <w:rPr>
                      <w:color w:val="auto"/>
                      <w:kern w:val="0"/>
                      <w:sz w:val="18"/>
                      <w:szCs w:val="18"/>
                    </w:rPr>
                    <w:t>/</w:t>
                  </w:r>
                  <w:r>
                    <w:rPr>
                      <w:rFonts w:hint="eastAsia"/>
                      <w:color w:val="auto"/>
                      <w:kern w:val="0"/>
                      <w:sz w:val="18"/>
                      <w:szCs w:val="18"/>
                    </w:rPr>
                    <w:t>距声源距离</w:t>
                  </w:r>
                  <w:r>
                    <w:rPr>
                      <w:color w:val="auto"/>
                      <w:kern w:val="0"/>
                      <w:sz w:val="18"/>
                      <w:szCs w:val="18"/>
                    </w:rPr>
                    <w:t>/dB</w:t>
                  </w:r>
                  <w:r>
                    <w:rPr>
                      <w:rFonts w:hint="eastAsia"/>
                      <w:color w:val="auto"/>
                      <w:kern w:val="0"/>
                      <w:sz w:val="18"/>
                      <w:szCs w:val="18"/>
                    </w:rPr>
                    <w:t>（</w:t>
                  </w:r>
                  <w:r>
                    <w:rPr>
                      <w:color w:val="auto"/>
                      <w:kern w:val="0"/>
                      <w:sz w:val="18"/>
                      <w:szCs w:val="18"/>
                    </w:rPr>
                    <w:t>A</w:t>
                  </w:r>
                  <w:r>
                    <w:rPr>
                      <w:rFonts w:hint="eastAsia"/>
                      <w:color w:val="auto"/>
                      <w:kern w:val="0"/>
                      <w:sz w:val="18"/>
                      <w:szCs w:val="18"/>
                    </w:rPr>
                    <w:t>）</w:t>
                  </w:r>
                  <w:r>
                    <w:rPr>
                      <w:color w:val="auto"/>
                      <w:kern w:val="0"/>
                      <w:sz w:val="18"/>
                      <w:szCs w:val="18"/>
                    </w:rPr>
                    <w:t>/m</w:t>
                  </w:r>
                  <w:r>
                    <w:rPr>
                      <w:rFonts w:hint="eastAsia"/>
                      <w:color w:val="auto"/>
                      <w:kern w:val="0"/>
                      <w:sz w:val="18"/>
                      <w:szCs w:val="18"/>
                    </w:rPr>
                    <w:t>”中“声压级”为单台设备的声压级；④建筑物外最近距离。</w:t>
                  </w:r>
                </w:p>
              </w:tc>
            </w:tr>
          </w:tbl>
          <w:p w14:paraId="2F63A4A3">
            <w:pPr>
              <w:jc w:val="center"/>
              <w:rPr>
                <w:b/>
                <w:color w:val="auto"/>
                <w:kern w:val="0"/>
              </w:rPr>
            </w:pPr>
            <w:r>
              <w:rPr>
                <w:b/>
                <w:color w:val="auto"/>
                <w:kern w:val="0"/>
              </w:rPr>
              <w:t>表</w:t>
            </w:r>
            <w:r>
              <w:rPr>
                <w:rFonts w:hint="eastAsia"/>
                <w:b/>
                <w:color w:val="auto"/>
                <w:kern w:val="0"/>
              </w:rPr>
              <w:t>4-</w:t>
            </w:r>
            <w:r>
              <w:rPr>
                <w:rFonts w:hint="eastAsia"/>
                <w:b/>
                <w:color w:val="auto"/>
                <w:kern w:val="0"/>
                <w:lang w:val="en-US" w:eastAsia="zh-CN"/>
              </w:rPr>
              <w:t xml:space="preserve">18 </w:t>
            </w:r>
            <w:r>
              <w:rPr>
                <w:b/>
                <w:color w:val="auto"/>
                <w:kern w:val="0"/>
              </w:rPr>
              <w:t xml:space="preserve">  本项目噪声源强调查清单（室外声源）</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600"/>
              <w:gridCol w:w="1200"/>
              <w:gridCol w:w="2174"/>
              <w:gridCol w:w="2419"/>
              <w:gridCol w:w="1463"/>
            </w:tblGrid>
            <w:tr w14:paraId="5486947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03" w:type="pct"/>
                  <w:tcBorders>
                    <w:tl2br w:val="nil"/>
                    <w:tr2bl w:val="nil"/>
                  </w:tcBorders>
                  <w:vAlign w:val="center"/>
                </w:tcPr>
                <w:p w14:paraId="575A9B3A">
                  <w:pPr>
                    <w:jc w:val="center"/>
                    <w:rPr>
                      <w:b/>
                      <w:color w:val="auto"/>
                      <w:kern w:val="0"/>
                    </w:rPr>
                  </w:pPr>
                  <w:r>
                    <w:rPr>
                      <w:b/>
                      <w:color w:val="auto"/>
                      <w:kern w:val="0"/>
                    </w:rPr>
                    <w:t>声源名称</w:t>
                  </w:r>
                </w:p>
              </w:tc>
              <w:tc>
                <w:tcPr>
                  <w:tcW w:w="677" w:type="pct"/>
                  <w:tcBorders>
                    <w:tl2br w:val="nil"/>
                    <w:tr2bl w:val="nil"/>
                  </w:tcBorders>
                  <w:vAlign w:val="center"/>
                </w:tcPr>
                <w:p w14:paraId="1F935D7F">
                  <w:pPr>
                    <w:jc w:val="center"/>
                    <w:rPr>
                      <w:b/>
                      <w:color w:val="auto"/>
                      <w:kern w:val="0"/>
                    </w:rPr>
                  </w:pPr>
                  <w:r>
                    <w:rPr>
                      <w:b/>
                      <w:color w:val="auto"/>
                      <w:kern w:val="0"/>
                    </w:rPr>
                    <w:t>型号</w:t>
                  </w:r>
                </w:p>
              </w:tc>
              <w:tc>
                <w:tcPr>
                  <w:tcW w:w="1227" w:type="pct"/>
                  <w:tcBorders>
                    <w:tl2br w:val="nil"/>
                    <w:tr2bl w:val="nil"/>
                  </w:tcBorders>
                  <w:vAlign w:val="center"/>
                </w:tcPr>
                <w:p w14:paraId="692C8725">
                  <w:pPr>
                    <w:jc w:val="center"/>
                    <w:rPr>
                      <w:b/>
                      <w:color w:val="auto"/>
                      <w:kern w:val="0"/>
                    </w:rPr>
                  </w:pPr>
                  <w:r>
                    <w:rPr>
                      <w:b/>
                      <w:color w:val="auto"/>
                      <w:kern w:val="0"/>
                    </w:rPr>
                    <w:t>声源源强（声功率级）/dB</w:t>
                  </w:r>
                  <w:r>
                    <w:rPr>
                      <w:rFonts w:hint="eastAsia"/>
                      <w:b/>
                      <w:color w:val="auto"/>
                      <w:kern w:val="0"/>
                    </w:rPr>
                    <w:t>（</w:t>
                  </w:r>
                  <w:r>
                    <w:rPr>
                      <w:b/>
                      <w:color w:val="auto"/>
                      <w:kern w:val="0"/>
                    </w:rPr>
                    <w:t>A</w:t>
                  </w:r>
                  <w:r>
                    <w:rPr>
                      <w:rFonts w:hint="eastAsia"/>
                      <w:b/>
                      <w:color w:val="auto"/>
                      <w:kern w:val="0"/>
                    </w:rPr>
                    <w:t>）</w:t>
                  </w:r>
                </w:p>
              </w:tc>
              <w:tc>
                <w:tcPr>
                  <w:tcW w:w="1365" w:type="pct"/>
                  <w:tcBorders>
                    <w:tl2br w:val="nil"/>
                    <w:tr2bl w:val="nil"/>
                  </w:tcBorders>
                  <w:vAlign w:val="center"/>
                </w:tcPr>
                <w:p w14:paraId="55C40C16">
                  <w:pPr>
                    <w:jc w:val="center"/>
                    <w:rPr>
                      <w:b/>
                      <w:color w:val="auto"/>
                      <w:kern w:val="0"/>
                    </w:rPr>
                  </w:pPr>
                  <w:r>
                    <w:rPr>
                      <w:b/>
                      <w:color w:val="auto"/>
                      <w:kern w:val="0"/>
                    </w:rPr>
                    <w:t>声源控制措施</w:t>
                  </w:r>
                </w:p>
              </w:tc>
              <w:tc>
                <w:tcPr>
                  <w:tcW w:w="825" w:type="pct"/>
                  <w:tcBorders>
                    <w:tl2br w:val="nil"/>
                    <w:tr2bl w:val="nil"/>
                  </w:tcBorders>
                  <w:vAlign w:val="center"/>
                </w:tcPr>
                <w:p w14:paraId="752532DD">
                  <w:pPr>
                    <w:jc w:val="center"/>
                    <w:rPr>
                      <w:b/>
                      <w:color w:val="auto"/>
                      <w:kern w:val="0"/>
                    </w:rPr>
                  </w:pPr>
                  <w:r>
                    <w:rPr>
                      <w:b/>
                      <w:color w:val="auto"/>
                      <w:kern w:val="0"/>
                    </w:rPr>
                    <w:t>运行时段</w:t>
                  </w:r>
                </w:p>
              </w:tc>
            </w:tr>
            <w:tr w14:paraId="07AE58F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03" w:type="pct"/>
                  <w:tcBorders>
                    <w:tl2br w:val="nil"/>
                    <w:tr2bl w:val="nil"/>
                  </w:tcBorders>
                  <w:vAlign w:val="center"/>
                </w:tcPr>
                <w:p w14:paraId="1EB08626">
                  <w:pPr>
                    <w:jc w:val="center"/>
                    <w:rPr>
                      <w:color w:val="auto"/>
                      <w:kern w:val="0"/>
                    </w:rPr>
                  </w:pPr>
                  <w:r>
                    <w:rPr>
                      <w:color w:val="auto"/>
                      <w:kern w:val="0"/>
                    </w:rPr>
                    <w:t>风机（</w:t>
                  </w:r>
                  <w:r>
                    <w:rPr>
                      <w:rFonts w:hint="eastAsia"/>
                      <w:color w:val="auto"/>
                      <w:kern w:val="0"/>
                      <w:lang w:val="en-US" w:eastAsia="zh-CN"/>
                    </w:rPr>
                    <w:t>1</w:t>
                  </w:r>
                  <w:r>
                    <w:rPr>
                      <w:color w:val="auto"/>
                      <w:kern w:val="0"/>
                    </w:rPr>
                    <w:t>台）</w:t>
                  </w:r>
                </w:p>
              </w:tc>
              <w:tc>
                <w:tcPr>
                  <w:tcW w:w="677" w:type="pct"/>
                  <w:tcBorders>
                    <w:tl2br w:val="nil"/>
                    <w:tr2bl w:val="nil"/>
                  </w:tcBorders>
                  <w:vAlign w:val="center"/>
                </w:tcPr>
                <w:p w14:paraId="11A14A93">
                  <w:pPr>
                    <w:jc w:val="center"/>
                    <w:rPr>
                      <w:color w:val="auto"/>
                      <w:kern w:val="0"/>
                    </w:rPr>
                  </w:pPr>
                  <w:r>
                    <w:rPr>
                      <w:color w:val="auto"/>
                      <w:kern w:val="0"/>
                    </w:rPr>
                    <w:t>/</w:t>
                  </w:r>
                </w:p>
              </w:tc>
              <w:tc>
                <w:tcPr>
                  <w:tcW w:w="1227" w:type="pct"/>
                  <w:tcBorders>
                    <w:tl2br w:val="nil"/>
                    <w:tr2bl w:val="nil"/>
                  </w:tcBorders>
                  <w:vAlign w:val="center"/>
                </w:tcPr>
                <w:p w14:paraId="535B43B0">
                  <w:pPr>
                    <w:pStyle w:val="704"/>
                    <w:contextualSpacing/>
                    <w:rPr>
                      <w:color w:val="auto"/>
                      <w:kern w:val="0"/>
                      <w:szCs w:val="21"/>
                    </w:rPr>
                  </w:pPr>
                  <w:r>
                    <w:rPr>
                      <w:color w:val="auto"/>
                      <w:kern w:val="0"/>
                      <w:szCs w:val="21"/>
                    </w:rPr>
                    <w:t>90</w:t>
                  </w:r>
                </w:p>
              </w:tc>
              <w:tc>
                <w:tcPr>
                  <w:tcW w:w="1365" w:type="pct"/>
                  <w:tcBorders>
                    <w:tl2br w:val="nil"/>
                    <w:tr2bl w:val="nil"/>
                  </w:tcBorders>
                  <w:vAlign w:val="center"/>
                </w:tcPr>
                <w:p w14:paraId="77A1D475">
                  <w:pPr>
                    <w:jc w:val="center"/>
                    <w:rPr>
                      <w:color w:val="auto"/>
                      <w:kern w:val="0"/>
                    </w:rPr>
                  </w:pPr>
                  <w:r>
                    <w:rPr>
                      <w:color w:val="auto"/>
                      <w:kern w:val="0"/>
                    </w:rPr>
                    <w:t>隔声、减震、安装隔声垫、消声器</w:t>
                  </w:r>
                </w:p>
              </w:tc>
              <w:tc>
                <w:tcPr>
                  <w:tcW w:w="825" w:type="pct"/>
                  <w:tcBorders>
                    <w:tl2br w:val="nil"/>
                    <w:tr2bl w:val="nil"/>
                  </w:tcBorders>
                  <w:vAlign w:val="center"/>
                </w:tcPr>
                <w:p w14:paraId="73296DBB">
                  <w:pPr>
                    <w:jc w:val="center"/>
                    <w:rPr>
                      <w:color w:val="auto"/>
                      <w:kern w:val="0"/>
                    </w:rPr>
                  </w:pPr>
                  <w:r>
                    <w:rPr>
                      <w:rFonts w:hint="eastAsia"/>
                      <w:color w:val="auto"/>
                      <w:kern w:val="0"/>
                    </w:rPr>
                    <w:t>0</w:t>
                  </w:r>
                  <w:r>
                    <w:rPr>
                      <w:rFonts w:hint="eastAsia"/>
                      <w:color w:val="auto"/>
                      <w:kern w:val="0"/>
                      <w:lang w:val="en-US" w:eastAsia="zh-CN"/>
                    </w:rPr>
                    <w:t>8</w:t>
                  </w:r>
                  <w:r>
                    <w:rPr>
                      <w:color w:val="auto"/>
                      <w:kern w:val="0"/>
                    </w:rPr>
                    <w:t>:00</w:t>
                  </w:r>
                  <w:r>
                    <w:rPr>
                      <w:rFonts w:hint="eastAsia"/>
                      <w:color w:val="auto"/>
                      <w:kern w:val="0"/>
                    </w:rPr>
                    <w:t>~</w:t>
                  </w:r>
                  <w:r>
                    <w:rPr>
                      <w:rFonts w:hint="eastAsia"/>
                      <w:color w:val="auto"/>
                      <w:kern w:val="0"/>
                      <w:lang w:val="en-US" w:eastAsia="zh-CN"/>
                    </w:rPr>
                    <w:t>16</w:t>
                  </w:r>
                  <w:r>
                    <w:rPr>
                      <w:color w:val="auto"/>
                      <w:kern w:val="0"/>
                    </w:rPr>
                    <w:t>:00</w:t>
                  </w:r>
                </w:p>
              </w:tc>
            </w:tr>
          </w:tbl>
          <w:p w14:paraId="7B5A0758">
            <w:pPr>
              <w:widowControl/>
              <w:adjustRightInd w:val="0"/>
              <w:snapToGrid w:val="0"/>
              <w:spacing w:line="360" w:lineRule="auto"/>
              <w:ind w:firstLine="420" w:firstLineChars="200"/>
              <w:rPr>
                <w:b/>
                <w:bCs/>
                <w:color w:val="auto"/>
                <w:kern w:val="0"/>
              </w:rPr>
            </w:pPr>
            <w:r>
              <w:rPr>
                <w:rFonts w:hint="eastAsia"/>
                <w:color w:val="auto"/>
                <w:kern w:val="0"/>
              </w:rPr>
              <w:t>通过选用低噪声设备、吸声、隔声、合理布局、减振等措施，可使项目产生的噪声源强削减25dB（A），以减轻噪声对周围环境的影响。上述措施到位时，项目地周围噪声可达标排放。</w:t>
            </w:r>
          </w:p>
          <w:p w14:paraId="1BE8173C">
            <w:pPr>
              <w:adjustRightInd w:val="0"/>
              <w:snapToGrid w:val="0"/>
              <w:spacing w:line="360" w:lineRule="auto"/>
              <w:ind w:firstLine="422" w:firstLineChars="200"/>
              <w:rPr>
                <w:b/>
                <w:bCs/>
                <w:color w:val="auto"/>
                <w:kern w:val="0"/>
              </w:rPr>
            </w:pPr>
            <w:r>
              <w:rPr>
                <w:rFonts w:hint="eastAsia"/>
                <w:b/>
                <w:bCs/>
                <w:color w:val="auto"/>
                <w:kern w:val="0"/>
              </w:rPr>
              <w:t>（2）噪声污染防治措施</w:t>
            </w:r>
          </w:p>
          <w:p w14:paraId="627675DD">
            <w:pPr>
              <w:adjustRightInd w:val="0"/>
              <w:snapToGrid w:val="0"/>
              <w:spacing w:line="360" w:lineRule="auto"/>
              <w:ind w:firstLine="420" w:firstLineChars="200"/>
              <w:rPr>
                <w:color w:val="auto"/>
                <w:kern w:val="0"/>
              </w:rPr>
            </w:pPr>
            <w:r>
              <w:rPr>
                <w:color w:val="auto"/>
                <w:kern w:val="0"/>
              </w:rPr>
              <w:t>①企业在选购设备时购置符合国家颁布的各类机械噪声标准的低噪声设备，保证运行时能符合工业企业车间噪声卫生标准，同时能保证达到厂界噪声控制值。</w:t>
            </w:r>
          </w:p>
          <w:p w14:paraId="0380A347">
            <w:pPr>
              <w:adjustRightInd w:val="0"/>
              <w:snapToGrid w:val="0"/>
              <w:spacing w:line="360" w:lineRule="auto"/>
              <w:ind w:firstLine="420" w:firstLineChars="200"/>
              <w:rPr>
                <w:color w:val="auto"/>
                <w:kern w:val="0"/>
              </w:rPr>
            </w:pPr>
            <w:r>
              <w:rPr>
                <w:color w:val="auto"/>
                <w:kern w:val="0"/>
              </w:rPr>
              <w:t>②对噪声污染大的设备，如风机等须配置减振装置，安装隔声罩或消声器。</w:t>
            </w:r>
          </w:p>
          <w:p w14:paraId="5D476CC0">
            <w:pPr>
              <w:adjustRightInd w:val="0"/>
              <w:snapToGrid w:val="0"/>
              <w:spacing w:line="360" w:lineRule="auto"/>
              <w:ind w:firstLine="420" w:firstLineChars="200"/>
              <w:rPr>
                <w:color w:val="auto"/>
                <w:kern w:val="0"/>
              </w:rPr>
            </w:pPr>
            <w:r>
              <w:rPr>
                <w:color w:val="auto"/>
                <w:kern w:val="0"/>
              </w:rPr>
              <w:t>③在噪声传播途径上采取措施加以控制，如强噪声源车间的建筑围护结构均以封闭为主，同时采取车间外及厂界的绿化，利用建筑物与树木阻隔声音的传播。</w:t>
            </w:r>
          </w:p>
          <w:p w14:paraId="5D4624DA">
            <w:pPr>
              <w:adjustRightInd w:val="0"/>
              <w:snapToGrid w:val="0"/>
              <w:spacing w:line="360" w:lineRule="auto"/>
              <w:ind w:firstLine="420" w:firstLineChars="200"/>
              <w:rPr>
                <w:color w:val="auto"/>
                <w:kern w:val="0"/>
              </w:rPr>
            </w:pPr>
            <w:r>
              <w:rPr>
                <w:color w:val="auto"/>
                <w:kern w:val="0"/>
              </w:rPr>
              <w:fldChar w:fldCharType="begin"/>
            </w:r>
            <w:r>
              <w:rPr>
                <w:color w:val="auto"/>
                <w:kern w:val="0"/>
              </w:rPr>
              <w:instrText xml:space="preserve"> = 4 \* GB3 \* MERGEFORMAT </w:instrText>
            </w:r>
            <w:r>
              <w:rPr>
                <w:color w:val="auto"/>
                <w:kern w:val="0"/>
              </w:rPr>
              <w:fldChar w:fldCharType="separate"/>
            </w:r>
            <w:r>
              <w:rPr>
                <w:color w:val="auto"/>
                <w:kern w:val="0"/>
              </w:rPr>
              <w:t>④</w:t>
            </w:r>
            <w:r>
              <w:rPr>
                <w:color w:val="auto"/>
                <w:kern w:val="0"/>
              </w:rPr>
              <w:fldChar w:fldCharType="end"/>
            </w:r>
            <w:r>
              <w:rPr>
                <w:color w:val="auto"/>
                <w:kern w:val="0"/>
              </w:rPr>
              <w:t>项目噪声污染防治工作执行</w:t>
            </w:r>
            <w:r>
              <w:rPr>
                <w:rFonts w:hint="eastAsia"/>
                <w:color w:val="auto"/>
                <w:kern w:val="0"/>
              </w:rPr>
              <w:t>“</w:t>
            </w:r>
            <w:r>
              <w:rPr>
                <w:color w:val="auto"/>
                <w:kern w:val="0"/>
              </w:rPr>
              <w:t>三同时</w:t>
            </w:r>
            <w:r>
              <w:rPr>
                <w:rFonts w:hint="eastAsia"/>
                <w:color w:val="auto"/>
                <w:kern w:val="0"/>
              </w:rPr>
              <w:t>”</w:t>
            </w:r>
            <w:r>
              <w:rPr>
                <w:color w:val="auto"/>
                <w:kern w:val="0"/>
              </w:rPr>
              <w:t>制度。对防振垫、隔声、吸声、消声器等降噪设备应进行定期检查、维修，对不符合要求的及时更换，防止机械噪声的升高。</w:t>
            </w:r>
          </w:p>
          <w:p w14:paraId="380141A5">
            <w:pPr>
              <w:adjustRightInd w:val="0"/>
              <w:snapToGrid w:val="0"/>
              <w:spacing w:line="360" w:lineRule="auto"/>
              <w:ind w:firstLine="420" w:firstLineChars="200"/>
              <w:rPr>
                <w:color w:val="auto"/>
                <w:kern w:val="0"/>
              </w:rPr>
            </w:pPr>
            <w:r>
              <w:rPr>
                <w:color w:val="auto"/>
                <w:kern w:val="0"/>
              </w:rPr>
              <w:fldChar w:fldCharType="begin"/>
            </w:r>
            <w:r>
              <w:rPr>
                <w:color w:val="auto"/>
                <w:kern w:val="0"/>
              </w:rPr>
              <w:instrText xml:space="preserve"> = 5 \* GB3 \* MERGEFORMAT </w:instrText>
            </w:r>
            <w:r>
              <w:rPr>
                <w:color w:val="auto"/>
                <w:kern w:val="0"/>
              </w:rPr>
              <w:fldChar w:fldCharType="separate"/>
            </w:r>
            <w:r>
              <w:rPr>
                <w:color w:val="auto"/>
                <w:kern w:val="0"/>
              </w:rPr>
              <w:t>⑤</w:t>
            </w:r>
            <w:r>
              <w:rPr>
                <w:color w:val="auto"/>
                <w:kern w:val="0"/>
              </w:rPr>
              <w:fldChar w:fldCharType="end"/>
            </w:r>
            <w:r>
              <w:rPr>
                <w:color w:val="auto"/>
                <w:kern w:val="0"/>
              </w:rPr>
              <w:t>加强设备的维修保养，使设备处于最佳工作状态。</w:t>
            </w:r>
          </w:p>
          <w:p w14:paraId="6CD13382">
            <w:pPr>
              <w:widowControl/>
              <w:snapToGrid w:val="0"/>
              <w:spacing w:line="360" w:lineRule="auto"/>
              <w:ind w:firstLine="422" w:firstLineChars="200"/>
              <w:rPr>
                <w:b/>
                <w:bCs/>
                <w:color w:val="auto"/>
                <w:kern w:val="0"/>
              </w:rPr>
            </w:pPr>
            <w:r>
              <w:rPr>
                <w:rFonts w:hint="eastAsia"/>
                <w:b/>
                <w:bCs/>
                <w:color w:val="auto"/>
                <w:kern w:val="0"/>
              </w:rPr>
              <w:t>（3）达标排放分析</w:t>
            </w:r>
          </w:p>
          <w:p w14:paraId="0F82FA52">
            <w:pPr>
              <w:adjustRightInd w:val="0"/>
              <w:snapToGrid w:val="0"/>
              <w:spacing w:line="360" w:lineRule="auto"/>
              <w:ind w:firstLine="420" w:firstLineChars="200"/>
              <w:rPr>
                <w:color w:val="auto"/>
                <w:kern w:val="0"/>
              </w:rPr>
            </w:pPr>
            <w:r>
              <w:rPr>
                <w:rFonts w:hint="eastAsia" w:cs="宋体"/>
                <w:color w:val="auto"/>
                <w:kern w:val="0"/>
              </w:rPr>
              <w:t>本次环评声环境影响预测方法采用《环境影响评价技术导则声环境》（HJ2.4-2021）中工业噪声预测计算模式。预测模式如下：</w:t>
            </w:r>
          </w:p>
          <w:p w14:paraId="24791FE4">
            <w:pPr>
              <w:adjustRightInd w:val="0"/>
              <w:snapToGrid w:val="0"/>
              <w:spacing w:line="360" w:lineRule="auto"/>
              <w:ind w:firstLine="420" w:firstLineChars="200"/>
              <w:rPr>
                <w:color w:val="auto"/>
                <w:kern w:val="0"/>
              </w:rPr>
            </w:pPr>
            <w:r>
              <w:rPr>
                <w:rFonts w:hint="eastAsia" w:cs="宋体"/>
                <w:color w:val="auto"/>
                <w:kern w:val="0"/>
              </w:rPr>
              <w:t>①</w:t>
            </w:r>
            <w:r>
              <w:rPr>
                <w:color w:val="auto"/>
                <w:kern w:val="0"/>
              </w:rPr>
              <w:t>室外声源</w:t>
            </w:r>
          </w:p>
          <w:p w14:paraId="632A72A6">
            <w:pPr>
              <w:overflowPunct w:val="0"/>
              <w:adjustRightInd w:val="0"/>
              <w:snapToGrid w:val="0"/>
              <w:spacing w:line="360" w:lineRule="auto"/>
              <w:ind w:firstLine="420" w:firstLineChars="200"/>
              <w:rPr>
                <w:color w:val="auto"/>
                <w:kern w:val="0"/>
              </w:rPr>
            </w:pPr>
            <w:r>
              <w:rPr>
                <w:color w:val="auto"/>
                <w:kern w:val="0"/>
              </w:rPr>
              <w:t>户外声传播衰减包括几何发散（</w:t>
            </w:r>
            <w:r>
              <w:rPr>
                <w:i/>
                <w:iCs/>
                <w:color w:val="auto"/>
                <w:kern w:val="0"/>
              </w:rPr>
              <w:t>A</w:t>
            </w:r>
            <w:r>
              <w:rPr>
                <w:color w:val="auto"/>
                <w:kern w:val="0"/>
                <w:vertAlign w:val="subscript"/>
              </w:rPr>
              <w:t>div</w:t>
            </w:r>
            <w:r>
              <w:rPr>
                <w:color w:val="auto"/>
                <w:kern w:val="0"/>
              </w:rPr>
              <w:t>）、大气吸收（</w:t>
            </w:r>
            <w:r>
              <w:rPr>
                <w:i/>
                <w:iCs/>
                <w:color w:val="auto"/>
                <w:kern w:val="0"/>
              </w:rPr>
              <w:t>A</w:t>
            </w:r>
            <w:r>
              <w:rPr>
                <w:color w:val="auto"/>
                <w:kern w:val="0"/>
                <w:vertAlign w:val="subscript"/>
              </w:rPr>
              <w:t>atm</w:t>
            </w:r>
            <w:r>
              <w:rPr>
                <w:color w:val="auto"/>
                <w:kern w:val="0"/>
              </w:rPr>
              <w:t>）、地面效应（</w:t>
            </w:r>
            <w:r>
              <w:rPr>
                <w:i/>
                <w:iCs/>
                <w:color w:val="auto"/>
                <w:kern w:val="0"/>
              </w:rPr>
              <w:t>A</w:t>
            </w:r>
            <w:r>
              <w:rPr>
                <w:color w:val="auto"/>
                <w:kern w:val="0"/>
                <w:vertAlign w:val="subscript"/>
              </w:rPr>
              <w:t>gr</w:t>
            </w:r>
            <w:r>
              <w:rPr>
                <w:color w:val="auto"/>
                <w:kern w:val="0"/>
              </w:rPr>
              <w:t>）、障碍物屏蔽（</w:t>
            </w:r>
            <w:r>
              <w:rPr>
                <w:i/>
                <w:iCs/>
                <w:color w:val="auto"/>
                <w:kern w:val="0"/>
              </w:rPr>
              <w:t>A</w:t>
            </w:r>
            <w:r>
              <w:rPr>
                <w:color w:val="auto"/>
                <w:kern w:val="0"/>
                <w:vertAlign w:val="subscript"/>
              </w:rPr>
              <w:t>bar</w:t>
            </w:r>
            <w:r>
              <w:rPr>
                <w:color w:val="auto"/>
                <w:kern w:val="0"/>
              </w:rPr>
              <w:t>）、其他多方面效应（</w:t>
            </w:r>
            <w:r>
              <w:rPr>
                <w:i/>
                <w:iCs/>
                <w:color w:val="auto"/>
                <w:kern w:val="0"/>
              </w:rPr>
              <w:t>A</w:t>
            </w:r>
            <w:r>
              <w:rPr>
                <w:color w:val="auto"/>
                <w:kern w:val="0"/>
                <w:vertAlign w:val="subscript"/>
              </w:rPr>
              <w:t>misc</w:t>
            </w:r>
            <w:r>
              <w:rPr>
                <w:color w:val="auto"/>
                <w:kern w:val="0"/>
              </w:rPr>
              <w:t>）引起的衰减。</w:t>
            </w:r>
          </w:p>
          <w:p w14:paraId="31F27ECD">
            <w:pPr>
              <w:overflowPunct w:val="0"/>
              <w:adjustRightInd w:val="0"/>
              <w:snapToGrid w:val="0"/>
              <w:spacing w:line="360" w:lineRule="auto"/>
              <w:ind w:firstLine="420" w:firstLineChars="200"/>
              <w:rPr>
                <w:color w:val="auto"/>
                <w:kern w:val="0"/>
              </w:rPr>
            </w:pPr>
            <w:r>
              <w:rPr>
                <w:color w:val="auto"/>
                <w:kern w:val="0"/>
              </w:rPr>
              <w:t>a）在环境影响评价中，应根据声源声功率级或参考位置处的声压级、户外声传播衰减，计算预测点的声级，分别按式（A.1）或式（A.2）计算。</w:t>
            </w:r>
          </w:p>
          <w:p w14:paraId="6484F489">
            <w:pPr>
              <w:overflowPunct w:val="0"/>
              <w:adjustRightInd w:val="0"/>
              <w:snapToGrid w:val="0"/>
              <w:spacing w:line="360" w:lineRule="auto"/>
              <w:ind w:firstLine="420" w:firstLineChars="200"/>
              <w:jc w:val="center"/>
              <w:rPr>
                <w:color w:val="auto"/>
                <w:kern w:val="0"/>
              </w:rPr>
            </w:pPr>
            <w:r>
              <w:rPr>
                <w:i/>
                <w:iCs/>
                <w:color w:val="auto"/>
                <w:kern w:val="0"/>
              </w:rPr>
              <w:t>Lp</w:t>
            </w:r>
            <w:r>
              <w:rPr>
                <w:color w:val="auto"/>
                <w:kern w:val="0"/>
              </w:rPr>
              <w:t>(</w:t>
            </w:r>
            <w:r>
              <w:rPr>
                <w:i/>
                <w:iCs/>
                <w:color w:val="auto"/>
                <w:kern w:val="0"/>
              </w:rPr>
              <w:t>r</w:t>
            </w:r>
            <w:r>
              <w:rPr>
                <w:color w:val="auto"/>
                <w:kern w:val="0"/>
              </w:rPr>
              <w:t>)＝</w:t>
            </w:r>
            <w:r>
              <w:rPr>
                <w:i/>
                <w:iCs/>
                <w:color w:val="auto"/>
                <w:kern w:val="0"/>
              </w:rPr>
              <w:t>Lw</w:t>
            </w:r>
            <w:r>
              <w:rPr>
                <w:color w:val="auto"/>
                <w:kern w:val="0"/>
              </w:rPr>
              <w:t>+</w:t>
            </w:r>
            <w:r>
              <w:rPr>
                <w:i/>
                <w:iCs/>
                <w:color w:val="auto"/>
                <w:kern w:val="0"/>
              </w:rPr>
              <w:t>D</w:t>
            </w:r>
            <w:r>
              <w:rPr>
                <w:color w:val="auto"/>
                <w:kern w:val="0"/>
                <w:vertAlign w:val="subscript"/>
              </w:rPr>
              <w:t>C</w:t>
            </w:r>
            <w:r>
              <w:rPr>
                <w:color w:val="auto"/>
                <w:kern w:val="0"/>
              </w:rPr>
              <w:t>－</w:t>
            </w:r>
            <w:r>
              <w:rPr>
                <w:rFonts w:hint="eastAsia"/>
                <w:color w:val="auto"/>
                <w:kern w:val="0"/>
              </w:rPr>
              <w:t>（</w:t>
            </w:r>
            <w:r>
              <w:rPr>
                <w:i/>
                <w:iCs/>
                <w:color w:val="auto"/>
                <w:kern w:val="0"/>
              </w:rPr>
              <w:t>A</w:t>
            </w:r>
            <w:r>
              <w:rPr>
                <w:color w:val="auto"/>
                <w:kern w:val="0"/>
                <w:vertAlign w:val="subscript"/>
              </w:rPr>
              <w:t>div</w:t>
            </w:r>
            <w:r>
              <w:rPr>
                <w:color w:val="auto"/>
                <w:kern w:val="0"/>
              </w:rPr>
              <w:t>＋</w:t>
            </w:r>
            <w:r>
              <w:rPr>
                <w:i/>
                <w:iCs/>
                <w:color w:val="auto"/>
                <w:kern w:val="0"/>
              </w:rPr>
              <w:t>A</w:t>
            </w:r>
            <w:r>
              <w:rPr>
                <w:color w:val="auto"/>
                <w:kern w:val="0"/>
                <w:vertAlign w:val="subscript"/>
              </w:rPr>
              <w:t>atm</w:t>
            </w:r>
            <w:r>
              <w:rPr>
                <w:color w:val="auto"/>
                <w:kern w:val="0"/>
              </w:rPr>
              <w:t>＋</w:t>
            </w:r>
            <w:r>
              <w:rPr>
                <w:i/>
                <w:iCs/>
                <w:color w:val="auto"/>
                <w:kern w:val="0"/>
              </w:rPr>
              <w:t>A</w:t>
            </w:r>
            <w:r>
              <w:rPr>
                <w:color w:val="auto"/>
                <w:kern w:val="0"/>
                <w:vertAlign w:val="subscript"/>
              </w:rPr>
              <w:t>gr</w:t>
            </w:r>
            <w:r>
              <w:rPr>
                <w:color w:val="auto"/>
                <w:kern w:val="0"/>
              </w:rPr>
              <w:t>＋</w:t>
            </w:r>
            <w:r>
              <w:rPr>
                <w:i/>
                <w:iCs/>
                <w:color w:val="auto"/>
                <w:kern w:val="0"/>
              </w:rPr>
              <w:t>A</w:t>
            </w:r>
            <w:r>
              <w:rPr>
                <w:color w:val="auto"/>
                <w:kern w:val="0"/>
                <w:vertAlign w:val="subscript"/>
              </w:rPr>
              <w:t>bar</w:t>
            </w:r>
            <w:r>
              <w:rPr>
                <w:color w:val="auto"/>
                <w:kern w:val="0"/>
              </w:rPr>
              <w:t>＋</w:t>
            </w:r>
            <w:r>
              <w:rPr>
                <w:i/>
                <w:iCs/>
                <w:color w:val="auto"/>
                <w:kern w:val="0"/>
              </w:rPr>
              <w:t>A</w:t>
            </w:r>
            <w:r>
              <w:rPr>
                <w:color w:val="auto"/>
                <w:kern w:val="0"/>
                <w:vertAlign w:val="subscript"/>
              </w:rPr>
              <w:t>misc</w:t>
            </w:r>
            <w:r>
              <w:rPr>
                <w:rFonts w:hint="eastAsia"/>
                <w:color w:val="auto"/>
                <w:kern w:val="0"/>
              </w:rPr>
              <w:t>）</w:t>
            </w:r>
            <w:r>
              <w:rPr>
                <w:color w:val="auto"/>
                <w:kern w:val="0"/>
              </w:rPr>
              <w:t xml:space="preserve">  （A.1）</w:t>
            </w:r>
          </w:p>
          <w:p w14:paraId="6A0979B4">
            <w:pPr>
              <w:overflowPunct w:val="0"/>
              <w:adjustRightInd w:val="0"/>
              <w:snapToGrid w:val="0"/>
              <w:spacing w:line="360" w:lineRule="auto"/>
              <w:ind w:firstLine="420" w:firstLineChars="200"/>
              <w:jc w:val="center"/>
              <w:rPr>
                <w:color w:val="auto"/>
                <w:kern w:val="0"/>
              </w:rPr>
            </w:pPr>
            <w:r>
              <w:rPr>
                <w:i/>
                <w:iCs/>
                <w:color w:val="auto"/>
                <w:kern w:val="0"/>
              </w:rPr>
              <w:t>Lp</w:t>
            </w:r>
            <w:r>
              <w:rPr>
                <w:color w:val="auto"/>
                <w:kern w:val="0"/>
              </w:rPr>
              <w:t>(</w:t>
            </w:r>
            <w:r>
              <w:rPr>
                <w:i/>
                <w:iCs/>
                <w:color w:val="auto"/>
                <w:kern w:val="0"/>
              </w:rPr>
              <w:t>r</w:t>
            </w:r>
            <w:r>
              <w:rPr>
                <w:color w:val="auto"/>
                <w:kern w:val="0"/>
              </w:rPr>
              <w:t>)＝</w:t>
            </w:r>
            <w:r>
              <w:rPr>
                <w:i/>
                <w:iCs/>
                <w:color w:val="auto"/>
                <w:kern w:val="0"/>
              </w:rPr>
              <w:t>Lp</w:t>
            </w:r>
            <w:r>
              <w:rPr>
                <w:color w:val="auto"/>
                <w:kern w:val="0"/>
              </w:rPr>
              <w:t>(</w:t>
            </w:r>
            <w:r>
              <w:rPr>
                <w:i/>
                <w:iCs/>
                <w:color w:val="auto"/>
                <w:kern w:val="0"/>
              </w:rPr>
              <w:t>r</w:t>
            </w:r>
            <w:r>
              <w:rPr>
                <w:color w:val="auto"/>
                <w:kern w:val="0"/>
              </w:rPr>
              <w:t>0)+</w:t>
            </w:r>
            <w:r>
              <w:rPr>
                <w:i/>
                <w:iCs/>
                <w:color w:val="auto"/>
                <w:kern w:val="0"/>
              </w:rPr>
              <w:t>D</w:t>
            </w:r>
            <w:r>
              <w:rPr>
                <w:color w:val="auto"/>
                <w:kern w:val="0"/>
              </w:rPr>
              <w:t>C－</w:t>
            </w:r>
            <w:r>
              <w:rPr>
                <w:rFonts w:hint="eastAsia"/>
                <w:color w:val="auto"/>
                <w:kern w:val="0"/>
              </w:rPr>
              <w:t>（</w:t>
            </w:r>
            <w:r>
              <w:rPr>
                <w:i/>
                <w:iCs/>
                <w:color w:val="auto"/>
                <w:kern w:val="0"/>
              </w:rPr>
              <w:t>A</w:t>
            </w:r>
            <w:r>
              <w:rPr>
                <w:color w:val="auto"/>
                <w:kern w:val="0"/>
              </w:rPr>
              <w:t>div＋</w:t>
            </w:r>
            <w:r>
              <w:rPr>
                <w:i/>
                <w:iCs/>
                <w:color w:val="auto"/>
                <w:kern w:val="0"/>
              </w:rPr>
              <w:t>A</w:t>
            </w:r>
            <w:r>
              <w:rPr>
                <w:color w:val="auto"/>
                <w:kern w:val="0"/>
              </w:rPr>
              <w:t>atm＋</w:t>
            </w:r>
            <w:r>
              <w:rPr>
                <w:i/>
                <w:iCs/>
                <w:color w:val="auto"/>
                <w:kern w:val="0"/>
              </w:rPr>
              <w:t>A</w:t>
            </w:r>
            <w:r>
              <w:rPr>
                <w:color w:val="auto"/>
                <w:kern w:val="0"/>
              </w:rPr>
              <w:t>gr＋</w:t>
            </w:r>
            <w:r>
              <w:rPr>
                <w:i/>
                <w:iCs/>
                <w:color w:val="auto"/>
                <w:kern w:val="0"/>
              </w:rPr>
              <w:t>A</w:t>
            </w:r>
            <w:r>
              <w:rPr>
                <w:color w:val="auto"/>
                <w:kern w:val="0"/>
              </w:rPr>
              <w:t>bar＋</w:t>
            </w:r>
            <w:r>
              <w:rPr>
                <w:i/>
                <w:iCs/>
                <w:color w:val="auto"/>
                <w:kern w:val="0"/>
              </w:rPr>
              <w:t>A</w:t>
            </w:r>
            <w:r>
              <w:rPr>
                <w:color w:val="auto"/>
                <w:kern w:val="0"/>
              </w:rPr>
              <w:t>misc</w:t>
            </w:r>
            <w:r>
              <w:rPr>
                <w:rFonts w:hint="eastAsia"/>
                <w:color w:val="auto"/>
                <w:kern w:val="0"/>
              </w:rPr>
              <w:t>）</w:t>
            </w:r>
            <w:r>
              <w:rPr>
                <w:color w:val="auto"/>
                <w:kern w:val="0"/>
              </w:rPr>
              <w:t xml:space="preserve">  （A.2）</w:t>
            </w:r>
          </w:p>
          <w:p w14:paraId="379A3044">
            <w:pPr>
              <w:overflowPunct w:val="0"/>
              <w:adjustRightInd w:val="0"/>
              <w:snapToGrid w:val="0"/>
              <w:spacing w:line="360" w:lineRule="auto"/>
              <w:ind w:firstLine="420" w:firstLineChars="200"/>
              <w:rPr>
                <w:color w:val="auto"/>
                <w:kern w:val="0"/>
              </w:rPr>
            </w:pPr>
            <w:r>
              <w:rPr>
                <w:color w:val="auto"/>
                <w:kern w:val="0"/>
              </w:rPr>
              <w:t>b）预测点的A声级</w:t>
            </w:r>
            <w:r>
              <w:rPr>
                <w:i/>
                <w:iCs/>
                <w:color w:val="auto"/>
                <w:kern w:val="0"/>
              </w:rPr>
              <w:t>L</w:t>
            </w:r>
            <w:r>
              <w:rPr>
                <w:color w:val="auto"/>
                <w:kern w:val="0"/>
              </w:rPr>
              <w:t>A</w:t>
            </w:r>
            <w:r>
              <w:rPr>
                <w:rFonts w:hint="eastAsia"/>
                <w:color w:val="auto"/>
                <w:kern w:val="0"/>
              </w:rPr>
              <w:t>（</w:t>
            </w:r>
            <w:r>
              <w:rPr>
                <w:i/>
                <w:iCs/>
                <w:color w:val="auto"/>
                <w:kern w:val="0"/>
              </w:rPr>
              <w:t>r</w:t>
            </w:r>
            <w:r>
              <w:rPr>
                <w:rFonts w:hint="eastAsia"/>
                <w:color w:val="auto"/>
                <w:kern w:val="0"/>
              </w:rPr>
              <w:t>）</w:t>
            </w:r>
            <w:r>
              <w:rPr>
                <w:color w:val="auto"/>
                <w:kern w:val="0"/>
              </w:rPr>
              <w:t>可按式（A.3）计算，即将8个倍频带声压级合成，计算出预测点的A声级[</w:t>
            </w:r>
            <w:r>
              <w:rPr>
                <w:i/>
                <w:iCs/>
                <w:color w:val="auto"/>
                <w:kern w:val="0"/>
              </w:rPr>
              <w:t>L</w:t>
            </w:r>
            <w:r>
              <w:rPr>
                <w:color w:val="auto"/>
                <w:kern w:val="0"/>
              </w:rPr>
              <w:t>A</w:t>
            </w:r>
            <w:r>
              <w:rPr>
                <w:rFonts w:hint="eastAsia"/>
                <w:color w:val="auto"/>
                <w:kern w:val="0"/>
              </w:rPr>
              <w:t>（</w:t>
            </w:r>
            <w:r>
              <w:rPr>
                <w:i/>
                <w:iCs/>
                <w:color w:val="auto"/>
                <w:kern w:val="0"/>
              </w:rPr>
              <w:t>r</w:t>
            </w:r>
            <w:r>
              <w:rPr>
                <w:rFonts w:hint="eastAsia"/>
                <w:color w:val="auto"/>
                <w:kern w:val="0"/>
              </w:rPr>
              <w:t>）</w:t>
            </w:r>
            <w:r>
              <w:rPr>
                <w:color w:val="auto"/>
                <w:kern w:val="0"/>
              </w:rPr>
              <w:t>]。</w:t>
            </w:r>
          </w:p>
          <w:p w14:paraId="6FFFDB35">
            <w:pPr>
              <w:pStyle w:val="2"/>
              <w:jc w:val="center"/>
              <w:rPr>
                <w:color w:val="auto"/>
                <w:sz w:val="21"/>
                <w:szCs w:val="21"/>
              </w:rPr>
            </w:pPr>
            <w:r>
              <w:rPr>
                <w:color w:val="auto"/>
                <w:sz w:val="21"/>
                <w:szCs w:val="21"/>
              </w:rPr>
              <w:drawing>
                <wp:inline distT="0" distB="0" distL="114300" distR="114300">
                  <wp:extent cx="4229100" cy="581025"/>
                  <wp:effectExtent l="0" t="0" r="0" b="952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40"/>
                          <a:stretch>
                            <a:fillRect/>
                          </a:stretch>
                        </pic:blipFill>
                        <pic:spPr>
                          <a:xfrm>
                            <a:off x="0" y="0"/>
                            <a:ext cx="4229100" cy="581025"/>
                          </a:xfrm>
                          <a:prstGeom prst="rect">
                            <a:avLst/>
                          </a:prstGeom>
                          <a:noFill/>
                          <a:ln>
                            <a:noFill/>
                          </a:ln>
                        </pic:spPr>
                      </pic:pic>
                    </a:graphicData>
                  </a:graphic>
                </wp:inline>
              </w:drawing>
            </w:r>
          </w:p>
          <w:p w14:paraId="4162D0B1">
            <w:pPr>
              <w:overflowPunct w:val="0"/>
              <w:adjustRightInd w:val="0"/>
              <w:snapToGrid w:val="0"/>
              <w:spacing w:line="360" w:lineRule="auto"/>
              <w:ind w:firstLine="420" w:firstLineChars="200"/>
              <w:rPr>
                <w:color w:val="auto"/>
                <w:kern w:val="0"/>
              </w:rPr>
            </w:pPr>
            <w:r>
              <w:rPr>
                <w:color w:val="auto"/>
                <w:kern w:val="0"/>
              </w:rPr>
              <w:t>c）在只考虑几何发散衰减时，可按式（A.4）计算。</w:t>
            </w:r>
          </w:p>
          <w:p w14:paraId="75FD8B11">
            <w:pPr>
              <w:overflowPunct w:val="0"/>
              <w:adjustRightInd w:val="0"/>
              <w:snapToGrid w:val="0"/>
              <w:spacing w:line="360" w:lineRule="auto"/>
              <w:jc w:val="center"/>
              <w:rPr>
                <w:color w:val="auto"/>
                <w:kern w:val="0"/>
              </w:rPr>
            </w:pPr>
            <w:r>
              <w:rPr>
                <w:color w:val="auto"/>
                <w:kern w:val="0"/>
              </w:rPr>
              <w:drawing>
                <wp:inline distT="0" distB="0" distL="114300" distR="114300">
                  <wp:extent cx="3810000" cy="304800"/>
                  <wp:effectExtent l="0" t="0" r="0" b="0"/>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pic:cNvPicPr>
                        </pic:nvPicPr>
                        <pic:blipFill>
                          <a:blip r:embed="rId41"/>
                          <a:stretch>
                            <a:fillRect/>
                          </a:stretch>
                        </pic:blipFill>
                        <pic:spPr>
                          <a:xfrm>
                            <a:off x="0" y="0"/>
                            <a:ext cx="3810000" cy="304800"/>
                          </a:xfrm>
                          <a:prstGeom prst="rect">
                            <a:avLst/>
                          </a:prstGeom>
                          <a:noFill/>
                          <a:ln>
                            <a:noFill/>
                          </a:ln>
                        </pic:spPr>
                      </pic:pic>
                    </a:graphicData>
                  </a:graphic>
                </wp:inline>
              </w:drawing>
            </w:r>
          </w:p>
          <w:p w14:paraId="232EE15D">
            <w:pPr>
              <w:adjustRightInd w:val="0"/>
              <w:snapToGrid w:val="0"/>
              <w:spacing w:line="360" w:lineRule="auto"/>
              <w:ind w:firstLine="420" w:firstLineChars="200"/>
              <w:rPr>
                <w:color w:val="auto"/>
                <w:kern w:val="0"/>
              </w:rPr>
            </w:pPr>
            <w:r>
              <w:rPr>
                <w:rFonts w:hint="eastAsia" w:cs="宋体"/>
                <w:color w:val="auto"/>
                <w:kern w:val="0"/>
              </w:rPr>
              <w:t>②</w:t>
            </w:r>
            <w:r>
              <w:rPr>
                <w:color w:val="auto"/>
                <w:kern w:val="0"/>
              </w:rPr>
              <w:t>室内点声源</w:t>
            </w:r>
          </w:p>
          <w:p w14:paraId="78311A3F">
            <w:pPr>
              <w:overflowPunct w:val="0"/>
              <w:adjustRightInd w:val="0"/>
              <w:snapToGrid w:val="0"/>
              <w:spacing w:line="360" w:lineRule="auto"/>
              <w:ind w:firstLine="420" w:firstLineChars="200"/>
              <w:rPr>
                <w:color w:val="auto"/>
                <w:kern w:val="0"/>
              </w:rPr>
            </w:pPr>
            <w:r>
              <w:rPr>
                <w:color w:val="auto"/>
                <w:kern w:val="0"/>
              </w:rPr>
              <w:t>声源位于室内，室内声源可采用等效室外声源声功率级法进行计算。设靠近开口处（或窗户）室内、室外某倍频带的声压级或A声级分别为</w:t>
            </w:r>
            <w:r>
              <w:rPr>
                <w:i/>
                <w:iCs/>
                <w:color w:val="auto"/>
                <w:kern w:val="0"/>
              </w:rPr>
              <w:t>Lp1</w:t>
            </w:r>
            <w:r>
              <w:rPr>
                <w:color w:val="auto"/>
                <w:kern w:val="0"/>
              </w:rPr>
              <w:t>和</w:t>
            </w:r>
            <w:r>
              <w:rPr>
                <w:i/>
                <w:iCs/>
                <w:color w:val="auto"/>
                <w:kern w:val="0"/>
              </w:rPr>
              <w:t>Lp2</w:t>
            </w:r>
            <w:r>
              <w:rPr>
                <w:color w:val="auto"/>
                <w:kern w:val="0"/>
              </w:rPr>
              <w:t>。若声源所在室内声场为近似扩散声场，则室外的倍频带声压级可按式（B.1）近似求出：</w:t>
            </w:r>
          </w:p>
          <w:p w14:paraId="68FFC056">
            <w:pPr>
              <w:overflowPunct w:val="0"/>
              <w:adjustRightInd w:val="0"/>
              <w:snapToGrid w:val="0"/>
              <w:spacing w:line="360" w:lineRule="auto"/>
              <w:jc w:val="center"/>
              <w:rPr>
                <w:color w:val="auto"/>
                <w:kern w:val="0"/>
              </w:rPr>
            </w:pPr>
            <w:r>
              <w:rPr>
                <w:color w:val="auto"/>
                <w:kern w:val="0"/>
              </w:rPr>
              <w:drawing>
                <wp:inline distT="0" distB="0" distL="114300" distR="114300">
                  <wp:extent cx="3790950" cy="390525"/>
                  <wp:effectExtent l="0" t="0" r="0" b="9525"/>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pic:cNvPicPr>
                        </pic:nvPicPr>
                        <pic:blipFill>
                          <a:blip r:embed="rId42"/>
                          <a:stretch>
                            <a:fillRect/>
                          </a:stretch>
                        </pic:blipFill>
                        <pic:spPr>
                          <a:xfrm>
                            <a:off x="0" y="0"/>
                            <a:ext cx="3790950" cy="390525"/>
                          </a:xfrm>
                          <a:prstGeom prst="rect">
                            <a:avLst/>
                          </a:prstGeom>
                          <a:noFill/>
                          <a:ln>
                            <a:noFill/>
                          </a:ln>
                        </pic:spPr>
                      </pic:pic>
                    </a:graphicData>
                  </a:graphic>
                </wp:inline>
              </w:drawing>
            </w:r>
          </w:p>
          <w:p w14:paraId="3F8FF332">
            <w:pPr>
              <w:overflowPunct w:val="0"/>
              <w:adjustRightInd w:val="0"/>
              <w:snapToGrid w:val="0"/>
              <w:spacing w:line="360" w:lineRule="auto"/>
              <w:ind w:firstLine="420" w:firstLineChars="200"/>
              <w:rPr>
                <w:color w:val="auto"/>
                <w:kern w:val="0"/>
              </w:rPr>
            </w:pPr>
            <w:r>
              <w:rPr>
                <w:color w:val="auto"/>
                <w:kern w:val="0"/>
              </w:rPr>
              <w:t>也可按式（B.2）计算某一室内声源靠近围护结构处产生的倍频带声压级或A声级：</w:t>
            </w:r>
          </w:p>
          <w:p w14:paraId="542D8E0F">
            <w:pPr>
              <w:pStyle w:val="2"/>
              <w:jc w:val="center"/>
              <w:rPr>
                <w:color w:val="auto"/>
                <w:sz w:val="21"/>
                <w:szCs w:val="21"/>
              </w:rPr>
            </w:pPr>
            <w:r>
              <w:rPr>
                <w:color w:val="auto"/>
                <w:sz w:val="21"/>
                <w:szCs w:val="21"/>
              </w:rPr>
              <w:drawing>
                <wp:inline distT="0" distB="0" distL="114300" distR="114300">
                  <wp:extent cx="3810000" cy="428625"/>
                  <wp:effectExtent l="0" t="0" r="0" b="9525"/>
                  <wp:docPr id="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pic:cNvPicPr>
                            <a:picLocks noChangeAspect="1"/>
                          </pic:cNvPicPr>
                        </pic:nvPicPr>
                        <pic:blipFill>
                          <a:blip r:embed="rId43"/>
                          <a:stretch>
                            <a:fillRect/>
                          </a:stretch>
                        </pic:blipFill>
                        <pic:spPr>
                          <a:xfrm>
                            <a:off x="0" y="0"/>
                            <a:ext cx="3810000" cy="428625"/>
                          </a:xfrm>
                          <a:prstGeom prst="rect">
                            <a:avLst/>
                          </a:prstGeom>
                          <a:noFill/>
                          <a:ln>
                            <a:noFill/>
                          </a:ln>
                        </pic:spPr>
                      </pic:pic>
                    </a:graphicData>
                  </a:graphic>
                </wp:inline>
              </w:drawing>
            </w:r>
          </w:p>
          <w:p w14:paraId="57D1F310">
            <w:pPr>
              <w:overflowPunct w:val="0"/>
              <w:adjustRightInd w:val="0"/>
              <w:snapToGrid w:val="0"/>
              <w:spacing w:line="360" w:lineRule="auto"/>
              <w:ind w:firstLine="420" w:firstLineChars="200"/>
              <w:rPr>
                <w:color w:val="auto"/>
                <w:kern w:val="0"/>
              </w:rPr>
            </w:pPr>
            <w:r>
              <w:rPr>
                <w:color w:val="auto"/>
                <w:kern w:val="0"/>
              </w:rPr>
              <w:t>然后按式（B.3）计算出所有室内声源在围护结构处产生的</w:t>
            </w:r>
            <w:r>
              <w:rPr>
                <w:i/>
                <w:iCs/>
                <w:color w:val="auto"/>
                <w:kern w:val="0"/>
              </w:rPr>
              <w:t>i</w:t>
            </w:r>
            <w:r>
              <w:rPr>
                <w:color w:val="auto"/>
                <w:kern w:val="0"/>
              </w:rPr>
              <w:t>倍频带叠加声压级：</w:t>
            </w:r>
          </w:p>
          <w:p w14:paraId="5B0119AA">
            <w:pPr>
              <w:pStyle w:val="2"/>
              <w:jc w:val="center"/>
              <w:rPr>
                <w:color w:val="auto"/>
                <w:sz w:val="21"/>
                <w:szCs w:val="21"/>
              </w:rPr>
            </w:pPr>
            <w:r>
              <w:rPr>
                <w:color w:val="auto"/>
                <w:sz w:val="21"/>
                <w:szCs w:val="21"/>
              </w:rPr>
              <w:drawing>
                <wp:inline distT="0" distB="0" distL="114300" distR="114300">
                  <wp:extent cx="3790950" cy="466725"/>
                  <wp:effectExtent l="0" t="0" r="0" b="9525"/>
                  <wp:docPr id="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pic:cNvPicPr>
                            <a:picLocks noChangeAspect="1"/>
                          </pic:cNvPicPr>
                        </pic:nvPicPr>
                        <pic:blipFill>
                          <a:blip r:embed="rId44"/>
                          <a:stretch>
                            <a:fillRect/>
                          </a:stretch>
                        </pic:blipFill>
                        <pic:spPr>
                          <a:xfrm>
                            <a:off x="0" y="0"/>
                            <a:ext cx="3790950" cy="466725"/>
                          </a:xfrm>
                          <a:prstGeom prst="rect">
                            <a:avLst/>
                          </a:prstGeom>
                          <a:noFill/>
                          <a:ln>
                            <a:noFill/>
                          </a:ln>
                        </pic:spPr>
                      </pic:pic>
                    </a:graphicData>
                  </a:graphic>
                </wp:inline>
              </w:drawing>
            </w:r>
          </w:p>
          <w:p w14:paraId="407D4346">
            <w:pPr>
              <w:overflowPunct w:val="0"/>
              <w:adjustRightInd w:val="0"/>
              <w:snapToGrid w:val="0"/>
              <w:spacing w:line="360" w:lineRule="auto"/>
              <w:ind w:firstLine="420" w:firstLineChars="200"/>
              <w:rPr>
                <w:color w:val="auto"/>
                <w:kern w:val="0"/>
              </w:rPr>
            </w:pPr>
            <w:r>
              <w:rPr>
                <w:color w:val="auto"/>
                <w:kern w:val="0"/>
              </w:rPr>
              <w:t>在室内近似为扩散声场时，按式（B.4）计算出靠近室外围护结构处的声压级：</w:t>
            </w:r>
          </w:p>
          <w:p w14:paraId="3959BB67">
            <w:pPr>
              <w:pStyle w:val="2"/>
              <w:jc w:val="center"/>
              <w:rPr>
                <w:color w:val="auto"/>
                <w:sz w:val="21"/>
                <w:szCs w:val="21"/>
              </w:rPr>
            </w:pPr>
            <w:r>
              <w:rPr>
                <w:color w:val="auto"/>
                <w:sz w:val="21"/>
                <w:szCs w:val="21"/>
              </w:rPr>
              <w:drawing>
                <wp:inline distT="0" distB="0" distL="114300" distR="114300">
                  <wp:extent cx="4057650" cy="381000"/>
                  <wp:effectExtent l="0" t="0" r="0" b="0"/>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pic:cNvPicPr>
                            <a:picLocks noChangeAspect="1"/>
                          </pic:cNvPicPr>
                        </pic:nvPicPr>
                        <pic:blipFill>
                          <a:blip r:embed="rId45"/>
                          <a:stretch>
                            <a:fillRect/>
                          </a:stretch>
                        </pic:blipFill>
                        <pic:spPr>
                          <a:xfrm>
                            <a:off x="0" y="0"/>
                            <a:ext cx="4057650" cy="381000"/>
                          </a:xfrm>
                          <a:prstGeom prst="rect">
                            <a:avLst/>
                          </a:prstGeom>
                          <a:noFill/>
                          <a:ln>
                            <a:noFill/>
                          </a:ln>
                        </pic:spPr>
                      </pic:pic>
                    </a:graphicData>
                  </a:graphic>
                </wp:inline>
              </w:drawing>
            </w:r>
          </w:p>
          <w:p w14:paraId="30AD2AA7">
            <w:pPr>
              <w:overflowPunct w:val="0"/>
              <w:adjustRightInd w:val="0"/>
              <w:snapToGrid w:val="0"/>
              <w:spacing w:line="360" w:lineRule="auto"/>
              <w:ind w:firstLine="420" w:firstLineChars="200"/>
              <w:rPr>
                <w:color w:val="auto"/>
                <w:kern w:val="0"/>
              </w:rPr>
            </w:pPr>
            <w:r>
              <w:rPr>
                <w:color w:val="auto"/>
                <w:kern w:val="0"/>
              </w:rPr>
              <w:t>然后按式（B.5）将室外声源的声压级和透过面积换算成等效的室外声源，计算出中心位置位于透声面积（</w:t>
            </w:r>
            <w:r>
              <w:rPr>
                <w:i/>
                <w:iCs/>
                <w:color w:val="auto"/>
                <w:kern w:val="0"/>
              </w:rPr>
              <w:t>S</w:t>
            </w:r>
            <w:r>
              <w:rPr>
                <w:color w:val="auto"/>
                <w:kern w:val="0"/>
              </w:rPr>
              <w:t>）处的等效声源的倍频带声功率级。</w:t>
            </w:r>
          </w:p>
          <w:p w14:paraId="1CFE0A88">
            <w:pPr>
              <w:pStyle w:val="2"/>
              <w:jc w:val="center"/>
              <w:rPr>
                <w:color w:val="auto"/>
                <w:sz w:val="21"/>
                <w:szCs w:val="21"/>
              </w:rPr>
            </w:pPr>
            <w:r>
              <w:rPr>
                <w:color w:val="auto"/>
                <w:sz w:val="21"/>
                <w:szCs w:val="21"/>
              </w:rPr>
              <w:drawing>
                <wp:inline distT="0" distB="0" distL="114300" distR="114300">
                  <wp:extent cx="4038600" cy="295275"/>
                  <wp:effectExtent l="0" t="0" r="0" b="9525"/>
                  <wp:docPr id="1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pic:cNvPicPr>
                            <a:picLocks noChangeAspect="1"/>
                          </pic:cNvPicPr>
                        </pic:nvPicPr>
                        <pic:blipFill>
                          <a:blip r:embed="rId46"/>
                          <a:stretch>
                            <a:fillRect/>
                          </a:stretch>
                        </pic:blipFill>
                        <pic:spPr>
                          <a:xfrm>
                            <a:off x="0" y="0"/>
                            <a:ext cx="4038600" cy="295275"/>
                          </a:xfrm>
                          <a:prstGeom prst="rect">
                            <a:avLst/>
                          </a:prstGeom>
                          <a:noFill/>
                          <a:ln>
                            <a:noFill/>
                          </a:ln>
                        </pic:spPr>
                      </pic:pic>
                    </a:graphicData>
                  </a:graphic>
                </wp:inline>
              </w:drawing>
            </w:r>
          </w:p>
          <w:p w14:paraId="72DC927D">
            <w:pPr>
              <w:adjustRightInd w:val="0"/>
              <w:snapToGrid w:val="0"/>
              <w:spacing w:line="360" w:lineRule="auto"/>
              <w:ind w:firstLine="420" w:firstLineChars="200"/>
              <w:rPr>
                <w:color w:val="auto"/>
                <w:kern w:val="0"/>
              </w:rPr>
            </w:pPr>
            <w:r>
              <w:rPr>
                <w:color w:val="auto"/>
                <w:kern w:val="0"/>
              </w:rPr>
              <w:t>然后按室外声源预测方法计算预测点处的A声级。</w:t>
            </w:r>
          </w:p>
          <w:p w14:paraId="33E46326">
            <w:pPr>
              <w:adjustRightInd w:val="0"/>
              <w:snapToGrid w:val="0"/>
              <w:spacing w:line="360" w:lineRule="auto"/>
              <w:ind w:firstLine="420" w:firstLineChars="200"/>
              <w:rPr>
                <w:color w:val="auto"/>
                <w:kern w:val="0"/>
              </w:rPr>
            </w:pPr>
            <w:r>
              <w:rPr>
                <w:rFonts w:hint="eastAsia" w:cs="宋体"/>
                <w:color w:val="auto"/>
                <w:kern w:val="0"/>
              </w:rPr>
              <w:t>③</w:t>
            </w:r>
            <w:r>
              <w:rPr>
                <w:color w:val="auto"/>
                <w:kern w:val="0"/>
              </w:rPr>
              <w:t>噪声贡献值计算</w:t>
            </w:r>
          </w:p>
          <w:p w14:paraId="7F46D992">
            <w:pPr>
              <w:adjustRightInd w:val="0"/>
              <w:snapToGrid w:val="0"/>
              <w:spacing w:line="360" w:lineRule="auto"/>
              <w:ind w:firstLine="420" w:firstLineChars="200"/>
              <w:rPr>
                <w:color w:val="auto"/>
                <w:kern w:val="0"/>
              </w:rPr>
            </w:pPr>
            <w:r>
              <w:rPr>
                <w:color w:val="auto"/>
                <w:kern w:val="0"/>
              </w:rPr>
              <w:t>设第</w:t>
            </w:r>
            <w:r>
              <w:rPr>
                <w:i/>
                <w:color w:val="auto"/>
                <w:kern w:val="0"/>
              </w:rPr>
              <w:t>i</w:t>
            </w:r>
            <w:r>
              <w:rPr>
                <w:color w:val="auto"/>
                <w:kern w:val="0"/>
              </w:rPr>
              <w:t>个室外声源在预测点产生的A声级为</w:t>
            </w:r>
            <w:r>
              <w:rPr>
                <w:i/>
                <w:color w:val="auto"/>
                <w:kern w:val="0"/>
              </w:rPr>
              <w:t>L</w:t>
            </w:r>
            <w:r>
              <w:rPr>
                <w:i/>
                <w:color w:val="auto"/>
                <w:kern w:val="0"/>
                <w:vertAlign w:val="subscript"/>
              </w:rPr>
              <w:t>Ai</w:t>
            </w:r>
            <w:r>
              <w:rPr>
                <w:color w:val="auto"/>
                <w:kern w:val="0"/>
              </w:rPr>
              <w:t>，在</w:t>
            </w:r>
            <w:r>
              <w:rPr>
                <w:i/>
                <w:color w:val="auto"/>
                <w:kern w:val="0"/>
              </w:rPr>
              <w:t>T</w:t>
            </w:r>
            <w:r>
              <w:rPr>
                <w:color w:val="auto"/>
                <w:kern w:val="0"/>
              </w:rPr>
              <w:t>时间内该声源工作时间为</w:t>
            </w:r>
            <w:r>
              <w:rPr>
                <w:i/>
                <w:color w:val="auto"/>
                <w:kern w:val="0"/>
              </w:rPr>
              <w:t>t</w:t>
            </w:r>
            <w:r>
              <w:rPr>
                <w:i/>
                <w:color w:val="auto"/>
                <w:kern w:val="0"/>
                <w:vertAlign w:val="subscript"/>
              </w:rPr>
              <w:t>i</w:t>
            </w:r>
            <w:r>
              <w:rPr>
                <w:color w:val="auto"/>
                <w:kern w:val="0"/>
              </w:rPr>
              <w:t>；第</w:t>
            </w:r>
            <w:r>
              <w:rPr>
                <w:i/>
                <w:color w:val="auto"/>
                <w:kern w:val="0"/>
              </w:rPr>
              <w:t>j</w:t>
            </w:r>
            <w:r>
              <w:rPr>
                <w:color w:val="auto"/>
                <w:kern w:val="0"/>
              </w:rPr>
              <w:t>个等效室外声源在预测点产生的A声级为L</w:t>
            </w:r>
            <w:r>
              <w:rPr>
                <w:i/>
                <w:color w:val="auto"/>
                <w:kern w:val="0"/>
                <w:vertAlign w:val="subscript"/>
              </w:rPr>
              <w:t>Aj</w:t>
            </w:r>
            <w:r>
              <w:rPr>
                <w:color w:val="auto"/>
                <w:kern w:val="0"/>
              </w:rPr>
              <w:t>，在</w:t>
            </w:r>
            <w:r>
              <w:rPr>
                <w:i/>
                <w:color w:val="auto"/>
                <w:kern w:val="0"/>
              </w:rPr>
              <w:t>T</w:t>
            </w:r>
            <w:r>
              <w:rPr>
                <w:color w:val="auto"/>
                <w:kern w:val="0"/>
              </w:rPr>
              <w:t>时间内该声源工作时间为</w:t>
            </w:r>
            <w:r>
              <w:rPr>
                <w:i/>
                <w:color w:val="auto"/>
                <w:kern w:val="0"/>
              </w:rPr>
              <w:t>t</w:t>
            </w:r>
            <w:r>
              <w:rPr>
                <w:i/>
                <w:color w:val="auto"/>
                <w:kern w:val="0"/>
                <w:vertAlign w:val="subscript"/>
              </w:rPr>
              <w:t>j</w:t>
            </w:r>
            <w:r>
              <w:rPr>
                <w:color w:val="auto"/>
                <w:kern w:val="0"/>
              </w:rPr>
              <w:t>，则拟建工程声源对预测点产生的贡献值为：</w:t>
            </w:r>
          </w:p>
          <w:p w14:paraId="64359288">
            <w:pPr>
              <w:autoSpaceDE w:val="0"/>
              <w:autoSpaceDN w:val="0"/>
              <w:adjustRightInd w:val="0"/>
              <w:snapToGrid w:val="0"/>
              <w:spacing w:line="360" w:lineRule="auto"/>
              <w:jc w:val="center"/>
              <w:rPr>
                <w:color w:val="auto"/>
                <w:kern w:val="0"/>
              </w:rPr>
            </w:pPr>
            <w:r>
              <w:rPr>
                <w:color w:val="auto"/>
                <w:kern w:val="0"/>
              </w:rPr>
              <w:object>
                <v:shape id="_x0000_i1039" o:spt="75" type="#_x0000_t75" style="height:39.75pt;width:206.25pt;" o:ole="t" filled="f" o:preferrelative="t" stroked="f" coordsize="21600,21600">
                  <v:path/>
                  <v:fill on="f" focussize="0,0"/>
                  <v:stroke on="f" joinstyle="miter"/>
                  <v:imagedata r:id="rId48" o:title=""/>
                  <o:lock v:ext="edit" aspectratio="t"/>
                  <w10:wrap type="none"/>
                  <w10:anchorlock/>
                </v:shape>
                <o:OLEObject Type="Embed" ProgID="Equation.DSMT4" ShapeID="_x0000_i1039" DrawAspect="Content" ObjectID="_1468075739" r:id="rId47">
                  <o:LockedField>false</o:LockedField>
                </o:OLEObject>
              </w:object>
            </w:r>
          </w:p>
          <w:p w14:paraId="374EE4B2">
            <w:pPr>
              <w:adjustRightInd w:val="0"/>
              <w:snapToGrid w:val="0"/>
              <w:spacing w:line="360" w:lineRule="auto"/>
              <w:ind w:firstLine="420" w:firstLineChars="200"/>
              <w:rPr>
                <w:color w:val="auto"/>
                <w:kern w:val="0"/>
              </w:rPr>
            </w:pPr>
            <w:r>
              <w:rPr>
                <w:rFonts w:hint="eastAsia" w:cs="宋体"/>
                <w:color w:val="auto"/>
                <w:kern w:val="0"/>
              </w:rPr>
              <w:t>④</w:t>
            </w:r>
            <w:r>
              <w:rPr>
                <w:color w:val="auto"/>
                <w:kern w:val="0"/>
              </w:rPr>
              <w:t>预测值计算</w:t>
            </w:r>
          </w:p>
          <w:p w14:paraId="054602A4">
            <w:pPr>
              <w:adjustRightInd w:val="0"/>
              <w:snapToGrid w:val="0"/>
              <w:spacing w:line="360" w:lineRule="auto"/>
              <w:ind w:firstLine="420" w:firstLineChars="200"/>
              <w:rPr>
                <w:color w:val="auto"/>
                <w:kern w:val="0"/>
              </w:rPr>
            </w:pPr>
            <w:r>
              <w:rPr>
                <w:color w:val="auto"/>
                <w:kern w:val="0"/>
              </w:rPr>
              <w:t>预测点的预测等效声级为：</w:t>
            </w:r>
          </w:p>
          <w:p w14:paraId="70CCA739">
            <w:pPr>
              <w:autoSpaceDE w:val="0"/>
              <w:autoSpaceDN w:val="0"/>
              <w:adjustRightInd w:val="0"/>
              <w:snapToGrid w:val="0"/>
              <w:spacing w:line="360" w:lineRule="auto"/>
              <w:jc w:val="center"/>
              <w:rPr>
                <w:color w:val="auto"/>
                <w:kern w:val="0"/>
              </w:rPr>
            </w:pPr>
            <w:r>
              <w:rPr>
                <w:color w:val="auto"/>
                <w:kern w:val="0"/>
              </w:rPr>
              <w:object>
                <v:shape id="_x0000_i1040" o:spt="75" type="#_x0000_t75" style="height:24pt;width:138.75pt;" o:ole="t" filled="f" o:preferrelative="t" stroked="f" coordsize="21600,21600">
                  <v:path/>
                  <v:fill on="f" focussize="0,0"/>
                  <v:stroke on="f" joinstyle="miter"/>
                  <v:imagedata r:id="rId50" o:title=""/>
                  <o:lock v:ext="edit" aspectratio="t"/>
                  <w10:wrap type="none"/>
                  <w10:anchorlock/>
                </v:shape>
                <o:OLEObject Type="Embed" ProgID="Equation.DSMT4" ShapeID="_x0000_i1040" DrawAspect="Content" ObjectID="_1468075740" r:id="rId49">
                  <o:LockedField>false</o:LockedField>
                </o:OLEObject>
              </w:object>
            </w:r>
          </w:p>
          <w:p w14:paraId="4E7BBD1F">
            <w:pPr>
              <w:adjustRightInd w:val="0"/>
              <w:snapToGrid w:val="0"/>
              <w:spacing w:line="360" w:lineRule="auto"/>
              <w:ind w:firstLine="420" w:firstLineChars="200"/>
              <w:rPr>
                <w:color w:val="auto"/>
                <w:kern w:val="0"/>
              </w:rPr>
            </w:pPr>
            <w:r>
              <w:rPr>
                <w:color w:val="auto"/>
                <w:kern w:val="0"/>
              </w:rPr>
              <w:t>上式中各符号的意义和单位见HJ2.4-2021。</w:t>
            </w:r>
          </w:p>
          <w:p w14:paraId="29ECE628">
            <w:pPr>
              <w:adjustRightInd w:val="0"/>
              <w:snapToGrid w:val="0"/>
              <w:spacing w:line="360" w:lineRule="auto"/>
              <w:ind w:firstLine="420" w:firstLineChars="200"/>
              <w:jc w:val="left"/>
              <w:rPr>
                <w:color w:val="auto"/>
                <w:kern w:val="0"/>
              </w:rPr>
            </w:pPr>
            <w:r>
              <w:rPr>
                <w:color w:val="auto"/>
                <w:kern w:val="0"/>
              </w:rPr>
              <w:t>在采取相应降噪措施后，本项目噪声源强分析如下表所示。</w:t>
            </w:r>
          </w:p>
          <w:p w14:paraId="7D726B3F">
            <w:pPr>
              <w:pStyle w:val="674"/>
              <w:snapToGrid w:val="0"/>
              <w:jc w:val="center"/>
              <w:rPr>
                <w:rFonts w:ascii="Times New Roman" w:hAnsi="Times New Roman" w:cs="Times New Roman"/>
                <w:bCs/>
                <w:color w:val="auto"/>
                <w:sz w:val="21"/>
                <w:szCs w:val="21"/>
              </w:rPr>
            </w:pPr>
            <w:r>
              <w:rPr>
                <w:rFonts w:ascii="Times New Roman" w:hAnsi="Times New Roman" w:cs="Times New Roman"/>
                <w:b/>
                <w:bCs/>
                <w:color w:val="auto"/>
                <w:sz w:val="21"/>
                <w:szCs w:val="21"/>
              </w:rPr>
              <w:t>表4-</w:t>
            </w:r>
            <w:r>
              <w:rPr>
                <w:rFonts w:hint="eastAsia" w:ascii="Times New Roman" w:hAnsi="Times New Roman" w:cs="Times New Roman"/>
                <w:b/>
                <w:bCs/>
                <w:color w:val="auto"/>
                <w:sz w:val="21"/>
                <w:szCs w:val="21"/>
                <w:lang w:val="en-US" w:eastAsia="zh-CN"/>
              </w:rPr>
              <w:t>19</w:t>
            </w:r>
            <w:r>
              <w:rPr>
                <w:rFonts w:ascii="Times New Roman" w:hAnsi="Times New Roman" w:cs="Times New Roman"/>
                <w:b/>
                <w:bCs/>
                <w:color w:val="auto"/>
                <w:sz w:val="21"/>
                <w:szCs w:val="21"/>
              </w:rPr>
              <w:t xml:space="preserve">   本项目噪声</w:t>
            </w:r>
            <w:r>
              <w:rPr>
                <w:rFonts w:hint="eastAsia" w:ascii="Times New Roman" w:hAnsi="Times New Roman" w:cs="Times New Roman"/>
                <w:b/>
                <w:bCs/>
                <w:color w:val="auto"/>
                <w:sz w:val="21"/>
                <w:szCs w:val="21"/>
              </w:rPr>
              <w:t>预测结果</w:t>
            </w:r>
            <w:r>
              <w:rPr>
                <w:rFonts w:ascii="Times New Roman" w:hAnsi="Times New Roman" w:cs="Times New Roman"/>
                <w:b/>
                <w:bCs/>
                <w:color w:val="auto"/>
                <w:sz w:val="21"/>
                <w:szCs w:val="21"/>
              </w:rPr>
              <w:t>表</w:t>
            </w:r>
          </w:p>
          <w:tbl>
            <w:tblPr>
              <w:tblStyle w:val="59"/>
              <w:tblW w:w="4997"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2201"/>
              <w:gridCol w:w="1304"/>
              <w:gridCol w:w="1247"/>
              <w:gridCol w:w="1182"/>
              <w:gridCol w:w="955"/>
              <w:gridCol w:w="955"/>
              <w:gridCol w:w="1012"/>
            </w:tblGrid>
            <w:tr w14:paraId="71F3C08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1243" w:type="pct"/>
                  <w:vMerge w:val="restart"/>
                  <w:vAlign w:val="center"/>
                </w:tcPr>
                <w:p w14:paraId="72B9738D">
                  <w:pPr>
                    <w:pStyle w:val="7"/>
                    <w:snapToGrid w:val="0"/>
                    <w:spacing w:before="0" w:after="0"/>
                    <w:jc w:val="center"/>
                    <w:rPr>
                      <w:rFonts w:ascii="Times New Roman" w:hAnsi="Times New Roman"/>
                      <w:b/>
                      <w:bCs/>
                      <w:color w:val="auto"/>
                      <w:kern w:val="0"/>
                      <w:sz w:val="21"/>
                      <w:szCs w:val="21"/>
                    </w:rPr>
                  </w:pPr>
                  <w:r>
                    <w:rPr>
                      <w:rFonts w:hint="eastAsia" w:ascii="Times New Roman" w:hAnsi="Times New Roman"/>
                      <w:b/>
                      <w:bCs/>
                      <w:color w:val="auto"/>
                      <w:kern w:val="0"/>
                      <w:sz w:val="21"/>
                      <w:szCs w:val="21"/>
                    </w:rPr>
                    <w:t>噪声源</w:t>
                  </w:r>
                </w:p>
              </w:tc>
              <w:tc>
                <w:tcPr>
                  <w:tcW w:w="736" w:type="pct"/>
                  <w:vMerge w:val="restart"/>
                  <w:vAlign w:val="center"/>
                </w:tcPr>
                <w:p w14:paraId="72598152">
                  <w:pPr>
                    <w:pStyle w:val="7"/>
                    <w:snapToGrid w:val="0"/>
                    <w:spacing w:before="0" w:after="0"/>
                    <w:jc w:val="center"/>
                    <w:rPr>
                      <w:rFonts w:ascii="Times New Roman" w:hAnsi="Times New Roman"/>
                      <w:b/>
                      <w:bCs/>
                      <w:color w:val="auto"/>
                      <w:kern w:val="0"/>
                      <w:sz w:val="21"/>
                      <w:szCs w:val="21"/>
                    </w:rPr>
                  </w:pPr>
                  <w:r>
                    <w:rPr>
                      <w:rFonts w:hint="eastAsia" w:ascii="Times New Roman" w:hAnsi="Times New Roman"/>
                      <w:b/>
                      <w:bCs/>
                      <w:color w:val="auto"/>
                      <w:kern w:val="0"/>
                      <w:sz w:val="21"/>
                      <w:szCs w:val="21"/>
                    </w:rPr>
                    <w:t>等效源强dB（A）</w:t>
                  </w:r>
                </w:p>
              </w:tc>
              <w:tc>
                <w:tcPr>
                  <w:tcW w:w="702" w:type="pct"/>
                  <w:vMerge w:val="restart"/>
                  <w:vAlign w:val="center"/>
                </w:tcPr>
                <w:p w14:paraId="4D324E59">
                  <w:pPr>
                    <w:pStyle w:val="7"/>
                    <w:snapToGrid w:val="0"/>
                    <w:spacing w:before="0" w:after="0"/>
                    <w:jc w:val="center"/>
                    <w:rPr>
                      <w:rStyle w:val="71"/>
                      <w:rFonts w:ascii="Times New Roman" w:hAnsi="Times New Roman"/>
                      <w:b/>
                      <w:bCs/>
                      <w:color w:val="auto"/>
                      <w:kern w:val="0"/>
                      <w:szCs w:val="21"/>
                    </w:rPr>
                  </w:pPr>
                  <w:r>
                    <w:rPr>
                      <w:rStyle w:val="71"/>
                      <w:rFonts w:hint="eastAsia" w:ascii="Times New Roman" w:hAnsi="Times New Roman"/>
                      <w:b/>
                      <w:bCs/>
                      <w:color w:val="auto"/>
                      <w:kern w:val="0"/>
                      <w:szCs w:val="21"/>
                    </w:rPr>
                    <w:t>降噪量</w:t>
                  </w:r>
                  <w:r>
                    <w:rPr>
                      <w:rFonts w:hint="eastAsia" w:ascii="Times New Roman" w:hAnsi="Times New Roman"/>
                      <w:b/>
                      <w:bCs/>
                      <w:color w:val="auto"/>
                      <w:kern w:val="0"/>
                      <w:sz w:val="21"/>
                      <w:szCs w:val="21"/>
                    </w:rPr>
                    <w:t>dB（A）</w:t>
                  </w:r>
                </w:p>
              </w:tc>
              <w:tc>
                <w:tcPr>
                  <w:tcW w:w="2316" w:type="pct"/>
                  <w:gridSpan w:val="4"/>
                  <w:vAlign w:val="center"/>
                </w:tcPr>
                <w:p w14:paraId="1A28882E">
                  <w:pPr>
                    <w:pStyle w:val="601"/>
                    <w:adjustRightInd w:val="0"/>
                    <w:snapToGrid w:val="0"/>
                    <w:spacing w:line="240" w:lineRule="auto"/>
                    <w:ind w:firstLine="0" w:firstLineChars="0"/>
                    <w:jc w:val="center"/>
                    <w:rPr>
                      <w:rFonts w:ascii="Times New Roman" w:hAnsi="Times New Roman"/>
                      <w:b/>
                      <w:bCs/>
                      <w:color w:val="auto"/>
                      <w:kern w:val="0"/>
                      <w:sz w:val="21"/>
                    </w:rPr>
                  </w:pPr>
                  <w:r>
                    <w:rPr>
                      <w:rFonts w:ascii="Times New Roman" w:hAnsi="Times New Roman"/>
                      <w:b/>
                      <w:bCs/>
                      <w:color w:val="auto"/>
                      <w:kern w:val="0"/>
                      <w:sz w:val="21"/>
                    </w:rPr>
                    <w:t>降噪+距离衰减后预测点贡献值dB（A）</w:t>
                  </w:r>
                </w:p>
              </w:tc>
            </w:tr>
            <w:tr w14:paraId="48E1E67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1243" w:type="pct"/>
                  <w:vMerge w:val="continue"/>
                  <w:vAlign w:val="center"/>
                </w:tcPr>
                <w:p w14:paraId="460C1D1F">
                  <w:pPr>
                    <w:pStyle w:val="7"/>
                    <w:snapToGrid w:val="0"/>
                    <w:spacing w:before="0" w:after="0"/>
                    <w:jc w:val="center"/>
                    <w:rPr>
                      <w:b/>
                      <w:bCs/>
                      <w:color w:val="auto"/>
                      <w:kern w:val="0"/>
                      <w:sz w:val="21"/>
                      <w:szCs w:val="21"/>
                    </w:rPr>
                  </w:pPr>
                </w:p>
              </w:tc>
              <w:tc>
                <w:tcPr>
                  <w:tcW w:w="736" w:type="pct"/>
                  <w:vMerge w:val="continue"/>
                  <w:vAlign w:val="center"/>
                </w:tcPr>
                <w:p w14:paraId="3770FA8C">
                  <w:pPr>
                    <w:pStyle w:val="7"/>
                    <w:snapToGrid w:val="0"/>
                    <w:spacing w:before="0" w:after="0"/>
                    <w:jc w:val="center"/>
                    <w:rPr>
                      <w:b/>
                      <w:bCs/>
                      <w:color w:val="auto"/>
                      <w:kern w:val="0"/>
                      <w:sz w:val="21"/>
                      <w:szCs w:val="21"/>
                    </w:rPr>
                  </w:pPr>
                </w:p>
              </w:tc>
              <w:tc>
                <w:tcPr>
                  <w:tcW w:w="702" w:type="pct"/>
                  <w:vMerge w:val="continue"/>
                  <w:vAlign w:val="center"/>
                </w:tcPr>
                <w:p w14:paraId="0B634E73">
                  <w:pPr>
                    <w:pStyle w:val="7"/>
                    <w:snapToGrid w:val="0"/>
                    <w:spacing w:before="0" w:after="0"/>
                    <w:jc w:val="center"/>
                    <w:rPr>
                      <w:b/>
                      <w:bCs/>
                      <w:color w:val="auto"/>
                      <w:kern w:val="0"/>
                      <w:sz w:val="21"/>
                      <w:szCs w:val="21"/>
                    </w:rPr>
                  </w:pPr>
                </w:p>
              </w:tc>
              <w:tc>
                <w:tcPr>
                  <w:tcW w:w="667" w:type="pct"/>
                  <w:vAlign w:val="center"/>
                </w:tcPr>
                <w:p w14:paraId="1C5B80FE">
                  <w:pPr>
                    <w:pStyle w:val="601"/>
                    <w:adjustRightInd w:val="0"/>
                    <w:snapToGrid w:val="0"/>
                    <w:spacing w:line="240" w:lineRule="auto"/>
                    <w:ind w:firstLine="0" w:firstLineChars="0"/>
                    <w:jc w:val="center"/>
                    <w:rPr>
                      <w:rFonts w:ascii="Times New Roman" w:hAnsi="Times New Roman"/>
                      <w:b/>
                      <w:bCs/>
                      <w:color w:val="auto"/>
                      <w:kern w:val="0"/>
                      <w:sz w:val="21"/>
                    </w:rPr>
                  </w:pPr>
                  <w:r>
                    <w:rPr>
                      <w:rFonts w:ascii="Times New Roman" w:hAnsi="Times New Roman"/>
                      <w:b/>
                      <w:bCs/>
                      <w:color w:val="auto"/>
                      <w:kern w:val="0"/>
                      <w:sz w:val="21"/>
                    </w:rPr>
                    <w:t>东厂界</w:t>
                  </w:r>
                </w:p>
              </w:tc>
              <w:tc>
                <w:tcPr>
                  <w:tcW w:w="539" w:type="pct"/>
                  <w:vAlign w:val="center"/>
                </w:tcPr>
                <w:p w14:paraId="2F66B058">
                  <w:pPr>
                    <w:pStyle w:val="601"/>
                    <w:adjustRightInd w:val="0"/>
                    <w:snapToGrid w:val="0"/>
                    <w:spacing w:line="240" w:lineRule="auto"/>
                    <w:ind w:firstLine="0" w:firstLineChars="0"/>
                    <w:jc w:val="center"/>
                    <w:rPr>
                      <w:rFonts w:ascii="Times New Roman" w:hAnsi="Times New Roman"/>
                      <w:b/>
                      <w:bCs/>
                      <w:color w:val="auto"/>
                      <w:kern w:val="0"/>
                      <w:sz w:val="21"/>
                    </w:rPr>
                  </w:pPr>
                  <w:r>
                    <w:rPr>
                      <w:rFonts w:ascii="Times New Roman" w:hAnsi="Times New Roman"/>
                      <w:b/>
                      <w:bCs/>
                      <w:color w:val="auto"/>
                      <w:kern w:val="0"/>
                      <w:sz w:val="21"/>
                    </w:rPr>
                    <w:t>南厂界</w:t>
                  </w:r>
                </w:p>
              </w:tc>
              <w:tc>
                <w:tcPr>
                  <w:tcW w:w="539" w:type="pct"/>
                  <w:vAlign w:val="center"/>
                </w:tcPr>
                <w:p w14:paraId="48335FE1">
                  <w:pPr>
                    <w:pStyle w:val="601"/>
                    <w:adjustRightInd w:val="0"/>
                    <w:snapToGrid w:val="0"/>
                    <w:spacing w:line="240" w:lineRule="auto"/>
                    <w:ind w:firstLine="0" w:firstLineChars="0"/>
                    <w:jc w:val="center"/>
                    <w:rPr>
                      <w:rFonts w:ascii="Times New Roman" w:hAnsi="Times New Roman"/>
                      <w:b/>
                      <w:bCs/>
                      <w:color w:val="auto"/>
                      <w:kern w:val="0"/>
                      <w:sz w:val="21"/>
                    </w:rPr>
                  </w:pPr>
                  <w:r>
                    <w:rPr>
                      <w:rFonts w:ascii="Times New Roman" w:hAnsi="Times New Roman"/>
                      <w:b/>
                      <w:bCs/>
                      <w:color w:val="auto"/>
                      <w:kern w:val="0"/>
                      <w:sz w:val="21"/>
                    </w:rPr>
                    <w:t>西厂界</w:t>
                  </w:r>
                </w:p>
              </w:tc>
              <w:tc>
                <w:tcPr>
                  <w:tcW w:w="570" w:type="pct"/>
                  <w:vAlign w:val="center"/>
                </w:tcPr>
                <w:p w14:paraId="7C76CE1F">
                  <w:pPr>
                    <w:pStyle w:val="601"/>
                    <w:adjustRightInd w:val="0"/>
                    <w:snapToGrid w:val="0"/>
                    <w:spacing w:line="240" w:lineRule="auto"/>
                    <w:ind w:firstLine="0" w:firstLineChars="0"/>
                    <w:jc w:val="center"/>
                    <w:rPr>
                      <w:rFonts w:ascii="Times New Roman" w:hAnsi="Times New Roman"/>
                      <w:b/>
                      <w:bCs/>
                      <w:color w:val="auto"/>
                      <w:kern w:val="0"/>
                      <w:sz w:val="21"/>
                    </w:rPr>
                  </w:pPr>
                  <w:r>
                    <w:rPr>
                      <w:rFonts w:ascii="Times New Roman" w:hAnsi="Times New Roman"/>
                      <w:b/>
                      <w:bCs/>
                      <w:color w:val="auto"/>
                      <w:kern w:val="0"/>
                      <w:sz w:val="21"/>
                    </w:rPr>
                    <w:t>北厂界</w:t>
                  </w:r>
                </w:p>
              </w:tc>
            </w:tr>
            <w:tr w14:paraId="07471C4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203" w:type="dxa"/>
                  <w:vAlign w:val="center"/>
                </w:tcPr>
                <w:p w14:paraId="1E475C14">
                  <w:pPr>
                    <w:pStyle w:val="7"/>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裁板机</w:t>
                  </w:r>
                </w:p>
              </w:tc>
              <w:tc>
                <w:tcPr>
                  <w:tcW w:w="1305" w:type="dxa"/>
                  <w:vAlign w:val="bottom"/>
                </w:tcPr>
                <w:p w14:paraId="799407DD">
                  <w:pPr>
                    <w:pStyle w:val="7"/>
                    <w:snapToGrid w:val="0"/>
                    <w:spacing w:before="0" w:after="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80.0</w:t>
                  </w:r>
                </w:p>
              </w:tc>
              <w:tc>
                <w:tcPr>
                  <w:tcW w:w="702" w:type="pct"/>
                  <w:vAlign w:val="center"/>
                </w:tcPr>
                <w:p w14:paraId="1002DE22">
                  <w:pPr>
                    <w:pStyle w:val="7"/>
                    <w:snapToGrid w:val="0"/>
                    <w:spacing w:before="0" w:after="0"/>
                    <w:jc w:val="center"/>
                    <w:rPr>
                      <w:rFonts w:hint="eastAsia"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25</w:t>
                  </w:r>
                </w:p>
              </w:tc>
              <w:tc>
                <w:tcPr>
                  <w:tcW w:w="1183" w:type="dxa"/>
                  <w:vAlign w:val="center"/>
                </w:tcPr>
                <w:p w14:paraId="4B66316E">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11.9</w:t>
                  </w:r>
                </w:p>
              </w:tc>
              <w:tc>
                <w:tcPr>
                  <w:tcW w:w="955" w:type="dxa"/>
                  <w:vAlign w:val="center"/>
                </w:tcPr>
                <w:p w14:paraId="2853840C">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29.9</w:t>
                  </w:r>
                </w:p>
              </w:tc>
              <w:tc>
                <w:tcPr>
                  <w:tcW w:w="955" w:type="dxa"/>
                  <w:vAlign w:val="center"/>
                </w:tcPr>
                <w:p w14:paraId="7BBFA200">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20.1</w:t>
                  </w:r>
                </w:p>
              </w:tc>
              <w:tc>
                <w:tcPr>
                  <w:tcW w:w="1010" w:type="dxa"/>
                  <w:vAlign w:val="bottom"/>
                </w:tcPr>
                <w:p w14:paraId="482D00B9">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23.4</w:t>
                  </w:r>
                </w:p>
              </w:tc>
            </w:tr>
            <w:tr w14:paraId="0C76AA3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203" w:type="dxa"/>
                  <w:vAlign w:val="center"/>
                </w:tcPr>
                <w:p w14:paraId="19A7FDA1">
                  <w:pPr>
                    <w:pStyle w:val="7"/>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推台锯</w:t>
                  </w:r>
                </w:p>
              </w:tc>
              <w:tc>
                <w:tcPr>
                  <w:tcW w:w="1305" w:type="dxa"/>
                  <w:vAlign w:val="bottom"/>
                </w:tcPr>
                <w:p w14:paraId="1BB36768">
                  <w:pPr>
                    <w:pStyle w:val="7"/>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87.0</w:t>
                  </w:r>
                </w:p>
              </w:tc>
              <w:tc>
                <w:tcPr>
                  <w:tcW w:w="702" w:type="pct"/>
                  <w:vAlign w:val="center"/>
                </w:tcPr>
                <w:p w14:paraId="3DCE49CA">
                  <w:pPr>
                    <w:pStyle w:val="7"/>
                    <w:snapToGrid w:val="0"/>
                    <w:spacing w:before="0" w:after="0"/>
                    <w:jc w:val="center"/>
                    <w:rPr>
                      <w:rFonts w:hint="eastAsia"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25</w:t>
                  </w:r>
                </w:p>
              </w:tc>
              <w:tc>
                <w:tcPr>
                  <w:tcW w:w="1183" w:type="dxa"/>
                  <w:vAlign w:val="center"/>
                </w:tcPr>
                <w:p w14:paraId="2DE3DAE0">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20.5</w:t>
                  </w:r>
                </w:p>
              </w:tc>
              <w:tc>
                <w:tcPr>
                  <w:tcW w:w="955" w:type="dxa"/>
                  <w:vAlign w:val="center"/>
                </w:tcPr>
                <w:p w14:paraId="32B67E29">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36.95</w:t>
                  </w:r>
                </w:p>
              </w:tc>
              <w:tc>
                <w:tcPr>
                  <w:tcW w:w="955" w:type="dxa"/>
                  <w:vAlign w:val="center"/>
                </w:tcPr>
                <w:p w14:paraId="2A94653E">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26.1</w:t>
                  </w:r>
                </w:p>
              </w:tc>
              <w:tc>
                <w:tcPr>
                  <w:tcW w:w="1010" w:type="dxa"/>
                  <w:vAlign w:val="bottom"/>
                </w:tcPr>
                <w:p w14:paraId="469B85E3">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30.9</w:t>
                  </w:r>
                </w:p>
              </w:tc>
            </w:tr>
            <w:tr w14:paraId="21890D3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203" w:type="dxa"/>
                  <w:vAlign w:val="center"/>
                </w:tcPr>
                <w:p w14:paraId="58F848D1">
                  <w:pPr>
                    <w:pStyle w:val="7"/>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开料机</w:t>
                  </w:r>
                </w:p>
              </w:tc>
              <w:tc>
                <w:tcPr>
                  <w:tcW w:w="1305" w:type="dxa"/>
                  <w:vAlign w:val="bottom"/>
                </w:tcPr>
                <w:p w14:paraId="2E67777D">
                  <w:pPr>
                    <w:pStyle w:val="7"/>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78.0</w:t>
                  </w:r>
                </w:p>
              </w:tc>
              <w:tc>
                <w:tcPr>
                  <w:tcW w:w="702" w:type="pct"/>
                  <w:vAlign w:val="center"/>
                </w:tcPr>
                <w:p w14:paraId="0DFE67EA">
                  <w:pPr>
                    <w:snapToGrid w:val="0"/>
                    <w:spacing w:before="0" w:after="0"/>
                    <w:jc w:val="center"/>
                    <w:rPr>
                      <w:rFonts w:hint="eastAsia" w:ascii="Times New Roman" w:hAnsi="Times New Roman"/>
                      <w:bCs/>
                      <w:color w:val="auto"/>
                      <w:kern w:val="0"/>
                      <w:sz w:val="21"/>
                      <w:szCs w:val="21"/>
                    </w:rPr>
                  </w:pPr>
                  <w:r>
                    <w:rPr>
                      <w:rFonts w:hint="eastAsia" w:ascii="Times New Roman" w:hAnsi="Times New Roman"/>
                      <w:bCs/>
                      <w:color w:val="auto"/>
                      <w:kern w:val="0"/>
                      <w:sz w:val="21"/>
                      <w:szCs w:val="21"/>
                    </w:rPr>
                    <w:t>25</w:t>
                  </w:r>
                </w:p>
              </w:tc>
              <w:tc>
                <w:tcPr>
                  <w:tcW w:w="1183" w:type="dxa"/>
                  <w:vAlign w:val="center"/>
                </w:tcPr>
                <w:p w14:paraId="66CA899C">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20.7</w:t>
                  </w:r>
                </w:p>
              </w:tc>
              <w:tc>
                <w:tcPr>
                  <w:tcW w:w="955" w:type="dxa"/>
                  <w:vAlign w:val="center"/>
                </w:tcPr>
                <w:p w14:paraId="15222691">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37.02</w:t>
                  </w:r>
                </w:p>
              </w:tc>
              <w:tc>
                <w:tcPr>
                  <w:tcW w:w="955" w:type="dxa"/>
                  <w:vAlign w:val="center"/>
                </w:tcPr>
                <w:p w14:paraId="64B824A6">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29.59</w:t>
                  </w:r>
                </w:p>
              </w:tc>
              <w:tc>
                <w:tcPr>
                  <w:tcW w:w="1010" w:type="dxa"/>
                  <w:vAlign w:val="bottom"/>
                </w:tcPr>
                <w:p w14:paraId="22E43C59">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41.0</w:t>
                  </w:r>
                </w:p>
              </w:tc>
            </w:tr>
            <w:tr w14:paraId="009DBD6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203" w:type="dxa"/>
                  <w:vAlign w:val="center"/>
                </w:tcPr>
                <w:p w14:paraId="7261A4D6">
                  <w:pPr>
                    <w:pStyle w:val="7"/>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带锯</w:t>
                  </w:r>
                </w:p>
              </w:tc>
              <w:tc>
                <w:tcPr>
                  <w:tcW w:w="1305" w:type="dxa"/>
                  <w:vAlign w:val="bottom"/>
                </w:tcPr>
                <w:p w14:paraId="141B04A6">
                  <w:pPr>
                    <w:pStyle w:val="7"/>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75.0</w:t>
                  </w:r>
                </w:p>
              </w:tc>
              <w:tc>
                <w:tcPr>
                  <w:tcW w:w="702" w:type="pct"/>
                  <w:vAlign w:val="center"/>
                </w:tcPr>
                <w:p w14:paraId="1BFE4D3C">
                  <w:pPr>
                    <w:snapToGrid w:val="0"/>
                    <w:spacing w:before="0" w:after="0"/>
                    <w:jc w:val="center"/>
                    <w:rPr>
                      <w:rFonts w:hint="eastAsia" w:ascii="Times New Roman" w:hAnsi="Times New Roman"/>
                      <w:bCs/>
                      <w:color w:val="auto"/>
                      <w:kern w:val="0"/>
                      <w:sz w:val="21"/>
                      <w:szCs w:val="21"/>
                    </w:rPr>
                  </w:pPr>
                  <w:r>
                    <w:rPr>
                      <w:rFonts w:hint="eastAsia" w:ascii="Times New Roman" w:hAnsi="Times New Roman"/>
                      <w:bCs/>
                      <w:color w:val="auto"/>
                      <w:kern w:val="0"/>
                      <w:sz w:val="21"/>
                      <w:szCs w:val="21"/>
                    </w:rPr>
                    <w:t>25</w:t>
                  </w:r>
                </w:p>
              </w:tc>
              <w:tc>
                <w:tcPr>
                  <w:tcW w:w="1183" w:type="dxa"/>
                  <w:vAlign w:val="center"/>
                </w:tcPr>
                <w:p w14:paraId="1A11407B">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20.88</w:t>
                  </w:r>
                </w:p>
              </w:tc>
              <w:tc>
                <w:tcPr>
                  <w:tcW w:w="955" w:type="dxa"/>
                  <w:vAlign w:val="center"/>
                </w:tcPr>
                <w:p w14:paraId="1CF22AFC">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37.05</w:t>
                  </w:r>
                </w:p>
              </w:tc>
              <w:tc>
                <w:tcPr>
                  <w:tcW w:w="955" w:type="dxa"/>
                  <w:vAlign w:val="center"/>
                </w:tcPr>
                <w:p w14:paraId="1C715965">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29.91</w:t>
                  </w:r>
                </w:p>
              </w:tc>
              <w:tc>
                <w:tcPr>
                  <w:tcW w:w="1010" w:type="dxa"/>
                  <w:vAlign w:val="bottom"/>
                </w:tcPr>
                <w:p w14:paraId="010764CF">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38.0</w:t>
                  </w:r>
                </w:p>
              </w:tc>
            </w:tr>
            <w:tr w14:paraId="3600406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203" w:type="dxa"/>
                  <w:vAlign w:val="center"/>
                </w:tcPr>
                <w:p w14:paraId="204C905D">
                  <w:pPr>
                    <w:pStyle w:val="7"/>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刨床、刨机</w:t>
                  </w:r>
                </w:p>
              </w:tc>
              <w:tc>
                <w:tcPr>
                  <w:tcW w:w="1305" w:type="dxa"/>
                  <w:vAlign w:val="bottom"/>
                </w:tcPr>
                <w:p w14:paraId="1F5BF133">
                  <w:pPr>
                    <w:pStyle w:val="7"/>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84.8</w:t>
                  </w:r>
                </w:p>
              </w:tc>
              <w:tc>
                <w:tcPr>
                  <w:tcW w:w="702" w:type="pct"/>
                  <w:vAlign w:val="center"/>
                </w:tcPr>
                <w:p w14:paraId="79D6A167">
                  <w:pPr>
                    <w:snapToGrid w:val="0"/>
                    <w:spacing w:before="0" w:after="0"/>
                    <w:jc w:val="center"/>
                    <w:rPr>
                      <w:rFonts w:hint="eastAsia" w:ascii="Times New Roman" w:hAnsi="Times New Roman"/>
                      <w:bCs/>
                      <w:color w:val="auto"/>
                      <w:kern w:val="0"/>
                      <w:sz w:val="21"/>
                      <w:szCs w:val="21"/>
                    </w:rPr>
                  </w:pPr>
                  <w:r>
                    <w:rPr>
                      <w:rFonts w:hint="eastAsia" w:ascii="Times New Roman" w:hAnsi="Times New Roman"/>
                      <w:bCs/>
                      <w:color w:val="auto"/>
                      <w:kern w:val="0"/>
                      <w:sz w:val="21"/>
                      <w:szCs w:val="21"/>
                    </w:rPr>
                    <w:t>25</w:t>
                  </w:r>
                </w:p>
              </w:tc>
              <w:tc>
                <w:tcPr>
                  <w:tcW w:w="1183" w:type="dxa"/>
                  <w:vAlign w:val="center"/>
                </w:tcPr>
                <w:p w14:paraId="5648A189">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22</w:t>
                  </w:r>
                </w:p>
              </w:tc>
              <w:tc>
                <w:tcPr>
                  <w:tcW w:w="955" w:type="dxa"/>
                  <w:vAlign w:val="center"/>
                </w:tcPr>
                <w:p w14:paraId="0C21AB46">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37.4</w:t>
                  </w:r>
                </w:p>
              </w:tc>
              <w:tc>
                <w:tcPr>
                  <w:tcW w:w="955" w:type="dxa"/>
                  <w:vAlign w:val="center"/>
                </w:tcPr>
                <w:p w14:paraId="17C212F4">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32.4</w:t>
                  </w:r>
                </w:p>
              </w:tc>
              <w:tc>
                <w:tcPr>
                  <w:tcW w:w="1010" w:type="dxa"/>
                  <w:vAlign w:val="bottom"/>
                </w:tcPr>
                <w:p w14:paraId="5D714DAB">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 xml:space="preserve">47.8 </w:t>
                  </w:r>
                </w:p>
              </w:tc>
            </w:tr>
            <w:tr w14:paraId="6DDAE1D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203" w:type="dxa"/>
                  <w:vAlign w:val="center"/>
                </w:tcPr>
                <w:p w14:paraId="3E7893A4">
                  <w:pPr>
                    <w:pStyle w:val="7"/>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铣床、镂铣床</w:t>
                  </w:r>
                </w:p>
              </w:tc>
              <w:tc>
                <w:tcPr>
                  <w:tcW w:w="1305" w:type="dxa"/>
                  <w:vAlign w:val="bottom"/>
                </w:tcPr>
                <w:p w14:paraId="37D8B31C">
                  <w:pPr>
                    <w:pStyle w:val="7"/>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79.8</w:t>
                  </w:r>
                </w:p>
              </w:tc>
              <w:tc>
                <w:tcPr>
                  <w:tcW w:w="702" w:type="pct"/>
                  <w:vAlign w:val="center"/>
                </w:tcPr>
                <w:p w14:paraId="6AC2B932">
                  <w:pPr>
                    <w:snapToGrid w:val="0"/>
                    <w:spacing w:before="0" w:after="0"/>
                    <w:jc w:val="center"/>
                    <w:rPr>
                      <w:rFonts w:hint="eastAsia" w:ascii="Times New Roman" w:hAnsi="Times New Roman"/>
                      <w:bCs/>
                      <w:color w:val="auto"/>
                      <w:kern w:val="0"/>
                      <w:sz w:val="21"/>
                      <w:szCs w:val="21"/>
                    </w:rPr>
                  </w:pPr>
                  <w:r>
                    <w:rPr>
                      <w:rFonts w:hint="eastAsia" w:ascii="Times New Roman" w:hAnsi="Times New Roman"/>
                      <w:bCs/>
                      <w:color w:val="auto"/>
                      <w:kern w:val="0"/>
                      <w:sz w:val="21"/>
                      <w:szCs w:val="21"/>
                    </w:rPr>
                    <w:t>25</w:t>
                  </w:r>
                </w:p>
              </w:tc>
              <w:tc>
                <w:tcPr>
                  <w:tcW w:w="1183" w:type="dxa"/>
                  <w:vAlign w:val="center"/>
                </w:tcPr>
                <w:p w14:paraId="7DD6B991">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22.3</w:t>
                  </w:r>
                </w:p>
              </w:tc>
              <w:tc>
                <w:tcPr>
                  <w:tcW w:w="955" w:type="dxa"/>
                  <w:vAlign w:val="center"/>
                </w:tcPr>
                <w:p w14:paraId="11E43917">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37.4</w:t>
                  </w:r>
                </w:p>
              </w:tc>
              <w:tc>
                <w:tcPr>
                  <w:tcW w:w="955" w:type="dxa"/>
                  <w:vAlign w:val="center"/>
                </w:tcPr>
                <w:p w14:paraId="1DD2571F">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32.4</w:t>
                  </w:r>
                </w:p>
              </w:tc>
              <w:tc>
                <w:tcPr>
                  <w:tcW w:w="1010" w:type="dxa"/>
                  <w:vAlign w:val="bottom"/>
                </w:tcPr>
                <w:p w14:paraId="232681AC">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39.2</w:t>
                  </w:r>
                </w:p>
              </w:tc>
            </w:tr>
            <w:tr w14:paraId="038F003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203" w:type="dxa"/>
                  <w:vAlign w:val="center"/>
                </w:tcPr>
                <w:p w14:paraId="38A6A241">
                  <w:pPr>
                    <w:pStyle w:val="7"/>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砂光机</w:t>
                  </w:r>
                </w:p>
              </w:tc>
              <w:tc>
                <w:tcPr>
                  <w:tcW w:w="1305" w:type="dxa"/>
                  <w:vAlign w:val="bottom"/>
                </w:tcPr>
                <w:p w14:paraId="5D874FD6">
                  <w:pPr>
                    <w:pStyle w:val="7"/>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83.0</w:t>
                  </w:r>
                </w:p>
              </w:tc>
              <w:tc>
                <w:tcPr>
                  <w:tcW w:w="702" w:type="pct"/>
                  <w:vAlign w:val="center"/>
                </w:tcPr>
                <w:p w14:paraId="3ED693BF">
                  <w:pPr>
                    <w:snapToGrid w:val="0"/>
                    <w:spacing w:before="0" w:after="0"/>
                    <w:jc w:val="center"/>
                    <w:rPr>
                      <w:rFonts w:hint="eastAsia" w:ascii="Times New Roman" w:hAnsi="Times New Roman"/>
                      <w:bCs/>
                      <w:color w:val="auto"/>
                      <w:kern w:val="0"/>
                      <w:sz w:val="21"/>
                      <w:szCs w:val="21"/>
                    </w:rPr>
                  </w:pPr>
                  <w:r>
                    <w:rPr>
                      <w:rFonts w:hint="eastAsia" w:ascii="Times New Roman" w:hAnsi="Times New Roman"/>
                      <w:bCs/>
                      <w:color w:val="auto"/>
                      <w:kern w:val="0"/>
                      <w:sz w:val="21"/>
                      <w:szCs w:val="21"/>
                    </w:rPr>
                    <w:t>25</w:t>
                  </w:r>
                </w:p>
              </w:tc>
              <w:tc>
                <w:tcPr>
                  <w:tcW w:w="1183" w:type="dxa"/>
                  <w:vAlign w:val="center"/>
                </w:tcPr>
                <w:p w14:paraId="36EA3DF2">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22.8</w:t>
                  </w:r>
                </w:p>
              </w:tc>
              <w:tc>
                <w:tcPr>
                  <w:tcW w:w="955" w:type="dxa"/>
                  <w:vAlign w:val="center"/>
                </w:tcPr>
                <w:p w14:paraId="7344FDE3">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37.8</w:t>
                  </w:r>
                </w:p>
              </w:tc>
              <w:tc>
                <w:tcPr>
                  <w:tcW w:w="955" w:type="dxa"/>
                  <w:vAlign w:val="center"/>
                </w:tcPr>
                <w:p w14:paraId="07428947">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35.2</w:t>
                  </w:r>
                </w:p>
              </w:tc>
              <w:tc>
                <w:tcPr>
                  <w:tcW w:w="1010" w:type="dxa"/>
                  <w:vAlign w:val="bottom"/>
                </w:tcPr>
                <w:p w14:paraId="3B29FEE9">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32.0</w:t>
                  </w:r>
                </w:p>
              </w:tc>
            </w:tr>
            <w:tr w14:paraId="286628C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203" w:type="dxa"/>
                  <w:vAlign w:val="center"/>
                </w:tcPr>
                <w:p w14:paraId="142C5881">
                  <w:pPr>
                    <w:pStyle w:val="7"/>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冷压机</w:t>
                  </w:r>
                </w:p>
              </w:tc>
              <w:tc>
                <w:tcPr>
                  <w:tcW w:w="1305" w:type="dxa"/>
                  <w:vAlign w:val="bottom"/>
                </w:tcPr>
                <w:p w14:paraId="43794ABF">
                  <w:pPr>
                    <w:pStyle w:val="7"/>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82.0</w:t>
                  </w:r>
                </w:p>
              </w:tc>
              <w:tc>
                <w:tcPr>
                  <w:tcW w:w="702" w:type="pct"/>
                  <w:vAlign w:val="center"/>
                </w:tcPr>
                <w:p w14:paraId="71822C1E">
                  <w:pPr>
                    <w:snapToGrid w:val="0"/>
                    <w:spacing w:before="0" w:after="0"/>
                    <w:jc w:val="center"/>
                    <w:rPr>
                      <w:rFonts w:hint="eastAsia" w:ascii="Times New Roman" w:hAnsi="Times New Roman"/>
                      <w:bCs/>
                      <w:color w:val="auto"/>
                      <w:kern w:val="0"/>
                      <w:sz w:val="21"/>
                      <w:szCs w:val="21"/>
                    </w:rPr>
                  </w:pPr>
                  <w:r>
                    <w:rPr>
                      <w:rFonts w:hint="eastAsia" w:ascii="Times New Roman" w:hAnsi="Times New Roman"/>
                      <w:bCs/>
                      <w:color w:val="auto"/>
                      <w:kern w:val="0"/>
                      <w:sz w:val="21"/>
                      <w:szCs w:val="21"/>
                    </w:rPr>
                    <w:t>25</w:t>
                  </w:r>
                </w:p>
              </w:tc>
              <w:tc>
                <w:tcPr>
                  <w:tcW w:w="1183" w:type="dxa"/>
                  <w:vAlign w:val="center"/>
                </w:tcPr>
                <w:p w14:paraId="473DEB9E">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23.2</w:t>
                  </w:r>
                </w:p>
              </w:tc>
              <w:tc>
                <w:tcPr>
                  <w:tcW w:w="955" w:type="dxa"/>
                  <w:vAlign w:val="center"/>
                </w:tcPr>
                <w:p w14:paraId="52F4004F">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38.07</w:t>
                  </w:r>
                </w:p>
              </w:tc>
              <w:tc>
                <w:tcPr>
                  <w:tcW w:w="955" w:type="dxa"/>
                  <w:vAlign w:val="center"/>
                </w:tcPr>
                <w:p w14:paraId="46FE6A14">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36.2</w:t>
                  </w:r>
                </w:p>
              </w:tc>
              <w:tc>
                <w:tcPr>
                  <w:tcW w:w="1010" w:type="dxa"/>
                  <w:vAlign w:val="bottom"/>
                </w:tcPr>
                <w:p w14:paraId="46045810">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31.0</w:t>
                  </w:r>
                </w:p>
              </w:tc>
            </w:tr>
            <w:tr w14:paraId="6578BF3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203" w:type="dxa"/>
                  <w:vAlign w:val="center"/>
                </w:tcPr>
                <w:p w14:paraId="06904A30">
                  <w:pPr>
                    <w:pStyle w:val="7"/>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涂胶机</w:t>
                  </w:r>
                </w:p>
              </w:tc>
              <w:tc>
                <w:tcPr>
                  <w:tcW w:w="1305" w:type="dxa"/>
                  <w:vAlign w:val="bottom"/>
                </w:tcPr>
                <w:p w14:paraId="3386AF71">
                  <w:pPr>
                    <w:pStyle w:val="7"/>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80.0</w:t>
                  </w:r>
                </w:p>
              </w:tc>
              <w:tc>
                <w:tcPr>
                  <w:tcW w:w="702" w:type="pct"/>
                  <w:vAlign w:val="center"/>
                </w:tcPr>
                <w:p w14:paraId="07C793C4">
                  <w:pPr>
                    <w:snapToGrid w:val="0"/>
                    <w:spacing w:before="0" w:after="0"/>
                    <w:jc w:val="center"/>
                    <w:rPr>
                      <w:rFonts w:hint="eastAsia" w:ascii="Times New Roman" w:hAnsi="Times New Roman"/>
                      <w:bCs/>
                      <w:color w:val="auto"/>
                      <w:kern w:val="0"/>
                      <w:sz w:val="21"/>
                      <w:szCs w:val="21"/>
                    </w:rPr>
                  </w:pPr>
                  <w:r>
                    <w:rPr>
                      <w:rFonts w:hint="eastAsia" w:ascii="Times New Roman" w:hAnsi="Times New Roman"/>
                      <w:bCs/>
                      <w:color w:val="auto"/>
                      <w:kern w:val="0"/>
                      <w:sz w:val="21"/>
                      <w:szCs w:val="21"/>
                    </w:rPr>
                    <w:t>25</w:t>
                  </w:r>
                </w:p>
              </w:tc>
              <w:tc>
                <w:tcPr>
                  <w:tcW w:w="1183" w:type="dxa"/>
                  <w:vAlign w:val="center"/>
                </w:tcPr>
                <w:p w14:paraId="4EC10BEA">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23.4</w:t>
                  </w:r>
                </w:p>
              </w:tc>
              <w:tc>
                <w:tcPr>
                  <w:tcW w:w="955" w:type="dxa"/>
                  <w:vAlign w:val="center"/>
                </w:tcPr>
                <w:p w14:paraId="33BACEED">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38.2</w:t>
                  </w:r>
                </w:p>
              </w:tc>
              <w:tc>
                <w:tcPr>
                  <w:tcW w:w="955" w:type="dxa"/>
                  <w:vAlign w:val="center"/>
                </w:tcPr>
                <w:p w14:paraId="4FFAF1DD">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36.4</w:t>
                  </w:r>
                </w:p>
              </w:tc>
              <w:tc>
                <w:tcPr>
                  <w:tcW w:w="1010" w:type="dxa"/>
                  <w:vAlign w:val="bottom"/>
                </w:tcPr>
                <w:p w14:paraId="414F2529">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29.0</w:t>
                  </w:r>
                </w:p>
              </w:tc>
            </w:tr>
            <w:tr w14:paraId="2A847C7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203" w:type="dxa"/>
                  <w:vAlign w:val="center"/>
                </w:tcPr>
                <w:p w14:paraId="25A0FFA4">
                  <w:pPr>
                    <w:pStyle w:val="7"/>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加工中心</w:t>
                  </w:r>
                </w:p>
              </w:tc>
              <w:tc>
                <w:tcPr>
                  <w:tcW w:w="1305" w:type="dxa"/>
                  <w:vAlign w:val="bottom"/>
                </w:tcPr>
                <w:p w14:paraId="761F9704">
                  <w:pPr>
                    <w:pStyle w:val="7"/>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83.0</w:t>
                  </w:r>
                </w:p>
              </w:tc>
              <w:tc>
                <w:tcPr>
                  <w:tcW w:w="702" w:type="pct"/>
                  <w:vAlign w:val="center"/>
                </w:tcPr>
                <w:p w14:paraId="438BED0E">
                  <w:pPr>
                    <w:snapToGrid w:val="0"/>
                    <w:spacing w:before="0" w:after="0"/>
                    <w:jc w:val="center"/>
                    <w:rPr>
                      <w:rFonts w:hint="eastAsia" w:ascii="Times New Roman" w:hAnsi="Times New Roman"/>
                      <w:bCs/>
                      <w:color w:val="auto"/>
                      <w:kern w:val="0"/>
                      <w:sz w:val="21"/>
                      <w:szCs w:val="21"/>
                    </w:rPr>
                  </w:pPr>
                  <w:r>
                    <w:rPr>
                      <w:rFonts w:hint="eastAsia" w:ascii="Times New Roman" w:hAnsi="Times New Roman"/>
                      <w:bCs/>
                      <w:color w:val="auto"/>
                      <w:kern w:val="0"/>
                      <w:sz w:val="21"/>
                      <w:szCs w:val="21"/>
                    </w:rPr>
                    <w:t>25</w:t>
                  </w:r>
                </w:p>
              </w:tc>
              <w:tc>
                <w:tcPr>
                  <w:tcW w:w="1183" w:type="dxa"/>
                  <w:vAlign w:val="center"/>
                </w:tcPr>
                <w:p w14:paraId="736E9644">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24.7</w:t>
                  </w:r>
                </w:p>
              </w:tc>
              <w:tc>
                <w:tcPr>
                  <w:tcW w:w="955" w:type="dxa"/>
                  <w:vAlign w:val="center"/>
                </w:tcPr>
                <w:p w14:paraId="15E4B28A">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43.86</w:t>
                  </w:r>
                </w:p>
              </w:tc>
              <w:tc>
                <w:tcPr>
                  <w:tcW w:w="955" w:type="dxa"/>
                  <w:vAlign w:val="center"/>
                </w:tcPr>
                <w:p w14:paraId="0560C0B9">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36.4</w:t>
                  </w:r>
                </w:p>
              </w:tc>
              <w:tc>
                <w:tcPr>
                  <w:tcW w:w="1010" w:type="dxa"/>
                  <w:vAlign w:val="bottom"/>
                </w:tcPr>
                <w:p w14:paraId="5C944FF8">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24.1</w:t>
                  </w:r>
                </w:p>
              </w:tc>
            </w:tr>
            <w:tr w14:paraId="1516C0E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203" w:type="dxa"/>
                  <w:vAlign w:val="center"/>
                </w:tcPr>
                <w:p w14:paraId="50FAB037">
                  <w:pPr>
                    <w:pStyle w:val="7"/>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车床</w:t>
                  </w:r>
                </w:p>
              </w:tc>
              <w:tc>
                <w:tcPr>
                  <w:tcW w:w="1305" w:type="dxa"/>
                  <w:vAlign w:val="bottom"/>
                </w:tcPr>
                <w:p w14:paraId="3E0CAEC9">
                  <w:pPr>
                    <w:pStyle w:val="7"/>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80.0</w:t>
                  </w:r>
                </w:p>
              </w:tc>
              <w:tc>
                <w:tcPr>
                  <w:tcW w:w="702" w:type="pct"/>
                  <w:vAlign w:val="center"/>
                </w:tcPr>
                <w:p w14:paraId="298F6554">
                  <w:pPr>
                    <w:snapToGrid w:val="0"/>
                    <w:spacing w:before="0" w:after="0"/>
                    <w:jc w:val="center"/>
                    <w:rPr>
                      <w:rFonts w:hint="eastAsia" w:ascii="Times New Roman" w:hAnsi="Times New Roman"/>
                      <w:bCs/>
                      <w:color w:val="auto"/>
                      <w:kern w:val="0"/>
                      <w:sz w:val="21"/>
                      <w:szCs w:val="21"/>
                    </w:rPr>
                  </w:pPr>
                  <w:r>
                    <w:rPr>
                      <w:rFonts w:hint="eastAsia" w:ascii="Times New Roman" w:hAnsi="Times New Roman"/>
                      <w:bCs/>
                      <w:color w:val="auto"/>
                      <w:kern w:val="0"/>
                      <w:sz w:val="21"/>
                      <w:szCs w:val="21"/>
                    </w:rPr>
                    <w:t>25</w:t>
                  </w:r>
                </w:p>
              </w:tc>
              <w:tc>
                <w:tcPr>
                  <w:tcW w:w="1183" w:type="dxa"/>
                  <w:vAlign w:val="center"/>
                </w:tcPr>
                <w:p w14:paraId="60D559E8">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25.17</w:t>
                  </w:r>
                </w:p>
              </w:tc>
              <w:tc>
                <w:tcPr>
                  <w:tcW w:w="955" w:type="dxa"/>
                  <w:vAlign w:val="center"/>
                </w:tcPr>
                <w:p w14:paraId="76A041E0">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44.4</w:t>
                  </w:r>
                </w:p>
              </w:tc>
              <w:tc>
                <w:tcPr>
                  <w:tcW w:w="955" w:type="dxa"/>
                  <w:vAlign w:val="center"/>
                </w:tcPr>
                <w:p w14:paraId="5C42655C">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36.5</w:t>
                  </w:r>
                </w:p>
              </w:tc>
              <w:tc>
                <w:tcPr>
                  <w:tcW w:w="1010" w:type="dxa"/>
                  <w:vAlign w:val="bottom"/>
                </w:tcPr>
                <w:p w14:paraId="4DCC8FE3">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21.8</w:t>
                  </w:r>
                </w:p>
              </w:tc>
            </w:tr>
            <w:tr w14:paraId="25AF6F4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203" w:type="dxa"/>
                  <w:vAlign w:val="center"/>
                </w:tcPr>
                <w:p w14:paraId="02733126">
                  <w:pPr>
                    <w:pStyle w:val="7"/>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封边机</w:t>
                  </w:r>
                </w:p>
              </w:tc>
              <w:tc>
                <w:tcPr>
                  <w:tcW w:w="1305" w:type="dxa"/>
                  <w:vAlign w:val="bottom"/>
                </w:tcPr>
                <w:p w14:paraId="75E23442">
                  <w:pPr>
                    <w:pStyle w:val="7"/>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78.0</w:t>
                  </w:r>
                </w:p>
              </w:tc>
              <w:tc>
                <w:tcPr>
                  <w:tcW w:w="702" w:type="pct"/>
                  <w:vAlign w:val="center"/>
                </w:tcPr>
                <w:p w14:paraId="216B2CDB">
                  <w:pPr>
                    <w:snapToGrid w:val="0"/>
                    <w:spacing w:before="0" w:after="0"/>
                    <w:jc w:val="center"/>
                    <w:rPr>
                      <w:rFonts w:hint="eastAsia" w:ascii="Times New Roman" w:hAnsi="Times New Roman"/>
                      <w:bCs/>
                      <w:color w:val="auto"/>
                      <w:kern w:val="0"/>
                      <w:sz w:val="21"/>
                      <w:szCs w:val="21"/>
                    </w:rPr>
                  </w:pPr>
                  <w:r>
                    <w:rPr>
                      <w:rFonts w:hint="eastAsia" w:ascii="Times New Roman" w:hAnsi="Times New Roman"/>
                      <w:bCs/>
                      <w:color w:val="auto"/>
                      <w:kern w:val="0"/>
                      <w:sz w:val="21"/>
                      <w:szCs w:val="21"/>
                    </w:rPr>
                    <w:t>25</w:t>
                  </w:r>
                </w:p>
              </w:tc>
              <w:tc>
                <w:tcPr>
                  <w:tcW w:w="1183" w:type="dxa"/>
                  <w:vAlign w:val="center"/>
                </w:tcPr>
                <w:p w14:paraId="49DF56E5">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25.3</w:t>
                  </w:r>
                </w:p>
              </w:tc>
              <w:tc>
                <w:tcPr>
                  <w:tcW w:w="955" w:type="dxa"/>
                  <w:vAlign w:val="center"/>
                </w:tcPr>
                <w:p w14:paraId="4216DFF5">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45.2</w:t>
                  </w:r>
                </w:p>
              </w:tc>
              <w:tc>
                <w:tcPr>
                  <w:tcW w:w="955" w:type="dxa"/>
                  <w:vAlign w:val="center"/>
                </w:tcPr>
                <w:p w14:paraId="1D50C955">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36.5</w:t>
                  </w:r>
                </w:p>
              </w:tc>
              <w:tc>
                <w:tcPr>
                  <w:tcW w:w="1010" w:type="dxa"/>
                  <w:vAlign w:val="bottom"/>
                </w:tcPr>
                <w:p w14:paraId="20CD3ED4">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19.1</w:t>
                  </w:r>
                </w:p>
              </w:tc>
            </w:tr>
            <w:tr w14:paraId="1000667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203" w:type="dxa"/>
                  <w:vAlign w:val="center"/>
                </w:tcPr>
                <w:p w14:paraId="79F1D3EE">
                  <w:pPr>
                    <w:pStyle w:val="7"/>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钻床</w:t>
                  </w:r>
                </w:p>
              </w:tc>
              <w:tc>
                <w:tcPr>
                  <w:tcW w:w="1305" w:type="dxa"/>
                  <w:vAlign w:val="bottom"/>
                </w:tcPr>
                <w:p w14:paraId="0A6C79D2">
                  <w:pPr>
                    <w:pStyle w:val="7"/>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86.0</w:t>
                  </w:r>
                </w:p>
              </w:tc>
              <w:tc>
                <w:tcPr>
                  <w:tcW w:w="702" w:type="pct"/>
                  <w:vAlign w:val="center"/>
                </w:tcPr>
                <w:p w14:paraId="3EEDDA4D">
                  <w:pPr>
                    <w:snapToGrid w:val="0"/>
                    <w:spacing w:before="0" w:after="0"/>
                    <w:jc w:val="center"/>
                    <w:rPr>
                      <w:rFonts w:hint="eastAsia" w:ascii="Times New Roman" w:hAnsi="Times New Roman"/>
                      <w:bCs/>
                      <w:color w:val="auto"/>
                      <w:kern w:val="0"/>
                      <w:sz w:val="21"/>
                      <w:szCs w:val="21"/>
                    </w:rPr>
                  </w:pPr>
                  <w:r>
                    <w:rPr>
                      <w:rFonts w:hint="eastAsia" w:ascii="Times New Roman" w:hAnsi="Times New Roman"/>
                      <w:bCs/>
                      <w:color w:val="auto"/>
                      <w:kern w:val="0"/>
                      <w:sz w:val="21"/>
                      <w:szCs w:val="21"/>
                    </w:rPr>
                    <w:t>25</w:t>
                  </w:r>
                </w:p>
              </w:tc>
              <w:tc>
                <w:tcPr>
                  <w:tcW w:w="1183" w:type="dxa"/>
                  <w:vAlign w:val="center"/>
                </w:tcPr>
                <w:p w14:paraId="4C3C9879">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26.7</w:t>
                  </w:r>
                </w:p>
              </w:tc>
              <w:tc>
                <w:tcPr>
                  <w:tcW w:w="955" w:type="dxa"/>
                  <w:vAlign w:val="center"/>
                </w:tcPr>
                <w:p w14:paraId="231C0435">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50.5</w:t>
                  </w:r>
                </w:p>
              </w:tc>
              <w:tc>
                <w:tcPr>
                  <w:tcW w:w="955" w:type="dxa"/>
                  <w:vAlign w:val="center"/>
                </w:tcPr>
                <w:p w14:paraId="0DD84E59">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36.6</w:t>
                  </w:r>
                </w:p>
              </w:tc>
              <w:tc>
                <w:tcPr>
                  <w:tcW w:w="1010" w:type="dxa"/>
                  <w:vAlign w:val="bottom"/>
                </w:tcPr>
                <w:p w14:paraId="3AC03DA2">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26.7</w:t>
                  </w:r>
                </w:p>
              </w:tc>
            </w:tr>
            <w:tr w14:paraId="61DA9FB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203" w:type="dxa"/>
                  <w:vAlign w:val="center"/>
                </w:tcPr>
                <w:p w14:paraId="3EC0F912">
                  <w:pPr>
                    <w:pStyle w:val="7"/>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实木飞榫机</w:t>
                  </w:r>
                </w:p>
              </w:tc>
              <w:tc>
                <w:tcPr>
                  <w:tcW w:w="1305" w:type="dxa"/>
                  <w:vAlign w:val="bottom"/>
                </w:tcPr>
                <w:p w14:paraId="113C05D1">
                  <w:pPr>
                    <w:pStyle w:val="7"/>
                    <w:snapToGrid w:val="0"/>
                    <w:spacing w:before="0" w:after="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80.0</w:t>
                  </w:r>
                </w:p>
              </w:tc>
              <w:tc>
                <w:tcPr>
                  <w:tcW w:w="702" w:type="pct"/>
                  <w:vAlign w:val="center"/>
                </w:tcPr>
                <w:p w14:paraId="12E19D4E">
                  <w:pPr>
                    <w:snapToGrid w:val="0"/>
                    <w:spacing w:before="0" w:after="0"/>
                    <w:jc w:val="center"/>
                    <w:rPr>
                      <w:rFonts w:hint="eastAsia" w:ascii="Times New Roman" w:hAnsi="Times New Roman"/>
                      <w:bCs/>
                      <w:color w:val="auto"/>
                      <w:kern w:val="0"/>
                      <w:sz w:val="21"/>
                      <w:szCs w:val="21"/>
                    </w:rPr>
                  </w:pPr>
                  <w:r>
                    <w:rPr>
                      <w:rFonts w:hint="eastAsia" w:ascii="Times New Roman" w:hAnsi="Times New Roman"/>
                      <w:bCs/>
                      <w:color w:val="auto"/>
                      <w:kern w:val="0"/>
                      <w:sz w:val="21"/>
                      <w:szCs w:val="21"/>
                    </w:rPr>
                    <w:t>25</w:t>
                  </w:r>
                </w:p>
              </w:tc>
              <w:tc>
                <w:tcPr>
                  <w:tcW w:w="1183" w:type="dxa"/>
                  <w:vAlign w:val="center"/>
                </w:tcPr>
                <w:p w14:paraId="39370C95">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26.99</w:t>
                  </w:r>
                </w:p>
              </w:tc>
              <w:tc>
                <w:tcPr>
                  <w:tcW w:w="955" w:type="dxa"/>
                  <w:vAlign w:val="center"/>
                </w:tcPr>
                <w:p w14:paraId="5DEF6701">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50.5</w:t>
                  </w:r>
                </w:p>
              </w:tc>
              <w:tc>
                <w:tcPr>
                  <w:tcW w:w="955" w:type="dxa"/>
                  <w:vAlign w:val="center"/>
                </w:tcPr>
                <w:p w14:paraId="7AE8B176">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36.7</w:t>
                  </w:r>
                </w:p>
              </w:tc>
              <w:tc>
                <w:tcPr>
                  <w:tcW w:w="1010" w:type="dxa"/>
                  <w:vAlign w:val="bottom"/>
                </w:tcPr>
                <w:p w14:paraId="36391F3B">
                  <w:pPr>
                    <w:pStyle w:val="7"/>
                    <w:snapToGrid w:val="0"/>
                    <w:spacing w:before="0" w:after="0"/>
                    <w:jc w:val="center"/>
                    <w:rPr>
                      <w:rFonts w:hint="default" w:ascii="Times New Roman" w:hAnsi="Times New Roman"/>
                      <w:bCs/>
                      <w:color w:val="auto"/>
                      <w:kern w:val="0"/>
                      <w:sz w:val="21"/>
                      <w:szCs w:val="21"/>
                      <w:lang w:val="en-US" w:eastAsia="zh-CN"/>
                    </w:rPr>
                  </w:pPr>
                  <w:r>
                    <w:rPr>
                      <w:rFonts w:hint="eastAsia" w:ascii="Times New Roman" w:hAnsi="Times New Roman"/>
                      <w:bCs/>
                      <w:color w:val="auto"/>
                      <w:kern w:val="0"/>
                      <w:sz w:val="21"/>
                      <w:szCs w:val="21"/>
                      <w:lang w:val="en-US" w:eastAsia="zh-CN"/>
                    </w:rPr>
                    <w:t>23.9</w:t>
                  </w:r>
                </w:p>
              </w:tc>
            </w:tr>
            <w:tr w14:paraId="4327EAE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683" w:type="pct"/>
                  <w:gridSpan w:val="3"/>
                  <w:vAlign w:val="center"/>
                </w:tcPr>
                <w:p w14:paraId="2D28C2C2">
                  <w:pPr>
                    <w:pStyle w:val="601"/>
                    <w:adjustRightInd w:val="0"/>
                    <w:snapToGrid w:val="0"/>
                    <w:spacing w:line="240" w:lineRule="auto"/>
                    <w:ind w:firstLine="0" w:firstLineChars="0"/>
                    <w:jc w:val="center"/>
                    <w:rPr>
                      <w:rFonts w:ascii="Times New Roman" w:hAnsi="Times New Roman"/>
                      <w:bCs/>
                      <w:color w:val="auto"/>
                      <w:kern w:val="0"/>
                      <w:sz w:val="21"/>
                    </w:rPr>
                  </w:pPr>
                  <w:r>
                    <w:rPr>
                      <w:rFonts w:ascii="Times New Roman" w:hAnsi="Times New Roman"/>
                      <w:color w:val="auto"/>
                      <w:kern w:val="0"/>
                      <w:sz w:val="21"/>
                    </w:rPr>
                    <w:t>贡献值</w:t>
                  </w:r>
                </w:p>
              </w:tc>
              <w:tc>
                <w:tcPr>
                  <w:tcW w:w="1183" w:type="dxa"/>
                  <w:vAlign w:val="center"/>
                </w:tcPr>
                <w:p w14:paraId="34648F92">
                  <w:pPr>
                    <w:pStyle w:val="7"/>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eastAsia="宋体"/>
                      <w:bCs/>
                      <w:color w:val="auto"/>
                      <w:kern w:val="0"/>
                      <w:sz w:val="21"/>
                      <w:szCs w:val="21"/>
                      <w:lang w:val="en-US" w:eastAsia="zh-CN"/>
                    </w:rPr>
                    <w:t>35.12</w:t>
                  </w:r>
                </w:p>
              </w:tc>
              <w:tc>
                <w:tcPr>
                  <w:tcW w:w="955" w:type="dxa"/>
                  <w:vAlign w:val="center"/>
                </w:tcPr>
                <w:p w14:paraId="5D659D98">
                  <w:pPr>
                    <w:pStyle w:val="7"/>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eastAsia="宋体"/>
                      <w:bCs/>
                      <w:color w:val="auto"/>
                      <w:kern w:val="0"/>
                      <w:sz w:val="21"/>
                      <w:szCs w:val="21"/>
                      <w:lang w:val="en-US" w:eastAsia="zh-CN"/>
                    </w:rPr>
                    <w:t>55.51</w:t>
                  </w:r>
                </w:p>
              </w:tc>
              <w:tc>
                <w:tcPr>
                  <w:tcW w:w="955" w:type="dxa"/>
                  <w:vAlign w:val="center"/>
                </w:tcPr>
                <w:p w14:paraId="04115C38">
                  <w:pPr>
                    <w:pStyle w:val="7"/>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eastAsia="宋体"/>
                      <w:bCs/>
                      <w:color w:val="auto"/>
                      <w:kern w:val="0"/>
                      <w:sz w:val="21"/>
                      <w:szCs w:val="21"/>
                      <w:lang w:val="en-US" w:eastAsia="zh-CN"/>
                    </w:rPr>
                    <w:t>46.06</w:t>
                  </w:r>
                </w:p>
              </w:tc>
              <w:tc>
                <w:tcPr>
                  <w:tcW w:w="1010" w:type="dxa"/>
                  <w:vAlign w:val="center"/>
                </w:tcPr>
                <w:p w14:paraId="0C90A635">
                  <w:pPr>
                    <w:pStyle w:val="7"/>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4</w:t>
                  </w:r>
                  <w:r>
                    <w:rPr>
                      <w:rFonts w:hint="eastAsia" w:ascii="Times New Roman" w:hAnsi="Times New Roman" w:eastAsia="宋体"/>
                      <w:bCs/>
                      <w:color w:val="auto"/>
                      <w:kern w:val="0"/>
                      <w:sz w:val="21"/>
                      <w:szCs w:val="21"/>
                      <w:lang w:val="en-US" w:eastAsia="zh-CN"/>
                    </w:rPr>
                    <w:t>9.7</w:t>
                  </w:r>
                  <w:r>
                    <w:rPr>
                      <w:rFonts w:hint="eastAsia" w:ascii="Times New Roman" w:hAnsi="Times New Roman"/>
                      <w:bCs/>
                      <w:color w:val="auto"/>
                      <w:kern w:val="0"/>
                      <w:sz w:val="21"/>
                      <w:szCs w:val="21"/>
                      <w:lang w:val="en-US" w:eastAsia="zh-CN"/>
                    </w:rPr>
                    <w:t>1</w:t>
                  </w:r>
                </w:p>
              </w:tc>
            </w:tr>
            <w:tr w14:paraId="4B3D02F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683" w:type="pct"/>
                  <w:gridSpan w:val="3"/>
                  <w:vAlign w:val="center"/>
                </w:tcPr>
                <w:p w14:paraId="69DC69E4">
                  <w:pPr>
                    <w:pStyle w:val="601"/>
                    <w:adjustRightInd w:val="0"/>
                    <w:snapToGrid w:val="0"/>
                    <w:spacing w:line="240" w:lineRule="auto"/>
                    <w:ind w:firstLine="0" w:firstLineChars="0"/>
                    <w:jc w:val="center"/>
                    <w:rPr>
                      <w:rFonts w:ascii="Times New Roman" w:hAnsi="Times New Roman"/>
                      <w:bCs/>
                      <w:color w:val="auto"/>
                      <w:kern w:val="0"/>
                      <w:sz w:val="21"/>
                    </w:rPr>
                  </w:pPr>
                  <w:r>
                    <w:rPr>
                      <w:rFonts w:ascii="Times New Roman" w:hAnsi="Times New Roman"/>
                      <w:color w:val="auto"/>
                      <w:kern w:val="0"/>
                      <w:sz w:val="21"/>
                    </w:rPr>
                    <w:t>标准限值</w:t>
                  </w:r>
                  <w:r>
                    <w:rPr>
                      <w:rFonts w:hint="eastAsia" w:ascii="Times New Roman" w:hAnsi="Times New Roman"/>
                      <w:color w:val="auto"/>
                      <w:kern w:val="0"/>
                      <w:sz w:val="21"/>
                    </w:rPr>
                    <w:t>（昼）</w:t>
                  </w:r>
                </w:p>
              </w:tc>
              <w:tc>
                <w:tcPr>
                  <w:tcW w:w="667" w:type="pct"/>
                  <w:vAlign w:val="center"/>
                </w:tcPr>
                <w:p w14:paraId="3886DD95">
                  <w:pPr>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60</w:t>
                  </w:r>
                </w:p>
              </w:tc>
              <w:tc>
                <w:tcPr>
                  <w:tcW w:w="539" w:type="pct"/>
                  <w:vAlign w:val="center"/>
                </w:tcPr>
                <w:p w14:paraId="25D366E6">
                  <w:pPr>
                    <w:snapToGrid w:val="0"/>
                    <w:jc w:val="center"/>
                    <w:rPr>
                      <w:bCs/>
                      <w:color w:val="auto"/>
                      <w:kern w:val="0"/>
                    </w:rPr>
                  </w:pPr>
                  <w:r>
                    <w:rPr>
                      <w:rFonts w:hint="eastAsia" w:ascii="Times New Roman" w:hAnsi="Times New Roman"/>
                      <w:bCs/>
                      <w:color w:val="auto"/>
                      <w:kern w:val="0"/>
                      <w:sz w:val="21"/>
                      <w:szCs w:val="21"/>
                      <w:lang w:val="en-US" w:eastAsia="zh-CN"/>
                    </w:rPr>
                    <w:t>60</w:t>
                  </w:r>
                </w:p>
              </w:tc>
              <w:tc>
                <w:tcPr>
                  <w:tcW w:w="539" w:type="pct"/>
                  <w:vAlign w:val="center"/>
                </w:tcPr>
                <w:p w14:paraId="5A0DC92F">
                  <w:pPr>
                    <w:snapToGrid w:val="0"/>
                    <w:jc w:val="center"/>
                    <w:rPr>
                      <w:bCs/>
                      <w:color w:val="auto"/>
                      <w:kern w:val="0"/>
                    </w:rPr>
                  </w:pPr>
                  <w:r>
                    <w:rPr>
                      <w:rFonts w:hint="eastAsia" w:ascii="Times New Roman" w:hAnsi="Times New Roman"/>
                      <w:bCs/>
                      <w:color w:val="auto"/>
                      <w:kern w:val="0"/>
                      <w:sz w:val="21"/>
                      <w:szCs w:val="21"/>
                      <w:lang w:val="en-US" w:eastAsia="zh-CN"/>
                    </w:rPr>
                    <w:t>60</w:t>
                  </w:r>
                </w:p>
              </w:tc>
              <w:tc>
                <w:tcPr>
                  <w:tcW w:w="570" w:type="pct"/>
                  <w:vAlign w:val="center"/>
                </w:tcPr>
                <w:p w14:paraId="185D628F">
                  <w:pPr>
                    <w:snapToGrid w:val="0"/>
                    <w:jc w:val="center"/>
                    <w:rPr>
                      <w:bCs/>
                      <w:color w:val="auto"/>
                      <w:kern w:val="0"/>
                    </w:rPr>
                  </w:pPr>
                  <w:r>
                    <w:rPr>
                      <w:rFonts w:hint="eastAsia" w:ascii="Times New Roman" w:hAnsi="Times New Roman"/>
                      <w:bCs/>
                      <w:color w:val="auto"/>
                      <w:kern w:val="0"/>
                      <w:sz w:val="21"/>
                      <w:szCs w:val="21"/>
                      <w:lang w:val="en-US" w:eastAsia="zh-CN"/>
                    </w:rPr>
                    <w:t>60</w:t>
                  </w:r>
                </w:p>
              </w:tc>
            </w:tr>
            <w:tr w14:paraId="0AC76D4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683" w:type="pct"/>
                  <w:gridSpan w:val="3"/>
                  <w:vAlign w:val="center"/>
                </w:tcPr>
                <w:p w14:paraId="7F7F752A">
                  <w:pPr>
                    <w:pStyle w:val="601"/>
                    <w:adjustRightInd w:val="0"/>
                    <w:snapToGrid w:val="0"/>
                    <w:spacing w:line="240" w:lineRule="auto"/>
                    <w:ind w:firstLine="0" w:firstLineChars="0"/>
                    <w:jc w:val="center"/>
                    <w:rPr>
                      <w:rFonts w:ascii="Times New Roman" w:hAnsi="Times New Roman"/>
                      <w:bCs/>
                      <w:color w:val="auto"/>
                      <w:kern w:val="0"/>
                      <w:sz w:val="21"/>
                    </w:rPr>
                  </w:pPr>
                  <w:r>
                    <w:rPr>
                      <w:rFonts w:ascii="Times New Roman" w:hAnsi="Times New Roman"/>
                      <w:color w:val="auto"/>
                      <w:kern w:val="0"/>
                      <w:sz w:val="21"/>
                    </w:rPr>
                    <w:t>达标情况</w:t>
                  </w:r>
                </w:p>
              </w:tc>
              <w:tc>
                <w:tcPr>
                  <w:tcW w:w="667" w:type="pct"/>
                  <w:vAlign w:val="center"/>
                </w:tcPr>
                <w:p w14:paraId="131A433C">
                  <w:pPr>
                    <w:pStyle w:val="7"/>
                    <w:snapToGrid w:val="0"/>
                    <w:spacing w:before="0" w:after="0"/>
                    <w:jc w:val="center"/>
                    <w:rPr>
                      <w:rFonts w:ascii="Times New Roman" w:hAnsi="Times New Roman"/>
                      <w:bCs/>
                      <w:color w:val="auto"/>
                      <w:kern w:val="0"/>
                      <w:sz w:val="21"/>
                      <w:szCs w:val="21"/>
                    </w:rPr>
                  </w:pPr>
                  <w:r>
                    <w:rPr>
                      <w:rFonts w:hint="eastAsia" w:ascii="Times New Roman" w:hAnsi="Times New Roman"/>
                      <w:bCs/>
                      <w:color w:val="auto"/>
                      <w:kern w:val="0"/>
                      <w:sz w:val="21"/>
                      <w:szCs w:val="21"/>
                    </w:rPr>
                    <w:t>达标</w:t>
                  </w:r>
                </w:p>
              </w:tc>
              <w:tc>
                <w:tcPr>
                  <w:tcW w:w="539" w:type="pct"/>
                  <w:vAlign w:val="center"/>
                </w:tcPr>
                <w:p w14:paraId="328B0F33">
                  <w:pPr>
                    <w:pStyle w:val="7"/>
                    <w:snapToGrid w:val="0"/>
                    <w:spacing w:before="0" w:after="0"/>
                    <w:jc w:val="center"/>
                    <w:rPr>
                      <w:rFonts w:ascii="Times New Roman" w:hAnsi="Times New Roman"/>
                      <w:bCs/>
                      <w:color w:val="auto"/>
                      <w:kern w:val="0"/>
                      <w:sz w:val="21"/>
                      <w:szCs w:val="21"/>
                    </w:rPr>
                  </w:pPr>
                  <w:r>
                    <w:rPr>
                      <w:rFonts w:hint="eastAsia" w:ascii="Times New Roman" w:hAnsi="Times New Roman"/>
                      <w:bCs/>
                      <w:color w:val="auto"/>
                      <w:kern w:val="0"/>
                      <w:sz w:val="21"/>
                      <w:szCs w:val="21"/>
                    </w:rPr>
                    <w:t>达标</w:t>
                  </w:r>
                </w:p>
              </w:tc>
              <w:tc>
                <w:tcPr>
                  <w:tcW w:w="539" w:type="pct"/>
                  <w:vAlign w:val="center"/>
                </w:tcPr>
                <w:p w14:paraId="162E26B4">
                  <w:pPr>
                    <w:pStyle w:val="7"/>
                    <w:snapToGrid w:val="0"/>
                    <w:spacing w:before="0" w:after="0"/>
                    <w:jc w:val="center"/>
                    <w:rPr>
                      <w:rFonts w:ascii="Times New Roman" w:hAnsi="Times New Roman"/>
                      <w:bCs/>
                      <w:color w:val="auto"/>
                      <w:kern w:val="0"/>
                      <w:sz w:val="21"/>
                      <w:szCs w:val="21"/>
                    </w:rPr>
                  </w:pPr>
                  <w:r>
                    <w:rPr>
                      <w:rFonts w:hint="eastAsia" w:ascii="Times New Roman" w:hAnsi="Times New Roman"/>
                      <w:bCs/>
                      <w:color w:val="auto"/>
                      <w:kern w:val="0"/>
                      <w:sz w:val="21"/>
                      <w:szCs w:val="21"/>
                    </w:rPr>
                    <w:t>达标</w:t>
                  </w:r>
                </w:p>
              </w:tc>
              <w:tc>
                <w:tcPr>
                  <w:tcW w:w="570" w:type="pct"/>
                  <w:vAlign w:val="center"/>
                </w:tcPr>
                <w:p w14:paraId="2CAD2343">
                  <w:pPr>
                    <w:pStyle w:val="7"/>
                    <w:snapToGrid w:val="0"/>
                    <w:spacing w:before="0" w:after="0"/>
                    <w:jc w:val="center"/>
                    <w:rPr>
                      <w:rFonts w:ascii="Times New Roman" w:hAnsi="Times New Roman"/>
                      <w:bCs/>
                      <w:color w:val="auto"/>
                      <w:kern w:val="0"/>
                      <w:sz w:val="21"/>
                      <w:szCs w:val="21"/>
                    </w:rPr>
                  </w:pPr>
                  <w:r>
                    <w:rPr>
                      <w:rFonts w:hint="eastAsia" w:ascii="Times New Roman" w:hAnsi="Times New Roman"/>
                      <w:bCs/>
                      <w:color w:val="auto"/>
                      <w:kern w:val="0"/>
                      <w:sz w:val="21"/>
                      <w:szCs w:val="21"/>
                    </w:rPr>
                    <w:t>达标</w:t>
                  </w:r>
                </w:p>
              </w:tc>
            </w:tr>
          </w:tbl>
          <w:p w14:paraId="161CC11C">
            <w:pPr>
              <w:widowControl/>
              <w:snapToGrid w:val="0"/>
              <w:spacing w:line="360" w:lineRule="auto"/>
              <w:ind w:firstLine="422" w:firstLineChars="200"/>
              <w:rPr>
                <w:b/>
                <w:bCs/>
                <w:color w:val="auto"/>
                <w:kern w:val="0"/>
              </w:rPr>
            </w:pPr>
            <w:r>
              <w:rPr>
                <w:rFonts w:hint="eastAsia"/>
                <w:b/>
                <w:bCs/>
                <w:color w:val="auto"/>
                <w:kern w:val="0"/>
              </w:rPr>
              <w:t>（4）声环境影响分析结论</w:t>
            </w:r>
          </w:p>
          <w:p w14:paraId="46AC0E83">
            <w:pPr>
              <w:pStyle w:val="27"/>
              <w:spacing w:line="360" w:lineRule="auto"/>
              <w:ind w:left="0" w:leftChars="0" w:right="0" w:rightChars="0" w:firstLine="420"/>
              <w:rPr>
                <w:color w:val="auto"/>
                <w:kern w:val="0"/>
                <w:sz w:val="21"/>
              </w:rPr>
            </w:pPr>
            <w:r>
              <w:rPr>
                <w:color w:val="auto"/>
                <w:kern w:val="0"/>
                <w:sz w:val="21"/>
              </w:rPr>
              <w:t>本项目设计通过选用低噪声设备，并采用隔音及减震措施，同时通过优化平面布置、设置绿化带等措施可使厂界噪声达标。</w:t>
            </w:r>
          </w:p>
          <w:p w14:paraId="5F54671C">
            <w:pPr>
              <w:pStyle w:val="27"/>
              <w:spacing w:line="360" w:lineRule="auto"/>
              <w:ind w:left="0" w:leftChars="0" w:right="0" w:rightChars="0" w:firstLine="420"/>
              <w:rPr>
                <w:b/>
                <w:bCs/>
                <w:color w:val="auto"/>
                <w:kern w:val="0"/>
                <w:sz w:val="21"/>
              </w:rPr>
            </w:pPr>
            <w:r>
              <w:rPr>
                <w:color w:val="auto"/>
                <w:kern w:val="0"/>
                <w:sz w:val="21"/>
              </w:rPr>
              <w:t>由上述计算可知，通过采取上述治理措施后，再经距离衰减、减振措施等进一步降噪后，可确保所有厂界</w:t>
            </w:r>
            <w:r>
              <w:rPr>
                <w:rFonts w:hint="eastAsia"/>
                <w:color w:val="auto"/>
                <w:kern w:val="0"/>
                <w:sz w:val="21"/>
              </w:rPr>
              <w:t>噪声贡献值均满足</w:t>
            </w:r>
            <w:r>
              <w:rPr>
                <w:color w:val="auto"/>
                <w:kern w:val="0"/>
                <w:sz w:val="21"/>
              </w:rPr>
              <w:t>《工业企业厂界环境噪声排放标准》（GB12348-2008）表1中</w:t>
            </w:r>
            <w:r>
              <w:rPr>
                <w:rFonts w:hint="eastAsia"/>
                <w:color w:val="auto"/>
                <w:kern w:val="0"/>
                <w:sz w:val="21"/>
                <w:lang w:val="en-US" w:eastAsia="zh-CN"/>
              </w:rPr>
              <w:t>2</w:t>
            </w:r>
            <w:r>
              <w:rPr>
                <w:color w:val="auto"/>
                <w:kern w:val="0"/>
                <w:sz w:val="21"/>
              </w:rPr>
              <w:t>类区限值</w:t>
            </w:r>
            <w:r>
              <w:rPr>
                <w:rFonts w:hint="eastAsia"/>
                <w:color w:val="auto"/>
                <w:kern w:val="0"/>
                <w:sz w:val="21"/>
              </w:rPr>
              <w:t>要求</w:t>
            </w:r>
            <w:r>
              <w:rPr>
                <w:color w:val="auto"/>
                <w:kern w:val="0"/>
                <w:sz w:val="21"/>
              </w:rPr>
              <w:t>。</w:t>
            </w:r>
            <w:r>
              <w:rPr>
                <w:rFonts w:hint="eastAsia"/>
                <w:color w:val="auto"/>
                <w:kern w:val="0"/>
                <w:sz w:val="21"/>
              </w:rPr>
              <w:t>厂界噪声预测值满足《声环境质量标准》（GB3096-2008）</w:t>
            </w:r>
            <w:r>
              <w:rPr>
                <w:color w:val="auto"/>
                <w:kern w:val="0"/>
                <w:sz w:val="21"/>
              </w:rPr>
              <w:t>表1中</w:t>
            </w:r>
            <w:r>
              <w:rPr>
                <w:rFonts w:hint="eastAsia"/>
                <w:color w:val="auto"/>
                <w:kern w:val="0"/>
                <w:sz w:val="21"/>
                <w:lang w:val="en-US" w:eastAsia="zh-CN"/>
              </w:rPr>
              <w:t>2</w:t>
            </w:r>
            <w:r>
              <w:rPr>
                <w:color w:val="auto"/>
                <w:kern w:val="0"/>
                <w:sz w:val="21"/>
              </w:rPr>
              <w:t>类区限值</w:t>
            </w:r>
            <w:r>
              <w:rPr>
                <w:rFonts w:hint="eastAsia"/>
                <w:color w:val="auto"/>
                <w:kern w:val="0"/>
                <w:sz w:val="21"/>
              </w:rPr>
              <w:t>要求</w:t>
            </w:r>
            <w:r>
              <w:rPr>
                <w:color w:val="auto"/>
                <w:kern w:val="0"/>
                <w:sz w:val="21"/>
              </w:rPr>
              <w:t>。因此，本项目运行对周围环境影响较小。</w:t>
            </w:r>
          </w:p>
          <w:p w14:paraId="1AD648C2">
            <w:pPr>
              <w:widowControl/>
              <w:snapToGrid w:val="0"/>
              <w:spacing w:line="360" w:lineRule="auto"/>
              <w:ind w:firstLine="422" w:firstLineChars="200"/>
              <w:rPr>
                <w:b/>
                <w:bCs/>
                <w:color w:val="auto"/>
                <w:kern w:val="0"/>
              </w:rPr>
            </w:pPr>
            <w:r>
              <w:rPr>
                <w:rFonts w:hint="eastAsia"/>
                <w:b/>
                <w:bCs/>
                <w:color w:val="auto"/>
                <w:kern w:val="0"/>
              </w:rPr>
              <w:t>（5）噪声源监测计划</w:t>
            </w:r>
          </w:p>
          <w:p w14:paraId="785C9079">
            <w:pPr>
              <w:adjustRightInd w:val="0"/>
              <w:snapToGrid w:val="0"/>
              <w:spacing w:line="360" w:lineRule="auto"/>
              <w:ind w:firstLine="420" w:firstLineChars="200"/>
              <w:rPr>
                <w:bCs/>
                <w:color w:val="auto"/>
                <w:kern w:val="0"/>
              </w:rPr>
            </w:pPr>
            <w:r>
              <w:rPr>
                <w:bCs/>
                <w:color w:val="auto"/>
                <w:kern w:val="0"/>
              </w:rPr>
              <w:t>参考《排污单位自行监测技术指南总则》（HJ819-2017）</w:t>
            </w:r>
            <w:r>
              <w:rPr>
                <w:rFonts w:hint="eastAsia"/>
                <w:bCs/>
                <w:color w:val="auto"/>
                <w:kern w:val="0"/>
                <w:szCs w:val="21"/>
                <w:lang w:eastAsia="zh-CN"/>
              </w:rPr>
              <w:t>、</w:t>
            </w:r>
            <w:r>
              <w:rPr>
                <w:rFonts w:hint="eastAsia"/>
                <w:bCs/>
                <w:color w:val="auto"/>
                <w:sz w:val="21"/>
                <w:szCs w:val="21"/>
                <w:lang w:eastAsia="zh-CN"/>
              </w:rPr>
              <w:t>《排污许可证申请与核发技术规范 家具制造工业》（HJ 1027-2019）</w:t>
            </w:r>
            <w:r>
              <w:rPr>
                <w:bCs/>
                <w:color w:val="auto"/>
                <w:kern w:val="0"/>
              </w:rPr>
              <w:t>，结合企业实际情况，本项目噪声日常监测要求见</w:t>
            </w:r>
            <w:r>
              <w:rPr>
                <w:rFonts w:hint="eastAsia"/>
                <w:bCs/>
                <w:color w:val="auto"/>
                <w:kern w:val="0"/>
              </w:rPr>
              <w:t>下表</w:t>
            </w:r>
            <w:r>
              <w:rPr>
                <w:bCs/>
                <w:color w:val="auto"/>
                <w:kern w:val="0"/>
              </w:rPr>
              <w:t>。</w:t>
            </w:r>
          </w:p>
          <w:p w14:paraId="7FCD2CBF">
            <w:pPr>
              <w:jc w:val="center"/>
              <w:rPr>
                <w:b/>
                <w:bCs/>
                <w:color w:val="auto"/>
                <w:kern w:val="0"/>
              </w:rPr>
            </w:pPr>
            <w:r>
              <w:rPr>
                <w:b/>
                <w:bCs/>
                <w:color w:val="auto"/>
                <w:kern w:val="0"/>
              </w:rPr>
              <w:t>表4-</w:t>
            </w:r>
            <w:r>
              <w:rPr>
                <w:rFonts w:hint="eastAsia"/>
                <w:b/>
                <w:bCs/>
                <w:color w:val="auto"/>
                <w:kern w:val="0"/>
                <w:lang w:val="en-US" w:eastAsia="zh-CN"/>
              </w:rPr>
              <w:t>20</w:t>
            </w:r>
            <w:r>
              <w:rPr>
                <w:b/>
                <w:bCs/>
                <w:color w:val="auto"/>
                <w:kern w:val="0"/>
              </w:rPr>
              <w:t xml:space="preserve">   本项目噪声监测计划一览表</w:t>
            </w:r>
          </w:p>
          <w:tbl>
            <w:tblPr>
              <w:tblStyle w:val="59"/>
              <w:tblW w:w="4997" w:type="pct"/>
              <w:tblInd w:w="11"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29"/>
              <w:gridCol w:w="1638"/>
              <w:gridCol w:w="1886"/>
              <w:gridCol w:w="1200"/>
              <w:gridCol w:w="3403"/>
            </w:tblGrid>
            <w:tr w14:paraId="544E3B3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412" w:type="pct"/>
                  <w:vAlign w:val="center"/>
                </w:tcPr>
                <w:p w14:paraId="7ECCDD6A">
                  <w:pPr>
                    <w:pStyle w:val="7"/>
                    <w:snapToGrid w:val="0"/>
                    <w:spacing w:before="0" w:after="0"/>
                    <w:jc w:val="center"/>
                    <w:rPr>
                      <w:rFonts w:ascii="Times New Roman" w:hAnsi="Times New Roman"/>
                      <w:b/>
                      <w:bCs/>
                      <w:color w:val="auto"/>
                      <w:kern w:val="0"/>
                      <w:sz w:val="21"/>
                      <w:szCs w:val="21"/>
                    </w:rPr>
                  </w:pPr>
                  <w:r>
                    <w:rPr>
                      <w:rFonts w:ascii="Times New Roman" w:hAnsi="Times New Roman"/>
                      <w:b/>
                      <w:bCs/>
                      <w:color w:val="auto"/>
                      <w:kern w:val="0"/>
                      <w:sz w:val="21"/>
                      <w:szCs w:val="21"/>
                    </w:rPr>
                    <w:t>类型</w:t>
                  </w:r>
                </w:p>
              </w:tc>
              <w:tc>
                <w:tcPr>
                  <w:tcW w:w="924" w:type="pct"/>
                  <w:vAlign w:val="center"/>
                </w:tcPr>
                <w:p w14:paraId="24EC44E9">
                  <w:pPr>
                    <w:pStyle w:val="7"/>
                    <w:snapToGrid w:val="0"/>
                    <w:spacing w:before="0" w:after="0"/>
                    <w:jc w:val="center"/>
                    <w:rPr>
                      <w:rFonts w:ascii="Times New Roman" w:hAnsi="Times New Roman"/>
                      <w:b/>
                      <w:bCs/>
                      <w:color w:val="auto"/>
                      <w:kern w:val="0"/>
                      <w:sz w:val="21"/>
                      <w:szCs w:val="21"/>
                    </w:rPr>
                  </w:pPr>
                  <w:r>
                    <w:rPr>
                      <w:rFonts w:ascii="Times New Roman" w:hAnsi="Times New Roman"/>
                      <w:b/>
                      <w:bCs/>
                      <w:color w:val="auto"/>
                      <w:kern w:val="0"/>
                      <w:sz w:val="21"/>
                      <w:szCs w:val="21"/>
                    </w:rPr>
                    <w:t>监测点位</w:t>
                  </w:r>
                </w:p>
              </w:tc>
              <w:tc>
                <w:tcPr>
                  <w:tcW w:w="1064" w:type="pct"/>
                  <w:vAlign w:val="center"/>
                </w:tcPr>
                <w:p w14:paraId="53D789C2">
                  <w:pPr>
                    <w:pStyle w:val="7"/>
                    <w:snapToGrid w:val="0"/>
                    <w:spacing w:before="0" w:after="0"/>
                    <w:jc w:val="center"/>
                    <w:rPr>
                      <w:rFonts w:ascii="Times New Roman" w:hAnsi="Times New Roman"/>
                      <w:b/>
                      <w:bCs/>
                      <w:color w:val="auto"/>
                      <w:kern w:val="0"/>
                      <w:sz w:val="21"/>
                      <w:szCs w:val="21"/>
                    </w:rPr>
                  </w:pPr>
                  <w:r>
                    <w:rPr>
                      <w:rFonts w:ascii="Times New Roman" w:hAnsi="Times New Roman"/>
                      <w:b/>
                      <w:bCs/>
                      <w:color w:val="auto"/>
                      <w:kern w:val="0"/>
                      <w:sz w:val="21"/>
                      <w:szCs w:val="21"/>
                    </w:rPr>
                    <w:t>监测因子</w:t>
                  </w:r>
                </w:p>
              </w:tc>
              <w:tc>
                <w:tcPr>
                  <w:tcW w:w="677" w:type="pct"/>
                  <w:vAlign w:val="center"/>
                </w:tcPr>
                <w:p w14:paraId="6B624722">
                  <w:pPr>
                    <w:pStyle w:val="7"/>
                    <w:snapToGrid w:val="0"/>
                    <w:spacing w:before="0" w:after="0"/>
                    <w:jc w:val="center"/>
                    <w:rPr>
                      <w:rFonts w:ascii="Times New Roman" w:hAnsi="Times New Roman"/>
                      <w:b/>
                      <w:bCs/>
                      <w:color w:val="auto"/>
                      <w:kern w:val="0"/>
                      <w:sz w:val="21"/>
                      <w:szCs w:val="21"/>
                    </w:rPr>
                  </w:pPr>
                  <w:r>
                    <w:rPr>
                      <w:rFonts w:ascii="Times New Roman" w:hAnsi="Times New Roman"/>
                      <w:b/>
                      <w:bCs/>
                      <w:color w:val="auto"/>
                      <w:kern w:val="0"/>
                      <w:sz w:val="21"/>
                      <w:szCs w:val="21"/>
                    </w:rPr>
                    <w:t>监测频次</w:t>
                  </w:r>
                </w:p>
              </w:tc>
              <w:tc>
                <w:tcPr>
                  <w:tcW w:w="1920" w:type="pct"/>
                  <w:vAlign w:val="center"/>
                </w:tcPr>
                <w:p w14:paraId="177AC662">
                  <w:pPr>
                    <w:pStyle w:val="7"/>
                    <w:snapToGrid w:val="0"/>
                    <w:spacing w:before="0" w:after="0"/>
                    <w:jc w:val="center"/>
                    <w:rPr>
                      <w:rFonts w:ascii="Times New Roman" w:hAnsi="Times New Roman"/>
                      <w:b/>
                      <w:bCs/>
                      <w:color w:val="auto"/>
                      <w:kern w:val="0"/>
                      <w:sz w:val="21"/>
                      <w:szCs w:val="21"/>
                    </w:rPr>
                  </w:pPr>
                  <w:r>
                    <w:rPr>
                      <w:rFonts w:ascii="Times New Roman" w:hAnsi="Times New Roman"/>
                      <w:b/>
                      <w:bCs/>
                      <w:color w:val="auto"/>
                      <w:kern w:val="0"/>
                      <w:sz w:val="21"/>
                      <w:szCs w:val="21"/>
                    </w:rPr>
                    <w:t>排放标准</w:t>
                  </w:r>
                </w:p>
              </w:tc>
            </w:tr>
            <w:tr w14:paraId="225E3AD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412" w:type="pct"/>
                  <w:vAlign w:val="center"/>
                </w:tcPr>
                <w:p w14:paraId="555823F8">
                  <w:pPr>
                    <w:pStyle w:val="7"/>
                    <w:snapToGrid w:val="0"/>
                    <w:spacing w:before="0" w:after="0"/>
                    <w:jc w:val="center"/>
                    <w:rPr>
                      <w:rFonts w:ascii="Times New Roman" w:hAnsi="Times New Roman"/>
                      <w:bCs/>
                      <w:color w:val="auto"/>
                      <w:kern w:val="0"/>
                      <w:sz w:val="21"/>
                      <w:szCs w:val="21"/>
                    </w:rPr>
                  </w:pPr>
                  <w:r>
                    <w:rPr>
                      <w:rFonts w:ascii="Times New Roman" w:hAnsi="Times New Roman"/>
                      <w:bCs/>
                      <w:color w:val="auto"/>
                      <w:kern w:val="0"/>
                      <w:sz w:val="21"/>
                      <w:szCs w:val="21"/>
                    </w:rPr>
                    <w:t>噪声</w:t>
                  </w:r>
                </w:p>
              </w:tc>
              <w:tc>
                <w:tcPr>
                  <w:tcW w:w="924" w:type="pct"/>
                  <w:vAlign w:val="center"/>
                </w:tcPr>
                <w:p w14:paraId="6F61D6F4">
                  <w:pPr>
                    <w:pStyle w:val="7"/>
                    <w:snapToGrid w:val="0"/>
                    <w:spacing w:before="0" w:after="0"/>
                    <w:jc w:val="center"/>
                    <w:rPr>
                      <w:rFonts w:ascii="Times New Roman" w:hAnsi="Times New Roman"/>
                      <w:bCs/>
                      <w:color w:val="auto"/>
                      <w:kern w:val="0"/>
                      <w:sz w:val="21"/>
                      <w:szCs w:val="21"/>
                    </w:rPr>
                  </w:pPr>
                  <w:r>
                    <w:rPr>
                      <w:rFonts w:hint="eastAsia" w:ascii="Times New Roman" w:hAnsi="Times New Roman"/>
                      <w:bCs/>
                      <w:color w:val="auto"/>
                      <w:kern w:val="0"/>
                      <w:sz w:val="21"/>
                      <w:szCs w:val="21"/>
                    </w:rPr>
                    <w:t>四周</w:t>
                  </w:r>
                  <w:r>
                    <w:rPr>
                      <w:rFonts w:ascii="Times New Roman" w:hAnsi="Times New Roman"/>
                      <w:bCs/>
                      <w:color w:val="auto"/>
                      <w:kern w:val="0"/>
                      <w:sz w:val="21"/>
                      <w:szCs w:val="21"/>
                    </w:rPr>
                    <w:t>厂界外1米</w:t>
                  </w:r>
                </w:p>
              </w:tc>
              <w:tc>
                <w:tcPr>
                  <w:tcW w:w="1064" w:type="pct"/>
                  <w:vAlign w:val="center"/>
                </w:tcPr>
                <w:p w14:paraId="562651A1">
                  <w:pPr>
                    <w:pStyle w:val="7"/>
                    <w:snapToGrid w:val="0"/>
                    <w:spacing w:before="0" w:after="0"/>
                    <w:jc w:val="center"/>
                    <w:rPr>
                      <w:rFonts w:ascii="Times New Roman" w:hAnsi="Times New Roman"/>
                      <w:bCs/>
                      <w:color w:val="auto"/>
                      <w:kern w:val="0"/>
                      <w:sz w:val="21"/>
                      <w:szCs w:val="21"/>
                    </w:rPr>
                  </w:pPr>
                  <w:r>
                    <w:rPr>
                      <w:rFonts w:ascii="Times New Roman" w:hAnsi="Times New Roman"/>
                      <w:bCs/>
                      <w:color w:val="auto"/>
                      <w:kern w:val="0"/>
                      <w:sz w:val="21"/>
                      <w:szCs w:val="21"/>
                    </w:rPr>
                    <w:t>昼间等效声级</w:t>
                  </w:r>
                </w:p>
              </w:tc>
              <w:tc>
                <w:tcPr>
                  <w:tcW w:w="677" w:type="pct"/>
                  <w:vAlign w:val="center"/>
                </w:tcPr>
                <w:p w14:paraId="0A08FF90">
                  <w:pPr>
                    <w:pStyle w:val="7"/>
                    <w:snapToGrid w:val="0"/>
                    <w:spacing w:before="0" w:after="0"/>
                    <w:jc w:val="center"/>
                    <w:rPr>
                      <w:rFonts w:ascii="Times New Roman" w:hAnsi="Times New Roman"/>
                      <w:bCs/>
                      <w:color w:val="auto"/>
                      <w:kern w:val="0"/>
                      <w:sz w:val="21"/>
                      <w:szCs w:val="21"/>
                    </w:rPr>
                  </w:pPr>
                  <w:r>
                    <w:rPr>
                      <w:rFonts w:ascii="Times New Roman" w:hAnsi="Times New Roman"/>
                      <w:bCs/>
                      <w:color w:val="auto"/>
                      <w:kern w:val="0"/>
                      <w:sz w:val="21"/>
                      <w:szCs w:val="21"/>
                    </w:rPr>
                    <w:t>1次/季度</w:t>
                  </w:r>
                </w:p>
              </w:tc>
              <w:tc>
                <w:tcPr>
                  <w:tcW w:w="1920" w:type="pct"/>
                  <w:vAlign w:val="center"/>
                </w:tcPr>
                <w:p w14:paraId="6367BB15">
                  <w:pPr>
                    <w:pStyle w:val="7"/>
                    <w:snapToGrid w:val="0"/>
                    <w:spacing w:before="0" w:after="0"/>
                    <w:jc w:val="center"/>
                    <w:rPr>
                      <w:rFonts w:ascii="Times New Roman" w:hAnsi="Times New Roman"/>
                      <w:bCs/>
                      <w:color w:val="auto"/>
                      <w:kern w:val="0"/>
                      <w:sz w:val="21"/>
                      <w:szCs w:val="21"/>
                    </w:rPr>
                  </w:pPr>
                  <w:r>
                    <w:rPr>
                      <w:rFonts w:ascii="Times New Roman" w:hAnsi="Times New Roman"/>
                      <w:bCs/>
                      <w:color w:val="auto"/>
                      <w:kern w:val="0"/>
                      <w:sz w:val="21"/>
                      <w:szCs w:val="21"/>
                    </w:rPr>
                    <w:t>《工业企业厂界环境噪声排放标准》（GB12348-2008）</w:t>
                  </w:r>
                  <w:r>
                    <w:rPr>
                      <w:rFonts w:hint="eastAsia" w:ascii="Times New Roman" w:hAnsi="Times New Roman"/>
                      <w:bCs/>
                      <w:color w:val="auto"/>
                      <w:kern w:val="0"/>
                      <w:sz w:val="21"/>
                      <w:szCs w:val="21"/>
                      <w:lang w:val="en-US" w:eastAsia="zh-CN"/>
                    </w:rPr>
                    <w:t>2</w:t>
                  </w:r>
                  <w:r>
                    <w:rPr>
                      <w:rFonts w:ascii="Times New Roman" w:hAnsi="Times New Roman"/>
                      <w:bCs/>
                      <w:color w:val="auto"/>
                      <w:kern w:val="0"/>
                      <w:sz w:val="21"/>
                      <w:szCs w:val="21"/>
                    </w:rPr>
                    <w:t>类标准</w:t>
                  </w:r>
                </w:p>
              </w:tc>
            </w:tr>
          </w:tbl>
          <w:p w14:paraId="7C495649">
            <w:pPr>
              <w:spacing w:line="360" w:lineRule="auto"/>
              <w:rPr>
                <w:b/>
                <w:bCs/>
                <w:color w:val="auto"/>
                <w:kern w:val="0"/>
              </w:rPr>
            </w:pPr>
            <w:r>
              <w:rPr>
                <w:b/>
                <w:bCs/>
                <w:color w:val="auto"/>
                <w:kern w:val="0"/>
              </w:rPr>
              <w:t>4</w:t>
            </w:r>
            <w:r>
              <w:rPr>
                <w:rFonts w:hint="eastAsia"/>
                <w:b/>
                <w:bCs/>
                <w:color w:val="auto"/>
                <w:kern w:val="0"/>
              </w:rPr>
              <w:t>、</w:t>
            </w:r>
            <w:r>
              <w:rPr>
                <w:b/>
                <w:bCs/>
                <w:color w:val="auto"/>
                <w:kern w:val="0"/>
              </w:rPr>
              <w:t>固体废物</w:t>
            </w:r>
            <w:r>
              <w:rPr>
                <w:rFonts w:hint="eastAsia"/>
                <w:b/>
                <w:bCs/>
                <w:color w:val="auto"/>
                <w:kern w:val="0"/>
              </w:rPr>
              <w:t>环境影响分析</w:t>
            </w:r>
          </w:p>
          <w:p w14:paraId="64FCC435">
            <w:pPr>
              <w:adjustRightInd w:val="0"/>
              <w:snapToGrid w:val="0"/>
              <w:spacing w:line="360" w:lineRule="auto"/>
              <w:ind w:firstLine="422" w:firstLineChars="200"/>
              <w:rPr>
                <w:b/>
                <w:bCs/>
                <w:color w:val="auto"/>
                <w:kern w:val="0"/>
              </w:rPr>
            </w:pPr>
            <w:r>
              <w:rPr>
                <w:rFonts w:hint="eastAsia"/>
                <w:b/>
                <w:bCs/>
                <w:color w:val="auto"/>
                <w:kern w:val="0"/>
              </w:rPr>
              <w:t>（1）固废产生源强</w:t>
            </w:r>
          </w:p>
          <w:p w14:paraId="5BAE9D86">
            <w:pPr>
              <w:adjustRightInd w:val="0"/>
              <w:snapToGrid w:val="0"/>
              <w:spacing w:line="360" w:lineRule="auto"/>
              <w:ind w:firstLine="422" w:firstLineChars="200"/>
              <w:rPr>
                <w:color w:val="auto"/>
                <w:kern w:val="0"/>
              </w:rPr>
            </w:pPr>
            <w:r>
              <w:rPr>
                <w:rFonts w:hint="eastAsia"/>
                <w:b/>
                <w:bCs/>
                <w:color w:val="auto"/>
                <w:kern w:val="0"/>
              </w:rPr>
              <w:t>本项目新增的固废主要为一般固废、危险废物、生活垃圾。</w:t>
            </w:r>
          </w:p>
          <w:p w14:paraId="0E5733AD">
            <w:pPr>
              <w:adjustRightInd w:val="0"/>
              <w:snapToGrid w:val="0"/>
              <w:spacing w:line="360" w:lineRule="auto"/>
              <w:ind w:firstLine="422" w:firstLineChars="200"/>
              <w:rPr>
                <w:color w:val="auto"/>
                <w:kern w:val="0"/>
              </w:rPr>
            </w:pPr>
            <w:r>
              <w:rPr>
                <w:rFonts w:hint="eastAsia"/>
                <w:b/>
                <w:bCs/>
                <w:color w:val="auto"/>
                <w:kern w:val="0"/>
              </w:rPr>
              <w:t>一般固废</w:t>
            </w:r>
          </w:p>
          <w:p w14:paraId="55C616C8">
            <w:pPr>
              <w:adjustRightInd w:val="0"/>
              <w:snapToGrid w:val="0"/>
              <w:spacing w:line="360" w:lineRule="auto"/>
              <w:ind w:firstLine="422" w:firstLineChars="200"/>
              <w:rPr>
                <w:color w:val="auto"/>
                <w:kern w:val="0"/>
                <w:sz w:val="21"/>
                <w:szCs w:val="21"/>
              </w:rPr>
            </w:pPr>
            <w:r>
              <w:rPr>
                <w:rFonts w:hint="eastAsia" w:ascii="Times New Roman" w:hAnsi="Times New Roman"/>
                <w:b/>
                <w:bCs w:val="0"/>
                <w:color w:val="auto"/>
                <w:sz w:val="21"/>
                <w:szCs w:val="21"/>
                <w:lang w:val="en-US" w:eastAsia="zh-CN"/>
              </w:rPr>
              <w:t>木屑：</w:t>
            </w:r>
            <w:r>
              <w:rPr>
                <w:rFonts w:ascii="Times New Roman" w:hAnsi="Times New Roman"/>
                <w:bCs/>
                <w:color w:val="auto"/>
                <w:sz w:val="21"/>
                <w:szCs w:val="21"/>
              </w:rPr>
              <w:t>本项目木工加工过程中会产生木屑，产生量为板材总用量的1‰，项目木材总用量为1310m</w:t>
            </w:r>
            <w:r>
              <w:rPr>
                <w:rFonts w:ascii="Times New Roman" w:hAnsi="Times New Roman"/>
                <w:bCs/>
                <w:color w:val="auto"/>
                <w:sz w:val="21"/>
                <w:szCs w:val="21"/>
                <w:vertAlign w:val="superscript"/>
              </w:rPr>
              <w:t>3</w:t>
            </w:r>
            <w:r>
              <w:rPr>
                <w:rFonts w:ascii="Times New Roman" w:hAnsi="Times New Roman"/>
                <w:bCs/>
                <w:color w:val="auto"/>
                <w:sz w:val="21"/>
                <w:szCs w:val="21"/>
              </w:rPr>
              <w:t>，约655t/a，产生量约为0.65t/a，</w:t>
            </w:r>
            <w:r>
              <w:rPr>
                <w:rFonts w:hint="eastAsia"/>
                <w:color w:val="auto"/>
                <w:kern w:val="0"/>
              </w:rPr>
              <w:t>收集后</w:t>
            </w:r>
            <w:r>
              <w:rPr>
                <w:color w:val="auto"/>
                <w:kern w:val="0"/>
              </w:rPr>
              <w:t>外售</w:t>
            </w:r>
            <w:r>
              <w:rPr>
                <w:rFonts w:hint="eastAsia"/>
                <w:color w:val="auto"/>
                <w:kern w:val="0"/>
              </w:rPr>
              <w:t>处置</w:t>
            </w:r>
            <w:r>
              <w:rPr>
                <w:color w:val="auto"/>
                <w:kern w:val="0"/>
              </w:rPr>
              <w:t>。</w:t>
            </w:r>
          </w:p>
          <w:p w14:paraId="068C70E2">
            <w:pPr>
              <w:adjustRightInd w:val="0"/>
              <w:snapToGrid w:val="0"/>
              <w:spacing w:line="360" w:lineRule="auto"/>
              <w:ind w:firstLine="422" w:firstLineChars="200"/>
              <w:rPr>
                <w:b/>
                <w:bCs/>
                <w:color w:val="auto"/>
                <w:kern w:val="0"/>
              </w:rPr>
            </w:pPr>
            <w:r>
              <w:rPr>
                <w:rFonts w:hint="eastAsia"/>
                <w:b/>
                <w:bCs/>
                <w:color w:val="auto"/>
                <w:kern w:val="0"/>
                <w:lang w:val="en-US" w:eastAsia="zh-CN"/>
              </w:rPr>
              <w:t>边角料</w:t>
            </w:r>
            <w:r>
              <w:rPr>
                <w:rFonts w:hint="eastAsia"/>
                <w:b/>
                <w:bCs/>
                <w:color w:val="auto"/>
                <w:kern w:val="0"/>
              </w:rPr>
              <w:t>：</w:t>
            </w:r>
            <w:r>
              <w:rPr>
                <w:rFonts w:ascii="Times New Roman" w:hAnsi="Times New Roman"/>
                <w:bCs/>
                <w:color w:val="auto"/>
                <w:sz w:val="21"/>
                <w:szCs w:val="21"/>
              </w:rPr>
              <w:t>本项目木工加工过程中会产生边角料，产生量为板材总用量的1%，项目木材总用量为1310m</w:t>
            </w:r>
            <w:r>
              <w:rPr>
                <w:rFonts w:ascii="Times New Roman" w:hAnsi="Times New Roman"/>
                <w:bCs/>
                <w:color w:val="auto"/>
                <w:sz w:val="21"/>
                <w:szCs w:val="21"/>
                <w:vertAlign w:val="superscript"/>
              </w:rPr>
              <w:t>3</w:t>
            </w:r>
            <w:r>
              <w:rPr>
                <w:rFonts w:ascii="Times New Roman" w:hAnsi="Times New Roman"/>
                <w:bCs/>
                <w:color w:val="auto"/>
                <w:sz w:val="21"/>
                <w:szCs w:val="21"/>
              </w:rPr>
              <w:t>，约655t/a，产生量约为6.55t/a，</w:t>
            </w:r>
            <w:r>
              <w:rPr>
                <w:rFonts w:hint="eastAsia"/>
                <w:color w:val="auto"/>
                <w:kern w:val="0"/>
              </w:rPr>
              <w:t>收集后</w:t>
            </w:r>
            <w:r>
              <w:rPr>
                <w:color w:val="auto"/>
                <w:kern w:val="0"/>
              </w:rPr>
              <w:t>外售</w:t>
            </w:r>
            <w:r>
              <w:rPr>
                <w:rFonts w:hint="eastAsia"/>
                <w:color w:val="auto"/>
                <w:kern w:val="0"/>
              </w:rPr>
              <w:t>处置</w:t>
            </w:r>
            <w:r>
              <w:rPr>
                <w:color w:val="auto"/>
                <w:kern w:val="0"/>
              </w:rPr>
              <w:t>。</w:t>
            </w:r>
          </w:p>
          <w:p w14:paraId="5DD416F2">
            <w:pPr>
              <w:adjustRightInd w:val="0"/>
              <w:snapToGrid w:val="0"/>
              <w:spacing w:line="360" w:lineRule="auto"/>
              <w:ind w:firstLine="422" w:firstLineChars="200"/>
              <w:rPr>
                <w:color w:val="auto"/>
                <w:kern w:val="0"/>
              </w:rPr>
            </w:pPr>
            <w:r>
              <w:rPr>
                <w:rFonts w:hint="eastAsia"/>
                <w:b/>
                <w:bCs/>
                <w:color w:val="auto"/>
                <w:kern w:val="0"/>
                <w:lang w:val="en-US" w:eastAsia="zh-CN"/>
              </w:rPr>
              <w:t>废抹布：</w:t>
            </w:r>
            <w:r>
              <w:rPr>
                <w:rFonts w:ascii="Times New Roman" w:hAnsi="Times New Roman"/>
                <w:color w:val="auto"/>
                <w:sz w:val="21"/>
                <w:szCs w:val="21"/>
              </w:rPr>
              <w:t>本项目成品清理时，会产生少量的废抹布，抹布上沾染少量木屑等杂质，按2kg/天计，则废抹布的产生量约为0.6t/a，</w:t>
            </w:r>
            <w:r>
              <w:rPr>
                <w:rFonts w:hint="eastAsia"/>
                <w:color w:val="auto"/>
                <w:kern w:val="0"/>
              </w:rPr>
              <w:t>收集后外售处置。</w:t>
            </w:r>
          </w:p>
          <w:p w14:paraId="29126B09">
            <w:pPr>
              <w:adjustRightInd w:val="0"/>
              <w:snapToGrid w:val="0"/>
              <w:spacing w:line="360" w:lineRule="auto"/>
              <w:ind w:firstLine="422" w:firstLineChars="200"/>
              <w:rPr>
                <w:rFonts w:hint="default" w:eastAsia="宋体"/>
                <w:b/>
                <w:bCs/>
                <w:color w:val="auto"/>
                <w:kern w:val="0"/>
                <w:lang w:val="en-US" w:eastAsia="zh-CN"/>
              </w:rPr>
            </w:pPr>
            <w:r>
              <w:rPr>
                <w:rFonts w:hint="eastAsia"/>
                <w:b/>
                <w:bCs/>
                <w:color w:val="auto"/>
                <w:kern w:val="0"/>
                <w:lang w:val="en-US" w:eastAsia="zh-CN"/>
              </w:rPr>
              <w:t>废砂纸：</w:t>
            </w:r>
            <w:r>
              <w:rPr>
                <w:rFonts w:hint="eastAsia"/>
                <w:b w:val="0"/>
                <w:bCs w:val="0"/>
                <w:color w:val="auto"/>
                <w:kern w:val="0"/>
                <w:lang w:val="en-US" w:eastAsia="zh-CN"/>
              </w:rPr>
              <w:t>本项目砂磨工序会产生废砂纸，产生量约为2t/a，收集后外售处置。</w:t>
            </w:r>
          </w:p>
          <w:p w14:paraId="1A6EDCDD">
            <w:pPr>
              <w:adjustRightInd w:val="0"/>
              <w:snapToGrid w:val="0"/>
              <w:spacing w:line="360" w:lineRule="auto"/>
              <w:ind w:firstLine="422" w:firstLineChars="200"/>
              <w:rPr>
                <w:rFonts w:hint="eastAsia" w:eastAsia="宋体"/>
                <w:b/>
                <w:bCs/>
                <w:color w:val="auto"/>
                <w:kern w:val="0"/>
                <w:lang w:val="en-US" w:eastAsia="zh-CN"/>
              </w:rPr>
            </w:pPr>
            <w:r>
              <w:rPr>
                <w:rFonts w:hint="eastAsia"/>
                <w:b/>
                <w:bCs/>
                <w:color w:val="auto"/>
                <w:kern w:val="0"/>
                <w:lang w:val="en-US" w:eastAsia="zh-CN"/>
              </w:rPr>
              <w:t>收集尘：</w:t>
            </w:r>
            <w:r>
              <w:rPr>
                <w:rFonts w:hint="eastAsia"/>
                <w:b w:val="0"/>
                <w:bCs w:val="0"/>
                <w:color w:val="auto"/>
                <w:kern w:val="0"/>
                <w:lang w:val="en-US" w:eastAsia="zh-CN"/>
              </w:rPr>
              <w:t>来源于布袋除尘器收集及过滤过程，</w:t>
            </w:r>
            <w:r>
              <w:rPr>
                <w:rFonts w:hint="eastAsia"/>
                <w:color w:val="auto"/>
                <w:kern w:val="0"/>
                <w:lang w:val="en-US" w:eastAsia="zh-CN"/>
              </w:rPr>
              <w:t>根据表4-2可知，</w:t>
            </w:r>
            <w:r>
              <w:rPr>
                <w:rFonts w:hint="eastAsia"/>
                <w:color w:val="auto"/>
                <w:kern w:val="0"/>
              </w:rPr>
              <w:t>产生量</w:t>
            </w:r>
            <w:r>
              <w:rPr>
                <w:rFonts w:hint="eastAsia"/>
                <w:color w:val="auto"/>
                <w:kern w:val="0"/>
                <w:lang w:val="en-US" w:eastAsia="zh-CN"/>
              </w:rPr>
              <w:t>约</w:t>
            </w:r>
            <w:r>
              <w:rPr>
                <w:rFonts w:hint="eastAsia"/>
                <w:color w:val="auto"/>
                <w:kern w:val="0"/>
              </w:rPr>
              <w:t>为</w:t>
            </w:r>
            <w:r>
              <w:rPr>
                <w:rFonts w:hint="eastAsia"/>
                <w:color w:val="auto"/>
                <w:kern w:val="0"/>
                <w:lang w:val="en-US" w:eastAsia="zh-CN"/>
              </w:rPr>
              <w:t>0.168</w:t>
            </w:r>
            <w:r>
              <w:rPr>
                <w:rFonts w:hint="eastAsia"/>
                <w:color w:val="auto"/>
                <w:kern w:val="0"/>
              </w:rPr>
              <w:t>t/a，收集后外售处置。</w:t>
            </w:r>
          </w:p>
          <w:p w14:paraId="22477D40">
            <w:pPr>
              <w:adjustRightInd w:val="0"/>
              <w:snapToGrid w:val="0"/>
              <w:spacing w:line="360" w:lineRule="auto"/>
              <w:ind w:firstLine="422" w:firstLineChars="200"/>
              <w:rPr>
                <w:rFonts w:hint="eastAsia" w:eastAsia="宋体"/>
                <w:b/>
                <w:bCs/>
                <w:color w:val="auto"/>
                <w:kern w:val="0"/>
                <w:lang w:val="en-US" w:eastAsia="zh-CN"/>
              </w:rPr>
            </w:pPr>
            <w:r>
              <w:rPr>
                <w:rFonts w:hint="eastAsia"/>
                <w:b/>
                <w:bCs/>
                <w:color w:val="auto"/>
                <w:kern w:val="0"/>
                <w:lang w:val="en-US" w:eastAsia="zh-CN"/>
              </w:rPr>
              <w:t>废布袋：</w:t>
            </w:r>
            <w:r>
              <w:rPr>
                <w:rFonts w:hint="eastAsia"/>
                <w:b w:val="0"/>
                <w:bCs w:val="0"/>
                <w:color w:val="auto"/>
                <w:kern w:val="0"/>
                <w:lang w:val="en-US" w:eastAsia="zh-CN"/>
              </w:rPr>
              <w:t>来源于布袋除尘器定期更换粉尘过滤材料，</w:t>
            </w:r>
            <w:r>
              <w:rPr>
                <w:rFonts w:hint="eastAsia"/>
                <w:color w:val="auto"/>
                <w:kern w:val="0"/>
              </w:rPr>
              <w:t>产生量</w:t>
            </w:r>
            <w:r>
              <w:rPr>
                <w:rFonts w:hint="eastAsia"/>
                <w:color w:val="auto"/>
                <w:kern w:val="0"/>
                <w:lang w:val="en-US" w:eastAsia="zh-CN"/>
              </w:rPr>
              <w:t>约</w:t>
            </w:r>
            <w:r>
              <w:rPr>
                <w:rFonts w:hint="eastAsia"/>
                <w:color w:val="auto"/>
                <w:kern w:val="0"/>
              </w:rPr>
              <w:t>为</w:t>
            </w:r>
            <w:r>
              <w:rPr>
                <w:rFonts w:hint="eastAsia"/>
                <w:color w:val="auto"/>
                <w:kern w:val="0"/>
                <w:lang w:val="en-US" w:eastAsia="zh-CN"/>
              </w:rPr>
              <w:t>0.1t</w:t>
            </w:r>
            <w:r>
              <w:rPr>
                <w:rFonts w:hint="eastAsia"/>
                <w:color w:val="auto"/>
                <w:kern w:val="0"/>
              </w:rPr>
              <w:t>/a，收集后外售处置。</w:t>
            </w:r>
          </w:p>
          <w:p w14:paraId="4E199AF6">
            <w:pPr>
              <w:adjustRightInd w:val="0"/>
              <w:snapToGrid w:val="0"/>
              <w:spacing w:line="360" w:lineRule="auto"/>
              <w:ind w:firstLine="422" w:firstLineChars="200"/>
              <w:rPr>
                <w:color w:val="auto"/>
                <w:kern w:val="0"/>
              </w:rPr>
            </w:pPr>
            <w:r>
              <w:rPr>
                <w:rFonts w:hint="eastAsia"/>
                <w:b/>
                <w:bCs/>
                <w:color w:val="auto"/>
                <w:kern w:val="0"/>
              </w:rPr>
              <w:t>危险废物</w:t>
            </w:r>
          </w:p>
          <w:p w14:paraId="32CF9FDD">
            <w:pPr>
              <w:spacing w:line="360" w:lineRule="auto"/>
              <w:ind w:firstLine="422" w:firstLineChars="200"/>
              <w:rPr>
                <w:color w:val="auto"/>
                <w:kern w:val="0"/>
              </w:rPr>
            </w:pPr>
            <w:r>
              <w:rPr>
                <w:rFonts w:hint="eastAsia"/>
                <w:b/>
                <w:bCs/>
                <w:color w:val="auto"/>
                <w:kern w:val="0"/>
                <w:lang w:val="en-US" w:eastAsia="zh-CN"/>
              </w:rPr>
              <w:t>擦色废物</w:t>
            </w:r>
            <w:r>
              <w:rPr>
                <w:rFonts w:hint="eastAsia"/>
                <w:b/>
                <w:bCs/>
                <w:color w:val="auto"/>
                <w:kern w:val="0"/>
              </w:rPr>
              <w:t>：</w:t>
            </w:r>
            <w:r>
              <w:rPr>
                <w:rFonts w:hint="eastAsia"/>
                <w:color w:val="auto"/>
                <w:kern w:val="0"/>
              </w:rPr>
              <w:t>本项目擦色过程中会产生少量擦色废物，含擦色过程产生的废抹布和废刷子等，产生量以按1kg/天计，则擦色废物产生量约0.3t/a，</w:t>
            </w:r>
            <w:r>
              <w:rPr>
                <w:color w:val="auto"/>
                <w:kern w:val="0"/>
              </w:rPr>
              <w:t>经收集后暂存于危废仓库，定期委托有资质单位处理。</w:t>
            </w:r>
          </w:p>
          <w:p w14:paraId="59352E2A">
            <w:pPr>
              <w:spacing w:line="360" w:lineRule="auto"/>
              <w:ind w:firstLine="422" w:firstLineChars="200"/>
              <w:rPr>
                <w:rFonts w:hint="eastAsia" w:eastAsia="宋体"/>
                <w:b/>
                <w:bCs/>
                <w:color w:val="auto"/>
                <w:kern w:val="0"/>
                <w:lang w:val="en-US" w:eastAsia="zh-CN"/>
              </w:rPr>
            </w:pPr>
            <w:r>
              <w:rPr>
                <w:rFonts w:hint="eastAsia"/>
                <w:b/>
                <w:bCs/>
                <w:color w:val="auto"/>
                <w:kern w:val="0"/>
                <w:lang w:val="en-US" w:eastAsia="zh-CN"/>
              </w:rPr>
              <w:t>含漆废物：</w:t>
            </w:r>
            <w:r>
              <w:rPr>
                <w:rFonts w:hint="eastAsia"/>
                <w:b w:val="0"/>
                <w:bCs w:val="0"/>
                <w:color w:val="auto"/>
                <w:kern w:val="0"/>
                <w:lang w:val="en-US" w:eastAsia="zh-CN"/>
              </w:rPr>
              <w:t>本项目刷漆、喷漆过程中会产生少量报纸等遮挡物、刷子等含漆废物，产生量约为0.5t/a，</w:t>
            </w:r>
            <w:r>
              <w:rPr>
                <w:color w:val="auto"/>
                <w:kern w:val="0"/>
              </w:rPr>
              <w:t>经收集后暂存于危废仓库，定期委托有资质单位处理。</w:t>
            </w:r>
          </w:p>
          <w:p w14:paraId="2FF96A01">
            <w:pPr>
              <w:spacing w:line="360" w:lineRule="auto"/>
              <w:ind w:firstLine="422" w:firstLineChars="200"/>
              <w:rPr>
                <w:rFonts w:hint="eastAsia" w:eastAsia="宋体"/>
                <w:b/>
                <w:bCs/>
                <w:color w:val="auto"/>
                <w:kern w:val="0"/>
                <w:lang w:val="en-US" w:eastAsia="zh-CN"/>
              </w:rPr>
            </w:pPr>
            <w:r>
              <w:rPr>
                <w:rFonts w:hint="eastAsia"/>
                <w:b/>
                <w:bCs/>
                <w:color w:val="auto"/>
                <w:kern w:val="0"/>
                <w:lang w:val="en-US" w:eastAsia="zh-CN"/>
              </w:rPr>
              <w:t>漆渣：</w:t>
            </w:r>
            <w:r>
              <w:rPr>
                <w:rFonts w:hint="eastAsia"/>
                <w:b w:val="0"/>
                <w:bCs w:val="0"/>
                <w:color w:val="auto"/>
                <w:kern w:val="0"/>
                <w:lang w:val="en-US" w:eastAsia="zh-CN"/>
              </w:rPr>
              <w:t>根据涂料平衡可知，漆渣产生量约为0.05014t/a，</w:t>
            </w:r>
            <w:r>
              <w:rPr>
                <w:color w:val="auto"/>
                <w:kern w:val="0"/>
              </w:rPr>
              <w:t>经收集后暂存于危废仓库，定期委托有资质单位处理。</w:t>
            </w:r>
          </w:p>
          <w:p w14:paraId="1F64E7C0">
            <w:pPr>
              <w:spacing w:line="360" w:lineRule="auto"/>
              <w:ind w:firstLine="422" w:firstLineChars="200"/>
              <w:rPr>
                <w:rFonts w:hint="default" w:eastAsia="宋体"/>
                <w:b/>
                <w:bCs/>
                <w:color w:val="auto"/>
                <w:kern w:val="0"/>
                <w:lang w:val="en-US" w:eastAsia="zh-CN"/>
              </w:rPr>
            </w:pPr>
            <w:r>
              <w:rPr>
                <w:rFonts w:hint="eastAsia"/>
                <w:b/>
                <w:bCs/>
                <w:color w:val="auto"/>
                <w:kern w:val="0"/>
                <w:lang w:val="en-US" w:eastAsia="zh-CN"/>
              </w:rPr>
              <w:t>水帘废液：</w:t>
            </w:r>
            <w:r>
              <w:rPr>
                <w:rFonts w:hint="eastAsia"/>
                <w:b w:val="0"/>
                <w:bCs w:val="0"/>
                <w:color w:val="auto"/>
                <w:kern w:val="0"/>
                <w:lang w:val="en-US" w:eastAsia="zh-CN"/>
              </w:rPr>
              <w:t>根据“2.1.8 给排水”可知，水帘废液产生量为3t/a，</w:t>
            </w:r>
            <w:r>
              <w:rPr>
                <w:color w:val="auto"/>
                <w:kern w:val="0"/>
              </w:rPr>
              <w:t>经收集后暂存于危废仓库，定期委托有资质单位处理。</w:t>
            </w:r>
          </w:p>
          <w:p w14:paraId="511FE571">
            <w:pPr>
              <w:spacing w:line="360" w:lineRule="auto"/>
              <w:ind w:firstLine="422" w:firstLineChars="200"/>
              <w:rPr>
                <w:rFonts w:hint="default" w:eastAsia="宋体"/>
                <w:b/>
                <w:bCs/>
                <w:color w:val="auto"/>
                <w:kern w:val="0"/>
                <w:lang w:val="en-US" w:eastAsia="zh-CN"/>
              </w:rPr>
            </w:pPr>
            <w:r>
              <w:rPr>
                <w:rFonts w:hint="eastAsia"/>
                <w:b/>
                <w:bCs/>
                <w:color w:val="auto"/>
                <w:kern w:val="0"/>
                <w:lang w:val="en-US" w:eastAsia="zh-CN"/>
              </w:rPr>
              <w:t>喷枪清洗废液：</w:t>
            </w:r>
            <w:r>
              <w:rPr>
                <w:color w:val="auto"/>
                <w:kern w:val="0"/>
              </w:rPr>
              <w:t>项目每日喷涂工作完毕后需将喷枪浸泡在稀释剂中，防止喷头堵塞</w:t>
            </w:r>
            <w:r>
              <w:rPr>
                <w:rFonts w:hint="eastAsia"/>
                <w:color w:val="auto"/>
                <w:kern w:val="0"/>
                <w:lang w:eastAsia="zh-CN"/>
              </w:rPr>
              <w:t>，</w:t>
            </w:r>
            <w:r>
              <w:rPr>
                <w:color w:val="auto"/>
                <w:kern w:val="0"/>
              </w:rPr>
              <w:t>具体过程是将喷枪放入盛有稀释剂的密闭容器中进行浸泡，</w:t>
            </w:r>
            <w:r>
              <w:rPr>
                <w:rFonts w:hint="eastAsia"/>
                <w:color w:val="auto"/>
                <w:kern w:val="0"/>
              </w:rPr>
              <w:t>密闭容器盛装清洗剂量为</w:t>
            </w:r>
            <w:r>
              <w:rPr>
                <w:rFonts w:hint="eastAsia"/>
                <w:color w:val="auto"/>
                <w:kern w:val="0"/>
                <w:lang w:val="en-US" w:eastAsia="zh-CN"/>
              </w:rPr>
              <w:t>0.5</w:t>
            </w:r>
            <w:r>
              <w:rPr>
                <w:rFonts w:hint="eastAsia"/>
                <w:color w:val="auto"/>
                <w:kern w:val="0"/>
              </w:rPr>
              <w:t>kg，单个喷枪清洗时间约为3分钟。</w:t>
            </w:r>
            <w:r>
              <w:rPr>
                <w:color w:val="auto"/>
                <w:kern w:val="0"/>
              </w:rPr>
              <w:t>厂内每天</w:t>
            </w:r>
            <w:r>
              <w:rPr>
                <w:rFonts w:hint="eastAsia"/>
                <w:color w:val="auto"/>
                <w:kern w:val="0"/>
              </w:rPr>
              <w:t>喷涂作业结束后对喷枪集中浸泡清洗，为保证清洗效果，清洗剂每3天更换一次，（一次更换量为</w:t>
            </w:r>
            <w:r>
              <w:rPr>
                <w:rFonts w:hint="eastAsia"/>
                <w:color w:val="auto"/>
                <w:kern w:val="0"/>
                <w:lang w:val="en-US" w:eastAsia="zh-CN"/>
              </w:rPr>
              <w:t>0.5</w:t>
            </w:r>
            <w:r>
              <w:rPr>
                <w:rFonts w:hint="eastAsia"/>
                <w:color w:val="auto"/>
                <w:kern w:val="0"/>
              </w:rPr>
              <w:t>kg，合计年更换1</w:t>
            </w:r>
            <w:r>
              <w:rPr>
                <w:color w:val="auto"/>
                <w:kern w:val="0"/>
              </w:rPr>
              <w:t>00</w:t>
            </w:r>
            <w:r>
              <w:rPr>
                <w:rFonts w:hint="eastAsia"/>
                <w:color w:val="auto"/>
                <w:kern w:val="0"/>
              </w:rPr>
              <w:t>次，</w:t>
            </w:r>
            <w:r>
              <w:rPr>
                <w:color w:val="auto"/>
                <w:kern w:val="0"/>
              </w:rPr>
              <w:t>故年使用</w:t>
            </w:r>
            <w:r>
              <w:rPr>
                <w:rFonts w:hint="eastAsia"/>
                <w:color w:val="auto"/>
                <w:kern w:val="0"/>
              </w:rPr>
              <w:t>清洗剂</w:t>
            </w:r>
            <w:r>
              <w:rPr>
                <w:color w:val="auto"/>
                <w:kern w:val="0"/>
              </w:rPr>
              <w:t>约0.</w:t>
            </w:r>
            <w:r>
              <w:rPr>
                <w:rFonts w:hint="eastAsia"/>
                <w:color w:val="auto"/>
                <w:kern w:val="0"/>
                <w:lang w:val="en-US" w:eastAsia="zh-CN"/>
              </w:rPr>
              <w:t>05</w:t>
            </w:r>
            <w:r>
              <w:rPr>
                <w:color w:val="auto"/>
                <w:kern w:val="0"/>
              </w:rPr>
              <w:t>吨</w:t>
            </w:r>
            <w:r>
              <w:rPr>
                <w:rFonts w:hint="eastAsia"/>
                <w:color w:val="auto"/>
                <w:kern w:val="0"/>
              </w:rPr>
              <w:t>）</w:t>
            </w:r>
            <w:r>
              <w:rPr>
                <w:color w:val="auto"/>
                <w:kern w:val="0"/>
              </w:rPr>
              <w:t>，经收集后暂存于危废仓库，定期委托有资质单位处理。</w:t>
            </w:r>
          </w:p>
          <w:p w14:paraId="630EE949">
            <w:pPr>
              <w:spacing w:line="360" w:lineRule="auto"/>
              <w:ind w:firstLine="422" w:firstLineChars="200"/>
              <w:rPr>
                <w:rFonts w:hint="eastAsia" w:eastAsia="宋体"/>
                <w:b/>
                <w:bCs/>
                <w:color w:val="auto"/>
                <w:kern w:val="0"/>
                <w:lang w:val="en-US" w:eastAsia="zh-CN"/>
              </w:rPr>
            </w:pPr>
            <w:r>
              <w:rPr>
                <w:rFonts w:hint="eastAsia"/>
                <w:b/>
                <w:bCs/>
                <w:color w:val="auto"/>
                <w:kern w:val="0"/>
                <w:lang w:val="en-US" w:eastAsia="zh-CN"/>
              </w:rPr>
              <w:t>废包装桶：</w:t>
            </w:r>
            <w:r>
              <w:rPr>
                <w:rFonts w:ascii="Times New Roman" w:hAnsi="Times New Roman"/>
                <w:bCs/>
                <w:color w:val="auto"/>
                <w:sz w:val="21"/>
                <w:szCs w:val="21"/>
              </w:rPr>
              <w:t>本项目生产过程中产生废</w:t>
            </w:r>
            <w:r>
              <w:rPr>
                <w:rFonts w:hint="eastAsia" w:ascii="Times New Roman" w:hAnsi="Times New Roman"/>
                <w:bCs/>
                <w:color w:val="auto"/>
                <w:sz w:val="21"/>
                <w:szCs w:val="21"/>
                <w:lang w:val="en-US" w:eastAsia="zh-CN"/>
              </w:rPr>
              <w:t>油</w:t>
            </w:r>
            <w:r>
              <w:rPr>
                <w:rFonts w:ascii="Times New Roman" w:hAnsi="Times New Roman"/>
                <w:bCs/>
                <w:color w:val="auto"/>
                <w:sz w:val="21"/>
                <w:szCs w:val="21"/>
              </w:rPr>
              <w:t>漆桶、废胶水桶、废擦色剂桶，产生量约1t/a，</w:t>
            </w:r>
            <w:r>
              <w:rPr>
                <w:color w:val="auto"/>
                <w:kern w:val="0"/>
              </w:rPr>
              <w:t>经收集后暂存于危废仓库，定期委托有资质单位处理。</w:t>
            </w:r>
          </w:p>
          <w:p w14:paraId="2E59D1F8">
            <w:pPr>
              <w:spacing w:line="360" w:lineRule="auto"/>
              <w:ind w:firstLine="422" w:firstLineChars="200"/>
              <w:rPr>
                <w:rFonts w:hint="default" w:eastAsia="宋体"/>
                <w:b/>
                <w:bCs/>
                <w:color w:val="auto"/>
                <w:kern w:val="0"/>
                <w:lang w:val="en-US" w:eastAsia="zh-CN"/>
              </w:rPr>
            </w:pPr>
            <w:r>
              <w:rPr>
                <w:rFonts w:hint="eastAsia"/>
                <w:b/>
                <w:bCs/>
                <w:color w:val="auto"/>
                <w:kern w:val="0"/>
                <w:lang w:val="en-US" w:eastAsia="zh-CN"/>
              </w:rPr>
              <w:t>干式内循环打磨处理器收集尘：</w:t>
            </w:r>
            <w:r>
              <w:rPr>
                <w:rFonts w:ascii="Times New Roman" w:hAnsi="Times New Roman"/>
                <w:bCs/>
                <w:color w:val="auto"/>
                <w:sz w:val="21"/>
                <w:szCs w:val="21"/>
              </w:rPr>
              <w:t>根据</w:t>
            </w:r>
            <w:r>
              <w:rPr>
                <w:rFonts w:hint="eastAsia" w:ascii="Times New Roman" w:hAnsi="Times New Roman"/>
                <w:bCs/>
                <w:color w:val="auto"/>
                <w:sz w:val="21"/>
                <w:szCs w:val="21"/>
                <w:lang w:val="en-US" w:eastAsia="zh-CN"/>
              </w:rPr>
              <w:t>磨光粉尘源强分析</w:t>
            </w:r>
            <w:r>
              <w:rPr>
                <w:rFonts w:ascii="Times New Roman" w:hAnsi="Times New Roman"/>
                <w:bCs/>
                <w:color w:val="auto"/>
                <w:sz w:val="21"/>
                <w:szCs w:val="21"/>
              </w:rPr>
              <w:t>，</w:t>
            </w:r>
            <w:r>
              <w:rPr>
                <w:rFonts w:hint="eastAsia" w:ascii="Times New Roman" w:hAnsi="Times New Roman"/>
                <w:bCs/>
                <w:color w:val="auto"/>
                <w:sz w:val="21"/>
                <w:szCs w:val="21"/>
                <w:lang w:eastAsia="zh-CN"/>
              </w:rPr>
              <w:t>干式内循环打磨处理器</w:t>
            </w:r>
            <w:r>
              <w:rPr>
                <w:rFonts w:ascii="Times New Roman" w:hAnsi="Times New Roman"/>
                <w:bCs/>
                <w:color w:val="auto"/>
                <w:sz w:val="21"/>
                <w:szCs w:val="21"/>
              </w:rPr>
              <w:t>收集粉尘量为0.0</w:t>
            </w:r>
            <w:r>
              <w:rPr>
                <w:rFonts w:hint="eastAsia" w:ascii="Times New Roman" w:hAnsi="Times New Roman"/>
                <w:bCs/>
                <w:color w:val="auto"/>
                <w:sz w:val="21"/>
                <w:szCs w:val="21"/>
                <w:lang w:val="en-US" w:eastAsia="zh-CN"/>
              </w:rPr>
              <w:t>172</w:t>
            </w:r>
            <w:r>
              <w:rPr>
                <w:rFonts w:ascii="Times New Roman" w:hAnsi="Times New Roman"/>
                <w:bCs/>
                <w:color w:val="auto"/>
                <w:sz w:val="21"/>
                <w:szCs w:val="21"/>
              </w:rPr>
              <w:t>t/a，</w:t>
            </w:r>
            <w:r>
              <w:rPr>
                <w:color w:val="auto"/>
                <w:kern w:val="0"/>
              </w:rPr>
              <w:t>经收集后暂存于危废仓库，定期委托有资质单位处理。</w:t>
            </w:r>
          </w:p>
          <w:p w14:paraId="52F0001C">
            <w:pPr>
              <w:spacing w:line="360" w:lineRule="auto"/>
              <w:ind w:firstLine="422" w:firstLineChars="200"/>
              <w:rPr>
                <w:b/>
                <w:bCs/>
                <w:color w:val="auto"/>
                <w:kern w:val="0"/>
              </w:rPr>
            </w:pPr>
            <w:r>
              <w:rPr>
                <w:rFonts w:hint="eastAsia"/>
                <w:b/>
                <w:bCs/>
                <w:color w:val="auto"/>
                <w:kern w:val="0"/>
              </w:rPr>
              <w:t>废活性炭：</w:t>
            </w:r>
          </w:p>
          <w:p w14:paraId="0E9A7F29">
            <w:pPr>
              <w:autoSpaceDE w:val="0"/>
              <w:autoSpaceDN w:val="0"/>
              <w:adjustRightInd w:val="0"/>
              <w:snapToGrid w:val="0"/>
              <w:spacing w:line="360" w:lineRule="auto"/>
              <w:ind w:firstLine="422" w:firstLineChars="200"/>
              <w:rPr>
                <w:rFonts w:hint="default" w:eastAsia="宋体"/>
                <w:b/>
                <w:bCs/>
                <w:color w:val="auto"/>
                <w:kern w:val="0"/>
                <w:lang w:val="en-US" w:eastAsia="zh-CN"/>
              </w:rPr>
            </w:pPr>
            <w:r>
              <w:rPr>
                <w:rFonts w:hint="eastAsia"/>
                <w:b/>
                <w:bCs/>
                <w:color w:val="auto"/>
                <w:kern w:val="0"/>
                <w:lang w:val="en-US" w:eastAsia="zh-CN"/>
              </w:rPr>
              <w:t>二级活性炭吸附装置：</w:t>
            </w:r>
            <w:r>
              <w:rPr>
                <w:rFonts w:hint="eastAsia"/>
                <w:color w:val="auto"/>
                <w:kern w:val="0"/>
              </w:rPr>
              <w:t>项目采用“二级活性炭装置”对</w:t>
            </w:r>
            <w:r>
              <w:rPr>
                <w:rFonts w:hint="eastAsia"/>
                <w:color w:val="auto"/>
                <w:kern w:val="0"/>
                <w:lang w:val="en-US" w:eastAsia="zh-CN"/>
              </w:rPr>
              <w:t>有机废气</w:t>
            </w:r>
            <w:r>
              <w:rPr>
                <w:rFonts w:hint="eastAsia"/>
                <w:color w:val="auto"/>
                <w:kern w:val="0"/>
              </w:rPr>
              <w:t>进行处理，根据废气源强核算，活性炭吸附有机废气量为</w:t>
            </w:r>
            <w:r>
              <w:rPr>
                <w:rFonts w:hint="eastAsia"/>
                <w:color w:val="auto"/>
                <w:kern w:val="0"/>
                <w:lang w:val="en-US" w:eastAsia="zh-CN"/>
              </w:rPr>
              <w:t>1.74474</w:t>
            </w:r>
            <w:r>
              <w:rPr>
                <w:rFonts w:hint="eastAsia"/>
                <w:color w:val="auto"/>
                <w:kern w:val="0"/>
              </w:rPr>
              <w:t>t/a。根据“《省生态环境厅关于深入开展涉VOCs治理重点工作核查的通知》（苏环办[2022]218号），采用一次性颗粒状活性炭处理VOCs废气，年活性炭使用量不应低于VOCs产生量的5倍，即1吨VOCs产生量，需5吨活性炭用于吸附。活性炭更换周期一般不应超过累计运行500小时或3个月”。因此，本项目活性炭最低用量取废气吸附量的5倍计算，即活性炭最低用量为</w:t>
            </w:r>
            <w:r>
              <w:rPr>
                <w:rFonts w:hint="eastAsia"/>
                <w:color w:val="auto"/>
                <w:kern w:val="0"/>
                <w:lang w:val="en-US" w:eastAsia="zh-CN"/>
              </w:rPr>
              <w:t>8.724</w:t>
            </w:r>
            <w:r>
              <w:rPr>
                <w:rFonts w:hint="eastAsia"/>
                <w:color w:val="auto"/>
                <w:kern w:val="0"/>
              </w:rPr>
              <w:t>t/a。考虑到实际情况，单个活性炭箱填装量为</w:t>
            </w:r>
            <w:r>
              <w:rPr>
                <w:rFonts w:hint="eastAsia"/>
                <w:color w:val="auto"/>
                <w:kern w:val="0"/>
                <w:lang w:val="en-US" w:eastAsia="zh-CN"/>
              </w:rPr>
              <w:t>0.25</w:t>
            </w:r>
            <w:r>
              <w:rPr>
                <w:rFonts w:hint="eastAsia"/>
                <w:color w:val="auto"/>
                <w:kern w:val="0"/>
              </w:rPr>
              <w:t>t，因此每次更换的活性炭量为</w:t>
            </w:r>
            <w:r>
              <w:rPr>
                <w:rFonts w:hint="eastAsia"/>
                <w:color w:val="auto"/>
                <w:kern w:val="0"/>
                <w:lang w:val="en-US" w:eastAsia="zh-CN"/>
              </w:rPr>
              <w:t>0.5</w:t>
            </w:r>
            <w:r>
              <w:rPr>
                <w:rFonts w:hint="eastAsia"/>
                <w:color w:val="auto"/>
                <w:kern w:val="0"/>
              </w:rPr>
              <w:t>t，即年更换频次最低为</w:t>
            </w:r>
            <w:r>
              <w:rPr>
                <w:rFonts w:hint="eastAsia"/>
                <w:color w:val="auto"/>
                <w:kern w:val="0"/>
                <w:lang w:val="en-US" w:eastAsia="zh-CN"/>
              </w:rPr>
              <w:t>17.45</w:t>
            </w:r>
            <w:r>
              <w:rPr>
                <w:rFonts w:hint="eastAsia"/>
                <w:color w:val="auto"/>
                <w:kern w:val="0"/>
              </w:rPr>
              <w:t>次/a，按每</w:t>
            </w:r>
            <w:r>
              <w:rPr>
                <w:rFonts w:hint="eastAsia"/>
                <w:color w:val="auto"/>
                <w:kern w:val="0"/>
                <w:lang w:val="en-US" w:eastAsia="zh-CN"/>
              </w:rPr>
              <w:t>17d</w:t>
            </w:r>
            <w:r>
              <w:rPr>
                <w:rFonts w:hint="eastAsia"/>
                <w:color w:val="auto"/>
                <w:kern w:val="0"/>
              </w:rPr>
              <w:t>更换</w:t>
            </w:r>
            <w:r>
              <w:rPr>
                <w:rFonts w:hint="eastAsia"/>
                <w:color w:val="auto"/>
                <w:kern w:val="0"/>
                <w:lang w:val="en-US" w:eastAsia="zh-CN"/>
              </w:rPr>
              <w:t>1</w:t>
            </w:r>
            <w:r>
              <w:rPr>
                <w:rFonts w:hint="eastAsia"/>
                <w:color w:val="auto"/>
                <w:kern w:val="0"/>
              </w:rPr>
              <w:t>次计，即年更换活性炭量为</w:t>
            </w:r>
            <w:r>
              <w:rPr>
                <w:rFonts w:hint="eastAsia"/>
                <w:color w:val="auto"/>
                <w:kern w:val="0"/>
                <w:lang w:val="en-US" w:eastAsia="zh-CN"/>
              </w:rPr>
              <w:t>8.83</w:t>
            </w:r>
            <w:r>
              <w:rPr>
                <w:rFonts w:hint="eastAsia"/>
                <w:color w:val="auto"/>
                <w:kern w:val="0"/>
              </w:rPr>
              <w:t>t/a。则废活性炭产生量</w:t>
            </w:r>
            <w:r>
              <w:rPr>
                <w:rFonts w:hint="eastAsia"/>
                <w:color w:val="auto"/>
                <w:kern w:val="0"/>
                <w:lang w:val="en-US" w:eastAsia="zh-CN"/>
              </w:rPr>
              <w:t>约</w:t>
            </w:r>
            <w:r>
              <w:rPr>
                <w:rFonts w:hint="eastAsia"/>
                <w:color w:val="auto"/>
                <w:kern w:val="0"/>
              </w:rPr>
              <w:t>为</w:t>
            </w:r>
            <w:r>
              <w:rPr>
                <w:rFonts w:hint="eastAsia"/>
                <w:color w:val="auto"/>
                <w:kern w:val="0"/>
                <w:lang w:val="en-US" w:eastAsia="zh-CN"/>
              </w:rPr>
              <w:t>10.57</w:t>
            </w:r>
            <w:r>
              <w:rPr>
                <w:rFonts w:hint="eastAsia"/>
                <w:color w:val="auto"/>
                <w:kern w:val="0"/>
              </w:rPr>
              <w:t>t/a（含吸附的有机废气</w:t>
            </w:r>
            <w:r>
              <w:rPr>
                <w:rFonts w:hint="eastAsia"/>
                <w:color w:val="auto"/>
                <w:kern w:val="0"/>
                <w:lang w:val="en-US" w:eastAsia="zh-CN"/>
              </w:rPr>
              <w:t>1.74474</w:t>
            </w:r>
            <w:r>
              <w:rPr>
                <w:rFonts w:hint="eastAsia"/>
                <w:color w:val="auto"/>
                <w:kern w:val="0"/>
              </w:rPr>
              <w:t>t/a），</w:t>
            </w:r>
            <w:r>
              <w:rPr>
                <w:rFonts w:hint="eastAsia"/>
                <w:color w:val="auto"/>
                <w:kern w:val="0"/>
                <w:lang w:val="en-US" w:eastAsia="zh-CN"/>
              </w:rPr>
              <w:t>定期</w:t>
            </w:r>
            <w:r>
              <w:rPr>
                <w:rFonts w:hint="eastAsia"/>
                <w:color w:val="auto"/>
                <w:kern w:val="0"/>
              </w:rPr>
              <w:t>委托有资质单位处置。</w:t>
            </w:r>
          </w:p>
          <w:p w14:paraId="6402332E">
            <w:pPr>
              <w:autoSpaceDE w:val="0"/>
              <w:autoSpaceDN w:val="0"/>
              <w:adjustRightInd w:val="0"/>
              <w:snapToGrid w:val="0"/>
              <w:spacing w:line="360" w:lineRule="auto"/>
              <w:ind w:firstLine="422" w:firstLineChars="200"/>
              <w:rPr>
                <w:rFonts w:hint="eastAsia"/>
                <w:b/>
                <w:bCs/>
                <w:color w:val="auto"/>
                <w:kern w:val="0"/>
              </w:rPr>
            </w:pPr>
            <w:r>
              <w:rPr>
                <w:rFonts w:hint="eastAsia"/>
                <w:b/>
                <w:bCs/>
                <w:color w:val="auto"/>
                <w:kern w:val="0"/>
              </w:rPr>
              <w:t>生活垃圾</w:t>
            </w:r>
          </w:p>
          <w:p w14:paraId="5C8ED1BB">
            <w:pPr>
              <w:pStyle w:val="2"/>
              <w:ind w:firstLine="420" w:firstLineChars="200"/>
              <w:rPr>
                <w:color w:val="auto"/>
                <w:sz w:val="21"/>
                <w:szCs w:val="21"/>
              </w:rPr>
            </w:pPr>
            <w:r>
              <w:rPr>
                <w:color w:val="auto"/>
                <w:sz w:val="21"/>
                <w:szCs w:val="21"/>
              </w:rPr>
              <w:t>来源于职工日常生活，本项目职工</w:t>
            </w:r>
            <w:r>
              <w:rPr>
                <w:rFonts w:hint="eastAsia"/>
                <w:color w:val="auto"/>
                <w:sz w:val="21"/>
                <w:szCs w:val="21"/>
                <w:lang w:val="en-US" w:eastAsia="zh-CN"/>
              </w:rPr>
              <w:t>30</w:t>
            </w:r>
            <w:r>
              <w:rPr>
                <w:color w:val="auto"/>
                <w:sz w:val="21"/>
                <w:szCs w:val="21"/>
              </w:rPr>
              <w:t>人，年工作</w:t>
            </w:r>
            <w:r>
              <w:rPr>
                <w:rFonts w:hint="eastAsia"/>
                <w:color w:val="auto"/>
                <w:sz w:val="21"/>
                <w:szCs w:val="21"/>
                <w:lang w:val="en-US" w:eastAsia="zh-CN"/>
              </w:rPr>
              <w:t>300</w:t>
            </w:r>
            <w:r>
              <w:rPr>
                <w:color w:val="auto"/>
                <w:sz w:val="21"/>
                <w:szCs w:val="21"/>
              </w:rPr>
              <w:t>天，生活垃圾产生量按照</w:t>
            </w:r>
            <w:r>
              <w:rPr>
                <w:rFonts w:hint="eastAsia"/>
                <w:color w:val="auto"/>
                <w:sz w:val="21"/>
                <w:szCs w:val="21"/>
              </w:rPr>
              <w:t>1</w:t>
            </w:r>
            <w:r>
              <w:rPr>
                <w:color w:val="auto"/>
                <w:sz w:val="21"/>
                <w:szCs w:val="21"/>
              </w:rPr>
              <w:t>kg/人</w:t>
            </w:r>
            <w:r>
              <w:rPr>
                <w:b/>
                <w:bCs/>
                <w:color w:val="auto"/>
                <w:sz w:val="21"/>
                <w:szCs w:val="21"/>
              </w:rPr>
              <w:t>·</w:t>
            </w:r>
            <w:r>
              <w:rPr>
                <w:color w:val="auto"/>
                <w:sz w:val="21"/>
                <w:szCs w:val="21"/>
              </w:rPr>
              <w:t>天计算，则生活垃圾产生量为</w:t>
            </w:r>
            <w:r>
              <w:rPr>
                <w:rFonts w:hint="eastAsia"/>
                <w:color w:val="auto"/>
                <w:sz w:val="21"/>
                <w:szCs w:val="21"/>
                <w:lang w:val="en-US" w:eastAsia="zh-CN"/>
              </w:rPr>
              <w:t>9</w:t>
            </w:r>
            <w:r>
              <w:rPr>
                <w:color w:val="auto"/>
                <w:sz w:val="21"/>
                <w:szCs w:val="21"/>
              </w:rPr>
              <w:t>t/a，统一收集后由环卫部门处理。</w:t>
            </w:r>
          </w:p>
          <w:p w14:paraId="4C351F56">
            <w:pPr>
              <w:autoSpaceDE w:val="0"/>
              <w:autoSpaceDN w:val="0"/>
              <w:snapToGrid w:val="0"/>
              <w:spacing w:line="360" w:lineRule="auto"/>
              <w:ind w:firstLine="422" w:firstLineChars="200"/>
              <w:rPr>
                <w:b/>
                <w:bCs/>
                <w:color w:val="auto"/>
                <w:kern w:val="0"/>
              </w:rPr>
            </w:pPr>
            <w:r>
              <w:rPr>
                <w:rFonts w:hint="eastAsia"/>
                <w:b/>
                <w:bCs/>
                <w:color w:val="auto"/>
                <w:kern w:val="0"/>
              </w:rPr>
              <w:t>（2）固体废物属性判定</w:t>
            </w:r>
          </w:p>
          <w:p w14:paraId="69B867BC">
            <w:pPr>
              <w:autoSpaceDE w:val="0"/>
              <w:autoSpaceDN w:val="0"/>
              <w:snapToGrid w:val="0"/>
              <w:spacing w:line="360" w:lineRule="auto"/>
              <w:ind w:firstLine="420" w:firstLineChars="200"/>
              <w:rPr>
                <w:color w:val="auto"/>
                <w:kern w:val="0"/>
              </w:rPr>
            </w:pPr>
            <w:r>
              <w:rPr>
                <w:color w:val="auto"/>
                <w:kern w:val="0"/>
              </w:rPr>
              <w:t>根据《固体废物鉴别标准通则》（GB34330-2017）的规定，判断其是否属于固体废物，具体判定依据及结果见下表</w:t>
            </w:r>
            <w:r>
              <w:rPr>
                <w:rFonts w:hint="eastAsia"/>
                <w:color w:val="auto"/>
                <w:kern w:val="0"/>
              </w:rPr>
              <w:t>。</w:t>
            </w:r>
          </w:p>
          <w:p w14:paraId="36BFF7C7">
            <w:pPr>
              <w:jc w:val="center"/>
              <w:rPr>
                <w:b/>
                <w:color w:val="auto"/>
                <w:kern w:val="0"/>
              </w:rPr>
            </w:pPr>
            <w:r>
              <w:rPr>
                <w:b/>
                <w:color w:val="auto"/>
                <w:kern w:val="0"/>
              </w:rPr>
              <w:t>表4-</w:t>
            </w:r>
            <w:r>
              <w:rPr>
                <w:rFonts w:hint="eastAsia"/>
                <w:b/>
                <w:color w:val="auto"/>
                <w:kern w:val="0"/>
                <w:lang w:val="en-US" w:eastAsia="zh-CN"/>
              </w:rPr>
              <w:t>21</w:t>
            </w:r>
            <w:r>
              <w:rPr>
                <w:b/>
                <w:color w:val="auto"/>
                <w:kern w:val="0"/>
              </w:rPr>
              <w:t xml:space="preserve">   建设项目</w:t>
            </w:r>
            <w:r>
              <w:rPr>
                <w:rFonts w:hint="eastAsia"/>
                <w:b/>
                <w:color w:val="auto"/>
                <w:kern w:val="0"/>
              </w:rPr>
              <w:t>固体废物</w:t>
            </w:r>
            <w:r>
              <w:rPr>
                <w:b/>
                <w:color w:val="auto"/>
                <w:kern w:val="0"/>
              </w:rPr>
              <w:t>产生情况汇总表</w:t>
            </w:r>
          </w:p>
          <w:tbl>
            <w:tblPr>
              <w:tblStyle w:val="59"/>
              <w:tblW w:w="4997"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270"/>
              <w:gridCol w:w="1200"/>
              <w:gridCol w:w="720"/>
              <w:gridCol w:w="1560"/>
              <w:gridCol w:w="1035"/>
              <w:gridCol w:w="1065"/>
              <w:gridCol w:w="870"/>
              <w:gridCol w:w="1136"/>
            </w:tblGrid>
            <w:tr w14:paraId="0C7AC44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717" w:type="pct"/>
                  <w:vMerge w:val="restart"/>
                  <w:vAlign w:val="center"/>
                </w:tcPr>
                <w:p w14:paraId="2091AF49">
                  <w:pPr>
                    <w:pStyle w:val="5"/>
                    <w:adjustRightInd w:val="0"/>
                    <w:snapToGrid w:val="0"/>
                    <w:ind w:firstLine="0"/>
                    <w:jc w:val="center"/>
                    <w:rPr>
                      <w:b/>
                      <w:bCs/>
                      <w:color w:val="auto"/>
                      <w:kern w:val="0"/>
                      <w:szCs w:val="21"/>
                    </w:rPr>
                  </w:pPr>
                  <w:r>
                    <w:rPr>
                      <w:b/>
                      <w:bCs/>
                      <w:color w:val="auto"/>
                      <w:kern w:val="0"/>
                      <w:szCs w:val="21"/>
                    </w:rPr>
                    <w:t>副产物名称</w:t>
                  </w:r>
                </w:p>
              </w:tc>
              <w:tc>
                <w:tcPr>
                  <w:tcW w:w="677" w:type="pct"/>
                  <w:vMerge w:val="restart"/>
                  <w:vAlign w:val="center"/>
                </w:tcPr>
                <w:p w14:paraId="024C91B5">
                  <w:pPr>
                    <w:pStyle w:val="5"/>
                    <w:adjustRightInd w:val="0"/>
                    <w:snapToGrid w:val="0"/>
                    <w:ind w:firstLine="0"/>
                    <w:jc w:val="center"/>
                    <w:rPr>
                      <w:b/>
                      <w:bCs/>
                      <w:color w:val="auto"/>
                      <w:kern w:val="0"/>
                      <w:szCs w:val="21"/>
                    </w:rPr>
                  </w:pPr>
                  <w:r>
                    <w:rPr>
                      <w:b/>
                      <w:bCs/>
                      <w:color w:val="auto"/>
                      <w:kern w:val="0"/>
                      <w:szCs w:val="21"/>
                    </w:rPr>
                    <w:t>产生</w:t>
                  </w:r>
                </w:p>
                <w:p w14:paraId="07C2A8EA">
                  <w:pPr>
                    <w:pStyle w:val="5"/>
                    <w:adjustRightInd w:val="0"/>
                    <w:snapToGrid w:val="0"/>
                    <w:ind w:firstLine="0"/>
                    <w:jc w:val="center"/>
                    <w:rPr>
                      <w:b/>
                      <w:bCs/>
                      <w:color w:val="auto"/>
                      <w:kern w:val="0"/>
                      <w:szCs w:val="21"/>
                    </w:rPr>
                  </w:pPr>
                  <w:r>
                    <w:rPr>
                      <w:b/>
                      <w:bCs/>
                      <w:color w:val="auto"/>
                      <w:kern w:val="0"/>
                      <w:szCs w:val="21"/>
                    </w:rPr>
                    <w:t>工序</w:t>
                  </w:r>
                </w:p>
              </w:tc>
              <w:tc>
                <w:tcPr>
                  <w:tcW w:w="406" w:type="pct"/>
                  <w:vMerge w:val="restart"/>
                  <w:vAlign w:val="center"/>
                </w:tcPr>
                <w:p w14:paraId="1B545B59">
                  <w:pPr>
                    <w:pStyle w:val="5"/>
                    <w:adjustRightInd w:val="0"/>
                    <w:snapToGrid w:val="0"/>
                    <w:ind w:firstLine="0"/>
                    <w:jc w:val="center"/>
                    <w:rPr>
                      <w:b/>
                      <w:bCs/>
                      <w:color w:val="auto"/>
                      <w:kern w:val="0"/>
                      <w:szCs w:val="21"/>
                    </w:rPr>
                  </w:pPr>
                  <w:r>
                    <w:rPr>
                      <w:b/>
                      <w:bCs/>
                      <w:color w:val="auto"/>
                      <w:kern w:val="0"/>
                      <w:szCs w:val="21"/>
                    </w:rPr>
                    <w:t>形态</w:t>
                  </w:r>
                </w:p>
              </w:tc>
              <w:tc>
                <w:tcPr>
                  <w:tcW w:w="880" w:type="pct"/>
                  <w:vMerge w:val="restart"/>
                  <w:vAlign w:val="center"/>
                </w:tcPr>
                <w:p w14:paraId="0621085A">
                  <w:pPr>
                    <w:pStyle w:val="5"/>
                    <w:adjustRightInd w:val="0"/>
                    <w:snapToGrid w:val="0"/>
                    <w:ind w:firstLine="0"/>
                    <w:jc w:val="center"/>
                    <w:rPr>
                      <w:b/>
                      <w:bCs/>
                      <w:color w:val="auto"/>
                      <w:kern w:val="0"/>
                      <w:szCs w:val="21"/>
                    </w:rPr>
                  </w:pPr>
                  <w:r>
                    <w:rPr>
                      <w:b/>
                      <w:bCs/>
                      <w:color w:val="auto"/>
                      <w:kern w:val="0"/>
                      <w:szCs w:val="21"/>
                    </w:rPr>
                    <w:t>主要成分</w:t>
                  </w:r>
                </w:p>
              </w:tc>
              <w:tc>
                <w:tcPr>
                  <w:tcW w:w="584" w:type="pct"/>
                  <w:vMerge w:val="restart"/>
                  <w:vAlign w:val="center"/>
                </w:tcPr>
                <w:p w14:paraId="06F960A3">
                  <w:pPr>
                    <w:pStyle w:val="5"/>
                    <w:adjustRightInd w:val="0"/>
                    <w:snapToGrid w:val="0"/>
                    <w:ind w:firstLine="0"/>
                    <w:jc w:val="center"/>
                    <w:rPr>
                      <w:b/>
                      <w:bCs/>
                      <w:color w:val="auto"/>
                      <w:kern w:val="0"/>
                      <w:szCs w:val="21"/>
                    </w:rPr>
                  </w:pPr>
                  <w:r>
                    <w:rPr>
                      <w:b/>
                      <w:bCs/>
                      <w:color w:val="auto"/>
                      <w:kern w:val="0"/>
                      <w:szCs w:val="21"/>
                    </w:rPr>
                    <w:t>预测产生量t/a</w:t>
                  </w:r>
                </w:p>
              </w:tc>
              <w:tc>
                <w:tcPr>
                  <w:tcW w:w="1733" w:type="pct"/>
                  <w:gridSpan w:val="3"/>
                  <w:vAlign w:val="center"/>
                </w:tcPr>
                <w:p w14:paraId="167C858C">
                  <w:pPr>
                    <w:pStyle w:val="5"/>
                    <w:adjustRightInd w:val="0"/>
                    <w:snapToGrid w:val="0"/>
                    <w:ind w:firstLine="0"/>
                    <w:jc w:val="center"/>
                    <w:rPr>
                      <w:b/>
                      <w:bCs/>
                      <w:color w:val="auto"/>
                      <w:kern w:val="0"/>
                      <w:szCs w:val="21"/>
                    </w:rPr>
                  </w:pPr>
                  <w:r>
                    <w:rPr>
                      <w:b/>
                      <w:bCs/>
                      <w:color w:val="auto"/>
                      <w:kern w:val="0"/>
                      <w:szCs w:val="21"/>
                    </w:rPr>
                    <w:t>种类判定</w:t>
                  </w:r>
                </w:p>
              </w:tc>
            </w:tr>
            <w:tr w14:paraId="1AFB20B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717" w:type="pct"/>
                  <w:vMerge w:val="continue"/>
                  <w:vAlign w:val="center"/>
                </w:tcPr>
                <w:p w14:paraId="0985010B">
                  <w:pPr>
                    <w:pStyle w:val="5"/>
                    <w:adjustRightInd w:val="0"/>
                    <w:snapToGrid w:val="0"/>
                    <w:ind w:firstLine="0"/>
                    <w:jc w:val="center"/>
                    <w:rPr>
                      <w:b/>
                      <w:bCs/>
                      <w:color w:val="auto"/>
                      <w:kern w:val="0"/>
                      <w:szCs w:val="21"/>
                    </w:rPr>
                  </w:pPr>
                </w:p>
              </w:tc>
              <w:tc>
                <w:tcPr>
                  <w:tcW w:w="677" w:type="pct"/>
                  <w:vMerge w:val="continue"/>
                  <w:vAlign w:val="center"/>
                </w:tcPr>
                <w:p w14:paraId="50468CD4">
                  <w:pPr>
                    <w:pStyle w:val="5"/>
                    <w:adjustRightInd w:val="0"/>
                    <w:snapToGrid w:val="0"/>
                    <w:ind w:firstLine="0"/>
                    <w:jc w:val="center"/>
                    <w:rPr>
                      <w:b/>
                      <w:bCs/>
                      <w:color w:val="auto"/>
                      <w:kern w:val="0"/>
                      <w:szCs w:val="21"/>
                    </w:rPr>
                  </w:pPr>
                </w:p>
              </w:tc>
              <w:tc>
                <w:tcPr>
                  <w:tcW w:w="406" w:type="pct"/>
                  <w:vMerge w:val="continue"/>
                  <w:vAlign w:val="center"/>
                </w:tcPr>
                <w:p w14:paraId="145703D6">
                  <w:pPr>
                    <w:pStyle w:val="5"/>
                    <w:adjustRightInd w:val="0"/>
                    <w:snapToGrid w:val="0"/>
                    <w:ind w:firstLine="0"/>
                    <w:jc w:val="center"/>
                    <w:rPr>
                      <w:b/>
                      <w:bCs/>
                      <w:color w:val="auto"/>
                      <w:kern w:val="0"/>
                      <w:szCs w:val="21"/>
                    </w:rPr>
                  </w:pPr>
                </w:p>
              </w:tc>
              <w:tc>
                <w:tcPr>
                  <w:tcW w:w="880" w:type="pct"/>
                  <w:vMerge w:val="continue"/>
                  <w:vAlign w:val="center"/>
                </w:tcPr>
                <w:p w14:paraId="5BAA17C3">
                  <w:pPr>
                    <w:pStyle w:val="5"/>
                    <w:adjustRightInd w:val="0"/>
                    <w:snapToGrid w:val="0"/>
                    <w:ind w:firstLine="0"/>
                    <w:jc w:val="center"/>
                    <w:rPr>
                      <w:b/>
                      <w:bCs/>
                      <w:color w:val="auto"/>
                      <w:kern w:val="0"/>
                      <w:szCs w:val="21"/>
                    </w:rPr>
                  </w:pPr>
                </w:p>
              </w:tc>
              <w:tc>
                <w:tcPr>
                  <w:tcW w:w="584" w:type="pct"/>
                  <w:vMerge w:val="continue"/>
                  <w:vAlign w:val="center"/>
                </w:tcPr>
                <w:p w14:paraId="375FBD09">
                  <w:pPr>
                    <w:pStyle w:val="5"/>
                    <w:adjustRightInd w:val="0"/>
                    <w:snapToGrid w:val="0"/>
                    <w:ind w:firstLine="0"/>
                    <w:jc w:val="center"/>
                    <w:rPr>
                      <w:b/>
                      <w:bCs/>
                      <w:color w:val="auto"/>
                      <w:kern w:val="0"/>
                      <w:szCs w:val="21"/>
                    </w:rPr>
                  </w:pPr>
                </w:p>
              </w:tc>
              <w:tc>
                <w:tcPr>
                  <w:tcW w:w="601" w:type="pct"/>
                  <w:vAlign w:val="center"/>
                </w:tcPr>
                <w:p w14:paraId="6187FEE3">
                  <w:pPr>
                    <w:pStyle w:val="5"/>
                    <w:adjustRightInd w:val="0"/>
                    <w:snapToGrid w:val="0"/>
                    <w:ind w:firstLine="0"/>
                    <w:jc w:val="center"/>
                    <w:rPr>
                      <w:b/>
                      <w:bCs/>
                      <w:color w:val="auto"/>
                      <w:kern w:val="0"/>
                      <w:szCs w:val="21"/>
                    </w:rPr>
                  </w:pPr>
                  <w:r>
                    <w:rPr>
                      <w:b/>
                      <w:bCs/>
                      <w:color w:val="auto"/>
                      <w:kern w:val="0"/>
                      <w:szCs w:val="21"/>
                    </w:rPr>
                    <w:t>固体废物</w:t>
                  </w:r>
                </w:p>
              </w:tc>
              <w:tc>
                <w:tcPr>
                  <w:tcW w:w="491" w:type="pct"/>
                  <w:vAlign w:val="center"/>
                </w:tcPr>
                <w:p w14:paraId="76EE1473">
                  <w:pPr>
                    <w:pStyle w:val="5"/>
                    <w:adjustRightInd w:val="0"/>
                    <w:snapToGrid w:val="0"/>
                    <w:ind w:firstLine="0"/>
                    <w:jc w:val="center"/>
                    <w:rPr>
                      <w:b/>
                      <w:bCs/>
                      <w:color w:val="auto"/>
                      <w:kern w:val="0"/>
                      <w:szCs w:val="21"/>
                    </w:rPr>
                  </w:pPr>
                  <w:r>
                    <w:rPr>
                      <w:b/>
                      <w:bCs/>
                      <w:color w:val="auto"/>
                      <w:kern w:val="0"/>
                      <w:szCs w:val="21"/>
                    </w:rPr>
                    <w:t>副产品</w:t>
                  </w:r>
                </w:p>
              </w:tc>
              <w:tc>
                <w:tcPr>
                  <w:tcW w:w="640" w:type="pct"/>
                  <w:vAlign w:val="center"/>
                </w:tcPr>
                <w:p w14:paraId="4276C927">
                  <w:pPr>
                    <w:pStyle w:val="5"/>
                    <w:adjustRightInd w:val="0"/>
                    <w:snapToGrid w:val="0"/>
                    <w:ind w:firstLine="0"/>
                    <w:jc w:val="center"/>
                    <w:rPr>
                      <w:b/>
                      <w:bCs/>
                      <w:color w:val="auto"/>
                      <w:kern w:val="0"/>
                      <w:szCs w:val="21"/>
                    </w:rPr>
                  </w:pPr>
                  <w:r>
                    <w:rPr>
                      <w:b/>
                      <w:bCs/>
                      <w:color w:val="auto"/>
                      <w:kern w:val="0"/>
                      <w:szCs w:val="21"/>
                    </w:rPr>
                    <w:t>判定依据</w:t>
                  </w:r>
                </w:p>
              </w:tc>
            </w:tr>
            <w:tr w14:paraId="691B5C2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717" w:type="pct"/>
                  <w:vAlign w:val="center"/>
                </w:tcPr>
                <w:p w14:paraId="6BB4842F">
                  <w:pPr>
                    <w:pStyle w:val="5"/>
                    <w:adjustRightInd w:val="0"/>
                    <w:snapToGrid w:val="0"/>
                    <w:ind w:firstLine="0"/>
                    <w:jc w:val="center"/>
                    <w:rPr>
                      <w:rFonts w:hint="default"/>
                      <w:bCs/>
                      <w:color w:val="auto"/>
                      <w:kern w:val="0"/>
                      <w:szCs w:val="21"/>
                      <w:lang w:val="en-US" w:eastAsia="zh-CN"/>
                    </w:rPr>
                  </w:pPr>
                  <w:r>
                    <w:rPr>
                      <w:rFonts w:hint="eastAsia"/>
                      <w:bCs/>
                      <w:color w:val="auto"/>
                      <w:kern w:val="0"/>
                      <w:szCs w:val="21"/>
                      <w:lang w:val="en-US" w:eastAsia="zh-CN"/>
                    </w:rPr>
                    <w:t>木屑</w:t>
                  </w:r>
                </w:p>
              </w:tc>
              <w:tc>
                <w:tcPr>
                  <w:tcW w:w="677" w:type="pct"/>
                  <w:vAlign w:val="center"/>
                </w:tcPr>
                <w:p w14:paraId="0256F539">
                  <w:pPr>
                    <w:widowControl/>
                    <w:adjustRightInd w:val="0"/>
                    <w:snapToGrid w:val="0"/>
                    <w:jc w:val="center"/>
                    <w:textAlignment w:val="center"/>
                    <w:rPr>
                      <w:rFonts w:hint="default"/>
                      <w:color w:val="auto"/>
                      <w:kern w:val="0"/>
                      <w:lang w:val="en-US" w:eastAsia="zh-CN"/>
                    </w:rPr>
                  </w:pPr>
                  <w:r>
                    <w:rPr>
                      <w:rFonts w:hint="eastAsia"/>
                      <w:color w:val="auto"/>
                      <w:kern w:val="0"/>
                      <w:lang w:val="en-US" w:eastAsia="zh-CN"/>
                    </w:rPr>
                    <w:t>木工</w:t>
                  </w:r>
                </w:p>
              </w:tc>
              <w:tc>
                <w:tcPr>
                  <w:tcW w:w="406" w:type="pct"/>
                  <w:vAlign w:val="center"/>
                </w:tcPr>
                <w:p w14:paraId="1D5223EB">
                  <w:pPr>
                    <w:pStyle w:val="5"/>
                    <w:adjustRightInd w:val="0"/>
                    <w:snapToGrid w:val="0"/>
                    <w:ind w:firstLine="0"/>
                    <w:jc w:val="center"/>
                    <w:rPr>
                      <w:rFonts w:hint="eastAsia" w:eastAsia="宋体"/>
                      <w:color w:val="auto"/>
                      <w:kern w:val="0"/>
                      <w:szCs w:val="21"/>
                      <w:lang w:val="en-US" w:eastAsia="zh-CN"/>
                    </w:rPr>
                  </w:pPr>
                  <w:r>
                    <w:rPr>
                      <w:rFonts w:hint="eastAsia"/>
                      <w:color w:val="auto"/>
                      <w:kern w:val="0"/>
                      <w:szCs w:val="21"/>
                      <w:lang w:val="en-US" w:eastAsia="zh-CN"/>
                    </w:rPr>
                    <w:t>固</w:t>
                  </w:r>
                </w:p>
              </w:tc>
              <w:tc>
                <w:tcPr>
                  <w:tcW w:w="880" w:type="pct"/>
                  <w:vAlign w:val="center"/>
                </w:tcPr>
                <w:p w14:paraId="72ACD66D">
                  <w:pPr>
                    <w:widowControl/>
                    <w:adjustRightInd w:val="0"/>
                    <w:snapToGrid w:val="0"/>
                    <w:jc w:val="center"/>
                    <w:textAlignment w:val="center"/>
                    <w:rPr>
                      <w:rFonts w:hint="default"/>
                      <w:color w:val="auto"/>
                      <w:kern w:val="0"/>
                      <w:lang w:val="en-US" w:eastAsia="zh-CN" w:bidi="ar"/>
                    </w:rPr>
                  </w:pPr>
                  <w:r>
                    <w:rPr>
                      <w:rFonts w:hint="eastAsia"/>
                      <w:color w:val="auto"/>
                      <w:kern w:val="0"/>
                      <w:lang w:val="en-US" w:eastAsia="zh-CN" w:bidi="ar"/>
                    </w:rPr>
                    <w:t>木材</w:t>
                  </w:r>
                </w:p>
              </w:tc>
              <w:tc>
                <w:tcPr>
                  <w:tcW w:w="584" w:type="pct"/>
                  <w:vAlign w:val="center"/>
                </w:tcPr>
                <w:p w14:paraId="0BFD73F0">
                  <w:pPr>
                    <w:pStyle w:val="5"/>
                    <w:adjustRightInd w:val="0"/>
                    <w:snapToGrid w:val="0"/>
                    <w:ind w:firstLine="0"/>
                    <w:jc w:val="center"/>
                    <w:rPr>
                      <w:rFonts w:hint="default"/>
                      <w:color w:val="auto"/>
                      <w:kern w:val="0"/>
                      <w:szCs w:val="21"/>
                      <w:lang w:val="en-US" w:eastAsia="zh-CN"/>
                    </w:rPr>
                  </w:pPr>
                  <w:r>
                    <w:rPr>
                      <w:rFonts w:hint="eastAsia"/>
                      <w:color w:val="auto"/>
                      <w:kern w:val="0"/>
                      <w:szCs w:val="21"/>
                      <w:lang w:val="en-US" w:eastAsia="zh-CN"/>
                    </w:rPr>
                    <w:t>0.65</w:t>
                  </w:r>
                </w:p>
              </w:tc>
              <w:tc>
                <w:tcPr>
                  <w:tcW w:w="601" w:type="pct"/>
                  <w:vAlign w:val="center"/>
                </w:tcPr>
                <w:p w14:paraId="6138E6A8">
                  <w:pPr>
                    <w:pStyle w:val="5"/>
                    <w:adjustRightInd w:val="0"/>
                    <w:snapToGrid w:val="0"/>
                    <w:ind w:firstLine="0" w:firstLineChars="0"/>
                    <w:jc w:val="center"/>
                    <w:rPr>
                      <w:color w:val="auto"/>
                      <w:kern w:val="0"/>
                      <w:szCs w:val="21"/>
                    </w:rPr>
                  </w:pPr>
                  <w:r>
                    <w:rPr>
                      <w:color w:val="auto"/>
                      <w:kern w:val="0"/>
                      <w:szCs w:val="21"/>
                    </w:rPr>
                    <w:t>√</w:t>
                  </w:r>
                </w:p>
              </w:tc>
              <w:tc>
                <w:tcPr>
                  <w:tcW w:w="491" w:type="pct"/>
                  <w:vAlign w:val="center"/>
                </w:tcPr>
                <w:p w14:paraId="568E4946">
                  <w:pPr>
                    <w:pStyle w:val="5"/>
                    <w:adjustRightInd w:val="0"/>
                    <w:snapToGrid w:val="0"/>
                    <w:ind w:firstLine="0" w:firstLineChars="0"/>
                    <w:jc w:val="center"/>
                    <w:rPr>
                      <w:color w:val="auto"/>
                      <w:kern w:val="0"/>
                      <w:szCs w:val="21"/>
                    </w:rPr>
                  </w:pPr>
                  <w:r>
                    <w:rPr>
                      <w:color w:val="auto"/>
                      <w:kern w:val="0"/>
                      <w:szCs w:val="21"/>
                    </w:rPr>
                    <w:t>/</w:t>
                  </w:r>
                </w:p>
              </w:tc>
              <w:tc>
                <w:tcPr>
                  <w:tcW w:w="640" w:type="pct"/>
                  <w:vMerge w:val="restart"/>
                  <w:vAlign w:val="center"/>
                </w:tcPr>
                <w:p w14:paraId="2489BD1F">
                  <w:pPr>
                    <w:pStyle w:val="5"/>
                    <w:adjustRightInd w:val="0"/>
                    <w:snapToGrid w:val="0"/>
                    <w:ind w:firstLine="0"/>
                    <w:jc w:val="center"/>
                    <w:rPr>
                      <w:color w:val="auto"/>
                      <w:kern w:val="0"/>
                      <w:szCs w:val="21"/>
                    </w:rPr>
                  </w:pPr>
                  <w:r>
                    <w:rPr>
                      <w:color w:val="auto"/>
                      <w:kern w:val="0"/>
                      <w:szCs w:val="21"/>
                    </w:rPr>
                    <w:t>固体废物鉴别标准通则（GB34330-2017）</w:t>
                  </w:r>
                </w:p>
              </w:tc>
            </w:tr>
            <w:tr w14:paraId="0CFF04D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717" w:type="pct"/>
                  <w:vAlign w:val="center"/>
                </w:tcPr>
                <w:p w14:paraId="6AB5DD0A">
                  <w:pPr>
                    <w:pStyle w:val="5"/>
                    <w:adjustRightInd w:val="0"/>
                    <w:snapToGrid w:val="0"/>
                    <w:ind w:firstLine="0"/>
                    <w:jc w:val="center"/>
                    <w:rPr>
                      <w:rFonts w:hint="default"/>
                      <w:bCs/>
                      <w:color w:val="auto"/>
                      <w:kern w:val="0"/>
                      <w:szCs w:val="21"/>
                      <w:lang w:val="en-US" w:eastAsia="zh-CN"/>
                    </w:rPr>
                  </w:pPr>
                  <w:r>
                    <w:rPr>
                      <w:rFonts w:hint="eastAsia"/>
                      <w:bCs/>
                      <w:color w:val="auto"/>
                      <w:kern w:val="0"/>
                      <w:szCs w:val="21"/>
                      <w:lang w:val="en-US" w:eastAsia="zh-CN"/>
                    </w:rPr>
                    <w:t>边角料</w:t>
                  </w:r>
                </w:p>
              </w:tc>
              <w:tc>
                <w:tcPr>
                  <w:tcW w:w="677" w:type="pct"/>
                  <w:vAlign w:val="center"/>
                </w:tcPr>
                <w:p w14:paraId="6EF187EA">
                  <w:pPr>
                    <w:widowControl/>
                    <w:adjustRightInd w:val="0"/>
                    <w:snapToGrid w:val="0"/>
                    <w:jc w:val="center"/>
                    <w:textAlignment w:val="center"/>
                    <w:rPr>
                      <w:rFonts w:hint="default"/>
                      <w:color w:val="auto"/>
                      <w:kern w:val="0"/>
                      <w:lang w:val="en-US" w:eastAsia="zh-CN"/>
                    </w:rPr>
                  </w:pPr>
                  <w:r>
                    <w:rPr>
                      <w:rFonts w:hint="eastAsia"/>
                      <w:color w:val="auto"/>
                      <w:kern w:val="0"/>
                      <w:lang w:val="en-US" w:eastAsia="zh-CN"/>
                    </w:rPr>
                    <w:t>木工</w:t>
                  </w:r>
                </w:p>
              </w:tc>
              <w:tc>
                <w:tcPr>
                  <w:tcW w:w="406" w:type="pct"/>
                  <w:vAlign w:val="center"/>
                </w:tcPr>
                <w:p w14:paraId="601A0BFF">
                  <w:pPr>
                    <w:adjustRightInd w:val="0"/>
                    <w:snapToGrid w:val="0"/>
                    <w:ind w:firstLine="0"/>
                    <w:jc w:val="center"/>
                    <w:rPr>
                      <w:rFonts w:hint="eastAsia"/>
                      <w:color w:val="auto"/>
                      <w:kern w:val="0"/>
                      <w:szCs w:val="21"/>
                      <w:lang w:val="en-US" w:eastAsia="zh-CN"/>
                    </w:rPr>
                  </w:pPr>
                  <w:r>
                    <w:rPr>
                      <w:rFonts w:hint="eastAsia"/>
                      <w:color w:val="auto"/>
                      <w:kern w:val="0"/>
                      <w:szCs w:val="21"/>
                      <w:lang w:val="en-US" w:eastAsia="zh-CN"/>
                    </w:rPr>
                    <w:t>固</w:t>
                  </w:r>
                </w:p>
              </w:tc>
              <w:tc>
                <w:tcPr>
                  <w:tcW w:w="880" w:type="pct"/>
                  <w:vAlign w:val="center"/>
                </w:tcPr>
                <w:p w14:paraId="1502D826">
                  <w:pPr>
                    <w:widowControl/>
                    <w:adjustRightInd w:val="0"/>
                    <w:snapToGrid w:val="0"/>
                    <w:jc w:val="center"/>
                    <w:textAlignment w:val="center"/>
                    <w:rPr>
                      <w:rFonts w:hint="default"/>
                      <w:color w:val="auto"/>
                      <w:kern w:val="0"/>
                      <w:lang w:val="en-US" w:eastAsia="zh-CN" w:bidi="ar"/>
                    </w:rPr>
                  </w:pPr>
                  <w:r>
                    <w:rPr>
                      <w:rFonts w:hint="eastAsia"/>
                      <w:color w:val="auto"/>
                      <w:kern w:val="0"/>
                      <w:lang w:val="en-US" w:eastAsia="zh-CN" w:bidi="ar"/>
                    </w:rPr>
                    <w:t>木材</w:t>
                  </w:r>
                </w:p>
              </w:tc>
              <w:tc>
                <w:tcPr>
                  <w:tcW w:w="584" w:type="pct"/>
                  <w:vAlign w:val="center"/>
                </w:tcPr>
                <w:p w14:paraId="7D80CE7D">
                  <w:pPr>
                    <w:pStyle w:val="5"/>
                    <w:adjustRightInd w:val="0"/>
                    <w:snapToGrid w:val="0"/>
                    <w:ind w:firstLine="0"/>
                    <w:jc w:val="center"/>
                    <w:rPr>
                      <w:rFonts w:hint="default"/>
                      <w:color w:val="auto"/>
                      <w:kern w:val="0"/>
                      <w:szCs w:val="21"/>
                      <w:lang w:val="en-US" w:eastAsia="zh-CN"/>
                    </w:rPr>
                  </w:pPr>
                  <w:r>
                    <w:rPr>
                      <w:rFonts w:hint="eastAsia"/>
                      <w:color w:val="auto"/>
                      <w:kern w:val="0"/>
                      <w:szCs w:val="21"/>
                      <w:lang w:val="en-US" w:eastAsia="zh-CN"/>
                    </w:rPr>
                    <w:t>6.55</w:t>
                  </w:r>
                </w:p>
              </w:tc>
              <w:tc>
                <w:tcPr>
                  <w:tcW w:w="601" w:type="pct"/>
                  <w:vAlign w:val="center"/>
                </w:tcPr>
                <w:p w14:paraId="75D1A81B">
                  <w:pPr>
                    <w:pStyle w:val="5"/>
                    <w:adjustRightInd w:val="0"/>
                    <w:snapToGrid w:val="0"/>
                    <w:ind w:firstLine="0" w:firstLineChars="0"/>
                    <w:jc w:val="center"/>
                    <w:rPr>
                      <w:color w:val="auto"/>
                      <w:kern w:val="0"/>
                      <w:szCs w:val="21"/>
                    </w:rPr>
                  </w:pPr>
                  <w:r>
                    <w:rPr>
                      <w:color w:val="auto"/>
                      <w:kern w:val="0"/>
                      <w:szCs w:val="21"/>
                    </w:rPr>
                    <w:t>√</w:t>
                  </w:r>
                </w:p>
              </w:tc>
              <w:tc>
                <w:tcPr>
                  <w:tcW w:w="491" w:type="pct"/>
                  <w:vAlign w:val="center"/>
                </w:tcPr>
                <w:p w14:paraId="72BEC936">
                  <w:pPr>
                    <w:pStyle w:val="5"/>
                    <w:adjustRightInd w:val="0"/>
                    <w:snapToGrid w:val="0"/>
                    <w:ind w:firstLine="0" w:firstLineChars="0"/>
                    <w:jc w:val="center"/>
                    <w:rPr>
                      <w:color w:val="auto"/>
                      <w:kern w:val="0"/>
                      <w:szCs w:val="21"/>
                    </w:rPr>
                  </w:pPr>
                  <w:r>
                    <w:rPr>
                      <w:color w:val="auto"/>
                      <w:kern w:val="0"/>
                      <w:szCs w:val="21"/>
                    </w:rPr>
                    <w:t>/</w:t>
                  </w:r>
                </w:p>
              </w:tc>
              <w:tc>
                <w:tcPr>
                  <w:tcW w:w="640" w:type="pct"/>
                  <w:vMerge w:val="continue"/>
                  <w:vAlign w:val="center"/>
                </w:tcPr>
                <w:p w14:paraId="38F43D36">
                  <w:pPr>
                    <w:pStyle w:val="5"/>
                    <w:adjustRightInd w:val="0"/>
                    <w:snapToGrid w:val="0"/>
                    <w:ind w:firstLine="0"/>
                    <w:jc w:val="center"/>
                    <w:rPr>
                      <w:color w:val="auto"/>
                      <w:kern w:val="0"/>
                      <w:szCs w:val="21"/>
                    </w:rPr>
                  </w:pPr>
                </w:p>
              </w:tc>
            </w:tr>
            <w:tr w14:paraId="61EEF3D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717" w:type="pct"/>
                  <w:vAlign w:val="center"/>
                </w:tcPr>
                <w:p w14:paraId="67C2FD70">
                  <w:pPr>
                    <w:pStyle w:val="5"/>
                    <w:adjustRightInd w:val="0"/>
                    <w:snapToGrid w:val="0"/>
                    <w:ind w:firstLine="0"/>
                    <w:jc w:val="center"/>
                    <w:rPr>
                      <w:rFonts w:hint="default"/>
                      <w:bCs/>
                      <w:color w:val="auto"/>
                      <w:kern w:val="0"/>
                      <w:szCs w:val="21"/>
                      <w:lang w:val="en-US" w:eastAsia="zh-CN"/>
                    </w:rPr>
                  </w:pPr>
                  <w:r>
                    <w:rPr>
                      <w:rFonts w:hint="eastAsia"/>
                      <w:bCs/>
                      <w:color w:val="auto"/>
                      <w:kern w:val="0"/>
                      <w:szCs w:val="21"/>
                      <w:lang w:val="en-US" w:eastAsia="zh-CN"/>
                    </w:rPr>
                    <w:t>废抹布</w:t>
                  </w:r>
                </w:p>
              </w:tc>
              <w:tc>
                <w:tcPr>
                  <w:tcW w:w="677" w:type="pct"/>
                  <w:vAlign w:val="center"/>
                </w:tcPr>
                <w:p w14:paraId="760C4F3F">
                  <w:pPr>
                    <w:widowControl/>
                    <w:adjustRightInd w:val="0"/>
                    <w:snapToGrid w:val="0"/>
                    <w:jc w:val="center"/>
                    <w:textAlignment w:val="center"/>
                    <w:rPr>
                      <w:rFonts w:hint="default"/>
                      <w:color w:val="auto"/>
                      <w:kern w:val="0"/>
                      <w:lang w:val="en-US" w:eastAsia="zh-CN"/>
                    </w:rPr>
                  </w:pPr>
                  <w:r>
                    <w:rPr>
                      <w:rFonts w:hint="eastAsia"/>
                      <w:color w:val="auto"/>
                      <w:kern w:val="0"/>
                      <w:lang w:val="en-US" w:eastAsia="zh-CN"/>
                    </w:rPr>
                    <w:t>清理</w:t>
                  </w:r>
                </w:p>
              </w:tc>
              <w:tc>
                <w:tcPr>
                  <w:tcW w:w="406" w:type="pct"/>
                  <w:vAlign w:val="center"/>
                </w:tcPr>
                <w:p w14:paraId="2DBDCC6F">
                  <w:pPr>
                    <w:adjustRightInd w:val="0"/>
                    <w:snapToGrid w:val="0"/>
                    <w:ind w:firstLine="0"/>
                    <w:jc w:val="center"/>
                    <w:rPr>
                      <w:rFonts w:hint="eastAsia"/>
                      <w:color w:val="auto"/>
                      <w:kern w:val="0"/>
                      <w:szCs w:val="21"/>
                      <w:lang w:val="en-US" w:eastAsia="zh-CN"/>
                    </w:rPr>
                  </w:pPr>
                  <w:r>
                    <w:rPr>
                      <w:rFonts w:hint="eastAsia"/>
                      <w:color w:val="auto"/>
                      <w:kern w:val="0"/>
                      <w:szCs w:val="21"/>
                      <w:lang w:val="en-US" w:eastAsia="zh-CN"/>
                    </w:rPr>
                    <w:t>固</w:t>
                  </w:r>
                </w:p>
              </w:tc>
              <w:tc>
                <w:tcPr>
                  <w:tcW w:w="880" w:type="pct"/>
                  <w:vAlign w:val="center"/>
                </w:tcPr>
                <w:p w14:paraId="1826EFDA">
                  <w:pPr>
                    <w:widowControl/>
                    <w:adjustRightInd w:val="0"/>
                    <w:snapToGrid w:val="0"/>
                    <w:jc w:val="center"/>
                    <w:textAlignment w:val="center"/>
                    <w:rPr>
                      <w:rFonts w:hint="default"/>
                      <w:color w:val="auto"/>
                      <w:kern w:val="0"/>
                      <w:lang w:val="en-US" w:eastAsia="zh-CN" w:bidi="ar"/>
                    </w:rPr>
                  </w:pPr>
                  <w:r>
                    <w:rPr>
                      <w:rFonts w:hint="eastAsia"/>
                      <w:color w:val="auto"/>
                      <w:kern w:val="0"/>
                      <w:lang w:val="en-US" w:eastAsia="zh-CN" w:bidi="ar"/>
                    </w:rPr>
                    <w:t>抹布</w:t>
                  </w:r>
                </w:p>
              </w:tc>
              <w:tc>
                <w:tcPr>
                  <w:tcW w:w="584" w:type="pct"/>
                  <w:vAlign w:val="center"/>
                </w:tcPr>
                <w:p w14:paraId="6230FBD1">
                  <w:pPr>
                    <w:pStyle w:val="5"/>
                    <w:adjustRightInd w:val="0"/>
                    <w:snapToGrid w:val="0"/>
                    <w:ind w:firstLine="0"/>
                    <w:jc w:val="center"/>
                    <w:rPr>
                      <w:rFonts w:hint="default"/>
                      <w:color w:val="auto"/>
                      <w:kern w:val="0"/>
                      <w:szCs w:val="21"/>
                      <w:lang w:val="en-US" w:eastAsia="zh-CN"/>
                    </w:rPr>
                  </w:pPr>
                  <w:r>
                    <w:rPr>
                      <w:rFonts w:hint="eastAsia"/>
                      <w:color w:val="auto"/>
                      <w:kern w:val="0"/>
                      <w:szCs w:val="21"/>
                      <w:lang w:val="en-US" w:eastAsia="zh-CN"/>
                    </w:rPr>
                    <w:t>0.6</w:t>
                  </w:r>
                </w:p>
              </w:tc>
              <w:tc>
                <w:tcPr>
                  <w:tcW w:w="601" w:type="pct"/>
                  <w:vAlign w:val="center"/>
                </w:tcPr>
                <w:p w14:paraId="0FFE588D">
                  <w:pPr>
                    <w:pStyle w:val="5"/>
                    <w:adjustRightInd w:val="0"/>
                    <w:snapToGrid w:val="0"/>
                    <w:ind w:firstLine="0" w:firstLineChars="0"/>
                    <w:jc w:val="center"/>
                    <w:rPr>
                      <w:color w:val="auto"/>
                      <w:kern w:val="0"/>
                      <w:szCs w:val="21"/>
                    </w:rPr>
                  </w:pPr>
                  <w:r>
                    <w:rPr>
                      <w:color w:val="auto"/>
                      <w:kern w:val="0"/>
                      <w:szCs w:val="21"/>
                    </w:rPr>
                    <w:t>√</w:t>
                  </w:r>
                </w:p>
              </w:tc>
              <w:tc>
                <w:tcPr>
                  <w:tcW w:w="491" w:type="pct"/>
                  <w:vAlign w:val="center"/>
                </w:tcPr>
                <w:p w14:paraId="7E783E74">
                  <w:pPr>
                    <w:pStyle w:val="5"/>
                    <w:adjustRightInd w:val="0"/>
                    <w:snapToGrid w:val="0"/>
                    <w:ind w:firstLine="0" w:firstLineChars="0"/>
                    <w:jc w:val="center"/>
                    <w:rPr>
                      <w:color w:val="auto"/>
                      <w:kern w:val="0"/>
                      <w:szCs w:val="21"/>
                    </w:rPr>
                  </w:pPr>
                  <w:r>
                    <w:rPr>
                      <w:color w:val="auto"/>
                      <w:kern w:val="0"/>
                      <w:szCs w:val="21"/>
                    </w:rPr>
                    <w:t>/</w:t>
                  </w:r>
                </w:p>
              </w:tc>
              <w:tc>
                <w:tcPr>
                  <w:tcW w:w="640" w:type="pct"/>
                  <w:vMerge w:val="continue"/>
                  <w:vAlign w:val="center"/>
                </w:tcPr>
                <w:p w14:paraId="73186A7B">
                  <w:pPr>
                    <w:pStyle w:val="5"/>
                    <w:adjustRightInd w:val="0"/>
                    <w:snapToGrid w:val="0"/>
                    <w:ind w:firstLine="0"/>
                    <w:jc w:val="center"/>
                    <w:rPr>
                      <w:color w:val="auto"/>
                      <w:kern w:val="0"/>
                      <w:szCs w:val="21"/>
                    </w:rPr>
                  </w:pPr>
                </w:p>
              </w:tc>
            </w:tr>
            <w:tr w14:paraId="4C55F2D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717" w:type="pct"/>
                  <w:vAlign w:val="center"/>
                </w:tcPr>
                <w:p w14:paraId="40497FBA">
                  <w:pPr>
                    <w:pStyle w:val="5"/>
                    <w:adjustRightInd w:val="0"/>
                    <w:snapToGrid w:val="0"/>
                    <w:ind w:firstLine="0"/>
                    <w:jc w:val="center"/>
                    <w:rPr>
                      <w:rFonts w:hint="default"/>
                      <w:bCs/>
                      <w:color w:val="auto"/>
                      <w:kern w:val="0"/>
                      <w:szCs w:val="21"/>
                      <w:lang w:val="en-US" w:eastAsia="zh-CN"/>
                    </w:rPr>
                  </w:pPr>
                  <w:r>
                    <w:rPr>
                      <w:rFonts w:hint="eastAsia"/>
                      <w:bCs/>
                      <w:color w:val="auto"/>
                      <w:kern w:val="0"/>
                      <w:szCs w:val="21"/>
                      <w:lang w:val="en-US" w:eastAsia="zh-CN"/>
                    </w:rPr>
                    <w:t>废砂纸</w:t>
                  </w:r>
                </w:p>
              </w:tc>
              <w:tc>
                <w:tcPr>
                  <w:tcW w:w="677" w:type="pct"/>
                  <w:vAlign w:val="center"/>
                </w:tcPr>
                <w:p w14:paraId="36A2E045">
                  <w:pPr>
                    <w:widowControl/>
                    <w:adjustRightInd w:val="0"/>
                    <w:snapToGrid w:val="0"/>
                    <w:jc w:val="center"/>
                    <w:textAlignment w:val="center"/>
                    <w:rPr>
                      <w:rFonts w:hint="default"/>
                      <w:color w:val="auto"/>
                      <w:kern w:val="0"/>
                      <w:lang w:val="en-US" w:eastAsia="zh-CN"/>
                    </w:rPr>
                  </w:pPr>
                  <w:r>
                    <w:rPr>
                      <w:rFonts w:hint="eastAsia"/>
                      <w:color w:val="auto"/>
                      <w:kern w:val="0"/>
                      <w:lang w:val="en-US" w:eastAsia="zh-CN"/>
                    </w:rPr>
                    <w:t>砂磨</w:t>
                  </w:r>
                </w:p>
              </w:tc>
              <w:tc>
                <w:tcPr>
                  <w:tcW w:w="406" w:type="pct"/>
                  <w:vAlign w:val="center"/>
                </w:tcPr>
                <w:p w14:paraId="7EAE6EA5">
                  <w:pPr>
                    <w:adjustRightInd w:val="0"/>
                    <w:snapToGrid w:val="0"/>
                    <w:ind w:firstLine="0"/>
                    <w:jc w:val="center"/>
                    <w:rPr>
                      <w:rFonts w:hint="eastAsia"/>
                      <w:color w:val="auto"/>
                      <w:kern w:val="0"/>
                      <w:szCs w:val="21"/>
                      <w:lang w:val="en-US" w:eastAsia="zh-CN"/>
                    </w:rPr>
                  </w:pPr>
                  <w:r>
                    <w:rPr>
                      <w:rFonts w:hint="eastAsia"/>
                      <w:color w:val="auto"/>
                      <w:kern w:val="0"/>
                      <w:szCs w:val="21"/>
                      <w:lang w:val="en-US" w:eastAsia="zh-CN"/>
                    </w:rPr>
                    <w:t>固</w:t>
                  </w:r>
                </w:p>
              </w:tc>
              <w:tc>
                <w:tcPr>
                  <w:tcW w:w="880" w:type="pct"/>
                  <w:vAlign w:val="center"/>
                </w:tcPr>
                <w:p w14:paraId="77B3E071">
                  <w:pPr>
                    <w:widowControl/>
                    <w:adjustRightInd w:val="0"/>
                    <w:snapToGrid w:val="0"/>
                    <w:jc w:val="center"/>
                    <w:textAlignment w:val="center"/>
                    <w:rPr>
                      <w:rFonts w:hint="default"/>
                      <w:color w:val="auto"/>
                      <w:kern w:val="0"/>
                      <w:lang w:val="en-US" w:eastAsia="zh-CN" w:bidi="ar"/>
                    </w:rPr>
                  </w:pPr>
                  <w:r>
                    <w:rPr>
                      <w:rFonts w:hint="eastAsia"/>
                      <w:color w:val="auto"/>
                      <w:kern w:val="0"/>
                      <w:lang w:val="en-US" w:eastAsia="zh-CN" w:bidi="ar"/>
                    </w:rPr>
                    <w:t>砂纸</w:t>
                  </w:r>
                </w:p>
              </w:tc>
              <w:tc>
                <w:tcPr>
                  <w:tcW w:w="584" w:type="pct"/>
                  <w:vAlign w:val="center"/>
                </w:tcPr>
                <w:p w14:paraId="2EA29C80">
                  <w:pPr>
                    <w:pStyle w:val="5"/>
                    <w:adjustRightInd w:val="0"/>
                    <w:snapToGrid w:val="0"/>
                    <w:ind w:firstLine="0"/>
                    <w:jc w:val="center"/>
                    <w:rPr>
                      <w:rFonts w:hint="default"/>
                      <w:color w:val="auto"/>
                      <w:kern w:val="0"/>
                      <w:szCs w:val="21"/>
                      <w:lang w:val="en-US" w:eastAsia="zh-CN"/>
                    </w:rPr>
                  </w:pPr>
                  <w:r>
                    <w:rPr>
                      <w:rFonts w:hint="eastAsia"/>
                      <w:color w:val="auto"/>
                      <w:kern w:val="0"/>
                      <w:szCs w:val="21"/>
                      <w:lang w:val="en-US" w:eastAsia="zh-CN"/>
                    </w:rPr>
                    <w:t>2</w:t>
                  </w:r>
                </w:p>
              </w:tc>
              <w:tc>
                <w:tcPr>
                  <w:tcW w:w="601" w:type="pct"/>
                  <w:vAlign w:val="center"/>
                </w:tcPr>
                <w:p w14:paraId="1A556083">
                  <w:pPr>
                    <w:pStyle w:val="5"/>
                    <w:adjustRightInd w:val="0"/>
                    <w:snapToGrid w:val="0"/>
                    <w:ind w:firstLine="0" w:firstLineChars="0"/>
                    <w:jc w:val="center"/>
                    <w:rPr>
                      <w:color w:val="auto"/>
                      <w:kern w:val="0"/>
                      <w:szCs w:val="21"/>
                    </w:rPr>
                  </w:pPr>
                  <w:r>
                    <w:rPr>
                      <w:color w:val="auto"/>
                      <w:kern w:val="0"/>
                      <w:szCs w:val="21"/>
                    </w:rPr>
                    <w:t>√</w:t>
                  </w:r>
                </w:p>
              </w:tc>
              <w:tc>
                <w:tcPr>
                  <w:tcW w:w="491" w:type="pct"/>
                  <w:vAlign w:val="center"/>
                </w:tcPr>
                <w:p w14:paraId="1050135E">
                  <w:pPr>
                    <w:pStyle w:val="5"/>
                    <w:adjustRightInd w:val="0"/>
                    <w:snapToGrid w:val="0"/>
                    <w:ind w:firstLine="0" w:firstLineChars="0"/>
                    <w:jc w:val="center"/>
                    <w:rPr>
                      <w:color w:val="auto"/>
                      <w:kern w:val="0"/>
                      <w:szCs w:val="21"/>
                    </w:rPr>
                  </w:pPr>
                  <w:r>
                    <w:rPr>
                      <w:color w:val="auto"/>
                      <w:kern w:val="0"/>
                      <w:szCs w:val="21"/>
                    </w:rPr>
                    <w:t>/</w:t>
                  </w:r>
                </w:p>
              </w:tc>
              <w:tc>
                <w:tcPr>
                  <w:tcW w:w="640" w:type="pct"/>
                  <w:vMerge w:val="continue"/>
                  <w:vAlign w:val="center"/>
                </w:tcPr>
                <w:p w14:paraId="2FC9DB1B">
                  <w:pPr>
                    <w:pStyle w:val="5"/>
                    <w:adjustRightInd w:val="0"/>
                    <w:snapToGrid w:val="0"/>
                    <w:ind w:firstLine="0"/>
                    <w:jc w:val="center"/>
                    <w:rPr>
                      <w:color w:val="auto"/>
                      <w:kern w:val="0"/>
                      <w:szCs w:val="21"/>
                    </w:rPr>
                  </w:pPr>
                </w:p>
              </w:tc>
            </w:tr>
            <w:tr w14:paraId="5844BC3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717" w:type="pct"/>
                  <w:vAlign w:val="center"/>
                </w:tcPr>
                <w:p w14:paraId="6563AEDC">
                  <w:pPr>
                    <w:pStyle w:val="5"/>
                    <w:adjustRightInd w:val="0"/>
                    <w:snapToGrid w:val="0"/>
                    <w:ind w:firstLine="0"/>
                    <w:jc w:val="center"/>
                    <w:rPr>
                      <w:rFonts w:hint="eastAsia" w:eastAsia="宋体"/>
                      <w:bCs/>
                      <w:color w:val="auto"/>
                      <w:kern w:val="0"/>
                      <w:szCs w:val="21"/>
                      <w:lang w:eastAsia="zh-CN"/>
                    </w:rPr>
                  </w:pPr>
                  <w:r>
                    <w:rPr>
                      <w:rFonts w:hint="eastAsia"/>
                      <w:bCs/>
                      <w:color w:val="auto"/>
                      <w:kern w:val="0"/>
                      <w:szCs w:val="21"/>
                      <w:lang w:val="en-US" w:eastAsia="zh-CN"/>
                    </w:rPr>
                    <w:t>收集尘</w:t>
                  </w:r>
                </w:p>
              </w:tc>
              <w:tc>
                <w:tcPr>
                  <w:tcW w:w="677" w:type="pct"/>
                  <w:vAlign w:val="center"/>
                </w:tcPr>
                <w:p w14:paraId="5D83E666">
                  <w:pPr>
                    <w:widowControl/>
                    <w:adjustRightInd w:val="0"/>
                    <w:snapToGrid w:val="0"/>
                    <w:jc w:val="center"/>
                    <w:textAlignment w:val="center"/>
                    <w:rPr>
                      <w:rFonts w:hint="eastAsia" w:eastAsia="宋体"/>
                      <w:color w:val="auto"/>
                      <w:kern w:val="0"/>
                      <w:lang w:eastAsia="zh-CN"/>
                    </w:rPr>
                  </w:pPr>
                  <w:r>
                    <w:rPr>
                      <w:rFonts w:hint="eastAsia"/>
                      <w:color w:val="auto"/>
                      <w:kern w:val="0"/>
                      <w:lang w:val="en-US" w:eastAsia="zh-CN"/>
                    </w:rPr>
                    <w:t>废气治理</w:t>
                  </w:r>
                </w:p>
              </w:tc>
              <w:tc>
                <w:tcPr>
                  <w:tcW w:w="406" w:type="pct"/>
                  <w:vAlign w:val="center"/>
                </w:tcPr>
                <w:p w14:paraId="15AE18E1">
                  <w:pPr>
                    <w:pStyle w:val="5"/>
                    <w:adjustRightInd w:val="0"/>
                    <w:snapToGrid w:val="0"/>
                    <w:ind w:firstLine="0"/>
                    <w:jc w:val="center"/>
                    <w:rPr>
                      <w:color w:val="auto"/>
                      <w:kern w:val="0"/>
                      <w:szCs w:val="21"/>
                    </w:rPr>
                  </w:pPr>
                  <w:r>
                    <w:rPr>
                      <w:color w:val="auto"/>
                      <w:kern w:val="0"/>
                      <w:szCs w:val="21"/>
                    </w:rPr>
                    <w:t>固</w:t>
                  </w:r>
                </w:p>
              </w:tc>
              <w:tc>
                <w:tcPr>
                  <w:tcW w:w="880" w:type="pct"/>
                  <w:vAlign w:val="center"/>
                </w:tcPr>
                <w:p w14:paraId="61CB1292">
                  <w:pPr>
                    <w:widowControl/>
                    <w:adjustRightInd w:val="0"/>
                    <w:snapToGrid w:val="0"/>
                    <w:jc w:val="center"/>
                    <w:textAlignment w:val="center"/>
                    <w:rPr>
                      <w:rFonts w:hint="default" w:eastAsia="宋体"/>
                      <w:color w:val="auto"/>
                      <w:kern w:val="0"/>
                      <w:lang w:val="en-US" w:eastAsia="zh-CN" w:bidi="ar"/>
                    </w:rPr>
                  </w:pPr>
                  <w:r>
                    <w:rPr>
                      <w:rFonts w:hint="eastAsia"/>
                      <w:color w:val="auto"/>
                      <w:kern w:val="0"/>
                      <w:lang w:val="en-US" w:eastAsia="zh-CN" w:bidi="ar"/>
                    </w:rPr>
                    <w:t>颗粒物</w:t>
                  </w:r>
                </w:p>
              </w:tc>
              <w:tc>
                <w:tcPr>
                  <w:tcW w:w="584" w:type="pct"/>
                  <w:vAlign w:val="center"/>
                </w:tcPr>
                <w:p w14:paraId="2DE787D1">
                  <w:pPr>
                    <w:pStyle w:val="5"/>
                    <w:adjustRightInd w:val="0"/>
                    <w:snapToGrid w:val="0"/>
                    <w:ind w:firstLine="0"/>
                    <w:jc w:val="center"/>
                    <w:rPr>
                      <w:rFonts w:hint="default" w:eastAsia="宋体"/>
                      <w:color w:val="auto"/>
                      <w:kern w:val="0"/>
                      <w:szCs w:val="21"/>
                      <w:lang w:val="en-US" w:eastAsia="zh-CN"/>
                    </w:rPr>
                  </w:pPr>
                  <w:r>
                    <w:rPr>
                      <w:rFonts w:hint="eastAsia"/>
                      <w:color w:val="auto"/>
                      <w:kern w:val="0"/>
                      <w:szCs w:val="21"/>
                      <w:lang w:val="en-US" w:eastAsia="zh-CN"/>
                    </w:rPr>
                    <w:t>0.168</w:t>
                  </w:r>
                </w:p>
              </w:tc>
              <w:tc>
                <w:tcPr>
                  <w:tcW w:w="601" w:type="pct"/>
                  <w:vAlign w:val="center"/>
                </w:tcPr>
                <w:p w14:paraId="1C0750D2">
                  <w:pPr>
                    <w:pStyle w:val="5"/>
                    <w:adjustRightInd w:val="0"/>
                    <w:snapToGrid w:val="0"/>
                    <w:ind w:firstLine="0"/>
                    <w:jc w:val="center"/>
                    <w:rPr>
                      <w:color w:val="auto"/>
                      <w:kern w:val="0"/>
                      <w:szCs w:val="21"/>
                    </w:rPr>
                  </w:pPr>
                  <w:r>
                    <w:rPr>
                      <w:color w:val="auto"/>
                      <w:kern w:val="0"/>
                      <w:szCs w:val="21"/>
                    </w:rPr>
                    <w:t>√</w:t>
                  </w:r>
                </w:p>
              </w:tc>
              <w:tc>
                <w:tcPr>
                  <w:tcW w:w="491" w:type="pct"/>
                  <w:vAlign w:val="center"/>
                </w:tcPr>
                <w:p w14:paraId="3F29CEFB">
                  <w:pPr>
                    <w:pStyle w:val="5"/>
                    <w:adjustRightInd w:val="0"/>
                    <w:snapToGrid w:val="0"/>
                    <w:ind w:firstLine="0"/>
                    <w:jc w:val="center"/>
                    <w:rPr>
                      <w:color w:val="auto"/>
                      <w:kern w:val="0"/>
                      <w:szCs w:val="21"/>
                    </w:rPr>
                  </w:pPr>
                  <w:r>
                    <w:rPr>
                      <w:color w:val="auto"/>
                      <w:kern w:val="0"/>
                      <w:szCs w:val="21"/>
                    </w:rPr>
                    <w:t>/</w:t>
                  </w:r>
                </w:p>
              </w:tc>
              <w:tc>
                <w:tcPr>
                  <w:tcW w:w="640" w:type="pct"/>
                  <w:vMerge w:val="continue"/>
                  <w:vAlign w:val="center"/>
                </w:tcPr>
                <w:p w14:paraId="22C945A3">
                  <w:pPr>
                    <w:pStyle w:val="5"/>
                    <w:adjustRightInd w:val="0"/>
                    <w:snapToGrid w:val="0"/>
                    <w:ind w:firstLine="0"/>
                    <w:jc w:val="center"/>
                    <w:rPr>
                      <w:color w:val="auto"/>
                      <w:kern w:val="0"/>
                      <w:szCs w:val="21"/>
                    </w:rPr>
                  </w:pPr>
                </w:p>
              </w:tc>
            </w:tr>
            <w:tr w14:paraId="301849C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717" w:type="pct"/>
                  <w:vAlign w:val="center"/>
                </w:tcPr>
                <w:p w14:paraId="463E27E7">
                  <w:pPr>
                    <w:pStyle w:val="5"/>
                    <w:adjustRightInd w:val="0"/>
                    <w:snapToGrid w:val="0"/>
                    <w:ind w:firstLine="0"/>
                    <w:jc w:val="center"/>
                    <w:rPr>
                      <w:rFonts w:hint="default"/>
                      <w:bCs/>
                      <w:color w:val="auto"/>
                      <w:kern w:val="0"/>
                      <w:szCs w:val="21"/>
                      <w:lang w:val="en-US" w:eastAsia="zh-CN"/>
                    </w:rPr>
                  </w:pPr>
                  <w:r>
                    <w:rPr>
                      <w:rFonts w:hint="eastAsia"/>
                      <w:bCs/>
                      <w:color w:val="auto"/>
                      <w:kern w:val="0"/>
                      <w:szCs w:val="21"/>
                      <w:lang w:val="en-US" w:eastAsia="zh-CN"/>
                    </w:rPr>
                    <w:t>废布袋</w:t>
                  </w:r>
                </w:p>
              </w:tc>
              <w:tc>
                <w:tcPr>
                  <w:tcW w:w="677" w:type="pct"/>
                  <w:vAlign w:val="center"/>
                </w:tcPr>
                <w:p w14:paraId="654A305B">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rPr>
                    <w:t>废气治理</w:t>
                  </w:r>
                </w:p>
              </w:tc>
              <w:tc>
                <w:tcPr>
                  <w:tcW w:w="406" w:type="pct"/>
                  <w:vAlign w:val="center"/>
                </w:tcPr>
                <w:p w14:paraId="5C48FE72">
                  <w:pPr>
                    <w:pStyle w:val="5"/>
                    <w:adjustRightInd w:val="0"/>
                    <w:snapToGrid w:val="0"/>
                    <w:ind w:firstLine="0"/>
                    <w:jc w:val="center"/>
                    <w:rPr>
                      <w:rFonts w:hint="eastAsia" w:eastAsia="宋体"/>
                      <w:color w:val="auto"/>
                      <w:kern w:val="0"/>
                      <w:szCs w:val="21"/>
                      <w:lang w:val="en-US" w:eastAsia="zh-CN"/>
                    </w:rPr>
                  </w:pPr>
                  <w:r>
                    <w:rPr>
                      <w:rFonts w:hint="eastAsia"/>
                      <w:color w:val="auto"/>
                      <w:kern w:val="0"/>
                      <w:szCs w:val="21"/>
                      <w:lang w:val="en-US" w:eastAsia="zh-CN"/>
                    </w:rPr>
                    <w:t>固</w:t>
                  </w:r>
                </w:p>
              </w:tc>
              <w:tc>
                <w:tcPr>
                  <w:tcW w:w="880" w:type="pct"/>
                  <w:vAlign w:val="center"/>
                </w:tcPr>
                <w:p w14:paraId="217E250B">
                  <w:pPr>
                    <w:widowControl/>
                    <w:adjustRightInd w:val="0"/>
                    <w:snapToGrid w:val="0"/>
                    <w:jc w:val="center"/>
                    <w:textAlignment w:val="center"/>
                    <w:rPr>
                      <w:rFonts w:hint="default"/>
                      <w:color w:val="auto"/>
                      <w:kern w:val="0"/>
                      <w:lang w:val="en-US" w:eastAsia="zh-CN" w:bidi="ar"/>
                    </w:rPr>
                  </w:pPr>
                  <w:r>
                    <w:rPr>
                      <w:rFonts w:hint="eastAsia"/>
                      <w:color w:val="auto"/>
                      <w:kern w:val="0"/>
                      <w:lang w:val="en-US" w:eastAsia="zh-CN" w:bidi="ar"/>
                    </w:rPr>
                    <w:t>颗粒物、布袋</w:t>
                  </w:r>
                </w:p>
              </w:tc>
              <w:tc>
                <w:tcPr>
                  <w:tcW w:w="584" w:type="pct"/>
                  <w:vAlign w:val="center"/>
                </w:tcPr>
                <w:p w14:paraId="0293C8F6">
                  <w:pPr>
                    <w:pStyle w:val="5"/>
                    <w:adjustRightInd w:val="0"/>
                    <w:snapToGrid w:val="0"/>
                    <w:ind w:firstLine="0"/>
                    <w:jc w:val="center"/>
                    <w:rPr>
                      <w:rFonts w:hint="default"/>
                      <w:color w:val="auto"/>
                      <w:kern w:val="0"/>
                      <w:szCs w:val="21"/>
                      <w:lang w:val="en-US" w:eastAsia="zh-CN"/>
                    </w:rPr>
                  </w:pPr>
                  <w:r>
                    <w:rPr>
                      <w:rFonts w:hint="eastAsia"/>
                      <w:color w:val="auto"/>
                      <w:kern w:val="0"/>
                      <w:szCs w:val="21"/>
                      <w:lang w:val="en-US" w:eastAsia="zh-CN"/>
                    </w:rPr>
                    <w:t>0.1</w:t>
                  </w:r>
                </w:p>
              </w:tc>
              <w:tc>
                <w:tcPr>
                  <w:tcW w:w="601" w:type="pct"/>
                  <w:shd w:val="clear" w:color="auto" w:fill="auto"/>
                  <w:vAlign w:val="center"/>
                </w:tcPr>
                <w:p w14:paraId="14752B29">
                  <w:pPr>
                    <w:pStyle w:val="5"/>
                    <w:adjustRightInd w:val="0"/>
                    <w:snapToGrid w:val="0"/>
                    <w:ind w:firstLine="0" w:firstLineChars="0"/>
                    <w:jc w:val="center"/>
                    <w:rPr>
                      <w:rFonts w:ascii="Times New Roman" w:hAnsi="Times New Roman" w:eastAsia="宋体" w:cs="Times New Roman"/>
                      <w:snapToGrid w:val="0"/>
                      <w:color w:val="auto"/>
                      <w:kern w:val="0"/>
                      <w:sz w:val="21"/>
                      <w:szCs w:val="21"/>
                      <w:lang w:val="en-US" w:eastAsia="zh-CN" w:bidi="ar-SA"/>
                    </w:rPr>
                  </w:pPr>
                  <w:r>
                    <w:rPr>
                      <w:color w:val="auto"/>
                      <w:kern w:val="0"/>
                      <w:szCs w:val="21"/>
                    </w:rPr>
                    <w:t>√</w:t>
                  </w:r>
                </w:p>
              </w:tc>
              <w:tc>
                <w:tcPr>
                  <w:tcW w:w="491" w:type="pct"/>
                  <w:shd w:val="clear" w:color="auto" w:fill="auto"/>
                  <w:vAlign w:val="center"/>
                </w:tcPr>
                <w:p w14:paraId="2697B27B">
                  <w:pPr>
                    <w:pStyle w:val="5"/>
                    <w:adjustRightInd w:val="0"/>
                    <w:snapToGrid w:val="0"/>
                    <w:ind w:firstLine="0" w:firstLineChars="0"/>
                    <w:jc w:val="center"/>
                    <w:rPr>
                      <w:rFonts w:ascii="Times New Roman" w:hAnsi="Times New Roman" w:eastAsia="宋体" w:cs="Times New Roman"/>
                      <w:snapToGrid w:val="0"/>
                      <w:color w:val="auto"/>
                      <w:kern w:val="0"/>
                      <w:sz w:val="21"/>
                      <w:szCs w:val="21"/>
                      <w:lang w:val="en-US" w:eastAsia="zh-CN" w:bidi="ar-SA"/>
                    </w:rPr>
                  </w:pPr>
                  <w:r>
                    <w:rPr>
                      <w:color w:val="auto"/>
                      <w:kern w:val="0"/>
                      <w:szCs w:val="21"/>
                    </w:rPr>
                    <w:t>/</w:t>
                  </w:r>
                </w:p>
              </w:tc>
              <w:tc>
                <w:tcPr>
                  <w:tcW w:w="640" w:type="pct"/>
                  <w:vMerge w:val="continue"/>
                  <w:vAlign w:val="center"/>
                </w:tcPr>
                <w:p w14:paraId="60EFE122">
                  <w:pPr>
                    <w:pStyle w:val="5"/>
                    <w:adjustRightInd w:val="0"/>
                    <w:snapToGrid w:val="0"/>
                    <w:ind w:firstLine="0"/>
                    <w:jc w:val="center"/>
                    <w:rPr>
                      <w:color w:val="auto"/>
                      <w:kern w:val="0"/>
                      <w:szCs w:val="21"/>
                    </w:rPr>
                  </w:pPr>
                </w:p>
              </w:tc>
            </w:tr>
            <w:tr w14:paraId="491CC21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717" w:type="pct"/>
                  <w:vAlign w:val="center"/>
                </w:tcPr>
                <w:p w14:paraId="6F2B5717">
                  <w:pPr>
                    <w:pStyle w:val="5"/>
                    <w:adjustRightInd w:val="0"/>
                    <w:snapToGrid w:val="0"/>
                    <w:ind w:firstLine="0"/>
                    <w:jc w:val="center"/>
                    <w:rPr>
                      <w:rFonts w:hint="default"/>
                      <w:bCs/>
                      <w:color w:val="auto"/>
                      <w:kern w:val="0"/>
                      <w:szCs w:val="21"/>
                      <w:lang w:val="en-US" w:eastAsia="zh-CN"/>
                    </w:rPr>
                  </w:pPr>
                  <w:r>
                    <w:rPr>
                      <w:rFonts w:hint="eastAsia"/>
                      <w:bCs/>
                      <w:color w:val="auto"/>
                      <w:kern w:val="0"/>
                      <w:szCs w:val="21"/>
                      <w:lang w:val="en-US" w:eastAsia="zh-CN"/>
                    </w:rPr>
                    <w:t>擦色废物</w:t>
                  </w:r>
                </w:p>
              </w:tc>
              <w:tc>
                <w:tcPr>
                  <w:tcW w:w="677" w:type="pct"/>
                  <w:vAlign w:val="center"/>
                </w:tcPr>
                <w:p w14:paraId="604A2722">
                  <w:pPr>
                    <w:widowControl/>
                    <w:adjustRightInd w:val="0"/>
                    <w:snapToGrid w:val="0"/>
                    <w:jc w:val="center"/>
                    <w:textAlignment w:val="center"/>
                    <w:rPr>
                      <w:rFonts w:hint="default"/>
                      <w:color w:val="auto"/>
                      <w:kern w:val="0"/>
                      <w:lang w:val="en-US" w:eastAsia="zh-CN"/>
                    </w:rPr>
                  </w:pPr>
                  <w:r>
                    <w:rPr>
                      <w:rFonts w:hint="eastAsia"/>
                      <w:color w:val="auto"/>
                      <w:kern w:val="0"/>
                      <w:lang w:val="en-US" w:eastAsia="zh-CN"/>
                    </w:rPr>
                    <w:t>擦色</w:t>
                  </w:r>
                </w:p>
              </w:tc>
              <w:tc>
                <w:tcPr>
                  <w:tcW w:w="406" w:type="pct"/>
                  <w:vAlign w:val="center"/>
                </w:tcPr>
                <w:p w14:paraId="0A80B0AD">
                  <w:pPr>
                    <w:pStyle w:val="5"/>
                    <w:adjustRightInd w:val="0"/>
                    <w:snapToGrid w:val="0"/>
                    <w:ind w:firstLine="0"/>
                    <w:jc w:val="center"/>
                    <w:rPr>
                      <w:rFonts w:hint="default"/>
                      <w:color w:val="auto"/>
                      <w:kern w:val="0"/>
                      <w:szCs w:val="21"/>
                      <w:lang w:val="en-US" w:eastAsia="zh-CN"/>
                    </w:rPr>
                  </w:pPr>
                  <w:r>
                    <w:rPr>
                      <w:rFonts w:hint="eastAsia"/>
                      <w:color w:val="auto"/>
                      <w:kern w:val="0"/>
                      <w:szCs w:val="21"/>
                      <w:lang w:val="en-US" w:eastAsia="zh-CN"/>
                    </w:rPr>
                    <w:t>固</w:t>
                  </w:r>
                </w:p>
              </w:tc>
              <w:tc>
                <w:tcPr>
                  <w:tcW w:w="880" w:type="pct"/>
                  <w:vAlign w:val="center"/>
                </w:tcPr>
                <w:p w14:paraId="0F99F432">
                  <w:pPr>
                    <w:widowControl/>
                    <w:adjustRightInd w:val="0"/>
                    <w:snapToGrid w:val="0"/>
                    <w:jc w:val="center"/>
                    <w:textAlignment w:val="center"/>
                    <w:rPr>
                      <w:rFonts w:hint="default"/>
                      <w:color w:val="auto"/>
                      <w:kern w:val="0"/>
                      <w:lang w:val="en-US" w:eastAsia="zh-CN" w:bidi="ar"/>
                    </w:rPr>
                  </w:pPr>
                  <w:r>
                    <w:rPr>
                      <w:rFonts w:hint="eastAsia"/>
                      <w:color w:val="auto"/>
                      <w:kern w:val="0"/>
                      <w:lang w:val="en-US" w:eastAsia="zh-CN" w:bidi="ar"/>
                    </w:rPr>
                    <w:t>抹布、刷子</w:t>
                  </w:r>
                </w:p>
              </w:tc>
              <w:tc>
                <w:tcPr>
                  <w:tcW w:w="584" w:type="pct"/>
                  <w:vAlign w:val="center"/>
                </w:tcPr>
                <w:p w14:paraId="01B57AB1">
                  <w:pPr>
                    <w:pStyle w:val="5"/>
                    <w:adjustRightInd w:val="0"/>
                    <w:snapToGrid w:val="0"/>
                    <w:ind w:firstLine="0"/>
                    <w:jc w:val="center"/>
                    <w:rPr>
                      <w:rFonts w:hint="default"/>
                      <w:color w:val="auto"/>
                      <w:kern w:val="0"/>
                      <w:szCs w:val="21"/>
                      <w:lang w:val="en-US" w:eastAsia="zh-CN"/>
                    </w:rPr>
                  </w:pPr>
                  <w:r>
                    <w:rPr>
                      <w:rFonts w:hint="eastAsia"/>
                      <w:color w:val="auto"/>
                      <w:kern w:val="0"/>
                      <w:szCs w:val="21"/>
                      <w:lang w:val="en-US" w:eastAsia="zh-CN"/>
                    </w:rPr>
                    <w:t>0.3</w:t>
                  </w:r>
                </w:p>
              </w:tc>
              <w:tc>
                <w:tcPr>
                  <w:tcW w:w="601" w:type="pct"/>
                  <w:shd w:val="clear" w:color="auto" w:fill="auto"/>
                  <w:vAlign w:val="center"/>
                </w:tcPr>
                <w:p w14:paraId="47B1F06D">
                  <w:pPr>
                    <w:pStyle w:val="5"/>
                    <w:adjustRightInd w:val="0"/>
                    <w:snapToGrid w:val="0"/>
                    <w:ind w:firstLine="0" w:firstLineChars="0"/>
                    <w:jc w:val="center"/>
                    <w:rPr>
                      <w:color w:val="auto"/>
                      <w:kern w:val="0"/>
                      <w:szCs w:val="21"/>
                    </w:rPr>
                  </w:pPr>
                  <w:r>
                    <w:rPr>
                      <w:color w:val="auto"/>
                      <w:kern w:val="0"/>
                      <w:szCs w:val="21"/>
                    </w:rPr>
                    <w:t>√</w:t>
                  </w:r>
                </w:p>
              </w:tc>
              <w:tc>
                <w:tcPr>
                  <w:tcW w:w="491" w:type="pct"/>
                  <w:shd w:val="clear" w:color="auto" w:fill="auto"/>
                  <w:vAlign w:val="center"/>
                </w:tcPr>
                <w:p w14:paraId="1471724F">
                  <w:pPr>
                    <w:pStyle w:val="5"/>
                    <w:adjustRightInd w:val="0"/>
                    <w:snapToGrid w:val="0"/>
                    <w:ind w:firstLine="0" w:firstLineChars="0"/>
                    <w:jc w:val="center"/>
                    <w:rPr>
                      <w:color w:val="auto"/>
                      <w:kern w:val="0"/>
                      <w:szCs w:val="21"/>
                    </w:rPr>
                  </w:pPr>
                  <w:r>
                    <w:rPr>
                      <w:color w:val="auto"/>
                      <w:kern w:val="0"/>
                      <w:szCs w:val="21"/>
                    </w:rPr>
                    <w:t>/</w:t>
                  </w:r>
                </w:p>
              </w:tc>
              <w:tc>
                <w:tcPr>
                  <w:tcW w:w="640" w:type="pct"/>
                  <w:vMerge w:val="continue"/>
                  <w:vAlign w:val="center"/>
                </w:tcPr>
                <w:p w14:paraId="5B7AC603">
                  <w:pPr>
                    <w:pStyle w:val="5"/>
                    <w:adjustRightInd w:val="0"/>
                    <w:snapToGrid w:val="0"/>
                    <w:ind w:firstLine="0"/>
                    <w:jc w:val="center"/>
                    <w:rPr>
                      <w:color w:val="auto"/>
                      <w:kern w:val="0"/>
                      <w:szCs w:val="21"/>
                    </w:rPr>
                  </w:pPr>
                </w:p>
              </w:tc>
            </w:tr>
            <w:tr w14:paraId="431D622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717" w:type="pct"/>
                  <w:vAlign w:val="center"/>
                </w:tcPr>
                <w:p w14:paraId="71148D26">
                  <w:pPr>
                    <w:pStyle w:val="5"/>
                    <w:adjustRightInd w:val="0"/>
                    <w:snapToGrid w:val="0"/>
                    <w:ind w:firstLine="0"/>
                    <w:jc w:val="center"/>
                    <w:rPr>
                      <w:rFonts w:hint="default"/>
                      <w:bCs/>
                      <w:color w:val="auto"/>
                      <w:kern w:val="0"/>
                      <w:szCs w:val="21"/>
                      <w:lang w:val="en-US" w:eastAsia="zh-CN"/>
                    </w:rPr>
                  </w:pPr>
                  <w:r>
                    <w:rPr>
                      <w:rFonts w:hint="eastAsia"/>
                      <w:bCs/>
                      <w:color w:val="auto"/>
                      <w:kern w:val="0"/>
                      <w:szCs w:val="21"/>
                      <w:lang w:val="en-US" w:eastAsia="zh-CN"/>
                    </w:rPr>
                    <w:t>含漆废物</w:t>
                  </w:r>
                </w:p>
              </w:tc>
              <w:tc>
                <w:tcPr>
                  <w:tcW w:w="677" w:type="pct"/>
                  <w:vAlign w:val="center"/>
                </w:tcPr>
                <w:p w14:paraId="182FEC2C">
                  <w:pPr>
                    <w:widowControl/>
                    <w:adjustRightInd w:val="0"/>
                    <w:snapToGrid w:val="0"/>
                    <w:jc w:val="center"/>
                    <w:textAlignment w:val="center"/>
                    <w:rPr>
                      <w:rFonts w:hint="default"/>
                      <w:color w:val="auto"/>
                      <w:kern w:val="0"/>
                      <w:lang w:val="en-US" w:eastAsia="zh-CN"/>
                    </w:rPr>
                  </w:pPr>
                  <w:r>
                    <w:rPr>
                      <w:rFonts w:hint="eastAsia"/>
                      <w:color w:val="auto"/>
                      <w:kern w:val="0"/>
                      <w:lang w:val="en-US" w:eastAsia="zh-CN"/>
                    </w:rPr>
                    <w:t>刷漆/喷漆</w:t>
                  </w:r>
                </w:p>
              </w:tc>
              <w:tc>
                <w:tcPr>
                  <w:tcW w:w="406" w:type="pct"/>
                  <w:vAlign w:val="center"/>
                </w:tcPr>
                <w:p w14:paraId="7A10B5B6">
                  <w:pPr>
                    <w:pStyle w:val="5"/>
                    <w:adjustRightInd w:val="0"/>
                    <w:snapToGrid w:val="0"/>
                    <w:ind w:firstLine="0"/>
                    <w:jc w:val="center"/>
                    <w:rPr>
                      <w:rFonts w:hint="default"/>
                      <w:color w:val="auto"/>
                      <w:kern w:val="0"/>
                      <w:szCs w:val="21"/>
                      <w:lang w:val="en-US" w:eastAsia="zh-CN"/>
                    </w:rPr>
                  </w:pPr>
                  <w:r>
                    <w:rPr>
                      <w:rFonts w:hint="eastAsia"/>
                      <w:color w:val="auto"/>
                      <w:kern w:val="0"/>
                      <w:szCs w:val="21"/>
                      <w:lang w:val="en-US" w:eastAsia="zh-CN"/>
                    </w:rPr>
                    <w:t>固</w:t>
                  </w:r>
                </w:p>
              </w:tc>
              <w:tc>
                <w:tcPr>
                  <w:tcW w:w="880" w:type="pct"/>
                  <w:vAlign w:val="center"/>
                </w:tcPr>
                <w:p w14:paraId="1A2CDADA">
                  <w:pPr>
                    <w:widowControl/>
                    <w:adjustRightInd w:val="0"/>
                    <w:snapToGrid w:val="0"/>
                    <w:jc w:val="center"/>
                    <w:textAlignment w:val="center"/>
                    <w:rPr>
                      <w:rFonts w:hint="default"/>
                      <w:color w:val="auto"/>
                      <w:kern w:val="0"/>
                      <w:lang w:val="en-US" w:eastAsia="zh-CN" w:bidi="ar"/>
                    </w:rPr>
                  </w:pPr>
                  <w:r>
                    <w:rPr>
                      <w:rFonts w:hint="eastAsia"/>
                      <w:color w:val="auto"/>
                      <w:kern w:val="0"/>
                      <w:lang w:val="en-US" w:eastAsia="zh-CN" w:bidi="ar"/>
                    </w:rPr>
                    <w:t>报纸、刷子</w:t>
                  </w:r>
                </w:p>
              </w:tc>
              <w:tc>
                <w:tcPr>
                  <w:tcW w:w="584" w:type="pct"/>
                  <w:vAlign w:val="center"/>
                </w:tcPr>
                <w:p w14:paraId="49C4BCD6">
                  <w:pPr>
                    <w:pStyle w:val="5"/>
                    <w:adjustRightInd w:val="0"/>
                    <w:snapToGrid w:val="0"/>
                    <w:ind w:firstLine="0"/>
                    <w:jc w:val="center"/>
                    <w:rPr>
                      <w:rFonts w:hint="default"/>
                      <w:color w:val="auto"/>
                      <w:kern w:val="0"/>
                      <w:szCs w:val="21"/>
                      <w:lang w:val="en-US" w:eastAsia="zh-CN"/>
                    </w:rPr>
                  </w:pPr>
                  <w:r>
                    <w:rPr>
                      <w:rFonts w:hint="eastAsia"/>
                      <w:color w:val="auto"/>
                      <w:kern w:val="0"/>
                      <w:szCs w:val="21"/>
                      <w:lang w:val="en-US" w:eastAsia="zh-CN"/>
                    </w:rPr>
                    <w:t>0.5</w:t>
                  </w:r>
                </w:p>
              </w:tc>
              <w:tc>
                <w:tcPr>
                  <w:tcW w:w="601" w:type="pct"/>
                  <w:shd w:val="clear" w:color="auto" w:fill="auto"/>
                  <w:vAlign w:val="center"/>
                </w:tcPr>
                <w:p w14:paraId="38AF5FBE">
                  <w:pPr>
                    <w:pStyle w:val="5"/>
                    <w:adjustRightInd w:val="0"/>
                    <w:snapToGrid w:val="0"/>
                    <w:ind w:firstLine="0" w:firstLineChars="0"/>
                    <w:jc w:val="center"/>
                    <w:rPr>
                      <w:color w:val="auto"/>
                      <w:kern w:val="0"/>
                      <w:szCs w:val="21"/>
                    </w:rPr>
                  </w:pPr>
                  <w:r>
                    <w:rPr>
                      <w:color w:val="auto"/>
                      <w:kern w:val="0"/>
                      <w:szCs w:val="21"/>
                    </w:rPr>
                    <w:t>√</w:t>
                  </w:r>
                </w:p>
              </w:tc>
              <w:tc>
                <w:tcPr>
                  <w:tcW w:w="491" w:type="pct"/>
                  <w:shd w:val="clear" w:color="auto" w:fill="auto"/>
                  <w:vAlign w:val="center"/>
                </w:tcPr>
                <w:p w14:paraId="19778488">
                  <w:pPr>
                    <w:pStyle w:val="5"/>
                    <w:adjustRightInd w:val="0"/>
                    <w:snapToGrid w:val="0"/>
                    <w:ind w:firstLine="0" w:firstLineChars="0"/>
                    <w:jc w:val="center"/>
                    <w:rPr>
                      <w:color w:val="auto"/>
                      <w:kern w:val="0"/>
                      <w:szCs w:val="21"/>
                    </w:rPr>
                  </w:pPr>
                  <w:r>
                    <w:rPr>
                      <w:color w:val="auto"/>
                      <w:kern w:val="0"/>
                      <w:szCs w:val="21"/>
                    </w:rPr>
                    <w:t>/</w:t>
                  </w:r>
                </w:p>
              </w:tc>
              <w:tc>
                <w:tcPr>
                  <w:tcW w:w="640" w:type="pct"/>
                  <w:vMerge w:val="continue"/>
                  <w:vAlign w:val="center"/>
                </w:tcPr>
                <w:p w14:paraId="5E8923E5">
                  <w:pPr>
                    <w:pStyle w:val="5"/>
                    <w:adjustRightInd w:val="0"/>
                    <w:snapToGrid w:val="0"/>
                    <w:ind w:firstLine="0"/>
                    <w:jc w:val="center"/>
                    <w:rPr>
                      <w:color w:val="auto"/>
                      <w:kern w:val="0"/>
                      <w:szCs w:val="21"/>
                    </w:rPr>
                  </w:pPr>
                </w:p>
              </w:tc>
            </w:tr>
            <w:tr w14:paraId="253145C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717" w:type="pct"/>
                  <w:vAlign w:val="center"/>
                </w:tcPr>
                <w:p w14:paraId="37AA1CD5">
                  <w:pPr>
                    <w:pStyle w:val="5"/>
                    <w:adjustRightInd w:val="0"/>
                    <w:snapToGrid w:val="0"/>
                    <w:ind w:firstLine="0"/>
                    <w:jc w:val="center"/>
                    <w:rPr>
                      <w:rFonts w:hint="default"/>
                      <w:bCs/>
                      <w:color w:val="auto"/>
                      <w:kern w:val="0"/>
                      <w:szCs w:val="21"/>
                      <w:lang w:val="en-US" w:eastAsia="zh-CN"/>
                    </w:rPr>
                  </w:pPr>
                  <w:r>
                    <w:rPr>
                      <w:rFonts w:hint="eastAsia"/>
                      <w:bCs/>
                      <w:color w:val="auto"/>
                      <w:kern w:val="0"/>
                      <w:szCs w:val="21"/>
                      <w:lang w:val="en-US" w:eastAsia="zh-CN"/>
                    </w:rPr>
                    <w:t>漆渣</w:t>
                  </w:r>
                </w:p>
              </w:tc>
              <w:tc>
                <w:tcPr>
                  <w:tcW w:w="677" w:type="pct"/>
                  <w:vAlign w:val="center"/>
                </w:tcPr>
                <w:p w14:paraId="3EBF8FDE">
                  <w:pPr>
                    <w:widowControl/>
                    <w:adjustRightInd w:val="0"/>
                    <w:snapToGrid w:val="0"/>
                    <w:jc w:val="center"/>
                    <w:textAlignment w:val="center"/>
                    <w:rPr>
                      <w:rFonts w:hint="default"/>
                      <w:color w:val="auto"/>
                      <w:kern w:val="0"/>
                      <w:lang w:val="en-US" w:eastAsia="zh-CN"/>
                    </w:rPr>
                  </w:pPr>
                  <w:r>
                    <w:rPr>
                      <w:rFonts w:hint="eastAsia"/>
                      <w:color w:val="auto"/>
                      <w:kern w:val="0"/>
                      <w:lang w:val="en-US" w:eastAsia="zh-CN"/>
                    </w:rPr>
                    <w:t>喷漆</w:t>
                  </w:r>
                </w:p>
              </w:tc>
              <w:tc>
                <w:tcPr>
                  <w:tcW w:w="406" w:type="pct"/>
                  <w:vAlign w:val="center"/>
                </w:tcPr>
                <w:p w14:paraId="677108A6">
                  <w:pPr>
                    <w:pStyle w:val="5"/>
                    <w:adjustRightInd w:val="0"/>
                    <w:snapToGrid w:val="0"/>
                    <w:ind w:firstLine="0"/>
                    <w:jc w:val="center"/>
                    <w:rPr>
                      <w:rFonts w:hint="default"/>
                      <w:color w:val="auto"/>
                      <w:kern w:val="0"/>
                      <w:szCs w:val="21"/>
                      <w:lang w:val="en-US" w:eastAsia="zh-CN"/>
                    </w:rPr>
                  </w:pPr>
                  <w:r>
                    <w:rPr>
                      <w:rFonts w:hint="eastAsia"/>
                      <w:color w:val="auto"/>
                      <w:kern w:val="0"/>
                      <w:szCs w:val="21"/>
                      <w:lang w:val="en-US" w:eastAsia="zh-CN"/>
                    </w:rPr>
                    <w:t>固</w:t>
                  </w:r>
                </w:p>
              </w:tc>
              <w:tc>
                <w:tcPr>
                  <w:tcW w:w="880" w:type="pct"/>
                  <w:vAlign w:val="center"/>
                </w:tcPr>
                <w:p w14:paraId="69D86021">
                  <w:pPr>
                    <w:widowControl/>
                    <w:adjustRightInd w:val="0"/>
                    <w:snapToGrid w:val="0"/>
                    <w:jc w:val="center"/>
                    <w:textAlignment w:val="center"/>
                    <w:rPr>
                      <w:rFonts w:hint="default"/>
                      <w:color w:val="auto"/>
                      <w:kern w:val="0"/>
                      <w:lang w:val="en-US" w:eastAsia="zh-CN" w:bidi="ar"/>
                    </w:rPr>
                  </w:pPr>
                  <w:r>
                    <w:rPr>
                      <w:rFonts w:hint="eastAsia"/>
                      <w:color w:val="auto"/>
                      <w:kern w:val="0"/>
                      <w:lang w:val="en-US" w:eastAsia="zh-CN" w:bidi="ar"/>
                    </w:rPr>
                    <w:t>油漆</w:t>
                  </w:r>
                </w:p>
              </w:tc>
              <w:tc>
                <w:tcPr>
                  <w:tcW w:w="584" w:type="pct"/>
                  <w:vAlign w:val="center"/>
                </w:tcPr>
                <w:p w14:paraId="3D1812F8">
                  <w:pPr>
                    <w:pStyle w:val="5"/>
                    <w:adjustRightInd w:val="0"/>
                    <w:snapToGrid w:val="0"/>
                    <w:ind w:firstLine="0"/>
                    <w:jc w:val="center"/>
                    <w:rPr>
                      <w:rFonts w:hint="default"/>
                      <w:color w:val="auto"/>
                      <w:kern w:val="0"/>
                      <w:szCs w:val="21"/>
                      <w:lang w:val="en-US" w:eastAsia="zh-CN"/>
                    </w:rPr>
                  </w:pPr>
                  <w:r>
                    <w:rPr>
                      <w:rFonts w:hint="eastAsia"/>
                      <w:color w:val="auto"/>
                      <w:kern w:val="0"/>
                      <w:szCs w:val="21"/>
                      <w:lang w:val="en-US" w:eastAsia="zh-CN"/>
                    </w:rPr>
                    <w:t>0.05014</w:t>
                  </w:r>
                </w:p>
              </w:tc>
              <w:tc>
                <w:tcPr>
                  <w:tcW w:w="601" w:type="pct"/>
                  <w:shd w:val="clear" w:color="auto" w:fill="auto"/>
                  <w:vAlign w:val="center"/>
                </w:tcPr>
                <w:p w14:paraId="09DD4B8F">
                  <w:pPr>
                    <w:pStyle w:val="5"/>
                    <w:adjustRightInd w:val="0"/>
                    <w:snapToGrid w:val="0"/>
                    <w:ind w:firstLine="0" w:firstLineChars="0"/>
                    <w:jc w:val="center"/>
                    <w:rPr>
                      <w:color w:val="auto"/>
                      <w:kern w:val="0"/>
                      <w:szCs w:val="21"/>
                    </w:rPr>
                  </w:pPr>
                  <w:r>
                    <w:rPr>
                      <w:color w:val="auto"/>
                      <w:kern w:val="0"/>
                      <w:szCs w:val="21"/>
                    </w:rPr>
                    <w:t>√</w:t>
                  </w:r>
                </w:p>
              </w:tc>
              <w:tc>
                <w:tcPr>
                  <w:tcW w:w="491" w:type="pct"/>
                  <w:shd w:val="clear" w:color="auto" w:fill="auto"/>
                  <w:vAlign w:val="center"/>
                </w:tcPr>
                <w:p w14:paraId="351F08A4">
                  <w:pPr>
                    <w:pStyle w:val="5"/>
                    <w:adjustRightInd w:val="0"/>
                    <w:snapToGrid w:val="0"/>
                    <w:ind w:firstLine="0" w:firstLineChars="0"/>
                    <w:jc w:val="center"/>
                    <w:rPr>
                      <w:color w:val="auto"/>
                      <w:kern w:val="0"/>
                      <w:szCs w:val="21"/>
                    </w:rPr>
                  </w:pPr>
                  <w:r>
                    <w:rPr>
                      <w:color w:val="auto"/>
                      <w:kern w:val="0"/>
                      <w:szCs w:val="21"/>
                    </w:rPr>
                    <w:t>/</w:t>
                  </w:r>
                </w:p>
              </w:tc>
              <w:tc>
                <w:tcPr>
                  <w:tcW w:w="640" w:type="pct"/>
                  <w:vMerge w:val="continue"/>
                  <w:vAlign w:val="center"/>
                </w:tcPr>
                <w:p w14:paraId="405C1056">
                  <w:pPr>
                    <w:pStyle w:val="5"/>
                    <w:adjustRightInd w:val="0"/>
                    <w:snapToGrid w:val="0"/>
                    <w:ind w:firstLine="0"/>
                    <w:jc w:val="center"/>
                    <w:rPr>
                      <w:color w:val="auto"/>
                      <w:kern w:val="0"/>
                      <w:szCs w:val="21"/>
                    </w:rPr>
                  </w:pPr>
                </w:p>
              </w:tc>
            </w:tr>
            <w:tr w14:paraId="1E0CDE2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717" w:type="pct"/>
                  <w:vAlign w:val="center"/>
                </w:tcPr>
                <w:p w14:paraId="5C6CF24B">
                  <w:pPr>
                    <w:pStyle w:val="5"/>
                    <w:adjustRightInd w:val="0"/>
                    <w:snapToGrid w:val="0"/>
                    <w:ind w:firstLine="0"/>
                    <w:jc w:val="center"/>
                    <w:rPr>
                      <w:rFonts w:hint="default"/>
                      <w:bCs/>
                      <w:color w:val="auto"/>
                      <w:kern w:val="0"/>
                      <w:szCs w:val="21"/>
                      <w:lang w:val="en-US" w:eastAsia="zh-CN"/>
                    </w:rPr>
                  </w:pPr>
                  <w:r>
                    <w:rPr>
                      <w:rFonts w:hint="eastAsia"/>
                      <w:bCs/>
                      <w:color w:val="auto"/>
                      <w:kern w:val="0"/>
                      <w:szCs w:val="21"/>
                      <w:lang w:val="en-US" w:eastAsia="zh-CN"/>
                    </w:rPr>
                    <w:t>水帘废液</w:t>
                  </w:r>
                </w:p>
              </w:tc>
              <w:tc>
                <w:tcPr>
                  <w:tcW w:w="677" w:type="pct"/>
                  <w:vAlign w:val="center"/>
                </w:tcPr>
                <w:p w14:paraId="2EE383A2">
                  <w:pPr>
                    <w:widowControl/>
                    <w:adjustRightInd w:val="0"/>
                    <w:snapToGrid w:val="0"/>
                    <w:jc w:val="center"/>
                    <w:textAlignment w:val="center"/>
                    <w:rPr>
                      <w:rFonts w:hint="default"/>
                      <w:color w:val="auto"/>
                      <w:kern w:val="0"/>
                      <w:lang w:val="en-US" w:eastAsia="zh-CN"/>
                    </w:rPr>
                  </w:pPr>
                  <w:r>
                    <w:rPr>
                      <w:rFonts w:hint="eastAsia"/>
                      <w:color w:val="auto"/>
                      <w:kern w:val="0"/>
                      <w:lang w:val="en-US" w:eastAsia="zh-CN"/>
                    </w:rPr>
                    <w:t>废气治理</w:t>
                  </w:r>
                </w:p>
              </w:tc>
              <w:tc>
                <w:tcPr>
                  <w:tcW w:w="406" w:type="pct"/>
                  <w:vAlign w:val="center"/>
                </w:tcPr>
                <w:p w14:paraId="71ABAE94">
                  <w:pPr>
                    <w:pStyle w:val="5"/>
                    <w:adjustRightInd w:val="0"/>
                    <w:snapToGrid w:val="0"/>
                    <w:ind w:firstLine="0"/>
                    <w:jc w:val="center"/>
                    <w:rPr>
                      <w:rFonts w:hint="default"/>
                      <w:color w:val="auto"/>
                      <w:kern w:val="0"/>
                      <w:szCs w:val="21"/>
                      <w:lang w:val="en-US" w:eastAsia="zh-CN"/>
                    </w:rPr>
                  </w:pPr>
                  <w:r>
                    <w:rPr>
                      <w:rFonts w:hint="eastAsia"/>
                      <w:color w:val="auto"/>
                      <w:kern w:val="0"/>
                      <w:szCs w:val="21"/>
                      <w:lang w:val="en-US" w:eastAsia="zh-CN"/>
                    </w:rPr>
                    <w:t>液</w:t>
                  </w:r>
                </w:p>
              </w:tc>
              <w:tc>
                <w:tcPr>
                  <w:tcW w:w="880" w:type="pct"/>
                  <w:vAlign w:val="center"/>
                </w:tcPr>
                <w:p w14:paraId="47BA32CE">
                  <w:pPr>
                    <w:widowControl/>
                    <w:adjustRightInd w:val="0"/>
                    <w:snapToGrid w:val="0"/>
                    <w:jc w:val="center"/>
                    <w:textAlignment w:val="center"/>
                    <w:rPr>
                      <w:rFonts w:hint="default"/>
                      <w:color w:val="auto"/>
                      <w:kern w:val="0"/>
                      <w:lang w:val="en-US" w:eastAsia="zh-CN" w:bidi="ar"/>
                    </w:rPr>
                  </w:pPr>
                  <w:r>
                    <w:rPr>
                      <w:rFonts w:hint="eastAsia"/>
                      <w:color w:val="auto"/>
                      <w:kern w:val="0"/>
                      <w:lang w:val="en-US" w:eastAsia="zh-CN" w:bidi="ar"/>
                    </w:rPr>
                    <w:t>水、颗粒物</w:t>
                  </w:r>
                </w:p>
              </w:tc>
              <w:tc>
                <w:tcPr>
                  <w:tcW w:w="584" w:type="pct"/>
                  <w:vAlign w:val="center"/>
                </w:tcPr>
                <w:p w14:paraId="1F5C39F4">
                  <w:pPr>
                    <w:pStyle w:val="5"/>
                    <w:adjustRightInd w:val="0"/>
                    <w:snapToGrid w:val="0"/>
                    <w:ind w:firstLine="0"/>
                    <w:jc w:val="center"/>
                    <w:rPr>
                      <w:rFonts w:hint="default"/>
                      <w:color w:val="auto"/>
                      <w:kern w:val="0"/>
                      <w:szCs w:val="21"/>
                      <w:lang w:val="en-US" w:eastAsia="zh-CN"/>
                    </w:rPr>
                  </w:pPr>
                  <w:r>
                    <w:rPr>
                      <w:rFonts w:hint="eastAsia"/>
                      <w:color w:val="auto"/>
                      <w:kern w:val="0"/>
                      <w:szCs w:val="21"/>
                      <w:lang w:val="en-US" w:eastAsia="zh-CN"/>
                    </w:rPr>
                    <w:t>3</w:t>
                  </w:r>
                </w:p>
              </w:tc>
              <w:tc>
                <w:tcPr>
                  <w:tcW w:w="601" w:type="pct"/>
                  <w:shd w:val="clear" w:color="auto" w:fill="auto"/>
                  <w:vAlign w:val="center"/>
                </w:tcPr>
                <w:p w14:paraId="7B2FBE4D">
                  <w:pPr>
                    <w:pStyle w:val="5"/>
                    <w:adjustRightInd w:val="0"/>
                    <w:snapToGrid w:val="0"/>
                    <w:ind w:firstLine="0" w:firstLineChars="0"/>
                    <w:jc w:val="center"/>
                    <w:rPr>
                      <w:color w:val="auto"/>
                      <w:kern w:val="0"/>
                      <w:szCs w:val="21"/>
                    </w:rPr>
                  </w:pPr>
                  <w:r>
                    <w:rPr>
                      <w:color w:val="auto"/>
                      <w:kern w:val="0"/>
                      <w:szCs w:val="21"/>
                    </w:rPr>
                    <w:t>√</w:t>
                  </w:r>
                </w:p>
              </w:tc>
              <w:tc>
                <w:tcPr>
                  <w:tcW w:w="491" w:type="pct"/>
                  <w:shd w:val="clear" w:color="auto" w:fill="auto"/>
                  <w:vAlign w:val="center"/>
                </w:tcPr>
                <w:p w14:paraId="00D48EC8">
                  <w:pPr>
                    <w:pStyle w:val="5"/>
                    <w:adjustRightInd w:val="0"/>
                    <w:snapToGrid w:val="0"/>
                    <w:ind w:firstLine="0" w:firstLineChars="0"/>
                    <w:jc w:val="center"/>
                    <w:rPr>
                      <w:color w:val="auto"/>
                      <w:kern w:val="0"/>
                      <w:szCs w:val="21"/>
                    </w:rPr>
                  </w:pPr>
                  <w:r>
                    <w:rPr>
                      <w:color w:val="auto"/>
                      <w:kern w:val="0"/>
                      <w:szCs w:val="21"/>
                    </w:rPr>
                    <w:t>/</w:t>
                  </w:r>
                </w:p>
              </w:tc>
              <w:tc>
                <w:tcPr>
                  <w:tcW w:w="640" w:type="pct"/>
                  <w:vMerge w:val="continue"/>
                  <w:vAlign w:val="center"/>
                </w:tcPr>
                <w:p w14:paraId="609432FF">
                  <w:pPr>
                    <w:pStyle w:val="5"/>
                    <w:adjustRightInd w:val="0"/>
                    <w:snapToGrid w:val="0"/>
                    <w:ind w:firstLine="0"/>
                    <w:jc w:val="center"/>
                    <w:rPr>
                      <w:color w:val="auto"/>
                      <w:kern w:val="0"/>
                      <w:szCs w:val="21"/>
                    </w:rPr>
                  </w:pPr>
                </w:p>
              </w:tc>
            </w:tr>
            <w:tr w14:paraId="48AF2F3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717" w:type="pct"/>
                  <w:vAlign w:val="center"/>
                </w:tcPr>
                <w:p w14:paraId="605B42C7">
                  <w:pPr>
                    <w:pStyle w:val="5"/>
                    <w:adjustRightInd w:val="0"/>
                    <w:snapToGrid w:val="0"/>
                    <w:ind w:firstLine="0"/>
                    <w:jc w:val="center"/>
                    <w:rPr>
                      <w:rFonts w:hint="default"/>
                      <w:bCs/>
                      <w:color w:val="auto"/>
                      <w:kern w:val="0"/>
                      <w:szCs w:val="21"/>
                      <w:lang w:val="en-US" w:eastAsia="zh-CN"/>
                    </w:rPr>
                  </w:pPr>
                  <w:r>
                    <w:rPr>
                      <w:rFonts w:hint="eastAsia"/>
                      <w:bCs/>
                      <w:color w:val="auto"/>
                      <w:kern w:val="0"/>
                      <w:szCs w:val="21"/>
                      <w:lang w:val="en-US" w:eastAsia="zh-CN"/>
                    </w:rPr>
                    <w:t>喷枪清洗废液</w:t>
                  </w:r>
                </w:p>
              </w:tc>
              <w:tc>
                <w:tcPr>
                  <w:tcW w:w="677" w:type="pct"/>
                  <w:vAlign w:val="center"/>
                </w:tcPr>
                <w:p w14:paraId="010E8481">
                  <w:pPr>
                    <w:widowControl/>
                    <w:adjustRightInd w:val="0"/>
                    <w:snapToGrid w:val="0"/>
                    <w:jc w:val="center"/>
                    <w:textAlignment w:val="center"/>
                    <w:rPr>
                      <w:rFonts w:hint="default"/>
                      <w:color w:val="auto"/>
                      <w:kern w:val="0"/>
                      <w:lang w:val="en-US" w:eastAsia="zh-CN"/>
                    </w:rPr>
                  </w:pPr>
                  <w:r>
                    <w:rPr>
                      <w:rFonts w:hint="eastAsia"/>
                      <w:color w:val="auto"/>
                      <w:kern w:val="0"/>
                      <w:lang w:val="en-US" w:eastAsia="zh-CN"/>
                    </w:rPr>
                    <w:t>喷枪清洗</w:t>
                  </w:r>
                </w:p>
              </w:tc>
              <w:tc>
                <w:tcPr>
                  <w:tcW w:w="406" w:type="pct"/>
                  <w:vAlign w:val="center"/>
                </w:tcPr>
                <w:p w14:paraId="168C95DB">
                  <w:pPr>
                    <w:pStyle w:val="5"/>
                    <w:adjustRightInd w:val="0"/>
                    <w:snapToGrid w:val="0"/>
                    <w:ind w:firstLine="0"/>
                    <w:jc w:val="center"/>
                    <w:rPr>
                      <w:rFonts w:hint="default"/>
                      <w:color w:val="auto"/>
                      <w:kern w:val="0"/>
                      <w:szCs w:val="21"/>
                      <w:lang w:val="en-US" w:eastAsia="zh-CN"/>
                    </w:rPr>
                  </w:pPr>
                  <w:r>
                    <w:rPr>
                      <w:rFonts w:hint="eastAsia"/>
                      <w:color w:val="auto"/>
                      <w:kern w:val="0"/>
                      <w:szCs w:val="21"/>
                      <w:lang w:val="en-US" w:eastAsia="zh-CN"/>
                    </w:rPr>
                    <w:t>液</w:t>
                  </w:r>
                </w:p>
              </w:tc>
              <w:tc>
                <w:tcPr>
                  <w:tcW w:w="880" w:type="pct"/>
                  <w:vAlign w:val="center"/>
                </w:tcPr>
                <w:p w14:paraId="15EED6E9">
                  <w:pPr>
                    <w:widowControl/>
                    <w:adjustRightInd w:val="0"/>
                    <w:snapToGrid w:val="0"/>
                    <w:jc w:val="center"/>
                    <w:textAlignment w:val="center"/>
                    <w:rPr>
                      <w:rFonts w:hint="default"/>
                      <w:color w:val="auto"/>
                      <w:kern w:val="0"/>
                      <w:lang w:val="en-US" w:eastAsia="zh-CN" w:bidi="ar"/>
                    </w:rPr>
                  </w:pPr>
                  <w:r>
                    <w:rPr>
                      <w:rFonts w:hint="eastAsia"/>
                      <w:color w:val="auto"/>
                      <w:kern w:val="0"/>
                      <w:lang w:val="en-US" w:eastAsia="zh-CN" w:bidi="ar"/>
                    </w:rPr>
                    <w:t>油漆、稀释剂</w:t>
                  </w:r>
                </w:p>
              </w:tc>
              <w:tc>
                <w:tcPr>
                  <w:tcW w:w="584" w:type="pct"/>
                  <w:vAlign w:val="center"/>
                </w:tcPr>
                <w:p w14:paraId="082C985C">
                  <w:pPr>
                    <w:pStyle w:val="5"/>
                    <w:adjustRightInd w:val="0"/>
                    <w:snapToGrid w:val="0"/>
                    <w:ind w:firstLine="0"/>
                    <w:jc w:val="center"/>
                    <w:rPr>
                      <w:rFonts w:hint="default"/>
                      <w:color w:val="auto"/>
                      <w:kern w:val="0"/>
                      <w:szCs w:val="21"/>
                      <w:lang w:val="en-US" w:eastAsia="zh-CN"/>
                    </w:rPr>
                  </w:pPr>
                  <w:r>
                    <w:rPr>
                      <w:rFonts w:hint="eastAsia"/>
                      <w:color w:val="auto"/>
                      <w:kern w:val="0"/>
                      <w:szCs w:val="21"/>
                      <w:lang w:val="en-US" w:eastAsia="zh-CN"/>
                    </w:rPr>
                    <w:t>0.05</w:t>
                  </w:r>
                </w:p>
              </w:tc>
              <w:tc>
                <w:tcPr>
                  <w:tcW w:w="601" w:type="pct"/>
                  <w:shd w:val="clear" w:color="auto" w:fill="auto"/>
                  <w:vAlign w:val="center"/>
                </w:tcPr>
                <w:p w14:paraId="47BF6114">
                  <w:pPr>
                    <w:pStyle w:val="5"/>
                    <w:adjustRightInd w:val="0"/>
                    <w:snapToGrid w:val="0"/>
                    <w:ind w:firstLine="0" w:firstLineChars="0"/>
                    <w:jc w:val="center"/>
                    <w:rPr>
                      <w:color w:val="auto"/>
                      <w:kern w:val="0"/>
                      <w:szCs w:val="21"/>
                    </w:rPr>
                  </w:pPr>
                  <w:r>
                    <w:rPr>
                      <w:color w:val="auto"/>
                      <w:kern w:val="0"/>
                      <w:szCs w:val="21"/>
                    </w:rPr>
                    <w:t>√</w:t>
                  </w:r>
                </w:p>
              </w:tc>
              <w:tc>
                <w:tcPr>
                  <w:tcW w:w="491" w:type="pct"/>
                  <w:shd w:val="clear" w:color="auto" w:fill="auto"/>
                  <w:vAlign w:val="center"/>
                </w:tcPr>
                <w:p w14:paraId="2B999693">
                  <w:pPr>
                    <w:pStyle w:val="5"/>
                    <w:adjustRightInd w:val="0"/>
                    <w:snapToGrid w:val="0"/>
                    <w:ind w:firstLine="0" w:firstLineChars="0"/>
                    <w:jc w:val="center"/>
                    <w:rPr>
                      <w:color w:val="auto"/>
                      <w:kern w:val="0"/>
                      <w:szCs w:val="21"/>
                    </w:rPr>
                  </w:pPr>
                  <w:r>
                    <w:rPr>
                      <w:color w:val="auto"/>
                      <w:kern w:val="0"/>
                      <w:szCs w:val="21"/>
                    </w:rPr>
                    <w:t>/</w:t>
                  </w:r>
                </w:p>
              </w:tc>
              <w:tc>
                <w:tcPr>
                  <w:tcW w:w="640" w:type="pct"/>
                  <w:vMerge w:val="continue"/>
                  <w:vAlign w:val="center"/>
                </w:tcPr>
                <w:p w14:paraId="7B46E52D">
                  <w:pPr>
                    <w:pStyle w:val="5"/>
                    <w:adjustRightInd w:val="0"/>
                    <w:snapToGrid w:val="0"/>
                    <w:ind w:firstLine="0"/>
                    <w:jc w:val="center"/>
                    <w:rPr>
                      <w:color w:val="auto"/>
                      <w:kern w:val="0"/>
                      <w:szCs w:val="21"/>
                    </w:rPr>
                  </w:pPr>
                </w:p>
              </w:tc>
            </w:tr>
            <w:tr w14:paraId="17F5C34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717" w:type="pct"/>
                  <w:vAlign w:val="center"/>
                </w:tcPr>
                <w:p w14:paraId="277784D9">
                  <w:pPr>
                    <w:pStyle w:val="5"/>
                    <w:adjustRightInd w:val="0"/>
                    <w:snapToGrid w:val="0"/>
                    <w:ind w:firstLine="0"/>
                    <w:jc w:val="center"/>
                    <w:rPr>
                      <w:rFonts w:hint="default"/>
                      <w:bCs/>
                      <w:color w:val="auto"/>
                      <w:kern w:val="0"/>
                      <w:szCs w:val="21"/>
                      <w:lang w:val="en-US" w:eastAsia="zh-CN"/>
                    </w:rPr>
                  </w:pPr>
                  <w:r>
                    <w:rPr>
                      <w:rFonts w:hint="eastAsia"/>
                      <w:bCs/>
                      <w:color w:val="auto"/>
                      <w:kern w:val="0"/>
                      <w:szCs w:val="21"/>
                      <w:lang w:val="en-US" w:eastAsia="zh-CN"/>
                    </w:rPr>
                    <w:t>废包装桶</w:t>
                  </w:r>
                </w:p>
              </w:tc>
              <w:tc>
                <w:tcPr>
                  <w:tcW w:w="677" w:type="pct"/>
                  <w:vAlign w:val="center"/>
                </w:tcPr>
                <w:p w14:paraId="6C2A30C1">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rPr>
                    <w:t>原料</w:t>
                  </w:r>
                </w:p>
                <w:p w14:paraId="71984216">
                  <w:pPr>
                    <w:widowControl/>
                    <w:adjustRightInd w:val="0"/>
                    <w:snapToGrid w:val="0"/>
                    <w:jc w:val="center"/>
                    <w:textAlignment w:val="center"/>
                    <w:rPr>
                      <w:rFonts w:hint="default"/>
                      <w:color w:val="auto"/>
                      <w:kern w:val="0"/>
                      <w:lang w:val="en-US" w:eastAsia="zh-CN"/>
                    </w:rPr>
                  </w:pPr>
                  <w:r>
                    <w:rPr>
                      <w:rFonts w:hint="eastAsia"/>
                      <w:color w:val="auto"/>
                      <w:kern w:val="0"/>
                      <w:lang w:val="en-US" w:eastAsia="zh-CN"/>
                    </w:rPr>
                    <w:t>拆包</w:t>
                  </w:r>
                </w:p>
              </w:tc>
              <w:tc>
                <w:tcPr>
                  <w:tcW w:w="406" w:type="pct"/>
                  <w:vAlign w:val="center"/>
                </w:tcPr>
                <w:p w14:paraId="73A11195">
                  <w:pPr>
                    <w:pStyle w:val="5"/>
                    <w:adjustRightInd w:val="0"/>
                    <w:snapToGrid w:val="0"/>
                    <w:ind w:firstLine="0"/>
                    <w:jc w:val="center"/>
                    <w:rPr>
                      <w:rFonts w:hint="eastAsia" w:eastAsia="宋体"/>
                      <w:color w:val="auto"/>
                      <w:kern w:val="0"/>
                      <w:szCs w:val="21"/>
                      <w:lang w:val="en-US" w:eastAsia="zh-CN"/>
                    </w:rPr>
                  </w:pPr>
                  <w:r>
                    <w:rPr>
                      <w:rFonts w:hint="eastAsia"/>
                      <w:color w:val="auto"/>
                      <w:kern w:val="0"/>
                      <w:szCs w:val="21"/>
                      <w:lang w:val="en-US" w:eastAsia="zh-CN"/>
                    </w:rPr>
                    <w:t>固</w:t>
                  </w:r>
                </w:p>
              </w:tc>
              <w:tc>
                <w:tcPr>
                  <w:tcW w:w="880" w:type="pct"/>
                  <w:vAlign w:val="center"/>
                </w:tcPr>
                <w:p w14:paraId="2D1909BF">
                  <w:pPr>
                    <w:widowControl/>
                    <w:adjustRightInd w:val="0"/>
                    <w:snapToGrid w:val="0"/>
                    <w:jc w:val="center"/>
                    <w:textAlignment w:val="center"/>
                    <w:rPr>
                      <w:rFonts w:hint="default"/>
                      <w:color w:val="auto"/>
                      <w:kern w:val="0"/>
                      <w:lang w:val="en-US" w:eastAsia="zh-CN" w:bidi="ar"/>
                    </w:rPr>
                  </w:pPr>
                  <w:r>
                    <w:rPr>
                      <w:rFonts w:hint="eastAsia"/>
                      <w:color w:val="auto"/>
                      <w:kern w:val="0"/>
                      <w:lang w:val="en-US" w:eastAsia="zh-CN" w:bidi="ar"/>
                    </w:rPr>
                    <w:t>油漆、胶水、擦色剂、桶</w:t>
                  </w:r>
                </w:p>
              </w:tc>
              <w:tc>
                <w:tcPr>
                  <w:tcW w:w="584" w:type="pct"/>
                  <w:vAlign w:val="center"/>
                </w:tcPr>
                <w:p w14:paraId="66EC6EBE">
                  <w:pPr>
                    <w:pStyle w:val="5"/>
                    <w:adjustRightInd w:val="0"/>
                    <w:snapToGrid w:val="0"/>
                    <w:ind w:firstLine="0"/>
                    <w:jc w:val="center"/>
                    <w:rPr>
                      <w:rFonts w:hint="default"/>
                      <w:color w:val="auto"/>
                      <w:kern w:val="0"/>
                      <w:szCs w:val="21"/>
                      <w:lang w:val="en-US" w:eastAsia="zh-CN"/>
                    </w:rPr>
                  </w:pPr>
                  <w:r>
                    <w:rPr>
                      <w:rFonts w:hint="eastAsia"/>
                      <w:color w:val="auto"/>
                      <w:kern w:val="0"/>
                      <w:szCs w:val="21"/>
                      <w:lang w:val="en-US" w:eastAsia="zh-CN"/>
                    </w:rPr>
                    <w:t>0.332</w:t>
                  </w:r>
                </w:p>
              </w:tc>
              <w:tc>
                <w:tcPr>
                  <w:tcW w:w="601" w:type="pct"/>
                  <w:shd w:val="clear" w:color="auto" w:fill="auto"/>
                  <w:vAlign w:val="center"/>
                </w:tcPr>
                <w:p w14:paraId="73997909">
                  <w:pPr>
                    <w:pStyle w:val="5"/>
                    <w:adjustRightInd w:val="0"/>
                    <w:snapToGrid w:val="0"/>
                    <w:ind w:firstLine="0" w:firstLineChars="0"/>
                    <w:jc w:val="center"/>
                    <w:rPr>
                      <w:color w:val="auto"/>
                      <w:kern w:val="0"/>
                      <w:szCs w:val="21"/>
                    </w:rPr>
                  </w:pPr>
                  <w:r>
                    <w:rPr>
                      <w:color w:val="auto"/>
                      <w:kern w:val="0"/>
                      <w:szCs w:val="21"/>
                    </w:rPr>
                    <w:t>√</w:t>
                  </w:r>
                </w:p>
              </w:tc>
              <w:tc>
                <w:tcPr>
                  <w:tcW w:w="491" w:type="pct"/>
                  <w:shd w:val="clear" w:color="auto" w:fill="auto"/>
                  <w:vAlign w:val="center"/>
                </w:tcPr>
                <w:p w14:paraId="203D57EC">
                  <w:pPr>
                    <w:pStyle w:val="5"/>
                    <w:adjustRightInd w:val="0"/>
                    <w:snapToGrid w:val="0"/>
                    <w:ind w:firstLine="0" w:firstLineChars="0"/>
                    <w:jc w:val="center"/>
                    <w:rPr>
                      <w:color w:val="auto"/>
                      <w:kern w:val="0"/>
                      <w:szCs w:val="21"/>
                    </w:rPr>
                  </w:pPr>
                  <w:r>
                    <w:rPr>
                      <w:color w:val="auto"/>
                      <w:kern w:val="0"/>
                      <w:szCs w:val="21"/>
                    </w:rPr>
                    <w:t>/</w:t>
                  </w:r>
                </w:p>
              </w:tc>
              <w:tc>
                <w:tcPr>
                  <w:tcW w:w="640" w:type="pct"/>
                  <w:vMerge w:val="continue"/>
                  <w:vAlign w:val="center"/>
                </w:tcPr>
                <w:p w14:paraId="1D3C47C7">
                  <w:pPr>
                    <w:pStyle w:val="5"/>
                    <w:adjustRightInd w:val="0"/>
                    <w:snapToGrid w:val="0"/>
                    <w:ind w:firstLine="0"/>
                    <w:jc w:val="center"/>
                    <w:rPr>
                      <w:color w:val="auto"/>
                      <w:kern w:val="0"/>
                      <w:szCs w:val="21"/>
                    </w:rPr>
                  </w:pPr>
                </w:p>
              </w:tc>
            </w:tr>
            <w:tr w14:paraId="36C5B3A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717" w:type="pct"/>
                  <w:vAlign w:val="center"/>
                </w:tcPr>
                <w:p w14:paraId="3CCE0356">
                  <w:pPr>
                    <w:pStyle w:val="5"/>
                    <w:adjustRightInd w:val="0"/>
                    <w:snapToGrid w:val="0"/>
                    <w:ind w:firstLine="0"/>
                    <w:jc w:val="center"/>
                    <w:rPr>
                      <w:rFonts w:hint="default"/>
                      <w:bCs/>
                      <w:color w:val="auto"/>
                      <w:kern w:val="0"/>
                      <w:szCs w:val="21"/>
                      <w:lang w:val="en-US" w:eastAsia="zh-CN"/>
                    </w:rPr>
                  </w:pPr>
                  <w:r>
                    <w:rPr>
                      <w:rFonts w:hint="eastAsia"/>
                      <w:bCs/>
                      <w:color w:val="auto"/>
                      <w:kern w:val="0"/>
                      <w:szCs w:val="21"/>
                      <w:lang w:val="en-US" w:eastAsia="zh-CN"/>
                    </w:rPr>
                    <w:t>干式内循环打磨处理器收集尘</w:t>
                  </w:r>
                </w:p>
              </w:tc>
              <w:tc>
                <w:tcPr>
                  <w:tcW w:w="677" w:type="pct"/>
                  <w:vAlign w:val="center"/>
                </w:tcPr>
                <w:p w14:paraId="50C94044">
                  <w:pPr>
                    <w:widowControl/>
                    <w:adjustRightInd w:val="0"/>
                    <w:snapToGrid w:val="0"/>
                    <w:jc w:val="center"/>
                    <w:textAlignment w:val="center"/>
                    <w:rPr>
                      <w:rFonts w:hint="default"/>
                      <w:color w:val="auto"/>
                      <w:kern w:val="0"/>
                      <w:lang w:val="en-US" w:eastAsia="zh-CN"/>
                    </w:rPr>
                  </w:pPr>
                  <w:r>
                    <w:rPr>
                      <w:rFonts w:hint="eastAsia"/>
                      <w:color w:val="auto"/>
                      <w:kern w:val="0"/>
                      <w:lang w:val="en-US" w:eastAsia="zh-CN"/>
                    </w:rPr>
                    <w:t>废气治理</w:t>
                  </w:r>
                </w:p>
              </w:tc>
              <w:tc>
                <w:tcPr>
                  <w:tcW w:w="406" w:type="pct"/>
                  <w:vAlign w:val="center"/>
                </w:tcPr>
                <w:p w14:paraId="5BF73FE9">
                  <w:pPr>
                    <w:pStyle w:val="5"/>
                    <w:adjustRightInd w:val="0"/>
                    <w:snapToGrid w:val="0"/>
                    <w:ind w:firstLine="0"/>
                    <w:jc w:val="center"/>
                    <w:rPr>
                      <w:rFonts w:hint="default"/>
                      <w:color w:val="auto"/>
                      <w:kern w:val="0"/>
                      <w:szCs w:val="21"/>
                      <w:lang w:val="en-US" w:eastAsia="zh-CN"/>
                    </w:rPr>
                  </w:pPr>
                  <w:r>
                    <w:rPr>
                      <w:rFonts w:hint="eastAsia"/>
                      <w:color w:val="auto"/>
                      <w:kern w:val="0"/>
                      <w:szCs w:val="21"/>
                      <w:lang w:val="en-US" w:eastAsia="zh-CN"/>
                    </w:rPr>
                    <w:t>固</w:t>
                  </w:r>
                </w:p>
              </w:tc>
              <w:tc>
                <w:tcPr>
                  <w:tcW w:w="880" w:type="pct"/>
                  <w:vAlign w:val="center"/>
                </w:tcPr>
                <w:p w14:paraId="3F115F70">
                  <w:pPr>
                    <w:widowControl/>
                    <w:adjustRightInd w:val="0"/>
                    <w:snapToGrid w:val="0"/>
                    <w:jc w:val="center"/>
                    <w:textAlignment w:val="center"/>
                    <w:rPr>
                      <w:rFonts w:hint="default"/>
                      <w:color w:val="auto"/>
                      <w:kern w:val="0"/>
                      <w:lang w:val="en-US" w:eastAsia="zh-CN" w:bidi="ar"/>
                    </w:rPr>
                  </w:pPr>
                  <w:r>
                    <w:rPr>
                      <w:rFonts w:hint="eastAsia"/>
                      <w:color w:val="auto"/>
                      <w:kern w:val="0"/>
                      <w:lang w:val="en-US" w:eastAsia="zh-CN" w:bidi="ar"/>
                    </w:rPr>
                    <w:t>漆雾</w:t>
                  </w:r>
                </w:p>
              </w:tc>
              <w:tc>
                <w:tcPr>
                  <w:tcW w:w="584" w:type="pct"/>
                  <w:vAlign w:val="center"/>
                </w:tcPr>
                <w:p w14:paraId="532BB87F">
                  <w:pPr>
                    <w:pStyle w:val="5"/>
                    <w:adjustRightInd w:val="0"/>
                    <w:snapToGrid w:val="0"/>
                    <w:ind w:firstLine="0"/>
                    <w:jc w:val="center"/>
                    <w:rPr>
                      <w:rFonts w:hint="default"/>
                      <w:color w:val="auto"/>
                      <w:kern w:val="0"/>
                      <w:szCs w:val="21"/>
                      <w:lang w:val="en-US" w:eastAsia="zh-CN"/>
                    </w:rPr>
                  </w:pPr>
                  <w:r>
                    <w:rPr>
                      <w:rFonts w:hint="eastAsia"/>
                      <w:color w:val="auto"/>
                      <w:kern w:val="0"/>
                      <w:szCs w:val="21"/>
                      <w:lang w:val="en-US" w:eastAsia="zh-CN"/>
                    </w:rPr>
                    <w:t>0.0172</w:t>
                  </w:r>
                </w:p>
              </w:tc>
              <w:tc>
                <w:tcPr>
                  <w:tcW w:w="601" w:type="pct"/>
                  <w:shd w:val="clear" w:color="auto" w:fill="auto"/>
                  <w:vAlign w:val="center"/>
                </w:tcPr>
                <w:p w14:paraId="3C5A1902">
                  <w:pPr>
                    <w:pStyle w:val="5"/>
                    <w:adjustRightInd w:val="0"/>
                    <w:snapToGrid w:val="0"/>
                    <w:ind w:firstLine="0" w:firstLineChars="0"/>
                    <w:jc w:val="center"/>
                    <w:rPr>
                      <w:color w:val="auto"/>
                      <w:kern w:val="0"/>
                      <w:szCs w:val="21"/>
                    </w:rPr>
                  </w:pPr>
                  <w:r>
                    <w:rPr>
                      <w:color w:val="auto"/>
                      <w:kern w:val="0"/>
                      <w:szCs w:val="21"/>
                    </w:rPr>
                    <w:t>√</w:t>
                  </w:r>
                </w:p>
              </w:tc>
              <w:tc>
                <w:tcPr>
                  <w:tcW w:w="491" w:type="pct"/>
                  <w:shd w:val="clear" w:color="auto" w:fill="auto"/>
                  <w:vAlign w:val="center"/>
                </w:tcPr>
                <w:p w14:paraId="6BEDEA22">
                  <w:pPr>
                    <w:pStyle w:val="5"/>
                    <w:adjustRightInd w:val="0"/>
                    <w:snapToGrid w:val="0"/>
                    <w:ind w:firstLine="0" w:firstLineChars="0"/>
                    <w:jc w:val="center"/>
                    <w:rPr>
                      <w:color w:val="auto"/>
                      <w:kern w:val="0"/>
                      <w:szCs w:val="21"/>
                    </w:rPr>
                  </w:pPr>
                  <w:r>
                    <w:rPr>
                      <w:color w:val="auto"/>
                      <w:kern w:val="0"/>
                      <w:szCs w:val="21"/>
                    </w:rPr>
                    <w:t>/</w:t>
                  </w:r>
                </w:p>
              </w:tc>
              <w:tc>
                <w:tcPr>
                  <w:tcW w:w="640" w:type="pct"/>
                  <w:vMerge w:val="continue"/>
                  <w:vAlign w:val="center"/>
                </w:tcPr>
                <w:p w14:paraId="3FE4E5DD">
                  <w:pPr>
                    <w:pStyle w:val="5"/>
                    <w:adjustRightInd w:val="0"/>
                    <w:snapToGrid w:val="0"/>
                    <w:ind w:firstLine="0"/>
                    <w:jc w:val="center"/>
                    <w:rPr>
                      <w:color w:val="auto"/>
                      <w:kern w:val="0"/>
                      <w:szCs w:val="21"/>
                    </w:rPr>
                  </w:pPr>
                </w:p>
              </w:tc>
            </w:tr>
            <w:tr w14:paraId="342113E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717" w:type="pct"/>
                  <w:vAlign w:val="center"/>
                </w:tcPr>
                <w:p w14:paraId="1E55F545">
                  <w:pPr>
                    <w:pStyle w:val="5"/>
                    <w:adjustRightInd w:val="0"/>
                    <w:snapToGrid w:val="0"/>
                    <w:ind w:firstLine="0"/>
                    <w:jc w:val="center"/>
                    <w:rPr>
                      <w:rFonts w:hint="default"/>
                      <w:bCs/>
                      <w:color w:val="auto"/>
                      <w:kern w:val="0"/>
                      <w:szCs w:val="21"/>
                      <w:lang w:val="en-US" w:eastAsia="zh-CN"/>
                    </w:rPr>
                  </w:pPr>
                  <w:r>
                    <w:rPr>
                      <w:rFonts w:hint="eastAsia"/>
                      <w:bCs/>
                      <w:color w:val="auto"/>
                      <w:kern w:val="0"/>
                      <w:szCs w:val="21"/>
                      <w:lang w:val="en-US" w:eastAsia="zh-CN"/>
                    </w:rPr>
                    <w:t>废活性炭</w:t>
                  </w:r>
                </w:p>
              </w:tc>
              <w:tc>
                <w:tcPr>
                  <w:tcW w:w="677" w:type="pct"/>
                  <w:vAlign w:val="center"/>
                </w:tcPr>
                <w:p w14:paraId="39BB55AD">
                  <w:pPr>
                    <w:widowControl/>
                    <w:adjustRightInd w:val="0"/>
                    <w:snapToGrid w:val="0"/>
                    <w:jc w:val="center"/>
                    <w:textAlignment w:val="center"/>
                    <w:rPr>
                      <w:rFonts w:hint="default"/>
                      <w:color w:val="auto"/>
                      <w:kern w:val="0"/>
                      <w:lang w:val="en-US" w:eastAsia="zh-CN"/>
                    </w:rPr>
                  </w:pPr>
                  <w:r>
                    <w:rPr>
                      <w:rFonts w:hint="eastAsia"/>
                      <w:color w:val="auto"/>
                      <w:kern w:val="0"/>
                      <w:lang w:val="en-US" w:eastAsia="zh-CN"/>
                    </w:rPr>
                    <w:t>废气治理</w:t>
                  </w:r>
                </w:p>
              </w:tc>
              <w:tc>
                <w:tcPr>
                  <w:tcW w:w="406" w:type="pct"/>
                  <w:vAlign w:val="center"/>
                </w:tcPr>
                <w:p w14:paraId="4DDADF9B">
                  <w:pPr>
                    <w:pStyle w:val="5"/>
                    <w:adjustRightInd w:val="0"/>
                    <w:snapToGrid w:val="0"/>
                    <w:ind w:firstLine="0"/>
                    <w:jc w:val="center"/>
                    <w:rPr>
                      <w:rFonts w:hint="default"/>
                      <w:color w:val="auto"/>
                      <w:kern w:val="0"/>
                      <w:szCs w:val="21"/>
                      <w:lang w:val="en-US" w:eastAsia="zh-CN"/>
                    </w:rPr>
                  </w:pPr>
                  <w:r>
                    <w:rPr>
                      <w:rFonts w:hint="eastAsia"/>
                      <w:color w:val="auto"/>
                      <w:kern w:val="0"/>
                      <w:szCs w:val="21"/>
                      <w:lang w:val="en-US" w:eastAsia="zh-CN"/>
                    </w:rPr>
                    <w:t>固</w:t>
                  </w:r>
                </w:p>
              </w:tc>
              <w:tc>
                <w:tcPr>
                  <w:tcW w:w="880" w:type="pct"/>
                  <w:vAlign w:val="center"/>
                </w:tcPr>
                <w:p w14:paraId="480BB609">
                  <w:pPr>
                    <w:widowControl/>
                    <w:adjustRightInd w:val="0"/>
                    <w:snapToGrid w:val="0"/>
                    <w:jc w:val="center"/>
                    <w:textAlignment w:val="center"/>
                    <w:rPr>
                      <w:rFonts w:hint="default"/>
                      <w:color w:val="auto"/>
                      <w:kern w:val="0"/>
                      <w:lang w:val="en-US" w:eastAsia="zh-CN" w:bidi="ar"/>
                    </w:rPr>
                  </w:pPr>
                  <w:r>
                    <w:rPr>
                      <w:rFonts w:hint="eastAsia"/>
                      <w:color w:val="auto"/>
                      <w:kern w:val="0"/>
                      <w:lang w:val="en-US" w:eastAsia="zh-CN" w:bidi="ar"/>
                    </w:rPr>
                    <w:t>活性炭、VOCs</w:t>
                  </w:r>
                </w:p>
              </w:tc>
              <w:tc>
                <w:tcPr>
                  <w:tcW w:w="584" w:type="pct"/>
                  <w:vAlign w:val="center"/>
                </w:tcPr>
                <w:p w14:paraId="23D4E75E">
                  <w:pPr>
                    <w:pStyle w:val="5"/>
                    <w:adjustRightInd w:val="0"/>
                    <w:snapToGrid w:val="0"/>
                    <w:ind w:firstLine="0"/>
                    <w:jc w:val="center"/>
                    <w:rPr>
                      <w:rFonts w:hint="default"/>
                      <w:color w:val="auto"/>
                      <w:kern w:val="0"/>
                      <w:szCs w:val="21"/>
                      <w:lang w:val="en-US" w:eastAsia="zh-CN"/>
                    </w:rPr>
                  </w:pPr>
                  <w:r>
                    <w:rPr>
                      <w:rFonts w:hint="eastAsia"/>
                      <w:color w:val="auto"/>
                      <w:kern w:val="0"/>
                      <w:szCs w:val="21"/>
                      <w:lang w:val="en-US" w:eastAsia="zh-CN"/>
                    </w:rPr>
                    <w:t>10.57</w:t>
                  </w:r>
                </w:p>
              </w:tc>
              <w:tc>
                <w:tcPr>
                  <w:tcW w:w="601" w:type="pct"/>
                  <w:shd w:val="clear" w:color="auto" w:fill="auto"/>
                  <w:vAlign w:val="center"/>
                </w:tcPr>
                <w:p w14:paraId="3F55D669">
                  <w:pPr>
                    <w:pStyle w:val="5"/>
                    <w:adjustRightInd w:val="0"/>
                    <w:snapToGrid w:val="0"/>
                    <w:ind w:firstLine="0" w:firstLineChars="0"/>
                    <w:jc w:val="center"/>
                    <w:rPr>
                      <w:rFonts w:hint="default"/>
                      <w:color w:val="auto"/>
                      <w:kern w:val="0"/>
                      <w:szCs w:val="21"/>
                      <w:lang w:val="en-US"/>
                    </w:rPr>
                  </w:pPr>
                  <w:r>
                    <w:rPr>
                      <w:color w:val="auto"/>
                      <w:kern w:val="0"/>
                      <w:szCs w:val="21"/>
                    </w:rPr>
                    <w:t>√</w:t>
                  </w:r>
                </w:p>
              </w:tc>
              <w:tc>
                <w:tcPr>
                  <w:tcW w:w="491" w:type="pct"/>
                  <w:shd w:val="clear" w:color="auto" w:fill="auto"/>
                  <w:vAlign w:val="center"/>
                </w:tcPr>
                <w:p w14:paraId="3EF64873">
                  <w:pPr>
                    <w:pStyle w:val="5"/>
                    <w:adjustRightInd w:val="0"/>
                    <w:snapToGrid w:val="0"/>
                    <w:ind w:firstLine="0" w:firstLineChars="0"/>
                    <w:jc w:val="center"/>
                    <w:rPr>
                      <w:rFonts w:hint="default"/>
                      <w:color w:val="auto"/>
                      <w:kern w:val="0"/>
                      <w:szCs w:val="21"/>
                      <w:lang w:val="en-US"/>
                    </w:rPr>
                  </w:pPr>
                  <w:r>
                    <w:rPr>
                      <w:color w:val="auto"/>
                      <w:kern w:val="0"/>
                      <w:szCs w:val="21"/>
                    </w:rPr>
                    <w:t>/</w:t>
                  </w:r>
                </w:p>
              </w:tc>
              <w:tc>
                <w:tcPr>
                  <w:tcW w:w="640" w:type="pct"/>
                  <w:vMerge w:val="continue"/>
                  <w:vAlign w:val="center"/>
                </w:tcPr>
                <w:p w14:paraId="27B10155">
                  <w:pPr>
                    <w:pStyle w:val="5"/>
                    <w:adjustRightInd w:val="0"/>
                    <w:snapToGrid w:val="0"/>
                    <w:ind w:firstLine="0"/>
                    <w:jc w:val="center"/>
                    <w:rPr>
                      <w:rFonts w:hint="default"/>
                      <w:color w:val="auto"/>
                      <w:kern w:val="0"/>
                      <w:szCs w:val="21"/>
                      <w:lang w:val="en-US"/>
                    </w:rPr>
                  </w:pPr>
                </w:p>
              </w:tc>
            </w:tr>
            <w:tr w14:paraId="4DC780D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717" w:type="pct"/>
                  <w:vAlign w:val="center"/>
                </w:tcPr>
                <w:p w14:paraId="76416410">
                  <w:pPr>
                    <w:pStyle w:val="5"/>
                    <w:adjustRightInd w:val="0"/>
                    <w:snapToGrid w:val="0"/>
                    <w:ind w:firstLine="0" w:firstLineChars="0"/>
                    <w:jc w:val="center"/>
                    <w:rPr>
                      <w:rFonts w:hint="eastAsia"/>
                      <w:bCs/>
                      <w:color w:val="auto"/>
                      <w:kern w:val="0"/>
                      <w:szCs w:val="21"/>
                    </w:rPr>
                  </w:pPr>
                  <w:r>
                    <w:rPr>
                      <w:rFonts w:hint="eastAsia"/>
                      <w:bCs/>
                      <w:color w:val="auto"/>
                      <w:kern w:val="0"/>
                      <w:szCs w:val="21"/>
                      <w:lang w:val="en-US" w:eastAsia="zh-CN"/>
                    </w:rPr>
                    <w:t>生活垃圾</w:t>
                  </w:r>
                </w:p>
              </w:tc>
              <w:tc>
                <w:tcPr>
                  <w:tcW w:w="677" w:type="pct"/>
                  <w:vAlign w:val="center"/>
                </w:tcPr>
                <w:p w14:paraId="683698FA">
                  <w:pPr>
                    <w:widowControl/>
                    <w:adjustRightInd w:val="0"/>
                    <w:snapToGrid w:val="0"/>
                    <w:jc w:val="center"/>
                    <w:textAlignment w:val="center"/>
                    <w:rPr>
                      <w:rFonts w:hint="eastAsia"/>
                      <w:color w:val="auto"/>
                      <w:kern w:val="0"/>
                    </w:rPr>
                  </w:pPr>
                  <w:r>
                    <w:rPr>
                      <w:rFonts w:hint="eastAsia"/>
                      <w:color w:val="auto"/>
                      <w:kern w:val="0"/>
                      <w:lang w:val="en-US" w:eastAsia="zh-CN"/>
                    </w:rPr>
                    <w:t>员工生活</w:t>
                  </w:r>
                </w:p>
              </w:tc>
              <w:tc>
                <w:tcPr>
                  <w:tcW w:w="406" w:type="pct"/>
                  <w:vAlign w:val="center"/>
                </w:tcPr>
                <w:p w14:paraId="4E0A4214">
                  <w:pPr>
                    <w:adjustRightInd w:val="0"/>
                    <w:snapToGrid w:val="0"/>
                    <w:jc w:val="center"/>
                    <w:rPr>
                      <w:color w:val="auto"/>
                      <w:kern w:val="0"/>
                    </w:rPr>
                  </w:pPr>
                  <w:r>
                    <w:rPr>
                      <w:rFonts w:hint="eastAsia"/>
                      <w:color w:val="auto"/>
                      <w:kern w:val="0"/>
                      <w:lang w:val="en-US" w:eastAsia="zh-CN"/>
                    </w:rPr>
                    <w:t>固</w:t>
                  </w:r>
                </w:p>
              </w:tc>
              <w:tc>
                <w:tcPr>
                  <w:tcW w:w="880" w:type="pct"/>
                  <w:vAlign w:val="center"/>
                </w:tcPr>
                <w:p w14:paraId="64D9AAC2">
                  <w:pPr>
                    <w:widowControl/>
                    <w:adjustRightInd w:val="0"/>
                    <w:snapToGrid w:val="0"/>
                    <w:jc w:val="center"/>
                    <w:textAlignment w:val="center"/>
                    <w:rPr>
                      <w:rFonts w:hint="eastAsia"/>
                      <w:color w:val="auto"/>
                      <w:kern w:val="0"/>
                      <w:lang w:bidi="ar"/>
                    </w:rPr>
                  </w:pPr>
                  <w:r>
                    <w:rPr>
                      <w:rFonts w:hint="eastAsia"/>
                      <w:color w:val="auto"/>
                      <w:kern w:val="0"/>
                      <w:lang w:val="en-US" w:eastAsia="zh-CN" w:bidi="ar"/>
                    </w:rPr>
                    <w:t>纸皮、瓜果等</w:t>
                  </w:r>
                </w:p>
              </w:tc>
              <w:tc>
                <w:tcPr>
                  <w:tcW w:w="584" w:type="pct"/>
                  <w:vAlign w:val="center"/>
                </w:tcPr>
                <w:p w14:paraId="1E0251BE">
                  <w:pPr>
                    <w:pStyle w:val="5"/>
                    <w:adjustRightInd w:val="0"/>
                    <w:snapToGrid w:val="0"/>
                    <w:ind w:firstLine="0" w:firstLineChars="0"/>
                    <w:jc w:val="center"/>
                    <w:rPr>
                      <w:rFonts w:hint="default"/>
                      <w:color w:val="auto"/>
                      <w:kern w:val="0"/>
                      <w:szCs w:val="21"/>
                      <w:lang w:val="en-US" w:eastAsia="zh-CN"/>
                    </w:rPr>
                  </w:pPr>
                  <w:r>
                    <w:rPr>
                      <w:rFonts w:hint="eastAsia"/>
                      <w:color w:val="auto"/>
                      <w:kern w:val="0"/>
                      <w:szCs w:val="21"/>
                      <w:lang w:val="en-US" w:eastAsia="zh-CN"/>
                    </w:rPr>
                    <w:t>9</w:t>
                  </w:r>
                </w:p>
              </w:tc>
              <w:tc>
                <w:tcPr>
                  <w:tcW w:w="601" w:type="pct"/>
                  <w:vAlign w:val="center"/>
                </w:tcPr>
                <w:p w14:paraId="73401E8C">
                  <w:pPr>
                    <w:pStyle w:val="5"/>
                    <w:adjustRightInd w:val="0"/>
                    <w:snapToGrid w:val="0"/>
                    <w:ind w:firstLine="0" w:firstLineChars="0"/>
                    <w:jc w:val="center"/>
                    <w:rPr>
                      <w:color w:val="auto"/>
                      <w:kern w:val="0"/>
                      <w:szCs w:val="21"/>
                    </w:rPr>
                  </w:pPr>
                  <w:r>
                    <w:rPr>
                      <w:color w:val="auto"/>
                      <w:kern w:val="0"/>
                      <w:szCs w:val="21"/>
                    </w:rPr>
                    <w:t>√</w:t>
                  </w:r>
                </w:p>
              </w:tc>
              <w:tc>
                <w:tcPr>
                  <w:tcW w:w="491" w:type="pct"/>
                  <w:vAlign w:val="center"/>
                </w:tcPr>
                <w:p w14:paraId="2C391FAD">
                  <w:pPr>
                    <w:pStyle w:val="5"/>
                    <w:adjustRightInd w:val="0"/>
                    <w:snapToGrid w:val="0"/>
                    <w:ind w:firstLine="0" w:firstLineChars="0"/>
                    <w:jc w:val="center"/>
                    <w:rPr>
                      <w:color w:val="auto"/>
                      <w:kern w:val="0"/>
                      <w:szCs w:val="21"/>
                    </w:rPr>
                  </w:pPr>
                  <w:r>
                    <w:rPr>
                      <w:color w:val="auto"/>
                      <w:kern w:val="0"/>
                      <w:szCs w:val="21"/>
                    </w:rPr>
                    <w:t>/</w:t>
                  </w:r>
                </w:p>
              </w:tc>
              <w:tc>
                <w:tcPr>
                  <w:tcW w:w="640" w:type="pct"/>
                  <w:vMerge w:val="continue"/>
                  <w:vAlign w:val="center"/>
                </w:tcPr>
                <w:p w14:paraId="25CC138A">
                  <w:pPr>
                    <w:pStyle w:val="5"/>
                    <w:adjustRightInd w:val="0"/>
                    <w:snapToGrid w:val="0"/>
                    <w:ind w:firstLine="0"/>
                    <w:jc w:val="center"/>
                    <w:rPr>
                      <w:color w:val="auto"/>
                      <w:kern w:val="0"/>
                      <w:szCs w:val="21"/>
                    </w:rPr>
                  </w:pPr>
                </w:p>
              </w:tc>
            </w:tr>
          </w:tbl>
          <w:p w14:paraId="6D2C93F5">
            <w:pPr>
              <w:pStyle w:val="697"/>
              <w:adjustRightInd w:val="0"/>
              <w:snapToGrid w:val="0"/>
              <w:spacing w:line="360" w:lineRule="auto"/>
              <w:ind w:firstLine="420"/>
              <w:rPr>
                <w:rFonts w:eastAsia="宋体"/>
                <w:color w:val="auto"/>
                <w:kern w:val="0"/>
                <w:sz w:val="21"/>
                <w:szCs w:val="21"/>
              </w:rPr>
            </w:pPr>
            <w:r>
              <w:rPr>
                <w:rFonts w:eastAsia="宋体"/>
                <w:color w:val="auto"/>
                <w:kern w:val="0"/>
                <w:sz w:val="21"/>
                <w:szCs w:val="21"/>
              </w:rPr>
              <w:t>根据《国家危险废物名录》以及《危险废物鉴别标准》，判定建设项目的固体废物是否属于危险废物。项目固体废物产生源强汇总见</w:t>
            </w:r>
            <w:r>
              <w:rPr>
                <w:rFonts w:hint="eastAsia" w:eastAsia="宋体"/>
                <w:color w:val="auto"/>
                <w:kern w:val="0"/>
                <w:sz w:val="21"/>
                <w:szCs w:val="21"/>
              </w:rPr>
              <w:t>下表</w:t>
            </w:r>
            <w:r>
              <w:rPr>
                <w:rFonts w:eastAsia="宋体"/>
                <w:color w:val="auto"/>
                <w:kern w:val="0"/>
                <w:sz w:val="21"/>
                <w:szCs w:val="21"/>
              </w:rPr>
              <w:t>。</w:t>
            </w:r>
          </w:p>
          <w:p w14:paraId="01E2FC61">
            <w:pPr>
              <w:jc w:val="center"/>
              <w:rPr>
                <w:b/>
                <w:color w:val="auto"/>
                <w:kern w:val="0"/>
              </w:rPr>
            </w:pPr>
            <w:r>
              <w:rPr>
                <w:b/>
                <w:color w:val="auto"/>
                <w:kern w:val="0"/>
              </w:rPr>
              <w:t>表4-</w:t>
            </w:r>
            <w:r>
              <w:rPr>
                <w:rFonts w:hint="eastAsia"/>
                <w:b/>
                <w:color w:val="auto"/>
                <w:kern w:val="0"/>
                <w:lang w:val="en-US" w:eastAsia="zh-CN"/>
              </w:rPr>
              <w:t>22</w:t>
            </w:r>
            <w:r>
              <w:rPr>
                <w:rFonts w:hint="eastAsia"/>
                <w:b/>
                <w:color w:val="auto"/>
                <w:kern w:val="0"/>
              </w:rPr>
              <w:t xml:space="preserve"> </w:t>
            </w:r>
            <w:r>
              <w:rPr>
                <w:b/>
                <w:color w:val="auto"/>
                <w:kern w:val="0"/>
              </w:rPr>
              <w:t xml:space="preserve">  固体废物分析结果汇总表</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422"/>
              <w:gridCol w:w="645"/>
              <w:gridCol w:w="752"/>
              <w:gridCol w:w="746"/>
              <w:gridCol w:w="1351"/>
              <w:gridCol w:w="810"/>
              <w:gridCol w:w="824"/>
              <w:gridCol w:w="1340"/>
              <w:gridCol w:w="966"/>
            </w:tblGrid>
            <w:tr w14:paraId="7C293FE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227" w:hRule="atLeast"/>
                <w:jc w:val="center"/>
              </w:trPr>
              <w:tc>
                <w:tcPr>
                  <w:tcW w:w="802" w:type="pct"/>
                  <w:vAlign w:val="center"/>
                </w:tcPr>
                <w:p w14:paraId="1F41BD78">
                  <w:pPr>
                    <w:adjustRightInd w:val="0"/>
                    <w:snapToGrid w:val="0"/>
                    <w:jc w:val="center"/>
                    <w:rPr>
                      <w:b/>
                      <w:bCs/>
                      <w:color w:val="auto"/>
                      <w:kern w:val="0"/>
                    </w:rPr>
                  </w:pPr>
                  <w:r>
                    <w:rPr>
                      <w:b/>
                      <w:bCs/>
                      <w:color w:val="auto"/>
                      <w:kern w:val="0"/>
                    </w:rPr>
                    <w:t>固废名称</w:t>
                  </w:r>
                </w:p>
              </w:tc>
              <w:tc>
                <w:tcPr>
                  <w:tcW w:w="364" w:type="pct"/>
                  <w:vAlign w:val="center"/>
                </w:tcPr>
                <w:p w14:paraId="5D541C8C">
                  <w:pPr>
                    <w:adjustRightInd w:val="0"/>
                    <w:snapToGrid w:val="0"/>
                    <w:jc w:val="center"/>
                    <w:rPr>
                      <w:b/>
                      <w:bCs/>
                      <w:color w:val="auto"/>
                      <w:kern w:val="0"/>
                    </w:rPr>
                  </w:pPr>
                  <w:r>
                    <w:rPr>
                      <w:b/>
                      <w:bCs/>
                      <w:color w:val="auto"/>
                      <w:kern w:val="0"/>
                    </w:rPr>
                    <w:t>属性</w:t>
                  </w:r>
                </w:p>
              </w:tc>
              <w:tc>
                <w:tcPr>
                  <w:tcW w:w="424" w:type="pct"/>
                  <w:vAlign w:val="center"/>
                </w:tcPr>
                <w:p w14:paraId="45900BCE">
                  <w:pPr>
                    <w:adjustRightInd w:val="0"/>
                    <w:snapToGrid w:val="0"/>
                    <w:jc w:val="center"/>
                    <w:rPr>
                      <w:b/>
                      <w:bCs/>
                      <w:color w:val="auto"/>
                      <w:kern w:val="0"/>
                    </w:rPr>
                  </w:pPr>
                  <w:r>
                    <w:rPr>
                      <w:b/>
                      <w:bCs/>
                      <w:color w:val="auto"/>
                      <w:kern w:val="0"/>
                    </w:rPr>
                    <w:t>产生工序</w:t>
                  </w:r>
                </w:p>
              </w:tc>
              <w:tc>
                <w:tcPr>
                  <w:tcW w:w="421" w:type="pct"/>
                  <w:vAlign w:val="center"/>
                </w:tcPr>
                <w:p w14:paraId="02267730">
                  <w:pPr>
                    <w:adjustRightInd w:val="0"/>
                    <w:snapToGrid w:val="0"/>
                    <w:jc w:val="center"/>
                    <w:rPr>
                      <w:b/>
                      <w:bCs/>
                      <w:color w:val="auto"/>
                      <w:kern w:val="0"/>
                    </w:rPr>
                  </w:pPr>
                  <w:r>
                    <w:rPr>
                      <w:b/>
                      <w:bCs/>
                      <w:color w:val="auto"/>
                      <w:kern w:val="0"/>
                    </w:rPr>
                    <w:t>形态</w:t>
                  </w:r>
                </w:p>
              </w:tc>
              <w:tc>
                <w:tcPr>
                  <w:tcW w:w="762" w:type="pct"/>
                  <w:vAlign w:val="center"/>
                </w:tcPr>
                <w:p w14:paraId="01D555D8">
                  <w:pPr>
                    <w:adjustRightInd w:val="0"/>
                    <w:snapToGrid w:val="0"/>
                    <w:jc w:val="center"/>
                    <w:rPr>
                      <w:b/>
                      <w:bCs/>
                      <w:color w:val="auto"/>
                      <w:kern w:val="0"/>
                    </w:rPr>
                  </w:pPr>
                  <w:r>
                    <w:rPr>
                      <w:b/>
                      <w:bCs/>
                      <w:color w:val="auto"/>
                      <w:kern w:val="0"/>
                    </w:rPr>
                    <w:t>主要成分</w:t>
                  </w:r>
                </w:p>
              </w:tc>
              <w:tc>
                <w:tcPr>
                  <w:tcW w:w="457" w:type="pct"/>
                  <w:vAlign w:val="center"/>
                </w:tcPr>
                <w:p w14:paraId="3DD787AA">
                  <w:pPr>
                    <w:adjustRightInd w:val="0"/>
                    <w:snapToGrid w:val="0"/>
                    <w:jc w:val="center"/>
                    <w:rPr>
                      <w:b/>
                      <w:bCs/>
                      <w:color w:val="auto"/>
                      <w:kern w:val="0"/>
                    </w:rPr>
                  </w:pPr>
                  <w:r>
                    <w:rPr>
                      <w:b/>
                      <w:bCs/>
                      <w:color w:val="auto"/>
                      <w:kern w:val="0"/>
                    </w:rPr>
                    <w:t>危险特性</w:t>
                  </w:r>
                </w:p>
              </w:tc>
              <w:tc>
                <w:tcPr>
                  <w:tcW w:w="465" w:type="pct"/>
                  <w:vAlign w:val="center"/>
                </w:tcPr>
                <w:p w14:paraId="242B5BDC">
                  <w:pPr>
                    <w:adjustRightInd w:val="0"/>
                    <w:snapToGrid w:val="0"/>
                    <w:jc w:val="center"/>
                    <w:rPr>
                      <w:b/>
                      <w:bCs/>
                      <w:color w:val="auto"/>
                      <w:kern w:val="0"/>
                    </w:rPr>
                  </w:pPr>
                  <w:r>
                    <w:rPr>
                      <w:b/>
                      <w:bCs/>
                      <w:color w:val="auto"/>
                      <w:kern w:val="0"/>
                    </w:rPr>
                    <w:t>废物类别</w:t>
                  </w:r>
                </w:p>
              </w:tc>
              <w:tc>
                <w:tcPr>
                  <w:tcW w:w="756" w:type="pct"/>
                  <w:vAlign w:val="center"/>
                </w:tcPr>
                <w:p w14:paraId="12641CFB">
                  <w:pPr>
                    <w:adjustRightInd w:val="0"/>
                    <w:snapToGrid w:val="0"/>
                    <w:jc w:val="center"/>
                    <w:rPr>
                      <w:b/>
                      <w:bCs/>
                      <w:color w:val="auto"/>
                      <w:kern w:val="0"/>
                    </w:rPr>
                  </w:pPr>
                  <w:r>
                    <w:rPr>
                      <w:b/>
                      <w:bCs/>
                      <w:color w:val="auto"/>
                      <w:kern w:val="0"/>
                    </w:rPr>
                    <w:t>废物代码</w:t>
                  </w:r>
                </w:p>
              </w:tc>
              <w:tc>
                <w:tcPr>
                  <w:tcW w:w="545" w:type="pct"/>
                  <w:vAlign w:val="center"/>
                </w:tcPr>
                <w:p w14:paraId="0EB75F9B">
                  <w:pPr>
                    <w:adjustRightInd w:val="0"/>
                    <w:snapToGrid w:val="0"/>
                    <w:jc w:val="center"/>
                    <w:rPr>
                      <w:b/>
                      <w:bCs/>
                      <w:color w:val="auto"/>
                      <w:kern w:val="0"/>
                    </w:rPr>
                  </w:pPr>
                  <w:r>
                    <w:rPr>
                      <w:b/>
                      <w:bCs/>
                      <w:color w:val="auto"/>
                      <w:kern w:val="0"/>
                    </w:rPr>
                    <w:t>估算产生量t/a</w:t>
                  </w:r>
                </w:p>
              </w:tc>
            </w:tr>
            <w:tr w14:paraId="04E4A02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802" w:type="pct"/>
                  <w:vAlign w:val="center"/>
                </w:tcPr>
                <w:p w14:paraId="1E3B9889">
                  <w:pPr>
                    <w:pStyle w:val="5"/>
                    <w:adjustRightInd w:val="0"/>
                    <w:snapToGrid w:val="0"/>
                    <w:ind w:firstLine="0" w:firstLineChars="0"/>
                    <w:jc w:val="center"/>
                    <w:rPr>
                      <w:rFonts w:hint="eastAsia"/>
                      <w:bCs/>
                      <w:color w:val="auto"/>
                      <w:kern w:val="0"/>
                      <w:szCs w:val="21"/>
                    </w:rPr>
                  </w:pPr>
                  <w:r>
                    <w:rPr>
                      <w:rFonts w:hint="eastAsia"/>
                      <w:bCs/>
                      <w:color w:val="auto"/>
                      <w:kern w:val="0"/>
                      <w:szCs w:val="21"/>
                      <w:lang w:val="en-US" w:eastAsia="zh-CN"/>
                    </w:rPr>
                    <w:t>木屑</w:t>
                  </w:r>
                </w:p>
              </w:tc>
              <w:tc>
                <w:tcPr>
                  <w:tcW w:w="364" w:type="pct"/>
                  <w:vMerge w:val="restart"/>
                  <w:vAlign w:val="center"/>
                </w:tcPr>
                <w:p w14:paraId="5733865A">
                  <w:pPr>
                    <w:adjustRightInd w:val="0"/>
                    <w:snapToGrid w:val="0"/>
                    <w:jc w:val="center"/>
                    <w:rPr>
                      <w:rFonts w:hint="eastAsia"/>
                      <w:color w:val="auto"/>
                      <w:kern w:val="0"/>
                    </w:rPr>
                  </w:pPr>
                  <w:r>
                    <w:rPr>
                      <w:rFonts w:hint="eastAsia"/>
                      <w:color w:val="auto"/>
                      <w:kern w:val="0"/>
                    </w:rPr>
                    <w:t>一般固废</w:t>
                  </w:r>
                </w:p>
              </w:tc>
              <w:tc>
                <w:tcPr>
                  <w:tcW w:w="424" w:type="pct"/>
                  <w:vAlign w:val="center"/>
                </w:tcPr>
                <w:p w14:paraId="7BE04302">
                  <w:pPr>
                    <w:widowControl/>
                    <w:adjustRightInd w:val="0"/>
                    <w:snapToGrid w:val="0"/>
                    <w:jc w:val="center"/>
                    <w:textAlignment w:val="center"/>
                    <w:rPr>
                      <w:rFonts w:hint="eastAsia"/>
                      <w:color w:val="auto"/>
                      <w:kern w:val="0"/>
                    </w:rPr>
                  </w:pPr>
                  <w:r>
                    <w:rPr>
                      <w:rFonts w:hint="eastAsia"/>
                      <w:color w:val="auto"/>
                      <w:kern w:val="0"/>
                      <w:lang w:val="en-US" w:eastAsia="zh-CN"/>
                    </w:rPr>
                    <w:t>木工</w:t>
                  </w:r>
                </w:p>
              </w:tc>
              <w:tc>
                <w:tcPr>
                  <w:tcW w:w="421" w:type="pct"/>
                  <w:vAlign w:val="center"/>
                </w:tcPr>
                <w:p w14:paraId="236A21F3">
                  <w:pPr>
                    <w:pStyle w:val="5"/>
                    <w:adjustRightInd w:val="0"/>
                    <w:snapToGrid w:val="0"/>
                    <w:ind w:firstLine="0" w:firstLineChars="0"/>
                    <w:jc w:val="center"/>
                    <w:rPr>
                      <w:color w:val="auto"/>
                      <w:kern w:val="0"/>
                      <w:szCs w:val="21"/>
                    </w:rPr>
                  </w:pPr>
                  <w:r>
                    <w:rPr>
                      <w:rFonts w:hint="eastAsia"/>
                      <w:color w:val="auto"/>
                      <w:kern w:val="0"/>
                      <w:szCs w:val="21"/>
                      <w:lang w:val="en-US" w:eastAsia="zh-CN"/>
                    </w:rPr>
                    <w:t>固</w:t>
                  </w:r>
                </w:p>
              </w:tc>
              <w:tc>
                <w:tcPr>
                  <w:tcW w:w="762" w:type="pct"/>
                  <w:vAlign w:val="center"/>
                </w:tcPr>
                <w:p w14:paraId="01639C7A">
                  <w:pPr>
                    <w:widowControl/>
                    <w:adjustRightInd w:val="0"/>
                    <w:snapToGrid w:val="0"/>
                    <w:jc w:val="center"/>
                    <w:textAlignment w:val="center"/>
                    <w:rPr>
                      <w:rFonts w:hint="eastAsia"/>
                      <w:color w:val="auto"/>
                      <w:kern w:val="0"/>
                      <w:lang w:bidi="ar"/>
                    </w:rPr>
                  </w:pPr>
                  <w:r>
                    <w:rPr>
                      <w:rFonts w:hint="eastAsia"/>
                      <w:color w:val="auto"/>
                      <w:kern w:val="0"/>
                      <w:lang w:val="en-US" w:eastAsia="zh-CN" w:bidi="ar"/>
                    </w:rPr>
                    <w:t>木材</w:t>
                  </w:r>
                </w:p>
              </w:tc>
              <w:tc>
                <w:tcPr>
                  <w:tcW w:w="457" w:type="pct"/>
                  <w:vAlign w:val="center"/>
                </w:tcPr>
                <w:p w14:paraId="5FAFD35F">
                  <w:pPr>
                    <w:jc w:val="center"/>
                    <w:rPr>
                      <w:rFonts w:hint="eastAsia"/>
                      <w:color w:val="auto"/>
                      <w:kern w:val="0"/>
                    </w:rPr>
                  </w:pPr>
                  <w:r>
                    <w:rPr>
                      <w:rFonts w:hint="eastAsia"/>
                      <w:color w:val="auto"/>
                      <w:kern w:val="0"/>
                    </w:rPr>
                    <w:t>--</w:t>
                  </w:r>
                </w:p>
              </w:tc>
              <w:tc>
                <w:tcPr>
                  <w:tcW w:w="465" w:type="pct"/>
                  <w:vAlign w:val="center"/>
                </w:tcPr>
                <w:p w14:paraId="46283EFB">
                  <w:pPr>
                    <w:jc w:val="center"/>
                    <w:rPr>
                      <w:rFonts w:hint="default" w:eastAsia="宋体"/>
                      <w:color w:val="auto"/>
                      <w:kern w:val="0"/>
                      <w:lang w:val="en-US" w:eastAsia="zh-CN"/>
                    </w:rPr>
                  </w:pPr>
                  <w:r>
                    <w:rPr>
                      <w:rFonts w:hint="eastAsia"/>
                      <w:color w:val="auto"/>
                      <w:kern w:val="0"/>
                      <w:lang w:val="en-US" w:eastAsia="zh-CN"/>
                    </w:rPr>
                    <w:t>SW59</w:t>
                  </w:r>
                </w:p>
              </w:tc>
              <w:tc>
                <w:tcPr>
                  <w:tcW w:w="756" w:type="pct"/>
                  <w:vAlign w:val="center"/>
                </w:tcPr>
                <w:p w14:paraId="3E632ECB">
                  <w:pPr>
                    <w:jc w:val="center"/>
                    <w:rPr>
                      <w:rFonts w:hint="default" w:eastAsia="宋体"/>
                      <w:color w:val="auto"/>
                      <w:kern w:val="0"/>
                      <w:lang w:val="en-US" w:eastAsia="zh-CN"/>
                    </w:rPr>
                  </w:pPr>
                  <w:r>
                    <w:rPr>
                      <w:rFonts w:hint="eastAsia"/>
                      <w:color w:val="auto"/>
                      <w:kern w:val="0"/>
                      <w:lang w:val="en-US" w:eastAsia="zh-CN"/>
                    </w:rPr>
                    <w:t>900-099-S59</w:t>
                  </w:r>
                </w:p>
              </w:tc>
              <w:tc>
                <w:tcPr>
                  <w:tcW w:w="545" w:type="pct"/>
                  <w:vAlign w:val="center"/>
                </w:tcPr>
                <w:p w14:paraId="001805F0">
                  <w:pPr>
                    <w:pStyle w:val="5"/>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0.65</w:t>
                  </w:r>
                </w:p>
              </w:tc>
            </w:tr>
            <w:tr w14:paraId="15E085A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802" w:type="pct"/>
                  <w:vAlign w:val="center"/>
                </w:tcPr>
                <w:p w14:paraId="20B8541E">
                  <w:pPr>
                    <w:pStyle w:val="5"/>
                    <w:adjustRightInd w:val="0"/>
                    <w:snapToGrid w:val="0"/>
                    <w:ind w:firstLine="0" w:firstLineChars="0"/>
                    <w:jc w:val="center"/>
                    <w:rPr>
                      <w:color w:val="auto"/>
                      <w:kern w:val="0"/>
                      <w:szCs w:val="21"/>
                    </w:rPr>
                  </w:pPr>
                  <w:r>
                    <w:rPr>
                      <w:rFonts w:hint="eastAsia"/>
                      <w:bCs/>
                      <w:color w:val="auto"/>
                      <w:kern w:val="0"/>
                      <w:szCs w:val="21"/>
                      <w:lang w:val="en-US" w:eastAsia="zh-CN"/>
                    </w:rPr>
                    <w:t>边角料</w:t>
                  </w:r>
                </w:p>
              </w:tc>
              <w:tc>
                <w:tcPr>
                  <w:tcW w:w="364" w:type="pct"/>
                  <w:vMerge w:val="continue"/>
                  <w:vAlign w:val="center"/>
                </w:tcPr>
                <w:p w14:paraId="5B25057E">
                  <w:pPr>
                    <w:adjustRightInd w:val="0"/>
                    <w:snapToGrid w:val="0"/>
                    <w:jc w:val="center"/>
                    <w:rPr>
                      <w:color w:val="auto"/>
                      <w:kern w:val="0"/>
                    </w:rPr>
                  </w:pPr>
                </w:p>
              </w:tc>
              <w:tc>
                <w:tcPr>
                  <w:tcW w:w="424" w:type="pct"/>
                  <w:vAlign w:val="center"/>
                </w:tcPr>
                <w:p w14:paraId="442AE724">
                  <w:pPr>
                    <w:widowControl/>
                    <w:adjustRightInd w:val="0"/>
                    <w:snapToGrid w:val="0"/>
                    <w:jc w:val="center"/>
                    <w:textAlignment w:val="center"/>
                    <w:rPr>
                      <w:color w:val="auto"/>
                      <w:kern w:val="0"/>
                      <w:lang w:bidi="ar"/>
                    </w:rPr>
                  </w:pPr>
                  <w:r>
                    <w:rPr>
                      <w:rFonts w:hint="eastAsia"/>
                      <w:color w:val="auto"/>
                      <w:kern w:val="0"/>
                      <w:lang w:val="en-US" w:eastAsia="zh-CN"/>
                    </w:rPr>
                    <w:t>木工</w:t>
                  </w:r>
                </w:p>
              </w:tc>
              <w:tc>
                <w:tcPr>
                  <w:tcW w:w="421" w:type="pct"/>
                  <w:vAlign w:val="center"/>
                </w:tcPr>
                <w:p w14:paraId="14972F3B">
                  <w:pPr>
                    <w:adjustRightInd w:val="0"/>
                    <w:snapToGrid w:val="0"/>
                    <w:ind w:firstLine="0" w:firstLineChars="0"/>
                    <w:jc w:val="center"/>
                    <w:rPr>
                      <w:color w:val="auto"/>
                      <w:kern w:val="0"/>
                      <w:szCs w:val="21"/>
                    </w:rPr>
                  </w:pPr>
                  <w:r>
                    <w:rPr>
                      <w:rFonts w:hint="eastAsia"/>
                      <w:color w:val="auto"/>
                      <w:kern w:val="0"/>
                      <w:szCs w:val="21"/>
                      <w:lang w:val="en-US" w:eastAsia="zh-CN"/>
                    </w:rPr>
                    <w:t>固</w:t>
                  </w:r>
                </w:p>
              </w:tc>
              <w:tc>
                <w:tcPr>
                  <w:tcW w:w="762" w:type="pct"/>
                  <w:vAlign w:val="center"/>
                </w:tcPr>
                <w:p w14:paraId="04C9E475">
                  <w:pPr>
                    <w:widowControl/>
                    <w:adjustRightInd w:val="0"/>
                    <w:snapToGrid w:val="0"/>
                    <w:jc w:val="center"/>
                    <w:textAlignment w:val="center"/>
                    <w:rPr>
                      <w:color w:val="auto"/>
                      <w:kern w:val="0"/>
                    </w:rPr>
                  </w:pPr>
                  <w:r>
                    <w:rPr>
                      <w:rFonts w:hint="eastAsia"/>
                      <w:color w:val="auto"/>
                      <w:kern w:val="0"/>
                      <w:lang w:val="en-US" w:eastAsia="zh-CN" w:bidi="ar"/>
                    </w:rPr>
                    <w:t>木材</w:t>
                  </w:r>
                </w:p>
              </w:tc>
              <w:tc>
                <w:tcPr>
                  <w:tcW w:w="457" w:type="pct"/>
                  <w:vAlign w:val="center"/>
                </w:tcPr>
                <w:p w14:paraId="6B7916B0">
                  <w:pPr>
                    <w:jc w:val="center"/>
                    <w:rPr>
                      <w:color w:val="auto"/>
                      <w:kern w:val="0"/>
                    </w:rPr>
                  </w:pPr>
                  <w:r>
                    <w:rPr>
                      <w:rFonts w:hint="eastAsia"/>
                      <w:color w:val="auto"/>
                      <w:kern w:val="0"/>
                    </w:rPr>
                    <w:t>--</w:t>
                  </w:r>
                </w:p>
              </w:tc>
              <w:tc>
                <w:tcPr>
                  <w:tcW w:w="465" w:type="pct"/>
                  <w:vAlign w:val="center"/>
                </w:tcPr>
                <w:p w14:paraId="29B2C73D">
                  <w:pPr>
                    <w:jc w:val="center"/>
                    <w:rPr>
                      <w:rFonts w:hint="default" w:eastAsia="宋体"/>
                      <w:color w:val="auto"/>
                      <w:kern w:val="0"/>
                      <w:lang w:val="en-US" w:eastAsia="zh-CN"/>
                    </w:rPr>
                  </w:pPr>
                  <w:r>
                    <w:rPr>
                      <w:rFonts w:hint="eastAsia"/>
                      <w:color w:val="auto"/>
                      <w:kern w:val="0"/>
                      <w:lang w:val="en-US" w:eastAsia="zh-CN"/>
                    </w:rPr>
                    <w:t>SW59</w:t>
                  </w:r>
                </w:p>
              </w:tc>
              <w:tc>
                <w:tcPr>
                  <w:tcW w:w="756" w:type="pct"/>
                  <w:vAlign w:val="center"/>
                </w:tcPr>
                <w:p w14:paraId="233E5ED3">
                  <w:pPr>
                    <w:jc w:val="center"/>
                    <w:rPr>
                      <w:rFonts w:hint="default" w:eastAsia="宋体"/>
                      <w:color w:val="auto"/>
                      <w:kern w:val="0"/>
                      <w:lang w:val="en-US" w:eastAsia="zh-CN"/>
                    </w:rPr>
                  </w:pPr>
                  <w:r>
                    <w:rPr>
                      <w:rFonts w:hint="eastAsia"/>
                      <w:color w:val="auto"/>
                      <w:kern w:val="0"/>
                      <w:lang w:val="en-US" w:eastAsia="zh-CN"/>
                    </w:rPr>
                    <w:t>900-099-S59</w:t>
                  </w:r>
                </w:p>
              </w:tc>
              <w:tc>
                <w:tcPr>
                  <w:tcW w:w="545" w:type="pct"/>
                  <w:vAlign w:val="center"/>
                </w:tcPr>
                <w:p w14:paraId="6137AA24">
                  <w:pPr>
                    <w:pStyle w:val="5"/>
                    <w:adjustRightInd w:val="0"/>
                    <w:snapToGrid w:val="0"/>
                    <w:ind w:firstLine="0" w:firstLineChars="0"/>
                    <w:jc w:val="center"/>
                    <w:rPr>
                      <w:color w:val="auto"/>
                      <w:kern w:val="0"/>
                      <w:szCs w:val="21"/>
                    </w:rPr>
                  </w:pPr>
                  <w:r>
                    <w:rPr>
                      <w:rFonts w:hint="eastAsia"/>
                      <w:color w:val="auto"/>
                      <w:kern w:val="0"/>
                      <w:szCs w:val="21"/>
                      <w:lang w:val="en-US" w:eastAsia="zh-CN"/>
                    </w:rPr>
                    <w:t>6.55</w:t>
                  </w:r>
                </w:p>
              </w:tc>
            </w:tr>
            <w:tr w14:paraId="31FC6E6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802" w:type="pct"/>
                  <w:vAlign w:val="center"/>
                </w:tcPr>
                <w:p w14:paraId="0DC22E9F">
                  <w:pPr>
                    <w:pStyle w:val="5"/>
                    <w:adjustRightInd w:val="0"/>
                    <w:snapToGrid w:val="0"/>
                    <w:ind w:firstLine="0" w:firstLineChars="0"/>
                    <w:jc w:val="center"/>
                    <w:rPr>
                      <w:rFonts w:hint="eastAsia"/>
                      <w:bCs/>
                      <w:color w:val="auto"/>
                      <w:kern w:val="0"/>
                      <w:szCs w:val="21"/>
                    </w:rPr>
                  </w:pPr>
                  <w:r>
                    <w:rPr>
                      <w:rFonts w:hint="eastAsia"/>
                      <w:bCs/>
                      <w:color w:val="auto"/>
                      <w:kern w:val="0"/>
                      <w:szCs w:val="21"/>
                      <w:lang w:val="en-US" w:eastAsia="zh-CN"/>
                    </w:rPr>
                    <w:t>废抹布</w:t>
                  </w:r>
                </w:p>
              </w:tc>
              <w:tc>
                <w:tcPr>
                  <w:tcW w:w="364" w:type="pct"/>
                  <w:vMerge w:val="continue"/>
                  <w:vAlign w:val="center"/>
                </w:tcPr>
                <w:p w14:paraId="3B9E43B3">
                  <w:pPr>
                    <w:adjustRightInd w:val="0"/>
                    <w:snapToGrid w:val="0"/>
                    <w:jc w:val="center"/>
                    <w:rPr>
                      <w:rFonts w:hint="eastAsia"/>
                      <w:color w:val="auto"/>
                      <w:kern w:val="0"/>
                    </w:rPr>
                  </w:pPr>
                </w:p>
              </w:tc>
              <w:tc>
                <w:tcPr>
                  <w:tcW w:w="424" w:type="pct"/>
                  <w:vAlign w:val="center"/>
                </w:tcPr>
                <w:p w14:paraId="71D162AF">
                  <w:pPr>
                    <w:widowControl/>
                    <w:adjustRightInd w:val="0"/>
                    <w:snapToGrid w:val="0"/>
                    <w:jc w:val="center"/>
                    <w:textAlignment w:val="center"/>
                    <w:rPr>
                      <w:rFonts w:hint="eastAsia"/>
                      <w:color w:val="auto"/>
                      <w:kern w:val="0"/>
                    </w:rPr>
                  </w:pPr>
                  <w:r>
                    <w:rPr>
                      <w:rFonts w:hint="eastAsia"/>
                      <w:color w:val="auto"/>
                      <w:kern w:val="0"/>
                      <w:lang w:val="en-US" w:eastAsia="zh-CN"/>
                    </w:rPr>
                    <w:t>清理</w:t>
                  </w:r>
                </w:p>
              </w:tc>
              <w:tc>
                <w:tcPr>
                  <w:tcW w:w="421" w:type="pct"/>
                  <w:vAlign w:val="center"/>
                </w:tcPr>
                <w:p w14:paraId="113AB338">
                  <w:pPr>
                    <w:adjustRightInd w:val="0"/>
                    <w:snapToGrid w:val="0"/>
                    <w:ind w:firstLine="0" w:firstLineChars="0"/>
                    <w:jc w:val="center"/>
                    <w:rPr>
                      <w:color w:val="auto"/>
                      <w:kern w:val="0"/>
                      <w:szCs w:val="21"/>
                    </w:rPr>
                  </w:pPr>
                  <w:r>
                    <w:rPr>
                      <w:rFonts w:hint="eastAsia"/>
                      <w:color w:val="auto"/>
                      <w:kern w:val="0"/>
                      <w:szCs w:val="21"/>
                      <w:lang w:val="en-US" w:eastAsia="zh-CN"/>
                    </w:rPr>
                    <w:t>固</w:t>
                  </w:r>
                </w:p>
              </w:tc>
              <w:tc>
                <w:tcPr>
                  <w:tcW w:w="762" w:type="pct"/>
                  <w:vAlign w:val="center"/>
                </w:tcPr>
                <w:p w14:paraId="11A14CE9">
                  <w:pPr>
                    <w:widowControl/>
                    <w:adjustRightInd w:val="0"/>
                    <w:snapToGrid w:val="0"/>
                    <w:jc w:val="center"/>
                    <w:textAlignment w:val="center"/>
                    <w:rPr>
                      <w:rFonts w:hint="eastAsia"/>
                      <w:color w:val="auto"/>
                      <w:kern w:val="0"/>
                      <w:lang w:bidi="ar"/>
                    </w:rPr>
                  </w:pPr>
                  <w:r>
                    <w:rPr>
                      <w:rFonts w:hint="eastAsia"/>
                      <w:color w:val="auto"/>
                      <w:kern w:val="0"/>
                      <w:lang w:val="en-US" w:eastAsia="zh-CN" w:bidi="ar"/>
                    </w:rPr>
                    <w:t>抹布</w:t>
                  </w:r>
                </w:p>
              </w:tc>
              <w:tc>
                <w:tcPr>
                  <w:tcW w:w="457" w:type="pct"/>
                  <w:vAlign w:val="center"/>
                </w:tcPr>
                <w:p w14:paraId="2BD8CC1E">
                  <w:pPr>
                    <w:jc w:val="center"/>
                    <w:rPr>
                      <w:rFonts w:hint="eastAsia"/>
                      <w:color w:val="auto"/>
                      <w:kern w:val="0"/>
                    </w:rPr>
                  </w:pPr>
                  <w:r>
                    <w:rPr>
                      <w:rFonts w:hint="eastAsia"/>
                      <w:color w:val="auto"/>
                      <w:kern w:val="0"/>
                      <w:lang w:val="en-US" w:eastAsia="zh-CN"/>
                    </w:rPr>
                    <w:t>--</w:t>
                  </w:r>
                </w:p>
              </w:tc>
              <w:tc>
                <w:tcPr>
                  <w:tcW w:w="465" w:type="pct"/>
                  <w:vAlign w:val="center"/>
                </w:tcPr>
                <w:p w14:paraId="0849508E">
                  <w:pPr>
                    <w:jc w:val="center"/>
                    <w:rPr>
                      <w:rFonts w:hint="eastAsia"/>
                      <w:color w:val="auto"/>
                      <w:kern w:val="0"/>
                    </w:rPr>
                  </w:pPr>
                  <w:r>
                    <w:rPr>
                      <w:rFonts w:hint="eastAsia"/>
                      <w:color w:val="auto"/>
                      <w:kern w:val="0"/>
                      <w:lang w:val="en-US" w:eastAsia="zh-CN"/>
                    </w:rPr>
                    <w:t>SW59</w:t>
                  </w:r>
                </w:p>
              </w:tc>
              <w:tc>
                <w:tcPr>
                  <w:tcW w:w="756" w:type="pct"/>
                  <w:vAlign w:val="center"/>
                </w:tcPr>
                <w:p w14:paraId="136CA6AF">
                  <w:pPr>
                    <w:jc w:val="center"/>
                    <w:rPr>
                      <w:rFonts w:hint="eastAsia"/>
                      <w:color w:val="auto"/>
                      <w:kern w:val="0"/>
                    </w:rPr>
                  </w:pPr>
                  <w:r>
                    <w:rPr>
                      <w:rFonts w:hint="eastAsia"/>
                      <w:color w:val="auto"/>
                      <w:kern w:val="0"/>
                      <w:lang w:val="en-US" w:eastAsia="zh-CN"/>
                    </w:rPr>
                    <w:t>900-099-S59</w:t>
                  </w:r>
                </w:p>
              </w:tc>
              <w:tc>
                <w:tcPr>
                  <w:tcW w:w="545" w:type="pct"/>
                  <w:vAlign w:val="center"/>
                </w:tcPr>
                <w:p w14:paraId="50B575B0">
                  <w:pPr>
                    <w:pStyle w:val="5"/>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0.6</w:t>
                  </w:r>
                </w:p>
              </w:tc>
            </w:tr>
            <w:tr w14:paraId="460ED06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802" w:type="pct"/>
                  <w:vAlign w:val="center"/>
                </w:tcPr>
                <w:p w14:paraId="0CFF8418">
                  <w:pPr>
                    <w:pStyle w:val="5"/>
                    <w:adjustRightInd w:val="0"/>
                    <w:snapToGrid w:val="0"/>
                    <w:ind w:firstLine="0" w:firstLineChars="0"/>
                    <w:jc w:val="center"/>
                    <w:rPr>
                      <w:rFonts w:hint="default"/>
                      <w:bCs/>
                      <w:color w:val="auto"/>
                      <w:kern w:val="0"/>
                      <w:szCs w:val="21"/>
                      <w:lang w:val="en-US" w:eastAsia="zh-CN"/>
                    </w:rPr>
                  </w:pPr>
                  <w:r>
                    <w:rPr>
                      <w:rFonts w:hint="eastAsia"/>
                      <w:bCs/>
                      <w:color w:val="auto"/>
                      <w:kern w:val="0"/>
                      <w:szCs w:val="21"/>
                      <w:lang w:val="en-US" w:eastAsia="zh-CN"/>
                    </w:rPr>
                    <w:t>废砂纸</w:t>
                  </w:r>
                </w:p>
              </w:tc>
              <w:tc>
                <w:tcPr>
                  <w:tcW w:w="364" w:type="pct"/>
                  <w:vMerge w:val="continue"/>
                  <w:vAlign w:val="center"/>
                </w:tcPr>
                <w:p w14:paraId="428F7DF1">
                  <w:pPr>
                    <w:adjustRightInd w:val="0"/>
                    <w:snapToGrid w:val="0"/>
                    <w:jc w:val="center"/>
                    <w:rPr>
                      <w:color w:val="auto"/>
                      <w:kern w:val="0"/>
                    </w:rPr>
                  </w:pPr>
                </w:p>
              </w:tc>
              <w:tc>
                <w:tcPr>
                  <w:tcW w:w="424" w:type="pct"/>
                  <w:vAlign w:val="center"/>
                </w:tcPr>
                <w:p w14:paraId="206FCD70">
                  <w:pPr>
                    <w:widowControl/>
                    <w:adjustRightInd w:val="0"/>
                    <w:snapToGrid w:val="0"/>
                    <w:jc w:val="center"/>
                    <w:textAlignment w:val="center"/>
                    <w:rPr>
                      <w:rFonts w:hint="default"/>
                      <w:color w:val="auto"/>
                      <w:kern w:val="0"/>
                      <w:lang w:val="en-US" w:eastAsia="zh-CN"/>
                    </w:rPr>
                  </w:pPr>
                  <w:r>
                    <w:rPr>
                      <w:rFonts w:hint="eastAsia"/>
                      <w:color w:val="auto"/>
                      <w:kern w:val="0"/>
                      <w:lang w:val="en-US" w:eastAsia="zh-CN"/>
                    </w:rPr>
                    <w:t>砂磨</w:t>
                  </w:r>
                </w:p>
              </w:tc>
              <w:tc>
                <w:tcPr>
                  <w:tcW w:w="421" w:type="pct"/>
                  <w:vAlign w:val="center"/>
                </w:tcPr>
                <w:p w14:paraId="4DE44006">
                  <w:pPr>
                    <w:adjustRightInd w:val="0"/>
                    <w:snapToGrid w:val="0"/>
                    <w:ind w:firstLine="0" w:firstLineChars="0"/>
                    <w:jc w:val="center"/>
                    <w:rPr>
                      <w:rFonts w:hint="eastAsia" w:eastAsia="宋体"/>
                      <w:color w:val="auto"/>
                      <w:kern w:val="0"/>
                      <w:szCs w:val="21"/>
                      <w:lang w:val="en-US" w:eastAsia="zh-CN"/>
                    </w:rPr>
                  </w:pPr>
                  <w:r>
                    <w:rPr>
                      <w:rFonts w:hint="eastAsia"/>
                      <w:color w:val="auto"/>
                      <w:kern w:val="0"/>
                      <w:szCs w:val="21"/>
                      <w:lang w:val="en-US" w:eastAsia="zh-CN"/>
                    </w:rPr>
                    <w:t>固</w:t>
                  </w:r>
                </w:p>
              </w:tc>
              <w:tc>
                <w:tcPr>
                  <w:tcW w:w="762" w:type="pct"/>
                  <w:vAlign w:val="center"/>
                </w:tcPr>
                <w:p w14:paraId="3961ABCA">
                  <w:pPr>
                    <w:widowControl/>
                    <w:adjustRightInd w:val="0"/>
                    <w:snapToGrid w:val="0"/>
                    <w:jc w:val="center"/>
                    <w:textAlignment w:val="center"/>
                    <w:rPr>
                      <w:rFonts w:hint="default"/>
                      <w:color w:val="auto"/>
                      <w:kern w:val="0"/>
                      <w:lang w:val="en-US" w:eastAsia="zh-CN" w:bidi="ar"/>
                    </w:rPr>
                  </w:pPr>
                  <w:r>
                    <w:rPr>
                      <w:rFonts w:hint="eastAsia"/>
                      <w:color w:val="auto"/>
                      <w:kern w:val="0"/>
                      <w:lang w:val="en-US" w:eastAsia="zh-CN" w:bidi="ar"/>
                    </w:rPr>
                    <w:t>砂纸</w:t>
                  </w:r>
                </w:p>
              </w:tc>
              <w:tc>
                <w:tcPr>
                  <w:tcW w:w="457" w:type="pct"/>
                  <w:vAlign w:val="center"/>
                </w:tcPr>
                <w:p w14:paraId="0C754595">
                  <w:pPr>
                    <w:jc w:val="center"/>
                    <w:rPr>
                      <w:rFonts w:hint="default"/>
                      <w:color w:val="auto"/>
                      <w:kern w:val="0"/>
                      <w:lang w:val="en-US" w:eastAsia="zh-CN"/>
                    </w:rPr>
                  </w:pPr>
                  <w:r>
                    <w:rPr>
                      <w:rFonts w:hint="eastAsia"/>
                      <w:color w:val="auto"/>
                      <w:kern w:val="0"/>
                      <w:lang w:val="en-US" w:eastAsia="zh-CN"/>
                    </w:rPr>
                    <w:t>--</w:t>
                  </w:r>
                </w:p>
              </w:tc>
              <w:tc>
                <w:tcPr>
                  <w:tcW w:w="465" w:type="pct"/>
                  <w:shd w:val="clear" w:color="auto" w:fill="auto"/>
                  <w:vAlign w:val="center"/>
                </w:tcPr>
                <w:p w14:paraId="1AC64196">
                  <w:pPr>
                    <w:jc w:val="center"/>
                    <w:rPr>
                      <w:rFonts w:hint="default" w:eastAsia="宋体"/>
                      <w:color w:val="auto"/>
                      <w:kern w:val="0"/>
                      <w:lang w:val="en-US" w:eastAsia="zh-CN"/>
                    </w:rPr>
                  </w:pPr>
                  <w:r>
                    <w:rPr>
                      <w:rFonts w:hint="eastAsia"/>
                      <w:color w:val="auto"/>
                      <w:kern w:val="0"/>
                      <w:lang w:val="en-US" w:eastAsia="zh-CN"/>
                    </w:rPr>
                    <w:t>SW59</w:t>
                  </w:r>
                </w:p>
              </w:tc>
              <w:tc>
                <w:tcPr>
                  <w:tcW w:w="756" w:type="pct"/>
                  <w:shd w:val="clear" w:color="auto" w:fill="auto"/>
                  <w:vAlign w:val="center"/>
                </w:tcPr>
                <w:p w14:paraId="3726EC2C">
                  <w:pPr>
                    <w:jc w:val="center"/>
                    <w:rPr>
                      <w:rFonts w:hint="default" w:eastAsia="宋体"/>
                      <w:color w:val="auto"/>
                      <w:kern w:val="0"/>
                      <w:lang w:val="en-US" w:eastAsia="zh-CN"/>
                    </w:rPr>
                  </w:pPr>
                  <w:r>
                    <w:rPr>
                      <w:rFonts w:hint="eastAsia"/>
                      <w:color w:val="auto"/>
                      <w:kern w:val="0"/>
                      <w:lang w:val="en-US" w:eastAsia="zh-CN"/>
                    </w:rPr>
                    <w:t>900-099-S59</w:t>
                  </w:r>
                </w:p>
              </w:tc>
              <w:tc>
                <w:tcPr>
                  <w:tcW w:w="545" w:type="pct"/>
                  <w:vAlign w:val="center"/>
                </w:tcPr>
                <w:p w14:paraId="5B47832E">
                  <w:pPr>
                    <w:pStyle w:val="5"/>
                    <w:adjustRightInd w:val="0"/>
                    <w:snapToGrid w:val="0"/>
                    <w:ind w:firstLine="0" w:firstLineChars="0"/>
                    <w:jc w:val="center"/>
                    <w:rPr>
                      <w:rFonts w:hint="default"/>
                      <w:color w:val="auto"/>
                      <w:kern w:val="0"/>
                      <w:szCs w:val="21"/>
                      <w:lang w:val="en-US" w:eastAsia="zh-CN"/>
                    </w:rPr>
                  </w:pPr>
                  <w:r>
                    <w:rPr>
                      <w:rFonts w:hint="eastAsia"/>
                      <w:color w:val="auto"/>
                      <w:kern w:val="0"/>
                      <w:szCs w:val="21"/>
                      <w:lang w:val="en-US" w:eastAsia="zh-CN"/>
                    </w:rPr>
                    <w:t>2</w:t>
                  </w:r>
                </w:p>
              </w:tc>
            </w:tr>
            <w:tr w14:paraId="4771445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802" w:type="pct"/>
                  <w:vAlign w:val="center"/>
                </w:tcPr>
                <w:p w14:paraId="5F8457C7">
                  <w:pPr>
                    <w:pStyle w:val="5"/>
                    <w:adjustRightInd w:val="0"/>
                    <w:snapToGrid w:val="0"/>
                    <w:ind w:firstLine="0" w:firstLineChars="0"/>
                    <w:jc w:val="center"/>
                    <w:rPr>
                      <w:rFonts w:hint="eastAsia"/>
                      <w:bCs/>
                      <w:color w:val="auto"/>
                      <w:kern w:val="0"/>
                      <w:szCs w:val="21"/>
                      <w:lang w:val="en-US" w:eastAsia="zh-CN"/>
                    </w:rPr>
                  </w:pPr>
                  <w:r>
                    <w:rPr>
                      <w:rFonts w:hint="eastAsia"/>
                      <w:bCs/>
                      <w:color w:val="auto"/>
                      <w:kern w:val="0"/>
                      <w:szCs w:val="21"/>
                      <w:lang w:val="en-US" w:eastAsia="zh-CN"/>
                    </w:rPr>
                    <w:t>收集尘</w:t>
                  </w:r>
                </w:p>
              </w:tc>
              <w:tc>
                <w:tcPr>
                  <w:tcW w:w="364" w:type="pct"/>
                  <w:vMerge w:val="continue"/>
                  <w:vAlign w:val="center"/>
                </w:tcPr>
                <w:p w14:paraId="443E5501">
                  <w:pPr>
                    <w:adjustRightInd w:val="0"/>
                    <w:snapToGrid w:val="0"/>
                    <w:jc w:val="center"/>
                    <w:rPr>
                      <w:color w:val="auto"/>
                      <w:kern w:val="0"/>
                    </w:rPr>
                  </w:pPr>
                </w:p>
              </w:tc>
              <w:tc>
                <w:tcPr>
                  <w:tcW w:w="424" w:type="pct"/>
                  <w:vAlign w:val="center"/>
                </w:tcPr>
                <w:p w14:paraId="0328C17F">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rPr>
                    <w:t>废气治理</w:t>
                  </w:r>
                </w:p>
              </w:tc>
              <w:tc>
                <w:tcPr>
                  <w:tcW w:w="421" w:type="pct"/>
                  <w:vAlign w:val="center"/>
                </w:tcPr>
                <w:p w14:paraId="3EB0710D">
                  <w:pPr>
                    <w:pStyle w:val="5"/>
                    <w:adjustRightInd w:val="0"/>
                    <w:snapToGrid w:val="0"/>
                    <w:ind w:firstLine="0" w:firstLineChars="0"/>
                    <w:jc w:val="center"/>
                    <w:rPr>
                      <w:rFonts w:hint="eastAsia"/>
                      <w:color w:val="auto"/>
                      <w:kern w:val="0"/>
                      <w:szCs w:val="21"/>
                      <w:lang w:val="en-US" w:eastAsia="zh-CN"/>
                    </w:rPr>
                  </w:pPr>
                  <w:r>
                    <w:rPr>
                      <w:color w:val="auto"/>
                      <w:kern w:val="0"/>
                      <w:szCs w:val="21"/>
                    </w:rPr>
                    <w:t>固</w:t>
                  </w:r>
                </w:p>
              </w:tc>
              <w:tc>
                <w:tcPr>
                  <w:tcW w:w="762" w:type="pct"/>
                  <w:vAlign w:val="center"/>
                </w:tcPr>
                <w:p w14:paraId="62FDDBE2">
                  <w:pPr>
                    <w:widowControl/>
                    <w:adjustRightInd w:val="0"/>
                    <w:snapToGrid w:val="0"/>
                    <w:jc w:val="center"/>
                    <w:textAlignment w:val="center"/>
                    <w:rPr>
                      <w:rFonts w:hint="eastAsia"/>
                      <w:color w:val="auto"/>
                      <w:kern w:val="0"/>
                      <w:lang w:val="en-US" w:eastAsia="zh-CN" w:bidi="ar"/>
                    </w:rPr>
                  </w:pPr>
                  <w:r>
                    <w:rPr>
                      <w:rFonts w:hint="eastAsia"/>
                      <w:color w:val="auto"/>
                      <w:kern w:val="0"/>
                      <w:lang w:val="en-US" w:eastAsia="zh-CN" w:bidi="ar"/>
                    </w:rPr>
                    <w:t>颗粒物</w:t>
                  </w:r>
                </w:p>
              </w:tc>
              <w:tc>
                <w:tcPr>
                  <w:tcW w:w="457" w:type="pct"/>
                  <w:vAlign w:val="center"/>
                </w:tcPr>
                <w:p w14:paraId="4DEE3376">
                  <w:pPr>
                    <w:jc w:val="center"/>
                    <w:rPr>
                      <w:rFonts w:hint="eastAsia"/>
                      <w:color w:val="auto"/>
                      <w:kern w:val="0"/>
                      <w:lang w:val="en-US" w:eastAsia="zh-CN"/>
                    </w:rPr>
                  </w:pPr>
                  <w:r>
                    <w:rPr>
                      <w:rFonts w:hint="eastAsia"/>
                      <w:color w:val="auto"/>
                      <w:kern w:val="0"/>
                    </w:rPr>
                    <w:t>--</w:t>
                  </w:r>
                </w:p>
              </w:tc>
              <w:tc>
                <w:tcPr>
                  <w:tcW w:w="465" w:type="pct"/>
                  <w:shd w:val="clear" w:color="auto" w:fill="auto"/>
                  <w:vAlign w:val="center"/>
                </w:tcPr>
                <w:p w14:paraId="32C320DF">
                  <w:pPr>
                    <w:jc w:val="center"/>
                    <w:rPr>
                      <w:rFonts w:hint="eastAsia"/>
                      <w:color w:val="auto"/>
                      <w:kern w:val="0"/>
                      <w:lang w:val="en-US" w:eastAsia="zh-CN"/>
                    </w:rPr>
                  </w:pPr>
                  <w:r>
                    <w:rPr>
                      <w:rFonts w:hint="eastAsia"/>
                      <w:color w:val="auto"/>
                      <w:kern w:val="0"/>
                      <w:lang w:val="en-US" w:eastAsia="zh-CN"/>
                    </w:rPr>
                    <w:t>SW59</w:t>
                  </w:r>
                </w:p>
              </w:tc>
              <w:tc>
                <w:tcPr>
                  <w:tcW w:w="756" w:type="pct"/>
                  <w:shd w:val="clear" w:color="auto" w:fill="auto"/>
                  <w:vAlign w:val="center"/>
                </w:tcPr>
                <w:p w14:paraId="00CA8635">
                  <w:pPr>
                    <w:jc w:val="center"/>
                    <w:rPr>
                      <w:rFonts w:hint="eastAsia"/>
                      <w:color w:val="auto"/>
                      <w:kern w:val="0"/>
                      <w:lang w:val="en-US" w:eastAsia="zh-CN"/>
                    </w:rPr>
                  </w:pPr>
                  <w:r>
                    <w:rPr>
                      <w:rFonts w:hint="eastAsia"/>
                      <w:color w:val="auto"/>
                      <w:kern w:val="0"/>
                      <w:lang w:val="en-US" w:eastAsia="zh-CN"/>
                    </w:rPr>
                    <w:t>900-099-S59</w:t>
                  </w:r>
                </w:p>
              </w:tc>
              <w:tc>
                <w:tcPr>
                  <w:tcW w:w="545" w:type="pct"/>
                  <w:vAlign w:val="center"/>
                </w:tcPr>
                <w:p w14:paraId="1341B666">
                  <w:pPr>
                    <w:pStyle w:val="5"/>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0.168</w:t>
                  </w:r>
                </w:p>
              </w:tc>
            </w:tr>
            <w:tr w14:paraId="1FD1E35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802" w:type="pct"/>
                  <w:vAlign w:val="center"/>
                </w:tcPr>
                <w:p w14:paraId="38B20FBB">
                  <w:pPr>
                    <w:pStyle w:val="5"/>
                    <w:adjustRightInd w:val="0"/>
                    <w:snapToGrid w:val="0"/>
                    <w:ind w:firstLine="0" w:firstLineChars="0"/>
                    <w:jc w:val="center"/>
                    <w:rPr>
                      <w:rFonts w:hint="eastAsia"/>
                      <w:bCs/>
                      <w:color w:val="auto"/>
                      <w:kern w:val="0"/>
                      <w:szCs w:val="21"/>
                      <w:lang w:val="en-US" w:eastAsia="zh-CN"/>
                    </w:rPr>
                  </w:pPr>
                  <w:r>
                    <w:rPr>
                      <w:rFonts w:hint="eastAsia"/>
                      <w:bCs/>
                      <w:color w:val="auto"/>
                      <w:kern w:val="0"/>
                      <w:szCs w:val="21"/>
                      <w:lang w:val="en-US" w:eastAsia="zh-CN"/>
                    </w:rPr>
                    <w:t>废布袋</w:t>
                  </w:r>
                </w:p>
              </w:tc>
              <w:tc>
                <w:tcPr>
                  <w:tcW w:w="364" w:type="pct"/>
                  <w:vMerge w:val="continue"/>
                  <w:vAlign w:val="center"/>
                </w:tcPr>
                <w:p w14:paraId="4105EEFD">
                  <w:pPr>
                    <w:adjustRightInd w:val="0"/>
                    <w:snapToGrid w:val="0"/>
                    <w:jc w:val="center"/>
                    <w:rPr>
                      <w:color w:val="auto"/>
                      <w:kern w:val="0"/>
                    </w:rPr>
                  </w:pPr>
                </w:p>
              </w:tc>
              <w:tc>
                <w:tcPr>
                  <w:tcW w:w="424" w:type="pct"/>
                  <w:vAlign w:val="center"/>
                </w:tcPr>
                <w:p w14:paraId="0E699E70">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rPr>
                    <w:t>废气治理</w:t>
                  </w:r>
                </w:p>
              </w:tc>
              <w:tc>
                <w:tcPr>
                  <w:tcW w:w="421" w:type="pct"/>
                  <w:vAlign w:val="center"/>
                </w:tcPr>
                <w:p w14:paraId="7D6D2FE3">
                  <w:pPr>
                    <w:pStyle w:val="5"/>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固</w:t>
                  </w:r>
                </w:p>
              </w:tc>
              <w:tc>
                <w:tcPr>
                  <w:tcW w:w="762" w:type="pct"/>
                  <w:vAlign w:val="center"/>
                </w:tcPr>
                <w:p w14:paraId="4A8C71D9">
                  <w:pPr>
                    <w:widowControl/>
                    <w:adjustRightInd w:val="0"/>
                    <w:snapToGrid w:val="0"/>
                    <w:jc w:val="center"/>
                    <w:textAlignment w:val="center"/>
                    <w:rPr>
                      <w:rFonts w:hint="eastAsia"/>
                      <w:color w:val="auto"/>
                      <w:kern w:val="0"/>
                      <w:lang w:val="en-US" w:eastAsia="zh-CN" w:bidi="ar"/>
                    </w:rPr>
                  </w:pPr>
                  <w:r>
                    <w:rPr>
                      <w:rFonts w:hint="eastAsia"/>
                      <w:color w:val="auto"/>
                      <w:kern w:val="0"/>
                      <w:lang w:val="en-US" w:eastAsia="zh-CN" w:bidi="ar"/>
                    </w:rPr>
                    <w:t>颗粒物、布袋</w:t>
                  </w:r>
                </w:p>
              </w:tc>
              <w:tc>
                <w:tcPr>
                  <w:tcW w:w="457" w:type="pct"/>
                  <w:vAlign w:val="center"/>
                </w:tcPr>
                <w:p w14:paraId="4B00ADB0">
                  <w:pPr>
                    <w:jc w:val="center"/>
                    <w:rPr>
                      <w:rFonts w:hint="eastAsia"/>
                      <w:color w:val="auto"/>
                      <w:kern w:val="0"/>
                      <w:lang w:val="en-US" w:eastAsia="zh-CN"/>
                    </w:rPr>
                  </w:pPr>
                  <w:r>
                    <w:rPr>
                      <w:rFonts w:hint="eastAsia"/>
                      <w:color w:val="auto"/>
                      <w:kern w:val="0"/>
                    </w:rPr>
                    <w:t>--</w:t>
                  </w:r>
                </w:p>
              </w:tc>
              <w:tc>
                <w:tcPr>
                  <w:tcW w:w="465" w:type="pct"/>
                  <w:shd w:val="clear" w:color="auto" w:fill="auto"/>
                  <w:vAlign w:val="center"/>
                </w:tcPr>
                <w:p w14:paraId="27EFA7B2">
                  <w:pPr>
                    <w:jc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SW59</w:t>
                  </w:r>
                </w:p>
              </w:tc>
              <w:tc>
                <w:tcPr>
                  <w:tcW w:w="756" w:type="pct"/>
                  <w:shd w:val="clear" w:color="auto" w:fill="auto"/>
                  <w:vAlign w:val="center"/>
                </w:tcPr>
                <w:p w14:paraId="31EFBA9B">
                  <w:pPr>
                    <w:jc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900-009-S59</w:t>
                  </w:r>
                </w:p>
              </w:tc>
              <w:tc>
                <w:tcPr>
                  <w:tcW w:w="545" w:type="pct"/>
                  <w:vAlign w:val="center"/>
                </w:tcPr>
                <w:p w14:paraId="211437EA">
                  <w:pPr>
                    <w:pStyle w:val="5"/>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0.1</w:t>
                  </w:r>
                </w:p>
              </w:tc>
            </w:tr>
            <w:tr w14:paraId="08B7713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802" w:type="pct"/>
                  <w:vAlign w:val="center"/>
                </w:tcPr>
                <w:p w14:paraId="25F54C07">
                  <w:pPr>
                    <w:pStyle w:val="5"/>
                    <w:adjustRightInd w:val="0"/>
                    <w:snapToGrid w:val="0"/>
                    <w:ind w:firstLine="0" w:firstLineChars="0"/>
                    <w:jc w:val="center"/>
                    <w:rPr>
                      <w:rFonts w:hint="eastAsia"/>
                      <w:bCs/>
                      <w:color w:val="auto"/>
                      <w:kern w:val="0"/>
                      <w:szCs w:val="21"/>
                      <w:lang w:val="en-US" w:eastAsia="zh-CN"/>
                    </w:rPr>
                  </w:pPr>
                  <w:r>
                    <w:rPr>
                      <w:rFonts w:hint="eastAsia"/>
                      <w:bCs/>
                      <w:color w:val="auto"/>
                      <w:kern w:val="0"/>
                      <w:szCs w:val="21"/>
                      <w:lang w:val="en-US" w:eastAsia="zh-CN"/>
                    </w:rPr>
                    <w:t>擦色废物</w:t>
                  </w:r>
                </w:p>
              </w:tc>
              <w:tc>
                <w:tcPr>
                  <w:tcW w:w="364" w:type="pct"/>
                  <w:vMerge w:val="restart"/>
                  <w:vAlign w:val="center"/>
                </w:tcPr>
                <w:p w14:paraId="4F6DFDB6">
                  <w:pPr>
                    <w:adjustRightInd w:val="0"/>
                    <w:snapToGrid w:val="0"/>
                    <w:jc w:val="center"/>
                    <w:rPr>
                      <w:color w:val="auto"/>
                      <w:kern w:val="0"/>
                    </w:rPr>
                  </w:pPr>
                  <w:r>
                    <w:rPr>
                      <w:color w:val="auto"/>
                      <w:kern w:val="0"/>
                    </w:rPr>
                    <w:t>危险废物</w:t>
                  </w:r>
                </w:p>
              </w:tc>
              <w:tc>
                <w:tcPr>
                  <w:tcW w:w="424" w:type="pct"/>
                  <w:vAlign w:val="center"/>
                </w:tcPr>
                <w:p w14:paraId="3166FDB8">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rPr>
                    <w:t>擦色</w:t>
                  </w:r>
                </w:p>
              </w:tc>
              <w:tc>
                <w:tcPr>
                  <w:tcW w:w="421" w:type="pct"/>
                  <w:vAlign w:val="center"/>
                </w:tcPr>
                <w:p w14:paraId="408FF561">
                  <w:pPr>
                    <w:pStyle w:val="5"/>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固</w:t>
                  </w:r>
                </w:p>
              </w:tc>
              <w:tc>
                <w:tcPr>
                  <w:tcW w:w="762" w:type="pct"/>
                  <w:vAlign w:val="center"/>
                </w:tcPr>
                <w:p w14:paraId="0DC36967">
                  <w:pPr>
                    <w:widowControl/>
                    <w:adjustRightInd w:val="0"/>
                    <w:snapToGrid w:val="0"/>
                    <w:jc w:val="center"/>
                    <w:textAlignment w:val="center"/>
                    <w:rPr>
                      <w:rFonts w:hint="eastAsia"/>
                      <w:color w:val="auto"/>
                      <w:kern w:val="0"/>
                      <w:lang w:val="en-US" w:eastAsia="zh-CN" w:bidi="ar"/>
                    </w:rPr>
                  </w:pPr>
                  <w:r>
                    <w:rPr>
                      <w:rFonts w:hint="eastAsia"/>
                      <w:color w:val="auto"/>
                      <w:kern w:val="0"/>
                      <w:lang w:val="en-US" w:eastAsia="zh-CN" w:bidi="ar"/>
                    </w:rPr>
                    <w:t>抹布、刷子</w:t>
                  </w:r>
                </w:p>
              </w:tc>
              <w:tc>
                <w:tcPr>
                  <w:tcW w:w="457" w:type="pct"/>
                  <w:vAlign w:val="center"/>
                </w:tcPr>
                <w:p w14:paraId="588C50C2">
                  <w:pPr>
                    <w:contextualSpacing/>
                    <w:jc w:val="center"/>
                    <w:rPr>
                      <w:rFonts w:hint="default" w:eastAsia="宋体"/>
                      <w:color w:val="auto"/>
                      <w:kern w:val="0"/>
                      <w:lang w:val="en-US" w:eastAsia="zh-CN"/>
                    </w:rPr>
                  </w:pPr>
                  <w:r>
                    <w:rPr>
                      <w:rFonts w:hint="eastAsia"/>
                      <w:color w:val="auto"/>
                      <w:kern w:val="0"/>
                      <w:lang w:val="en-US" w:eastAsia="zh-CN"/>
                    </w:rPr>
                    <w:t>T,I</w:t>
                  </w:r>
                </w:p>
              </w:tc>
              <w:tc>
                <w:tcPr>
                  <w:tcW w:w="465" w:type="pct"/>
                  <w:vAlign w:val="center"/>
                </w:tcPr>
                <w:p w14:paraId="5AA18AAD">
                  <w:pPr>
                    <w:contextualSpacing/>
                    <w:jc w:val="center"/>
                    <w:rPr>
                      <w:rFonts w:hint="default"/>
                      <w:color w:val="auto"/>
                      <w:kern w:val="0"/>
                      <w:lang w:val="en-US" w:eastAsia="zh-CN"/>
                    </w:rPr>
                  </w:pPr>
                  <w:r>
                    <w:rPr>
                      <w:rFonts w:hint="eastAsia"/>
                      <w:color w:val="auto"/>
                      <w:kern w:val="0"/>
                      <w:lang w:val="en-US" w:eastAsia="zh-CN"/>
                    </w:rPr>
                    <w:t>HW12</w:t>
                  </w:r>
                </w:p>
              </w:tc>
              <w:tc>
                <w:tcPr>
                  <w:tcW w:w="756" w:type="pct"/>
                  <w:vAlign w:val="center"/>
                </w:tcPr>
                <w:p w14:paraId="59BAEE11">
                  <w:pPr>
                    <w:contextualSpacing/>
                    <w:jc w:val="center"/>
                    <w:rPr>
                      <w:rFonts w:hint="default"/>
                      <w:color w:val="auto"/>
                      <w:kern w:val="0"/>
                      <w:lang w:val="en-US" w:eastAsia="zh-CN"/>
                    </w:rPr>
                  </w:pPr>
                  <w:r>
                    <w:rPr>
                      <w:rFonts w:hint="eastAsia"/>
                      <w:color w:val="auto"/>
                      <w:kern w:val="0"/>
                      <w:lang w:val="en-US" w:eastAsia="zh-CN"/>
                    </w:rPr>
                    <w:t>900-252-12</w:t>
                  </w:r>
                </w:p>
              </w:tc>
              <w:tc>
                <w:tcPr>
                  <w:tcW w:w="545" w:type="pct"/>
                  <w:vAlign w:val="center"/>
                </w:tcPr>
                <w:p w14:paraId="55200C52">
                  <w:pPr>
                    <w:pStyle w:val="5"/>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0.3</w:t>
                  </w:r>
                </w:p>
              </w:tc>
            </w:tr>
            <w:tr w14:paraId="022D8EB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802" w:type="pct"/>
                  <w:vAlign w:val="center"/>
                </w:tcPr>
                <w:p w14:paraId="2B6B5B2C">
                  <w:pPr>
                    <w:pStyle w:val="5"/>
                    <w:adjustRightInd w:val="0"/>
                    <w:snapToGrid w:val="0"/>
                    <w:ind w:firstLine="0" w:firstLineChars="0"/>
                    <w:jc w:val="center"/>
                    <w:rPr>
                      <w:rFonts w:hint="eastAsia"/>
                      <w:bCs/>
                      <w:color w:val="auto"/>
                      <w:kern w:val="0"/>
                      <w:szCs w:val="21"/>
                      <w:lang w:val="en-US" w:eastAsia="zh-CN"/>
                    </w:rPr>
                  </w:pPr>
                  <w:r>
                    <w:rPr>
                      <w:rFonts w:hint="eastAsia"/>
                      <w:bCs/>
                      <w:color w:val="auto"/>
                      <w:kern w:val="0"/>
                      <w:szCs w:val="21"/>
                      <w:lang w:val="en-US" w:eastAsia="zh-CN"/>
                    </w:rPr>
                    <w:t>含漆废物</w:t>
                  </w:r>
                </w:p>
              </w:tc>
              <w:tc>
                <w:tcPr>
                  <w:tcW w:w="364" w:type="pct"/>
                  <w:vMerge w:val="continue"/>
                  <w:vAlign w:val="center"/>
                </w:tcPr>
                <w:p w14:paraId="494B9B54">
                  <w:pPr>
                    <w:adjustRightInd w:val="0"/>
                    <w:snapToGrid w:val="0"/>
                    <w:jc w:val="center"/>
                    <w:rPr>
                      <w:color w:val="auto"/>
                      <w:kern w:val="0"/>
                    </w:rPr>
                  </w:pPr>
                </w:p>
              </w:tc>
              <w:tc>
                <w:tcPr>
                  <w:tcW w:w="424" w:type="pct"/>
                  <w:vAlign w:val="center"/>
                </w:tcPr>
                <w:p w14:paraId="3CC6A08B">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rPr>
                    <w:t>刷漆/喷漆</w:t>
                  </w:r>
                </w:p>
              </w:tc>
              <w:tc>
                <w:tcPr>
                  <w:tcW w:w="421" w:type="pct"/>
                  <w:vAlign w:val="center"/>
                </w:tcPr>
                <w:p w14:paraId="73589E34">
                  <w:pPr>
                    <w:pStyle w:val="5"/>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固</w:t>
                  </w:r>
                </w:p>
              </w:tc>
              <w:tc>
                <w:tcPr>
                  <w:tcW w:w="762" w:type="pct"/>
                  <w:vAlign w:val="center"/>
                </w:tcPr>
                <w:p w14:paraId="74D81B17">
                  <w:pPr>
                    <w:widowControl/>
                    <w:adjustRightInd w:val="0"/>
                    <w:snapToGrid w:val="0"/>
                    <w:jc w:val="center"/>
                    <w:textAlignment w:val="center"/>
                    <w:rPr>
                      <w:rFonts w:hint="eastAsia"/>
                      <w:color w:val="auto"/>
                      <w:kern w:val="0"/>
                      <w:lang w:val="en-US" w:eastAsia="zh-CN" w:bidi="ar"/>
                    </w:rPr>
                  </w:pPr>
                  <w:r>
                    <w:rPr>
                      <w:rFonts w:hint="eastAsia"/>
                      <w:color w:val="auto"/>
                      <w:kern w:val="0"/>
                      <w:lang w:val="en-US" w:eastAsia="zh-CN" w:bidi="ar"/>
                    </w:rPr>
                    <w:t>报纸、刷子</w:t>
                  </w:r>
                </w:p>
              </w:tc>
              <w:tc>
                <w:tcPr>
                  <w:tcW w:w="457" w:type="pct"/>
                  <w:shd w:val="clear" w:color="auto" w:fill="auto"/>
                  <w:vAlign w:val="center"/>
                </w:tcPr>
                <w:p w14:paraId="5E8C3B67">
                  <w:pPr>
                    <w:contextualSpacing/>
                    <w:jc w:val="center"/>
                    <w:rPr>
                      <w:rFonts w:hint="default"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T,I</w:t>
                  </w:r>
                </w:p>
              </w:tc>
              <w:tc>
                <w:tcPr>
                  <w:tcW w:w="465" w:type="pct"/>
                  <w:shd w:val="clear" w:color="auto" w:fill="auto"/>
                  <w:vAlign w:val="center"/>
                </w:tcPr>
                <w:p w14:paraId="19836B24">
                  <w:pPr>
                    <w:contextualSpacing/>
                    <w:jc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HW12</w:t>
                  </w:r>
                </w:p>
              </w:tc>
              <w:tc>
                <w:tcPr>
                  <w:tcW w:w="756" w:type="pct"/>
                  <w:shd w:val="clear" w:color="auto" w:fill="auto"/>
                  <w:vAlign w:val="center"/>
                </w:tcPr>
                <w:p w14:paraId="4D51311A">
                  <w:pPr>
                    <w:contextualSpacing/>
                    <w:jc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900-252-12</w:t>
                  </w:r>
                </w:p>
              </w:tc>
              <w:tc>
                <w:tcPr>
                  <w:tcW w:w="545" w:type="pct"/>
                  <w:vAlign w:val="center"/>
                </w:tcPr>
                <w:p w14:paraId="2C90BB67">
                  <w:pPr>
                    <w:pStyle w:val="5"/>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0.5</w:t>
                  </w:r>
                </w:p>
              </w:tc>
            </w:tr>
            <w:tr w14:paraId="7E7EF11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802" w:type="pct"/>
                  <w:vAlign w:val="center"/>
                </w:tcPr>
                <w:p w14:paraId="00933FC2">
                  <w:pPr>
                    <w:pStyle w:val="5"/>
                    <w:adjustRightInd w:val="0"/>
                    <w:snapToGrid w:val="0"/>
                    <w:ind w:firstLine="0" w:firstLineChars="0"/>
                    <w:jc w:val="center"/>
                    <w:rPr>
                      <w:rFonts w:hint="eastAsia"/>
                      <w:bCs/>
                      <w:color w:val="auto"/>
                      <w:kern w:val="0"/>
                      <w:szCs w:val="21"/>
                      <w:lang w:val="en-US" w:eastAsia="zh-CN"/>
                    </w:rPr>
                  </w:pPr>
                  <w:r>
                    <w:rPr>
                      <w:rFonts w:hint="eastAsia"/>
                      <w:bCs/>
                      <w:color w:val="auto"/>
                      <w:kern w:val="0"/>
                      <w:szCs w:val="21"/>
                      <w:lang w:val="en-US" w:eastAsia="zh-CN"/>
                    </w:rPr>
                    <w:t>漆渣</w:t>
                  </w:r>
                </w:p>
              </w:tc>
              <w:tc>
                <w:tcPr>
                  <w:tcW w:w="364" w:type="pct"/>
                  <w:vMerge w:val="continue"/>
                  <w:vAlign w:val="center"/>
                </w:tcPr>
                <w:p w14:paraId="164B0602">
                  <w:pPr>
                    <w:adjustRightInd w:val="0"/>
                    <w:snapToGrid w:val="0"/>
                    <w:jc w:val="center"/>
                    <w:rPr>
                      <w:color w:val="auto"/>
                      <w:kern w:val="0"/>
                    </w:rPr>
                  </w:pPr>
                </w:p>
              </w:tc>
              <w:tc>
                <w:tcPr>
                  <w:tcW w:w="424" w:type="pct"/>
                  <w:vAlign w:val="center"/>
                </w:tcPr>
                <w:p w14:paraId="10EF4401">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rPr>
                    <w:t>喷漆</w:t>
                  </w:r>
                </w:p>
              </w:tc>
              <w:tc>
                <w:tcPr>
                  <w:tcW w:w="421" w:type="pct"/>
                  <w:vAlign w:val="center"/>
                </w:tcPr>
                <w:p w14:paraId="15D0BD3C">
                  <w:pPr>
                    <w:pStyle w:val="5"/>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固</w:t>
                  </w:r>
                </w:p>
              </w:tc>
              <w:tc>
                <w:tcPr>
                  <w:tcW w:w="762" w:type="pct"/>
                  <w:vAlign w:val="center"/>
                </w:tcPr>
                <w:p w14:paraId="2A786828">
                  <w:pPr>
                    <w:widowControl/>
                    <w:adjustRightInd w:val="0"/>
                    <w:snapToGrid w:val="0"/>
                    <w:jc w:val="center"/>
                    <w:textAlignment w:val="center"/>
                    <w:rPr>
                      <w:rFonts w:hint="eastAsia"/>
                      <w:color w:val="auto"/>
                      <w:kern w:val="0"/>
                      <w:lang w:val="en-US" w:eastAsia="zh-CN" w:bidi="ar"/>
                    </w:rPr>
                  </w:pPr>
                  <w:r>
                    <w:rPr>
                      <w:rFonts w:hint="eastAsia"/>
                      <w:color w:val="auto"/>
                      <w:kern w:val="0"/>
                      <w:lang w:val="en-US" w:eastAsia="zh-CN" w:bidi="ar"/>
                    </w:rPr>
                    <w:t>油漆</w:t>
                  </w:r>
                </w:p>
              </w:tc>
              <w:tc>
                <w:tcPr>
                  <w:tcW w:w="457" w:type="pct"/>
                  <w:vAlign w:val="center"/>
                </w:tcPr>
                <w:p w14:paraId="6D24CFC3">
                  <w:pPr>
                    <w:contextualSpacing/>
                    <w:jc w:val="center"/>
                    <w:rPr>
                      <w:rFonts w:hint="eastAsia" w:eastAsia="宋体"/>
                      <w:color w:val="auto"/>
                      <w:kern w:val="0"/>
                      <w:lang w:val="en-US" w:eastAsia="zh-CN"/>
                    </w:rPr>
                  </w:pPr>
                  <w:r>
                    <w:rPr>
                      <w:rFonts w:hint="eastAsia"/>
                      <w:color w:val="auto"/>
                      <w:kern w:val="0"/>
                      <w:lang w:val="en-US" w:eastAsia="zh-CN"/>
                    </w:rPr>
                    <w:t>T</w:t>
                  </w:r>
                </w:p>
              </w:tc>
              <w:tc>
                <w:tcPr>
                  <w:tcW w:w="465" w:type="pct"/>
                  <w:vAlign w:val="center"/>
                </w:tcPr>
                <w:p w14:paraId="353602B5">
                  <w:pPr>
                    <w:contextualSpacing/>
                    <w:jc w:val="center"/>
                    <w:rPr>
                      <w:rFonts w:hint="default"/>
                      <w:color w:val="auto"/>
                      <w:kern w:val="0"/>
                      <w:lang w:val="en-US" w:eastAsia="zh-CN"/>
                    </w:rPr>
                  </w:pPr>
                  <w:r>
                    <w:rPr>
                      <w:rFonts w:hint="eastAsia"/>
                      <w:color w:val="auto"/>
                      <w:kern w:val="0"/>
                      <w:lang w:val="en-US" w:eastAsia="zh-CN"/>
                    </w:rPr>
                    <w:t>HW12</w:t>
                  </w:r>
                </w:p>
              </w:tc>
              <w:tc>
                <w:tcPr>
                  <w:tcW w:w="756" w:type="pct"/>
                  <w:vAlign w:val="center"/>
                </w:tcPr>
                <w:p w14:paraId="2870075E">
                  <w:pPr>
                    <w:contextualSpacing/>
                    <w:jc w:val="center"/>
                    <w:rPr>
                      <w:rFonts w:hint="default"/>
                      <w:color w:val="auto"/>
                      <w:kern w:val="0"/>
                      <w:lang w:val="en-US" w:eastAsia="zh-CN"/>
                    </w:rPr>
                  </w:pPr>
                  <w:r>
                    <w:rPr>
                      <w:rFonts w:hint="eastAsia"/>
                      <w:color w:val="auto"/>
                      <w:kern w:val="0"/>
                      <w:lang w:val="en-US" w:eastAsia="zh-CN"/>
                    </w:rPr>
                    <w:t>900-299-12</w:t>
                  </w:r>
                </w:p>
              </w:tc>
              <w:tc>
                <w:tcPr>
                  <w:tcW w:w="545" w:type="pct"/>
                  <w:vAlign w:val="center"/>
                </w:tcPr>
                <w:p w14:paraId="44EE54B4">
                  <w:pPr>
                    <w:pStyle w:val="5"/>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0.05014</w:t>
                  </w:r>
                </w:p>
              </w:tc>
            </w:tr>
            <w:tr w14:paraId="02B594E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802" w:type="pct"/>
                  <w:vAlign w:val="center"/>
                </w:tcPr>
                <w:p w14:paraId="2104FAFF">
                  <w:pPr>
                    <w:pStyle w:val="5"/>
                    <w:adjustRightInd w:val="0"/>
                    <w:snapToGrid w:val="0"/>
                    <w:ind w:firstLine="0" w:firstLineChars="0"/>
                    <w:jc w:val="center"/>
                    <w:rPr>
                      <w:rFonts w:hint="eastAsia"/>
                      <w:bCs/>
                      <w:color w:val="auto"/>
                      <w:kern w:val="0"/>
                      <w:szCs w:val="21"/>
                      <w:lang w:val="en-US" w:eastAsia="zh-CN"/>
                    </w:rPr>
                  </w:pPr>
                  <w:r>
                    <w:rPr>
                      <w:rFonts w:hint="eastAsia"/>
                      <w:bCs/>
                      <w:color w:val="auto"/>
                      <w:kern w:val="0"/>
                      <w:szCs w:val="21"/>
                      <w:lang w:val="en-US" w:eastAsia="zh-CN"/>
                    </w:rPr>
                    <w:t>水帘废液</w:t>
                  </w:r>
                </w:p>
              </w:tc>
              <w:tc>
                <w:tcPr>
                  <w:tcW w:w="364" w:type="pct"/>
                  <w:vMerge w:val="continue"/>
                  <w:vAlign w:val="center"/>
                </w:tcPr>
                <w:p w14:paraId="7EAA9C3C">
                  <w:pPr>
                    <w:adjustRightInd w:val="0"/>
                    <w:snapToGrid w:val="0"/>
                    <w:jc w:val="center"/>
                    <w:rPr>
                      <w:color w:val="auto"/>
                      <w:kern w:val="0"/>
                    </w:rPr>
                  </w:pPr>
                </w:p>
              </w:tc>
              <w:tc>
                <w:tcPr>
                  <w:tcW w:w="424" w:type="pct"/>
                  <w:vAlign w:val="center"/>
                </w:tcPr>
                <w:p w14:paraId="379D4060">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rPr>
                    <w:t>废气治理</w:t>
                  </w:r>
                </w:p>
              </w:tc>
              <w:tc>
                <w:tcPr>
                  <w:tcW w:w="421" w:type="pct"/>
                  <w:vAlign w:val="center"/>
                </w:tcPr>
                <w:p w14:paraId="584BBDBA">
                  <w:pPr>
                    <w:pStyle w:val="5"/>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液</w:t>
                  </w:r>
                </w:p>
              </w:tc>
              <w:tc>
                <w:tcPr>
                  <w:tcW w:w="762" w:type="pct"/>
                  <w:vAlign w:val="center"/>
                </w:tcPr>
                <w:p w14:paraId="6135A8CA">
                  <w:pPr>
                    <w:widowControl/>
                    <w:adjustRightInd w:val="0"/>
                    <w:snapToGrid w:val="0"/>
                    <w:jc w:val="center"/>
                    <w:textAlignment w:val="center"/>
                    <w:rPr>
                      <w:rFonts w:hint="eastAsia"/>
                      <w:color w:val="auto"/>
                      <w:kern w:val="0"/>
                      <w:lang w:val="en-US" w:eastAsia="zh-CN" w:bidi="ar"/>
                    </w:rPr>
                  </w:pPr>
                  <w:r>
                    <w:rPr>
                      <w:rFonts w:hint="eastAsia"/>
                      <w:color w:val="auto"/>
                      <w:kern w:val="0"/>
                      <w:lang w:val="en-US" w:eastAsia="zh-CN" w:bidi="ar"/>
                    </w:rPr>
                    <w:t>水、颗粒物</w:t>
                  </w:r>
                </w:p>
              </w:tc>
              <w:tc>
                <w:tcPr>
                  <w:tcW w:w="457" w:type="pct"/>
                  <w:shd w:val="clear" w:color="auto" w:fill="auto"/>
                  <w:vAlign w:val="center"/>
                </w:tcPr>
                <w:p w14:paraId="4E54D934">
                  <w:pPr>
                    <w:contextualSpacing/>
                    <w:jc w:val="center"/>
                    <w:rPr>
                      <w:rFonts w:ascii="Times New Roman" w:hAnsi="Times New Roman" w:eastAsia="宋体" w:cs="Times New Roman"/>
                      <w:snapToGrid w:val="0"/>
                      <w:color w:val="auto"/>
                      <w:kern w:val="0"/>
                      <w:sz w:val="21"/>
                      <w:szCs w:val="21"/>
                      <w:lang w:val="en-US" w:eastAsia="zh-CN" w:bidi="ar-SA"/>
                    </w:rPr>
                  </w:pPr>
                  <w:r>
                    <w:rPr>
                      <w:color w:val="auto"/>
                      <w:kern w:val="0"/>
                    </w:rPr>
                    <w:t>T/In</w:t>
                  </w:r>
                </w:p>
              </w:tc>
              <w:tc>
                <w:tcPr>
                  <w:tcW w:w="465" w:type="pct"/>
                  <w:shd w:val="clear" w:color="auto" w:fill="auto"/>
                  <w:vAlign w:val="center"/>
                </w:tcPr>
                <w:p w14:paraId="60B9D678">
                  <w:pPr>
                    <w:contextualSpacing/>
                    <w:jc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HW49</w:t>
                  </w:r>
                </w:p>
              </w:tc>
              <w:tc>
                <w:tcPr>
                  <w:tcW w:w="756" w:type="pct"/>
                  <w:shd w:val="clear" w:color="auto" w:fill="auto"/>
                  <w:vAlign w:val="center"/>
                </w:tcPr>
                <w:p w14:paraId="71A72568">
                  <w:pPr>
                    <w:contextualSpacing/>
                    <w:jc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900-041-49</w:t>
                  </w:r>
                </w:p>
              </w:tc>
              <w:tc>
                <w:tcPr>
                  <w:tcW w:w="545" w:type="pct"/>
                  <w:vAlign w:val="center"/>
                </w:tcPr>
                <w:p w14:paraId="313FB3EE">
                  <w:pPr>
                    <w:pStyle w:val="5"/>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3</w:t>
                  </w:r>
                </w:p>
              </w:tc>
            </w:tr>
            <w:tr w14:paraId="5EDC72B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802" w:type="pct"/>
                  <w:vAlign w:val="center"/>
                </w:tcPr>
                <w:p w14:paraId="12F12D68">
                  <w:pPr>
                    <w:pStyle w:val="5"/>
                    <w:adjustRightInd w:val="0"/>
                    <w:snapToGrid w:val="0"/>
                    <w:ind w:firstLine="0" w:firstLineChars="0"/>
                    <w:jc w:val="center"/>
                    <w:rPr>
                      <w:rFonts w:hint="eastAsia"/>
                      <w:bCs/>
                      <w:color w:val="auto"/>
                      <w:kern w:val="0"/>
                      <w:szCs w:val="21"/>
                      <w:lang w:val="en-US" w:eastAsia="zh-CN"/>
                    </w:rPr>
                  </w:pPr>
                  <w:r>
                    <w:rPr>
                      <w:rFonts w:hint="eastAsia"/>
                      <w:bCs/>
                      <w:color w:val="auto"/>
                      <w:kern w:val="0"/>
                      <w:szCs w:val="21"/>
                      <w:lang w:val="en-US" w:eastAsia="zh-CN"/>
                    </w:rPr>
                    <w:t>喷枪清洗废液</w:t>
                  </w:r>
                </w:p>
              </w:tc>
              <w:tc>
                <w:tcPr>
                  <w:tcW w:w="364" w:type="pct"/>
                  <w:vMerge w:val="continue"/>
                  <w:vAlign w:val="center"/>
                </w:tcPr>
                <w:p w14:paraId="1D04A894">
                  <w:pPr>
                    <w:adjustRightInd w:val="0"/>
                    <w:snapToGrid w:val="0"/>
                    <w:jc w:val="center"/>
                    <w:rPr>
                      <w:color w:val="auto"/>
                      <w:kern w:val="0"/>
                    </w:rPr>
                  </w:pPr>
                </w:p>
              </w:tc>
              <w:tc>
                <w:tcPr>
                  <w:tcW w:w="424" w:type="pct"/>
                  <w:vAlign w:val="center"/>
                </w:tcPr>
                <w:p w14:paraId="6C1E2371">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rPr>
                    <w:t>喷枪清洗</w:t>
                  </w:r>
                </w:p>
              </w:tc>
              <w:tc>
                <w:tcPr>
                  <w:tcW w:w="421" w:type="pct"/>
                  <w:vAlign w:val="center"/>
                </w:tcPr>
                <w:p w14:paraId="0943B8E0">
                  <w:pPr>
                    <w:pStyle w:val="5"/>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液</w:t>
                  </w:r>
                </w:p>
              </w:tc>
              <w:tc>
                <w:tcPr>
                  <w:tcW w:w="762" w:type="pct"/>
                  <w:vAlign w:val="center"/>
                </w:tcPr>
                <w:p w14:paraId="423D49B2">
                  <w:pPr>
                    <w:widowControl/>
                    <w:adjustRightInd w:val="0"/>
                    <w:snapToGrid w:val="0"/>
                    <w:jc w:val="center"/>
                    <w:textAlignment w:val="center"/>
                    <w:rPr>
                      <w:rFonts w:hint="eastAsia"/>
                      <w:color w:val="auto"/>
                      <w:kern w:val="0"/>
                      <w:lang w:val="en-US" w:eastAsia="zh-CN" w:bidi="ar"/>
                    </w:rPr>
                  </w:pPr>
                  <w:r>
                    <w:rPr>
                      <w:rFonts w:hint="eastAsia"/>
                      <w:color w:val="auto"/>
                      <w:kern w:val="0"/>
                      <w:lang w:val="en-US" w:eastAsia="zh-CN" w:bidi="ar"/>
                    </w:rPr>
                    <w:t>油漆、稀释剂</w:t>
                  </w:r>
                </w:p>
              </w:tc>
              <w:tc>
                <w:tcPr>
                  <w:tcW w:w="457" w:type="pct"/>
                  <w:shd w:val="clear" w:color="auto" w:fill="auto"/>
                  <w:vAlign w:val="center"/>
                </w:tcPr>
                <w:p w14:paraId="23BB0488">
                  <w:pPr>
                    <w:contextualSpacing/>
                    <w:jc w:val="center"/>
                    <w:rPr>
                      <w:rFonts w:ascii="Times New Roman" w:hAnsi="Times New Roman" w:eastAsia="宋体" w:cs="Times New Roman"/>
                      <w:snapToGrid w:val="0"/>
                      <w:color w:val="auto"/>
                      <w:kern w:val="0"/>
                      <w:sz w:val="21"/>
                      <w:szCs w:val="21"/>
                      <w:lang w:val="en-US" w:eastAsia="zh-CN" w:bidi="ar-SA"/>
                    </w:rPr>
                  </w:pPr>
                  <w:r>
                    <w:rPr>
                      <w:color w:val="auto"/>
                      <w:kern w:val="0"/>
                    </w:rPr>
                    <w:t>T/In</w:t>
                  </w:r>
                </w:p>
              </w:tc>
              <w:tc>
                <w:tcPr>
                  <w:tcW w:w="465" w:type="pct"/>
                  <w:shd w:val="clear" w:color="auto" w:fill="auto"/>
                  <w:vAlign w:val="center"/>
                </w:tcPr>
                <w:p w14:paraId="537D9983">
                  <w:pPr>
                    <w:contextualSpacing/>
                    <w:jc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HW49</w:t>
                  </w:r>
                </w:p>
              </w:tc>
              <w:tc>
                <w:tcPr>
                  <w:tcW w:w="756" w:type="pct"/>
                  <w:shd w:val="clear" w:color="auto" w:fill="auto"/>
                  <w:vAlign w:val="center"/>
                </w:tcPr>
                <w:p w14:paraId="095B51CA">
                  <w:pPr>
                    <w:contextualSpacing/>
                    <w:jc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900-041-49</w:t>
                  </w:r>
                </w:p>
              </w:tc>
              <w:tc>
                <w:tcPr>
                  <w:tcW w:w="545" w:type="pct"/>
                  <w:vAlign w:val="center"/>
                </w:tcPr>
                <w:p w14:paraId="0B0E4663">
                  <w:pPr>
                    <w:pStyle w:val="5"/>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0.05</w:t>
                  </w:r>
                </w:p>
              </w:tc>
            </w:tr>
            <w:tr w14:paraId="45166FF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802" w:type="pct"/>
                  <w:vAlign w:val="center"/>
                </w:tcPr>
                <w:p w14:paraId="15922255">
                  <w:pPr>
                    <w:pStyle w:val="5"/>
                    <w:adjustRightInd w:val="0"/>
                    <w:snapToGrid w:val="0"/>
                    <w:ind w:firstLine="0" w:firstLineChars="0"/>
                    <w:jc w:val="center"/>
                    <w:rPr>
                      <w:rFonts w:hint="eastAsia"/>
                      <w:bCs/>
                      <w:color w:val="auto"/>
                      <w:kern w:val="0"/>
                      <w:szCs w:val="21"/>
                      <w:lang w:val="en-US" w:eastAsia="zh-CN"/>
                    </w:rPr>
                  </w:pPr>
                  <w:r>
                    <w:rPr>
                      <w:rFonts w:hint="eastAsia"/>
                      <w:bCs/>
                      <w:color w:val="auto"/>
                      <w:kern w:val="0"/>
                      <w:szCs w:val="21"/>
                      <w:lang w:val="en-US" w:eastAsia="zh-CN"/>
                    </w:rPr>
                    <w:t>废包装桶</w:t>
                  </w:r>
                </w:p>
              </w:tc>
              <w:tc>
                <w:tcPr>
                  <w:tcW w:w="364" w:type="pct"/>
                  <w:vMerge w:val="continue"/>
                  <w:vAlign w:val="center"/>
                </w:tcPr>
                <w:p w14:paraId="608744AB">
                  <w:pPr>
                    <w:adjustRightInd w:val="0"/>
                    <w:snapToGrid w:val="0"/>
                    <w:jc w:val="center"/>
                    <w:rPr>
                      <w:color w:val="auto"/>
                      <w:kern w:val="0"/>
                    </w:rPr>
                  </w:pPr>
                </w:p>
              </w:tc>
              <w:tc>
                <w:tcPr>
                  <w:tcW w:w="424" w:type="pct"/>
                  <w:vAlign w:val="center"/>
                </w:tcPr>
                <w:p w14:paraId="13BDF7DF">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rPr>
                    <w:t>原料</w:t>
                  </w:r>
                </w:p>
                <w:p w14:paraId="641E57B3">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rPr>
                    <w:t>拆包</w:t>
                  </w:r>
                </w:p>
              </w:tc>
              <w:tc>
                <w:tcPr>
                  <w:tcW w:w="421" w:type="pct"/>
                  <w:vAlign w:val="center"/>
                </w:tcPr>
                <w:p w14:paraId="50D4954C">
                  <w:pPr>
                    <w:pStyle w:val="5"/>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固</w:t>
                  </w:r>
                </w:p>
              </w:tc>
              <w:tc>
                <w:tcPr>
                  <w:tcW w:w="762" w:type="pct"/>
                  <w:vAlign w:val="center"/>
                </w:tcPr>
                <w:p w14:paraId="596B3573">
                  <w:pPr>
                    <w:widowControl/>
                    <w:adjustRightInd w:val="0"/>
                    <w:snapToGrid w:val="0"/>
                    <w:jc w:val="center"/>
                    <w:textAlignment w:val="center"/>
                    <w:rPr>
                      <w:rFonts w:hint="eastAsia"/>
                      <w:color w:val="auto"/>
                      <w:kern w:val="0"/>
                      <w:lang w:val="en-US" w:eastAsia="zh-CN" w:bidi="ar"/>
                    </w:rPr>
                  </w:pPr>
                  <w:r>
                    <w:rPr>
                      <w:rFonts w:hint="eastAsia"/>
                      <w:color w:val="auto"/>
                      <w:kern w:val="0"/>
                      <w:lang w:val="en-US" w:eastAsia="zh-CN" w:bidi="ar"/>
                    </w:rPr>
                    <w:t>油漆、胶水、擦色剂、桶</w:t>
                  </w:r>
                </w:p>
              </w:tc>
              <w:tc>
                <w:tcPr>
                  <w:tcW w:w="457" w:type="pct"/>
                  <w:shd w:val="clear" w:color="auto" w:fill="auto"/>
                  <w:vAlign w:val="center"/>
                </w:tcPr>
                <w:p w14:paraId="3D474571">
                  <w:pPr>
                    <w:contextualSpacing/>
                    <w:jc w:val="center"/>
                    <w:rPr>
                      <w:rFonts w:ascii="Times New Roman" w:hAnsi="Times New Roman" w:eastAsia="宋体" w:cs="Times New Roman"/>
                      <w:snapToGrid w:val="0"/>
                      <w:color w:val="auto"/>
                      <w:kern w:val="0"/>
                      <w:sz w:val="21"/>
                      <w:szCs w:val="21"/>
                      <w:lang w:val="en-US" w:eastAsia="zh-CN" w:bidi="ar-SA"/>
                    </w:rPr>
                  </w:pPr>
                  <w:r>
                    <w:rPr>
                      <w:color w:val="auto"/>
                      <w:kern w:val="0"/>
                    </w:rPr>
                    <w:t>T/In</w:t>
                  </w:r>
                </w:p>
              </w:tc>
              <w:tc>
                <w:tcPr>
                  <w:tcW w:w="465" w:type="pct"/>
                  <w:shd w:val="clear" w:color="auto" w:fill="auto"/>
                  <w:vAlign w:val="center"/>
                </w:tcPr>
                <w:p w14:paraId="039A4A36">
                  <w:pPr>
                    <w:contextualSpacing/>
                    <w:jc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HW49</w:t>
                  </w:r>
                </w:p>
              </w:tc>
              <w:tc>
                <w:tcPr>
                  <w:tcW w:w="756" w:type="pct"/>
                  <w:shd w:val="clear" w:color="auto" w:fill="auto"/>
                  <w:vAlign w:val="center"/>
                </w:tcPr>
                <w:p w14:paraId="73EEE931">
                  <w:pPr>
                    <w:contextualSpacing/>
                    <w:jc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900-041-49</w:t>
                  </w:r>
                </w:p>
              </w:tc>
              <w:tc>
                <w:tcPr>
                  <w:tcW w:w="545" w:type="pct"/>
                  <w:vAlign w:val="center"/>
                </w:tcPr>
                <w:p w14:paraId="3004E8B2">
                  <w:pPr>
                    <w:pStyle w:val="5"/>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0.332</w:t>
                  </w:r>
                </w:p>
              </w:tc>
            </w:tr>
            <w:tr w14:paraId="3370E5A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802" w:type="pct"/>
                  <w:vAlign w:val="center"/>
                </w:tcPr>
                <w:p w14:paraId="68D697DF">
                  <w:pPr>
                    <w:pStyle w:val="5"/>
                    <w:adjustRightInd w:val="0"/>
                    <w:snapToGrid w:val="0"/>
                    <w:ind w:firstLine="0" w:firstLineChars="0"/>
                    <w:jc w:val="center"/>
                    <w:rPr>
                      <w:rFonts w:hint="eastAsia" w:eastAsia="宋体"/>
                      <w:color w:val="auto"/>
                      <w:kern w:val="0"/>
                      <w:szCs w:val="21"/>
                      <w:lang w:eastAsia="zh-CN"/>
                    </w:rPr>
                  </w:pPr>
                  <w:r>
                    <w:rPr>
                      <w:rFonts w:hint="eastAsia"/>
                      <w:bCs/>
                      <w:color w:val="auto"/>
                      <w:kern w:val="0"/>
                      <w:szCs w:val="21"/>
                      <w:lang w:val="en-US" w:eastAsia="zh-CN"/>
                    </w:rPr>
                    <w:t>干式内循环打磨处理器收集尘</w:t>
                  </w:r>
                </w:p>
              </w:tc>
              <w:tc>
                <w:tcPr>
                  <w:tcW w:w="364" w:type="pct"/>
                  <w:vMerge w:val="continue"/>
                  <w:vAlign w:val="center"/>
                </w:tcPr>
                <w:p w14:paraId="5FC7EB76">
                  <w:pPr>
                    <w:adjustRightInd w:val="0"/>
                    <w:snapToGrid w:val="0"/>
                    <w:jc w:val="center"/>
                    <w:rPr>
                      <w:color w:val="auto"/>
                      <w:kern w:val="0"/>
                    </w:rPr>
                  </w:pPr>
                </w:p>
              </w:tc>
              <w:tc>
                <w:tcPr>
                  <w:tcW w:w="424" w:type="pct"/>
                  <w:vAlign w:val="center"/>
                </w:tcPr>
                <w:p w14:paraId="4F8F09A6">
                  <w:pPr>
                    <w:widowControl/>
                    <w:adjustRightInd w:val="0"/>
                    <w:snapToGrid w:val="0"/>
                    <w:jc w:val="center"/>
                    <w:textAlignment w:val="center"/>
                    <w:rPr>
                      <w:color w:val="auto"/>
                      <w:kern w:val="0"/>
                    </w:rPr>
                  </w:pPr>
                  <w:r>
                    <w:rPr>
                      <w:rFonts w:hint="eastAsia"/>
                      <w:color w:val="auto"/>
                      <w:kern w:val="0"/>
                      <w:lang w:val="en-US" w:eastAsia="zh-CN"/>
                    </w:rPr>
                    <w:t>废气治理</w:t>
                  </w:r>
                </w:p>
              </w:tc>
              <w:tc>
                <w:tcPr>
                  <w:tcW w:w="421" w:type="pct"/>
                  <w:vAlign w:val="center"/>
                </w:tcPr>
                <w:p w14:paraId="1E8A4130">
                  <w:pPr>
                    <w:pStyle w:val="5"/>
                    <w:adjustRightInd w:val="0"/>
                    <w:snapToGrid w:val="0"/>
                    <w:ind w:firstLine="0" w:firstLineChars="0"/>
                    <w:jc w:val="center"/>
                    <w:rPr>
                      <w:color w:val="auto"/>
                      <w:kern w:val="0"/>
                      <w:szCs w:val="21"/>
                    </w:rPr>
                  </w:pPr>
                  <w:r>
                    <w:rPr>
                      <w:rFonts w:hint="eastAsia"/>
                      <w:color w:val="auto"/>
                      <w:kern w:val="0"/>
                      <w:szCs w:val="21"/>
                      <w:lang w:val="en-US" w:eastAsia="zh-CN"/>
                    </w:rPr>
                    <w:t>固</w:t>
                  </w:r>
                </w:p>
              </w:tc>
              <w:tc>
                <w:tcPr>
                  <w:tcW w:w="762" w:type="pct"/>
                  <w:vAlign w:val="center"/>
                </w:tcPr>
                <w:p w14:paraId="70CAFC2D">
                  <w:pPr>
                    <w:widowControl/>
                    <w:adjustRightInd w:val="0"/>
                    <w:snapToGrid w:val="0"/>
                    <w:jc w:val="center"/>
                    <w:textAlignment w:val="center"/>
                    <w:rPr>
                      <w:rFonts w:hint="eastAsia" w:eastAsia="宋体"/>
                      <w:color w:val="auto"/>
                      <w:kern w:val="0"/>
                      <w:lang w:val="en-US" w:eastAsia="zh-CN"/>
                    </w:rPr>
                  </w:pPr>
                  <w:r>
                    <w:rPr>
                      <w:rFonts w:hint="eastAsia"/>
                      <w:color w:val="auto"/>
                      <w:lang w:val="en-US" w:eastAsia="zh-CN"/>
                    </w:rPr>
                    <w:t>漆雾</w:t>
                  </w:r>
                </w:p>
              </w:tc>
              <w:tc>
                <w:tcPr>
                  <w:tcW w:w="457" w:type="pct"/>
                  <w:vAlign w:val="center"/>
                </w:tcPr>
                <w:p w14:paraId="3299C71E">
                  <w:pPr>
                    <w:contextualSpacing/>
                    <w:jc w:val="center"/>
                    <w:rPr>
                      <w:color w:val="auto"/>
                      <w:kern w:val="0"/>
                      <w:szCs w:val="21"/>
                    </w:rPr>
                  </w:pPr>
                  <w:r>
                    <w:rPr>
                      <w:rFonts w:hint="eastAsia"/>
                      <w:color w:val="auto"/>
                      <w:kern w:val="0"/>
                      <w:lang w:val="en-US" w:eastAsia="zh-CN"/>
                    </w:rPr>
                    <w:t>T</w:t>
                  </w:r>
                </w:p>
              </w:tc>
              <w:tc>
                <w:tcPr>
                  <w:tcW w:w="465" w:type="pct"/>
                  <w:vAlign w:val="center"/>
                </w:tcPr>
                <w:p w14:paraId="36CFED55">
                  <w:pPr>
                    <w:contextualSpacing/>
                    <w:jc w:val="center"/>
                    <w:rPr>
                      <w:color w:val="auto"/>
                      <w:kern w:val="0"/>
                    </w:rPr>
                  </w:pPr>
                  <w:r>
                    <w:rPr>
                      <w:rFonts w:hint="eastAsia"/>
                      <w:color w:val="auto"/>
                      <w:kern w:val="0"/>
                      <w:lang w:val="en-US" w:eastAsia="zh-CN"/>
                    </w:rPr>
                    <w:t>HW12</w:t>
                  </w:r>
                </w:p>
              </w:tc>
              <w:tc>
                <w:tcPr>
                  <w:tcW w:w="756" w:type="pct"/>
                  <w:vAlign w:val="center"/>
                </w:tcPr>
                <w:p w14:paraId="17FDE444">
                  <w:pPr>
                    <w:contextualSpacing/>
                    <w:jc w:val="center"/>
                    <w:rPr>
                      <w:color w:val="auto"/>
                      <w:kern w:val="0"/>
                    </w:rPr>
                  </w:pPr>
                  <w:r>
                    <w:rPr>
                      <w:rFonts w:hint="eastAsia"/>
                      <w:color w:val="auto"/>
                      <w:kern w:val="0"/>
                      <w:lang w:val="en-US" w:eastAsia="zh-CN"/>
                    </w:rPr>
                    <w:t>900-299-12</w:t>
                  </w:r>
                </w:p>
              </w:tc>
              <w:tc>
                <w:tcPr>
                  <w:tcW w:w="545" w:type="pct"/>
                  <w:vAlign w:val="center"/>
                </w:tcPr>
                <w:p w14:paraId="3F665A4B">
                  <w:pPr>
                    <w:pStyle w:val="5"/>
                    <w:adjustRightInd w:val="0"/>
                    <w:snapToGrid w:val="0"/>
                    <w:ind w:firstLine="0" w:firstLineChars="0"/>
                    <w:jc w:val="center"/>
                    <w:rPr>
                      <w:rFonts w:hint="default" w:eastAsia="宋体"/>
                      <w:color w:val="auto"/>
                      <w:kern w:val="0"/>
                      <w:szCs w:val="21"/>
                      <w:lang w:val="en-US" w:eastAsia="zh-CN"/>
                    </w:rPr>
                  </w:pPr>
                  <w:r>
                    <w:rPr>
                      <w:rFonts w:hint="eastAsia"/>
                      <w:color w:val="auto"/>
                      <w:kern w:val="0"/>
                      <w:szCs w:val="21"/>
                      <w:lang w:val="en-US" w:eastAsia="zh-CN"/>
                    </w:rPr>
                    <w:t>0.0172</w:t>
                  </w:r>
                </w:p>
              </w:tc>
            </w:tr>
            <w:tr w14:paraId="4909027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802" w:type="pct"/>
                  <w:vAlign w:val="center"/>
                </w:tcPr>
                <w:p w14:paraId="760F620A">
                  <w:pPr>
                    <w:pStyle w:val="5"/>
                    <w:adjustRightInd w:val="0"/>
                    <w:snapToGrid w:val="0"/>
                    <w:ind w:firstLine="0" w:firstLineChars="0"/>
                    <w:jc w:val="center"/>
                    <w:rPr>
                      <w:color w:val="auto"/>
                      <w:kern w:val="0"/>
                      <w:szCs w:val="21"/>
                    </w:rPr>
                  </w:pPr>
                  <w:r>
                    <w:rPr>
                      <w:rFonts w:hint="eastAsia"/>
                      <w:bCs/>
                      <w:color w:val="auto"/>
                      <w:kern w:val="0"/>
                      <w:szCs w:val="21"/>
                      <w:lang w:val="en-US" w:eastAsia="zh-CN"/>
                    </w:rPr>
                    <w:t>废活性炭</w:t>
                  </w:r>
                </w:p>
              </w:tc>
              <w:tc>
                <w:tcPr>
                  <w:tcW w:w="364" w:type="pct"/>
                  <w:vMerge w:val="continue"/>
                  <w:vAlign w:val="center"/>
                </w:tcPr>
                <w:p w14:paraId="26EE1D60">
                  <w:pPr>
                    <w:adjustRightInd w:val="0"/>
                    <w:snapToGrid w:val="0"/>
                    <w:jc w:val="center"/>
                    <w:rPr>
                      <w:color w:val="auto"/>
                      <w:kern w:val="0"/>
                    </w:rPr>
                  </w:pPr>
                </w:p>
              </w:tc>
              <w:tc>
                <w:tcPr>
                  <w:tcW w:w="424" w:type="pct"/>
                  <w:vAlign w:val="center"/>
                </w:tcPr>
                <w:p w14:paraId="13AA087D">
                  <w:pPr>
                    <w:widowControl/>
                    <w:adjustRightInd w:val="0"/>
                    <w:snapToGrid w:val="0"/>
                    <w:jc w:val="center"/>
                    <w:textAlignment w:val="center"/>
                    <w:rPr>
                      <w:color w:val="auto"/>
                      <w:kern w:val="0"/>
                      <w:lang w:bidi="ar"/>
                    </w:rPr>
                  </w:pPr>
                  <w:r>
                    <w:rPr>
                      <w:rFonts w:hint="eastAsia"/>
                      <w:color w:val="auto"/>
                      <w:kern w:val="0"/>
                      <w:lang w:val="en-US" w:eastAsia="zh-CN"/>
                    </w:rPr>
                    <w:t>废气治理</w:t>
                  </w:r>
                </w:p>
              </w:tc>
              <w:tc>
                <w:tcPr>
                  <w:tcW w:w="421" w:type="pct"/>
                  <w:vAlign w:val="center"/>
                </w:tcPr>
                <w:p w14:paraId="53C850E9">
                  <w:pPr>
                    <w:pStyle w:val="5"/>
                    <w:adjustRightInd w:val="0"/>
                    <w:snapToGrid w:val="0"/>
                    <w:ind w:firstLine="0" w:firstLineChars="0"/>
                    <w:jc w:val="center"/>
                    <w:rPr>
                      <w:color w:val="auto"/>
                      <w:kern w:val="0"/>
                    </w:rPr>
                  </w:pPr>
                  <w:r>
                    <w:rPr>
                      <w:rFonts w:hint="eastAsia"/>
                      <w:color w:val="auto"/>
                      <w:kern w:val="0"/>
                      <w:szCs w:val="21"/>
                      <w:lang w:val="en-US" w:eastAsia="zh-CN"/>
                    </w:rPr>
                    <w:t>固</w:t>
                  </w:r>
                </w:p>
              </w:tc>
              <w:tc>
                <w:tcPr>
                  <w:tcW w:w="762" w:type="pct"/>
                  <w:vAlign w:val="center"/>
                </w:tcPr>
                <w:p w14:paraId="1488EBF4">
                  <w:pPr>
                    <w:widowControl/>
                    <w:adjustRightInd w:val="0"/>
                    <w:snapToGrid w:val="0"/>
                    <w:jc w:val="center"/>
                    <w:textAlignment w:val="center"/>
                    <w:rPr>
                      <w:color w:val="auto"/>
                      <w:kern w:val="0"/>
                    </w:rPr>
                  </w:pPr>
                  <w:r>
                    <w:rPr>
                      <w:rFonts w:hint="eastAsia"/>
                      <w:color w:val="auto"/>
                      <w:kern w:val="0"/>
                      <w:lang w:val="en-US" w:eastAsia="zh-CN" w:bidi="ar"/>
                    </w:rPr>
                    <w:t>活性炭、VOCs</w:t>
                  </w:r>
                </w:p>
              </w:tc>
              <w:tc>
                <w:tcPr>
                  <w:tcW w:w="457" w:type="pct"/>
                  <w:vAlign w:val="center"/>
                </w:tcPr>
                <w:p w14:paraId="121805D7">
                  <w:pPr>
                    <w:contextualSpacing/>
                    <w:jc w:val="center"/>
                    <w:rPr>
                      <w:color w:val="auto"/>
                      <w:kern w:val="0"/>
                    </w:rPr>
                  </w:pPr>
                  <w:r>
                    <w:rPr>
                      <w:color w:val="auto"/>
                      <w:kern w:val="0"/>
                    </w:rPr>
                    <w:t>T</w:t>
                  </w:r>
                </w:p>
              </w:tc>
              <w:tc>
                <w:tcPr>
                  <w:tcW w:w="465" w:type="pct"/>
                  <w:vAlign w:val="center"/>
                </w:tcPr>
                <w:p w14:paraId="12C31456">
                  <w:pPr>
                    <w:contextualSpacing/>
                    <w:jc w:val="center"/>
                    <w:rPr>
                      <w:bCs/>
                      <w:color w:val="auto"/>
                      <w:kern w:val="0"/>
                    </w:rPr>
                  </w:pPr>
                  <w:r>
                    <w:rPr>
                      <w:color w:val="auto"/>
                      <w:kern w:val="0"/>
                    </w:rPr>
                    <w:t>HW49</w:t>
                  </w:r>
                </w:p>
              </w:tc>
              <w:tc>
                <w:tcPr>
                  <w:tcW w:w="756" w:type="pct"/>
                  <w:vAlign w:val="center"/>
                </w:tcPr>
                <w:p w14:paraId="6E5E6C05">
                  <w:pPr>
                    <w:contextualSpacing/>
                    <w:jc w:val="center"/>
                    <w:rPr>
                      <w:bCs/>
                      <w:color w:val="auto"/>
                      <w:kern w:val="0"/>
                    </w:rPr>
                  </w:pPr>
                  <w:r>
                    <w:rPr>
                      <w:color w:val="auto"/>
                      <w:kern w:val="0"/>
                    </w:rPr>
                    <w:t>900-039-49</w:t>
                  </w:r>
                </w:p>
              </w:tc>
              <w:tc>
                <w:tcPr>
                  <w:tcW w:w="545" w:type="pct"/>
                  <w:vAlign w:val="center"/>
                </w:tcPr>
                <w:p w14:paraId="7BE276F3">
                  <w:pPr>
                    <w:pStyle w:val="5"/>
                    <w:adjustRightInd w:val="0"/>
                    <w:snapToGrid w:val="0"/>
                    <w:ind w:firstLine="0" w:firstLineChars="0"/>
                    <w:jc w:val="center"/>
                    <w:rPr>
                      <w:rFonts w:hint="default"/>
                      <w:color w:val="auto"/>
                      <w:kern w:val="0"/>
                      <w:szCs w:val="21"/>
                      <w:lang w:val="en-US"/>
                    </w:rPr>
                  </w:pPr>
                  <w:r>
                    <w:rPr>
                      <w:rFonts w:hint="eastAsia"/>
                      <w:color w:val="auto"/>
                      <w:kern w:val="0"/>
                      <w:szCs w:val="21"/>
                      <w:lang w:val="en-US" w:eastAsia="zh-CN"/>
                    </w:rPr>
                    <w:t>10.57</w:t>
                  </w:r>
                </w:p>
              </w:tc>
            </w:tr>
            <w:tr w14:paraId="3AE5620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802" w:type="pct"/>
                  <w:vAlign w:val="center"/>
                </w:tcPr>
                <w:p w14:paraId="6A110443">
                  <w:pPr>
                    <w:pStyle w:val="5"/>
                    <w:adjustRightInd w:val="0"/>
                    <w:snapToGrid w:val="0"/>
                    <w:ind w:firstLine="0" w:firstLineChars="0"/>
                    <w:jc w:val="center"/>
                    <w:rPr>
                      <w:color w:val="auto"/>
                      <w:kern w:val="0"/>
                      <w:szCs w:val="21"/>
                    </w:rPr>
                  </w:pPr>
                  <w:r>
                    <w:rPr>
                      <w:rFonts w:hint="eastAsia"/>
                      <w:bCs/>
                      <w:color w:val="auto"/>
                      <w:kern w:val="0"/>
                      <w:szCs w:val="21"/>
                      <w:lang w:val="en-US" w:eastAsia="zh-CN"/>
                    </w:rPr>
                    <w:t>生活垃圾</w:t>
                  </w:r>
                </w:p>
              </w:tc>
              <w:tc>
                <w:tcPr>
                  <w:tcW w:w="364" w:type="pct"/>
                  <w:vAlign w:val="center"/>
                </w:tcPr>
                <w:p w14:paraId="2A62CFB5">
                  <w:pPr>
                    <w:adjustRightInd w:val="0"/>
                    <w:snapToGrid w:val="0"/>
                    <w:jc w:val="center"/>
                    <w:rPr>
                      <w:color w:val="auto"/>
                      <w:kern w:val="0"/>
                    </w:rPr>
                  </w:pPr>
                  <w:r>
                    <w:rPr>
                      <w:rFonts w:hint="eastAsia"/>
                      <w:color w:val="auto"/>
                      <w:kern w:val="0"/>
                    </w:rPr>
                    <w:t>生活垃圾</w:t>
                  </w:r>
                </w:p>
              </w:tc>
              <w:tc>
                <w:tcPr>
                  <w:tcW w:w="424" w:type="pct"/>
                  <w:vAlign w:val="center"/>
                </w:tcPr>
                <w:p w14:paraId="51470343">
                  <w:pPr>
                    <w:widowControl/>
                    <w:adjustRightInd w:val="0"/>
                    <w:snapToGrid w:val="0"/>
                    <w:jc w:val="center"/>
                    <w:textAlignment w:val="center"/>
                    <w:rPr>
                      <w:color w:val="auto"/>
                      <w:kern w:val="0"/>
                      <w:lang w:bidi="ar"/>
                    </w:rPr>
                  </w:pPr>
                  <w:r>
                    <w:rPr>
                      <w:rFonts w:hint="eastAsia"/>
                      <w:color w:val="auto"/>
                      <w:kern w:val="0"/>
                      <w:lang w:val="en-US" w:eastAsia="zh-CN"/>
                    </w:rPr>
                    <w:t>员工生活</w:t>
                  </w:r>
                </w:p>
              </w:tc>
              <w:tc>
                <w:tcPr>
                  <w:tcW w:w="421" w:type="pct"/>
                  <w:vAlign w:val="center"/>
                </w:tcPr>
                <w:p w14:paraId="50C0675E">
                  <w:pPr>
                    <w:adjustRightInd w:val="0"/>
                    <w:snapToGrid w:val="0"/>
                    <w:jc w:val="center"/>
                    <w:rPr>
                      <w:color w:val="auto"/>
                      <w:kern w:val="0"/>
                    </w:rPr>
                  </w:pPr>
                  <w:r>
                    <w:rPr>
                      <w:rFonts w:hint="eastAsia"/>
                      <w:color w:val="auto"/>
                      <w:kern w:val="0"/>
                      <w:lang w:val="en-US" w:eastAsia="zh-CN"/>
                    </w:rPr>
                    <w:t>固</w:t>
                  </w:r>
                </w:p>
              </w:tc>
              <w:tc>
                <w:tcPr>
                  <w:tcW w:w="762" w:type="pct"/>
                  <w:vAlign w:val="center"/>
                </w:tcPr>
                <w:p w14:paraId="7E33B618">
                  <w:pPr>
                    <w:widowControl/>
                    <w:adjustRightInd w:val="0"/>
                    <w:snapToGrid w:val="0"/>
                    <w:jc w:val="center"/>
                    <w:textAlignment w:val="center"/>
                    <w:rPr>
                      <w:color w:val="auto"/>
                      <w:kern w:val="0"/>
                    </w:rPr>
                  </w:pPr>
                  <w:r>
                    <w:rPr>
                      <w:rFonts w:hint="eastAsia"/>
                      <w:color w:val="auto"/>
                      <w:kern w:val="0"/>
                      <w:lang w:val="en-US" w:eastAsia="zh-CN" w:bidi="ar"/>
                    </w:rPr>
                    <w:t>纸皮、瓜果等</w:t>
                  </w:r>
                </w:p>
              </w:tc>
              <w:tc>
                <w:tcPr>
                  <w:tcW w:w="457" w:type="pct"/>
                  <w:vAlign w:val="center"/>
                </w:tcPr>
                <w:p w14:paraId="0B790C16">
                  <w:pPr>
                    <w:adjustRightInd w:val="0"/>
                    <w:snapToGrid w:val="0"/>
                    <w:jc w:val="center"/>
                    <w:rPr>
                      <w:color w:val="auto"/>
                      <w:kern w:val="0"/>
                    </w:rPr>
                  </w:pPr>
                  <w:r>
                    <w:rPr>
                      <w:rFonts w:hint="eastAsia"/>
                      <w:color w:val="auto"/>
                      <w:kern w:val="0"/>
                    </w:rPr>
                    <w:t>--</w:t>
                  </w:r>
                </w:p>
              </w:tc>
              <w:tc>
                <w:tcPr>
                  <w:tcW w:w="465" w:type="pct"/>
                  <w:vAlign w:val="center"/>
                </w:tcPr>
                <w:p w14:paraId="7C195116">
                  <w:pPr>
                    <w:pStyle w:val="55"/>
                    <w:widowControl w:val="0"/>
                    <w:ind w:left="-30" w:right="-30"/>
                    <w:rPr>
                      <w:b w:val="0"/>
                      <w:bCs w:val="0"/>
                      <w:color w:val="auto"/>
                      <w:sz w:val="21"/>
                      <w:szCs w:val="21"/>
                    </w:rPr>
                  </w:pPr>
                  <w:r>
                    <w:rPr>
                      <w:rFonts w:hint="eastAsia"/>
                      <w:b w:val="0"/>
                      <w:bCs w:val="0"/>
                      <w:color w:val="auto"/>
                      <w:sz w:val="21"/>
                      <w:szCs w:val="21"/>
                    </w:rPr>
                    <w:t>SW64</w:t>
                  </w:r>
                </w:p>
              </w:tc>
              <w:tc>
                <w:tcPr>
                  <w:tcW w:w="756" w:type="pct"/>
                  <w:vAlign w:val="center"/>
                </w:tcPr>
                <w:p w14:paraId="7BFBB4E7">
                  <w:pPr>
                    <w:pStyle w:val="55"/>
                    <w:widowControl w:val="0"/>
                    <w:ind w:left="-30" w:right="-30"/>
                    <w:rPr>
                      <w:b w:val="0"/>
                      <w:bCs w:val="0"/>
                      <w:color w:val="auto"/>
                      <w:sz w:val="21"/>
                      <w:szCs w:val="21"/>
                    </w:rPr>
                  </w:pPr>
                  <w:r>
                    <w:rPr>
                      <w:rFonts w:hint="eastAsia"/>
                      <w:b w:val="0"/>
                      <w:bCs w:val="0"/>
                      <w:color w:val="auto"/>
                      <w:sz w:val="21"/>
                      <w:szCs w:val="21"/>
                    </w:rPr>
                    <w:t>900-099-S64</w:t>
                  </w:r>
                </w:p>
              </w:tc>
              <w:tc>
                <w:tcPr>
                  <w:tcW w:w="545" w:type="pct"/>
                  <w:vAlign w:val="center"/>
                </w:tcPr>
                <w:p w14:paraId="3B332A19">
                  <w:pPr>
                    <w:pStyle w:val="5"/>
                    <w:adjustRightInd w:val="0"/>
                    <w:snapToGrid w:val="0"/>
                    <w:ind w:firstLine="0" w:firstLineChars="0"/>
                    <w:jc w:val="center"/>
                    <w:rPr>
                      <w:color w:val="auto"/>
                      <w:kern w:val="0"/>
                      <w:szCs w:val="21"/>
                    </w:rPr>
                  </w:pPr>
                  <w:r>
                    <w:rPr>
                      <w:rFonts w:hint="eastAsia"/>
                      <w:color w:val="auto"/>
                      <w:kern w:val="0"/>
                      <w:szCs w:val="21"/>
                      <w:lang w:val="en-US" w:eastAsia="zh-CN"/>
                    </w:rPr>
                    <w:t>9</w:t>
                  </w:r>
                </w:p>
              </w:tc>
            </w:tr>
          </w:tbl>
          <w:p w14:paraId="16897108">
            <w:pPr>
              <w:adjustRightInd w:val="0"/>
              <w:snapToGrid w:val="0"/>
              <w:spacing w:line="360" w:lineRule="auto"/>
              <w:ind w:firstLine="422" w:firstLineChars="200"/>
              <w:rPr>
                <w:b/>
                <w:color w:val="auto"/>
                <w:kern w:val="0"/>
              </w:rPr>
            </w:pPr>
            <w:r>
              <w:rPr>
                <w:rFonts w:hint="eastAsia"/>
                <w:b/>
                <w:color w:val="auto"/>
                <w:kern w:val="0"/>
              </w:rPr>
              <w:t>（3）固体废物处置方式</w:t>
            </w:r>
          </w:p>
          <w:p w14:paraId="609CF8AE">
            <w:pPr>
              <w:pStyle w:val="699"/>
              <w:spacing w:beforeLines="0" w:afterLines="0"/>
              <w:rPr>
                <w:rFonts w:eastAsia="宋体"/>
                <w:snapToGrid w:val="0"/>
                <w:color w:val="auto"/>
                <w:kern w:val="0"/>
                <w:sz w:val="21"/>
                <w:szCs w:val="21"/>
              </w:rPr>
            </w:pPr>
            <w:r>
              <w:rPr>
                <w:rFonts w:eastAsia="宋体"/>
                <w:snapToGrid w:val="0"/>
                <w:color w:val="auto"/>
                <w:kern w:val="0"/>
                <w:sz w:val="21"/>
                <w:szCs w:val="21"/>
              </w:rPr>
              <w:t>表4-</w:t>
            </w:r>
            <w:r>
              <w:rPr>
                <w:rFonts w:hint="eastAsia" w:eastAsia="宋体"/>
                <w:snapToGrid w:val="0"/>
                <w:color w:val="auto"/>
                <w:kern w:val="0"/>
                <w:sz w:val="21"/>
                <w:szCs w:val="21"/>
                <w:lang w:val="en-US" w:eastAsia="zh-CN"/>
              </w:rPr>
              <w:t>23</w:t>
            </w:r>
            <w:r>
              <w:rPr>
                <w:rFonts w:hint="eastAsia" w:eastAsia="宋体"/>
                <w:snapToGrid w:val="0"/>
                <w:color w:val="auto"/>
                <w:kern w:val="0"/>
                <w:sz w:val="21"/>
                <w:szCs w:val="21"/>
              </w:rPr>
              <w:t xml:space="preserve">  </w:t>
            </w:r>
            <w:r>
              <w:rPr>
                <w:rFonts w:eastAsia="宋体"/>
                <w:snapToGrid w:val="0"/>
                <w:color w:val="auto"/>
                <w:kern w:val="0"/>
                <w:sz w:val="21"/>
                <w:szCs w:val="21"/>
              </w:rPr>
              <w:t xml:space="preserve"> </w:t>
            </w:r>
            <w:r>
              <w:rPr>
                <w:rFonts w:hint="eastAsia" w:eastAsia="宋体"/>
                <w:snapToGrid w:val="0"/>
                <w:color w:val="auto"/>
                <w:kern w:val="0"/>
                <w:sz w:val="21"/>
                <w:szCs w:val="21"/>
              </w:rPr>
              <w:t>项目固体废物利用处置方式评价表</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1568"/>
              <w:gridCol w:w="1187"/>
              <w:gridCol w:w="948"/>
              <w:gridCol w:w="1428"/>
              <w:gridCol w:w="1056"/>
              <w:gridCol w:w="1321"/>
              <w:gridCol w:w="1348"/>
            </w:tblGrid>
            <w:tr w14:paraId="3493006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85" w:type="pct"/>
                  <w:tcBorders>
                    <w:tl2br w:val="nil"/>
                    <w:tr2bl w:val="nil"/>
                  </w:tcBorders>
                  <w:vAlign w:val="center"/>
                </w:tcPr>
                <w:p w14:paraId="39D0AE55">
                  <w:pPr>
                    <w:pStyle w:val="693"/>
                    <w:rPr>
                      <w:rFonts w:eastAsia="宋体"/>
                      <w:color w:val="auto"/>
                      <w:kern w:val="0"/>
                    </w:rPr>
                  </w:pPr>
                  <w:r>
                    <w:rPr>
                      <w:rFonts w:eastAsia="宋体"/>
                      <w:color w:val="auto"/>
                      <w:kern w:val="0"/>
                    </w:rPr>
                    <w:t>固体废物名称</w:t>
                  </w:r>
                </w:p>
              </w:tc>
              <w:tc>
                <w:tcPr>
                  <w:tcW w:w="670" w:type="pct"/>
                  <w:tcBorders>
                    <w:tl2br w:val="nil"/>
                    <w:tr2bl w:val="nil"/>
                  </w:tcBorders>
                  <w:vAlign w:val="center"/>
                </w:tcPr>
                <w:p w14:paraId="736D53CE">
                  <w:pPr>
                    <w:pStyle w:val="693"/>
                    <w:rPr>
                      <w:rFonts w:eastAsia="宋体"/>
                      <w:color w:val="auto"/>
                      <w:kern w:val="0"/>
                    </w:rPr>
                  </w:pPr>
                  <w:r>
                    <w:rPr>
                      <w:rFonts w:hint="eastAsia" w:eastAsia="宋体"/>
                      <w:color w:val="auto"/>
                      <w:kern w:val="0"/>
                    </w:rPr>
                    <w:t>产生</w:t>
                  </w:r>
                  <w:r>
                    <w:rPr>
                      <w:rFonts w:eastAsia="宋体"/>
                      <w:color w:val="auto"/>
                      <w:kern w:val="0"/>
                    </w:rPr>
                    <w:t>工序</w:t>
                  </w:r>
                </w:p>
              </w:tc>
              <w:tc>
                <w:tcPr>
                  <w:tcW w:w="535" w:type="pct"/>
                  <w:tcBorders>
                    <w:tl2br w:val="nil"/>
                    <w:tr2bl w:val="nil"/>
                  </w:tcBorders>
                  <w:vAlign w:val="center"/>
                </w:tcPr>
                <w:p w14:paraId="5A3A78C0">
                  <w:pPr>
                    <w:pStyle w:val="693"/>
                    <w:rPr>
                      <w:rFonts w:eastAsia="宋体"/>
                      <w:color w:val="auto"/>
                      <w:kern w:val="0"/>
                    </w:rPr>
                  </w:pPr>
                  <w:r>
                    <w:rPr>
                      <w:rFonts w:eastAsia="宋体"/>
                      <w:color w:val="auto"/>
                      <w:kern w:val="0"/>
                    </w:rPr>
                    <w:t>固废属性</w:t>
                  </w:r>
                </w:p>
              </w:tc>
              <w:tc>
                <w:tcPr>
                  <w:tcW w:w="806" w:type="pct"/>
                  <w:tcBorders>
                    <w:tl2br w:val="nil"/>
                    <w:tr2bl w:val="nil"/>
                  </w:tcBorders>
                  <w:vAlign w:val="center"/>
                </w:tcPr>
                <w:p w14:paraId="5780744D">
                  <w:pPr>
                    <w:pStyle w:val="693"/>
                    <w:rPr>
                      <w:rFonts w:eastAsia="宋体"/>
                      <w:color w:val="auto"/>
                      <w:kern w:val="0"/>
                    </w:rPr>
                  </w:pPr>
                  <w:r>
                    <w:rPr>
                      <w:rFonts w:hint="eastAsia" w:eastAsia="宋体"/>
                      <w:color w:val="auto"/>
                      <w:kern w:val="0"/>
                    </w:rPr>
                    <w:t>废物代码</w:t>
                  </w:r>
                </w:p>
              </w:tc>
              <w:tc>
                <w:tcPr>
                  <w:tcW w:w="596" w:type="pct"/>
                  <w:tcBorders>
                    <w:tl2br w:val="nil"/>
                    <w:tr2bl w:val="nil"/>
                  </w:tcBorders>
                  <w:vAlign w:val="center"/>
                </w:tcPr>
                <w:p w14:paraId="77430375">
                  <w:pPr>
                    <w:pStyle w:val="693"/>
                    <w:rPr>
                      <w:rFonts w:eastAsia="宋体"/>
                      <w:color w:val="auto"/>
                      <w:kern w:val="0"/>
                    </w:rPr>
                  </w:pPr>
                  <w:r>
                    <w:rPr>
                      <w:rFonts w:hint="eastAsia" w:eastAsia="宋体"/>
                      <w:color w:val="auto"/>
                      <w:kern w:val="0"/>
                    </w:rPr>
                    <w:t>产生量t/a</w:t>
                  </w:r>
                </w:p>
              </w:tc>
              <w:tc>
                <w:tcPr>
                  <w:tcW w:w="745" w:type="pct"/>
                  <w:tcBorders>
                    <w:tl2br w:val="nil"/>
                    <w:tr2bl w:val="nil"/>
                  </w:tcBorders>
                  <w:vAlign w:val="center"/>
                </w:tcPr>
                <w:p w14:paraId="3352C4D3">
                  <w:pPr>
                    <w:pStyle w:val="696"/>
                    <w:rPr>
                      <w:color w:val="auto"/>
                      <w:kern w:val="0"/>
                    </w:rPr>
                  </w:pPr>
                  <w:r>
                    <w:rPr>
                      <w:b/>
                      <w:color w:val="auto"/>
                      <w:kern w:val="0"/>
                    </w:rPr>
                    <w:t>处理处置方式</w:t>
                  </w:r>
                </w:p>
              </w:tc>
              <w:tc>
                <w:tcPr>
                  <w:tcW w:w="760" w:type="pct"/>
                  <w:tcBorders>
                    <w:tl2br w:val="nil"/>
                    <w:tr2bl w:val="nil"/>
                  </w:tcBorders>
                  <w:vAlign w:val="center"/>
                </w:tcPr>
                <w:p w14:paraId="271E78BA">
                  <w:pPr>
                    <w:pStyle w:val="696"/>
                    <w:rPr>
                      <w:color w:val="auto"/>
                      <w:kern w:val="0"/>
                    </w:rPr>
                  </w:pPr>
                  <w:r>
                    <w:rPr>
                      <w:b/>
                      <w:color w:val="auto"/>
                      <w:kern w:val="0"/>
                    </w:rPr>
                    <w:t>利用处置单位</w:t>
                  </w:r>
                </w:p>
              </w:tc>
            </w:tr>
            <w:tr w14:paraId="6152D44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569" w:type="dxa"/>
                  <w:tcBorders>
                    <w:tl2br w:val="nil"/>
                    <w:tr2bl w:val="nil"/>
                  </w:tcBorders>
                  <w:vAlign w:val="center"/>
                </w:tcPr>
                <w:p w14:paraId="4096AE8C">
                  <w:pPr>
                    <w:pStyle w:val="5"/>
                    <w:adjustRightInd w:val="0"/>
                    <w:snapToGrid w:val="0"/>
                    <w:ind w:firstLine="0" w:firstLineChars="0"/>
                    <w:jc w:val="center"/>
                    <w:rPr>
                      <w:rFonts w:hint="default"/>
                      <w:bCs/>
                      <w:color w:val="auto"/>
                      <w:kern w:val="0"/>
                      <w:szCs w:val="21"/>
                      <w:lang w:val="en-US" w:eastAsia="zh-CN"/>
                    </w:rPr>
                  </w:pPr>
                  <w:r>
                    <w:rPr>
                      <w:rFonts w:hint="eastAsia"/>
                      <w:bCs/>
                      <w:color w:val="auto"/>
                      <w:kern w:val="0"/>
                      <w:szCs w:val="21"/>
                      <w:lang w:val="en-US" w:eastAsia="zh-CN"/>
                    </w:rPr>
                    <w:t>木屑</w:t>
                  </w:r>
                </w:p>
              </w:tc>
              <w:tc>
                <w:tcPr>
                  <w:tcW w:w="1188" w:type="dxa"/>
                  <w:tcBorders>
                    <w:tl2br w:val="nil"/>
                    <w:tr2bl w:val="nil"/>
                  </w:tcBorders>
                  <w:vAlign w:val="center"/>
                </w:tcPr>
                <w:p w14:paraId="6EB38E5F">
                  <w:pPr>
                    <w:widowControl/>
                    <w:adjustRightInd w:val="0"/>
                    <w:snapToGrid w:val="0"/>
                    <w:jc w:val="center"/>
                    <w:textAlignment w:val="center"/>
                    <w:rPr>
                      <w:rFonts w:hint="eastAsia" w:eastAsia="宋体"/>
                      <w:color w:val="auto"/>
                      <w:kern w:val="0"/>
                      <w:lang w:val="en-US" w:eastAsia="zh-CN"/>
                    </w:rPr>
                  </w:pPr>
                  <w:r>
                    <w:rPr>
                      <w:rFonts w:hint="eastAsia"/>
                      <w:color w:val="auto"/>
                      <w:kern w:val="0"/>
                      <w:lang w:val="en-US" w:eastAsia="zh-CN"/>
                    </w:rPr>
                    <w:t>木工</w:t>
                  </w:r>
                </w:p>
              </w:tc>
              <w:tc>
                <w:tcPr>
                  <w:tcW w:w="535" w:type="pct"/>
                  <w:vMerge w:val="restart"/>
                  <w:tcBorders>
                    <w:tl2br w:val="nil"/>
                    <w:tr2bl w:val="nil"/>
                  </w:tcBorders>
                  <w:vAlign w:val="center"/>
                </w:tcPr>
                <w:p w14:paraId="567836EC">
                  <w:pPr>
                    <w:pStyle w:val="693"/>
                    <w:rPr>
                      <w:rFonts w:eastAsia="宋体"/>
                      <w:b w:val="0"/>
                      <w:bCs/>
                      <w:color w:val="auto"/>
                      <w:kern w:val="0"/>
                    </w:rPr>
                  </w:pPr>
                  <w:r>
                    <w:rPr>
                      <w:rFonts w:hint="eastAsia" w:eastAsia="宋体"/>
                      <w:b w:val="0"/>
                      <w:bCs/>
                      <w:color w:val="auto"/>
                      <w:kern w:val="0"/>
                    </w:rPr>
                    <w:t>一般固废</w:t>
                  </w:r>
                </w:p>
              </w:tc>
              <w:tc>
                <w:tcPr>
                  <w:tcW w:w="1428" w:type="dxa"/>
                  <w:tcBorders>
                    <w:tl2br w:val="nil"/>
                    <w:tr2bl w:val="nil"/>
                  </w:tcBorders>
                  <w:vAlign w:val="center"/>
                </w:tcPr>
                <w:p w14:paraId="15CF2D9C">
                  <w:pPr>
                    <w:jc w:val="center"/>
                    <w:rPr>
                      <w:rFonts w:hint="eastAsia"/>
                      <w:color w:val="auto"/>
                      <w:kern w:val="0"/>
                    </w:rPr>
                  </w:pPr>
                  <w:r>
                    <w:rPr>
                      <w:rFonts w:hint="eastAsia"/>
                      <w:color w:val="auto"/>
                      <w:kern w:val="0"/>
                      <w:lang w:val="en-US" w:eastAsia="zh-CN"/>
                    </w:rPr>
                    <w:t>900-099-S59</w:t>
                  </w:r>
                </w:p>
              </w:tc>
              <w:tc>
                <w:tcPr>
                  <w:tcW w:w="1056" w:type="dxa"/>
                  <w:tcBorders>
                    <w:tl2br w:val="nil"/>
                    <w:tr2bl w:val="nil"/>
                  </w:tcBorders>
                  <w:vAlign w:val="center"/>
                </w:tcPr>
                <w:p w14:paraId="51E154C2">
                  <w:pPr>
                    <w:pStyle w:val="5"/>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0.65</w:t>
                  </w:r>
                </w:p>
              </w:tc>
              <w:tc>
                <w:tcPr>
                  <w:tcW w:w="745" w:type="pct"/>
                  <w:tcBorders>
                    <w:tl2br w:val="nil"/>
                    <w:tr2bl w:val="nil"/>
                  </w:tcBorders>
                  <w:vAlign w:val="center"/>
                </w:tcPr>
                <w:p w14:paraId="781561FC">
                  <w:pPr>
                    <w:keepNext w:val="0"/>
                    <w:keepLines w:val="0"/>
                    <w:pageBreakBefore w:val="0"/>
                    <w:kinsoku/>
                    <w:wordWrap/>
                    <w:overflowPunct/>
                    <w:topLinePunct w:val="0"/>
                    <w:autoSpaceDE/>
                    <w:autoSpaceDN/>
                    <w:bidi w:val="0"/>
                    <w:adjustRightInd w:val="0"/>
                    <w:snapToGrid w:val="0"/>
                    <w:jc w:val="center"/>
                    <w:textAlignment w:val="auto"/>
                    <w:rPr>
                      <w:rFonts w:hint="eastAsia"/>
                      <w:color w:val="auto"/>
                      <w:kern w:val="0"/>
                    </w:rPr>
                  </w:pPr>
                  <w:r>
                    <w:rPr>
                      <w:rFonts w:hint="eastAsia"/>
                      <w:color w:val="auto"/>
                      <w:kern w:val="0"/>
                    </w:rPr>
                    <w:t>外售处置</w:t>
                  </w:r>
                </w:p>
              </w:tc>
              <w:tc>
                <w:tcPr>
                  <w:tcW w:w="760" w:type="pct"/>
                  <w:tcBorders>
                    <w:tl2br w:val="nil"/>
                    <w:tr2bl w:val="nil"/>
                  </w:tcBorders>
                  <w:vAlign w:val="center"/>
                </w:tcPr>
                <w:p w14:paraId="6469FC62">
                  <w:pPr>
                    <w:keepNext w:val="0"/>
                    <w:keepLines w:val="0"/>
                    <w:pageBreakBefore w:val="0"/>
                    <w:kinsoku/>
                    <w:wordWrap/>
                    <w:overflowPunct/>
                    <w:topLinePunct w:val="0"/>
                    <w:autoSpaceDE/>
                    <w:autoSpaceDN/>
                    <w:bidi w:val="0"/>
                    <w:adjustRightInd w:val="0"/>
                    <w:snapToGrid w:val="0"/>
                    <w:jc w:val="center"/>
                    <w:textAlignment w:val="auto"/>
                    <w:rPr>
                      <w:rFonts w:hint="eastAsia"/>
                      <w:color w:val="auto"/>
                      <w:kern w:val="0"/>
                    </w:rPr>
                  </w:pPr>
                  <w:r>
                    <w:rPr>
                      <w:rFonts w:hint="eastAsia"/>
                      <w:color w:val="auto"/>
                      <w:kern w:val="0"/>
                      <w:lang w:val="en-US" w:eastAsia="zh-CN"/>
                    </w:rPr>
                    <w:t>物资回收公司</w:t>
                  </w:r>
                </w:p>
              </w:tc>
            </w:tr>
            <w:tr w14:paraId="73F6FBA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569" w:type="dxa"/>
                  <w:tcBorders>
                    <w:tl2br w:val="nil"/>
                    <w:tr2bl w:val="nil"/>
                  </w:tcBorders>
                  <w:vAlign w:val="center"/>
                </w:tcPr>
                <w:p w14:paraId="4ADA5B76">
                  <w:pPr>
                    <w:pStyle w:val="5"/>
                    <w:adjustRightInd w:val="0"/>
                    <w:snapToGrid w:val="0"/>
                    <w:ind w:firstLine="0" w:firstLineChars="0"/>
                    <w:jc w:val="center"/>
                    <w:rPr>
                      <w:rFonts w:hint="eastAsia" w:eastAsia="宋体"/>
                      <w:bCs/>
                      <w:color w:val="auto"/>
                      <w:kern w:val="0"/>
                      <w:szCs w:val="21"/>
                      <w:lang w:eastAsia="zh-CN"/>
                    </w:rPr>
                  </w:pPr>
                  <w:r>
                    <w:rPr>
                      <w:rFonts w:hint="eastAsia"/>
                      <w:bCs/>
                      <w:color w:val="auto"/>
                      <w:kern w:val="0"/>
                      <w:szCs w:val="21"/>
                      <w:lang w:val="en-US" w:eastAsia="zh-CN"/>
                    </w:rPr>
                    <w:t>边角料</w:t>
                  </w:r>
                </w:p>
              </w:tc>
              <w:tc>
                <w:tcPr>
                  <w:tcW w:w="1188" w:type="dxa"/>
                  <w:tcBorders>
                    <w:tl2br w:val="nil"/>
                    <w:tr2bl w:val="nil"/>
                  </w:tcBorders>
                  <w:vAlign w:val="center"/>
                </w:tcPr>
                <w:p w14:paraId="369E4032">
                  <w:pPr>
                    <w:widowControl/>
                    <w:adjustRightInd w:val="0"/>
                    <w:snapToGrid w:val="0"/>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木工</w:t>
                  </w:r>
                </w:p>
              </w:tc>
              <w:tc>
                <w:tcPr>
                  <w:tcW w:w="535" w:type="pct"/>
                  <w:vMerge w:val="continue"/>
                  <w:tcBorders>
                    <w:tl2br w:val="nil"/>
                    <w:tr2bl w:val="nil"/>
                  </w:tcBorders>
                  <w:vAlign w:val="center"/>
                </w:tcPr>
                <w:p w14:paraId="4B37DC0F">
                  <w:pPr>
                    <w:pStyle w:val="693"/>
                    <w:rPr>
                      <w:rFonts w:eastAsia="宋体"/>
                      <w:b w:val="0"/>
                      <w:bCs/>
                      <w:color w:val="auto"/>
                      <w:kern w:val="0"/>
                    </w:rPr>
                  </w:pPr>
                </w:p>
              </w:tc>
              <w:tc>
                <w:tcPr>
                  <w:tcW w:w="1428" w:type="dxa"/>
                  <w:tcBorders>
                    <w:tl2br w:val="nil"/>
                    <w:tr2bl w:val="nil"/>
                  </w:tcBorders>
                  <w:vAlign w:val="center"/>
                </w:tcPr>
                <w:p w14:paraId="6D00563E">
                  <w:pPr>
                    <w:jc w:val="center"/>
                    <w:rPr>
                      <w:color w:val="auto"/>
                      <w:kern w:val="0"/>
                    </w:rPr>
                  </w:pPr>
                  <w:r>
                    <w:rPr>
                      <w:rFonts w:hint="eastAsia"/>
                      <w:color w:val="auto"/>
                      <w:kern w:val="0"/>
                      <w:lang w:val="en-US" w:eastAsia="zh-CN"/>
                    </w:rPr>
                    <w:t>900-099-S59</w:t>
                  </w:r>
                </w:p>
              </w:tc>
              <w:tc>
                <w:tcPr>
                  <w:tcW w:w="1056" w:type="dxa"/>
                  <w:tcBorders>
                    <w:tl2br w:val="nil"/>
                    <w:tr2bl w:val="nil"/>
                  </w:tcBorders>
                  <w:vAlign w:val="center"/>
                </w:tcPr>
                <w:p w14:paraId="37948DD3">
                  <w:pPr>
                    <w:pStyle w:val="5"/>
                    <w:adjustRightInd w:val="0"/>
                    <w:snapToGrid w:val="0"/>
                    <w:ind w:firstLine="0" w:firstLineChars="0"/>
                    <w:jc w:val="center"/>
                    <w:rPr>
                      <w:rFonts w:hint="default" w:eastAsia="宋体"/>
                      <w:color w:val="auto"/>
                      <w:kern w:val="0"/>
                      <w:szCs w:val="21"/>
                      <w:lang w:val="en-US" w:eastAsia="zh-CN"/>
                    </w:rPr>
                  </w:pPr>
                  <w:r>
                    <w:rPr>
                      <w:rFonts w:hint="eastAsia"/>
                      <w:color w:val="auto"/>
                      <w:kern w:val="0"/>
                      <w:szCs w:val="21"/>
                      <w:lang w:val="en-US" w:eastAsia="zh-CN"/>
                    </w:rPr>
                    <w:t>6.55</w:t>
                  </w:r>
                </w:p>
              </w:tc>
              <w:tc>
                <w:tcPr>
                  <w:tcW w:w="745" w:type="pct"/>
                  <w:tcBorders>
                    <w:tl2br w:val="nil"/>
                    <w:tr2bl w:val="nil"/>
                  </w:tcBorders>
                  <w:vAlign w:val="center"/>
                </w:tcPr>
                <w:p w14:paraId="34E38ED9">
                  <w:pPr>
                    <w:keepNext w:val="0"/>
                    <w:keepLines w:val="0"/>
                    <w:pageBreakBefore w:val="0"/>
                    <w:kinsoku/>
                    <w:wordWrap/>
                    <w:overflowPunct/>
                    <w:topLinePunct w:val="0"/>
                    <w:autoSpaceDE/>
                    <w:autoSpaceDN/>
                    <w:bidi w:val="0"/>
                    <w:adjustRightInd w:val="0"/>
                    <w:snapToGrid w:val="0"/>
                    <w:jc w:val="center"/>
                    <w:textAlignment w:val="auto"/>
                    <w:rPr>
                      <w:color w:val="auto"/>
                      <w:kern w:val="0"/>
                    </w:rPr>
                  </w:pPr>
                  <w:r>
                    <w:rPr>
                      <w:rFonts w:hint="eastAsia"/>
                      <w:color w:val="auto"/>
                      <w:kern w:val="0"/>
                    </w:rPr>
                    <w:t>外售处置</w:t>
                  </w:r>
                </w:p>
              </w:tc>
              <w:tc>
                <w:tcPr>
                  <w:tcW w:w="760" w:type="pct"/>
                  <w:tcBorders>
                    <w:tl2br w:val="nil"/>
                    <w:tr2bl w:val="nil"/>
                  </w:tcBorders>
                  <w:vAlign w:val="center"/>
                </w:tcPr>
                <w:p w14:paraId="4D771D41">
                  <w:pPr>
                    <w:keepNext w:val="0"/>
                    <w:keepLines w:val="0"/>
                    <w:pageBreakBefore w:val="0"/>
                    <w:kinsoku/>
                    <w:wordWrap/>
                    <w:overflowPunct/>
                    <w:topLinePunct w:val="0"/>
                    <w:autoSpaceDE/>
                    <w:autoSpaceDN/>
                    <w:bidi w:val="0"/>
                    <w:adjustRightInd w:val="0"/>
                    <w:snapToGrid w:val="0"/>
                    <w:jc w:val="center"/>
                    <w:textAlignment w:val="auto"/>
                    <w:rPr>
                      <w:bCs/>
                      <w:color w:val="auto"/>
                      <w:kern w:val="0"/>
                    </w:rPr>
                  </w:pPr>
                  <w:r>
                    <w:rPr>
                      <w:rFonts w:hint="eastAsia"/>
                      <w:color w:val="auto"/>
                      <w:kern w:val="0"/>
                      <w:lang w:val="en-US" w:eastAsia="zh-CN"/>
                    </w:rPr>
                    <w:t>物资回收公司</w:t>
                  </w:r>
                </w:p>
              </w:tc>
            </w:tr>
            <w:tr w14:paraId="2AD3092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569" w:type="dxa"/>
                  <w:tcBorders>
                    <w:tl2br w:val="nil"/>
                    <w:tr2bl w:val="nil"/>
                  </w:tcBorders>
                  <w:shd w:val="clear" w:color="auto" w:fill="auto"/>
                  <w:vAlign w:val="center"/>
                </w:tcPr>
                <w:p w14:paraId="46A3600C">
                  <w:pPr>
                    <w:pStyle w:val="5"/>
                    <w:adjustRightInd w:val="0"/>
                    <w:snapToGrid w:val="0"/>
                    <w:ind w:firstLine="0" w:firstLineChars="0"/>
                    <w:jc w:val="center"/>
                    <w:rPr>
                      <w:rFonts w:hint="eastAsia" w:ascii="Times New Roman" w:hAnsi="Times New Roman" w:eastAsia="宋体" w:cs="Times New Roman"/>
                      <w:bCs/>
                      <w:snapToGrid w:val="0"/>
                      <w:color w:val="auto"/>
                      <w:kern w:val="0"/>
                      <w:sz w:val="21"/>
                      <w:szCs w:val="21"/>
                      <w:lang w:val="en-US" w:eastAsia="zh-CN" w:bidi="ar-SA"/>
                    </w:rPr>
                  </w:pPr>
                  <w:r>
                    <w:rPr>
                      <w:rFonts w:hint="eastAsia"/>
                      <w:bCs/>
                      <w:color w:val="auto"/>
                      <w:kern w:val="0"/>
                      <w:szCs w:val="21"/>
                      <w:lang w:val="en-US" w:eastAsia="zh-CN"/>
                    </w:rPr>
                    <w:t>废抹布</w:t>
                  </w:r>
                </w:p>
              </w:tc>
              <w:tc>
                <w:tcPr>
                  <w:tcW w:w="1188" w:type="dxa"/>
                  <w:tcBorders>
                    <w:tl2br w:val="nil"/>
                    <w:tr2bl w:val="nil"/>
                  </w:tcBorders>
                  <w:shd w:val="clear" w:color="auto" w:fill="auto"/>
                  <w:vAlign w:val="center"/>
                </w:tcPr>
                <w:p w14:paraId="5A25073C">
                  <w:pPr>
                    <w:widowControl/>
                    <w:adjustRightInd w:val="0"/>
                    <w:snapToGrid w:val="0"/>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清理</w:t>
                  </w:r>
                </w:p>
              </w:tc>
              <w:tc>
                <w:tcPr>
                  <w:tcW w:w="535" w:type="pct"/>
                  <w:vMerge w:val="continue"/>
                  <w:tcBorders>
                    <w:tl2br w:val="nil"/>
                    <w:tr2bl w:val="nil"/>
                  </w:tcBorders>
                  <w:shd w:val="clear" w:color="auto" w:fill="auto"/>
                  <w:vAlign w:val="center"/>
                </w:tcPr>
                <w:p w14:paraId="4BD6116A">
                  <w:pPr>
                    <w:widowControl/>
                    <w:adjustRightInd w:val="0"/>
                    <w:snapToGrid w:val="0"/>
                    <w:jc w:val="center"/>
                    <w:textAlignment w:val="center"/>
                    <w:rPr>
                      <w:rFonts w:hint="eastAsia" w:ascii="Times New Roman" w:hAnsi="Times New Roman" w:eastAsia="宋体" w:cs="Times New Roman"/>
                      <w:snapToGrid w:val="0"/>
                      <w:color w:val="auto"/>
                      <w:kern w:val="0"/>
                      <w:sz w:val="21"/>
                      <w:szCs w:val="21"/>
                      <w:lang w:val="en-US" w:eastAsia="zh-CN" w:bidi="ar-SA"/>
                    </w:rPr>
                  </w:pPr>
                </w:p>
              </w:tc>
              <w:tc>
                <w:tcPr>
                  <w:tcW w:w="1428" w:type="dxa"/>
                  <w:tcBorders>
                    <w:tl2br w:val="nil"/>
                    <w:tr2bl w:val="nil"/>
                  </w:tcBorders>
                  <w:shd w:val="clear" w:color="auto" w:fill="auto"/>
                  <w:vAlign w:val="center"/>
                </w:tcPr>
                <w:p w14:paraId="16C61494">
                  <w:pPr>
                    <w:jc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900-099-S59</w:t>
                  </w:r>
                </w:p>
              </w:tc>
              <w:tc>
                <w:tcPr>
                  <w:tcW w:w="1056" w:type="dxa"/>
                  <w:tcBorders>
                    <w:tl2br w:val="nil"/>
                    <w:tr2bl w:val="nil"/>
                  </w:tcBorders>
                  <w:shd w:val="clear" w:color="auto" w:fill="auto"/>
                  <w:vAlign w:val="center"/>
                </w:tcPr>
                <w:p w14:paraId="784D7B95">
                  <w:pPr>
                    <w:pStyle w:val="5"/>
                    <w:adjustRightInd w:val="0"/>
                    <w:snapToGrid w:val="0"/>
                    <w:ind w:firstLine="0" w:firstLineChars="0"/>
                    <w:jc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szCs w:val="21"/>
                      <w:lang w:val="en-US" w:eastAsia="zh-CN"/>
                    </w:rPr>
                    <w:t>0.6</w:t>
                  </w:r>
                </w:p>
              </w:tc>
              <w:tc>
                <w:tcPr>
                  <w:tcW w:w="745" w:type="pct"/>
                  <w:tcBorders>
                    <w:tl2br w:val="nil"/>
                    <w:tr2bl w:val="nil"/>
                  </w:tcBorders>
                  <w:shd w:val="clear" w:color="auto" w:fill="auto"/>
                  <w:vAlign w:val="center"/>
                </w:tcPr>
                <w:p w14:paraId="4EA2648C">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rPr>
                    <w:t>外售处置</w:t>
                  </w:r>
                </w:p>
              </w:tc>
              <w:tc>
                <w:tcPr>
                  <w:tcW w:w="760" w:type="pct"/>
                  <w:tcBorders>
                    <w:tl2br w:val="nil"/>
                    <w:tr2bl w:val="nil"/>
                  </w:tcBorders>
                  <w:shd w:val="clear" w:color="auto" w:fill="auto"/>
                  <w:vAlign w:val="center"/>
                </w:tcPr>
                <w:p w14:paraId="27655CD5">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snapToGrid w:val="0"/>
                      <w:color w:val="auto"/>
                      <w:kern w:val="0"/>
                      <w:sz w:val="21"/>
                      <w:szCs w:val="21"/>
                      <w:lang w:val="en-US" w:eastAsia="zh-CN" w:bidi="ar-SA"/>
                    </w:rPr>
                  </w:pPr>
                  <w:r>
                    <w:rPr>
                      <w:rFonts w:hint="eastAsia"/>
                      <w:color w:val="auto"/>
                      <w:kern w:val="0"/>
                      <w:lang w:val="en-US" w:eastAsia="zh-CN"/>
                    </w:rPr>
                    <w:t>物资回收公司</w:t>
                  </w:r>
                </w:p>
              </w:tc>
            </w:tr>
            <w:tr w14:paraId="77F044C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569" w:type="dxa"/>
                  <w:tcBorders>
                    <w:tl2br w:val="nil"/>
                    <w:tr2bl w:val="nil"/>
                  </w:tcBorders>
                  <w:shd w:val="clear" w:color="auto" w:fill="auto"/>
                  <w:vAlign w:val="center"/>
                </w:tcPr>
                <w:p w14:paraId="4A973FAD">
                  <w:pPr>
                    <w:pStyle w:val="5"/>
                    <w:adjustRightInd w:val="0"/>
                    <w:snapToGrid w:val="0"/>
                    <w:ind w:firstLine="0" w:firstLineChars="0"/>
                    <w:jc w:val="center"/>
                    <w:rPr>
                      <w:rFonts w:hint="eastAsia"/>
                      <w:bCs/>
                      <w:color w:val="auto"/>
                      <w:kern w:val="0"/>
                      <w:szCs w:val="21"/>
                      <w:lang w:val="en-US" w:eastAsia="zh-CN"/>
                    </w:rPr>
                  </w:pPr>
                  <w:r>
                    <w:rPr>
                      <w:rFonts w:hint="eastAsia"/>
                      <w:bCs/>
                      <w:color w:val="auto"/>
                      <w:kern w:val="0"/>
                      <w:szCs w:val="21"/>
                      <w:lang w:val="en-US" w:eastAsia="zh-CN"/>
                    </w:rPr>
                    <w:t>废砂纸</w:t>
                  </w:r>
                </w:p>
              </w:tc>
              <w:tc>
                <w:tcPr>
                  <w:tcW w:w="1188" w:type="dxa"/>
                  <w:tcBorders>
                    <w:tl2br w:val="nil"/>
                    <w:tr2bl w:val="nil"/>
                  </w:tcBorders>
                  <w:shd w:val="clear" w:color="auto" w:fill="auto"/>
                  <w:vAlign w:val="center"/>
                </w:tcPr>
                <w:p w14:paraId="07B4C6ED">
                  <w:pPr>
                    <w:widowControl/>
                    <w:adjustRightInd w:val="0"/>
                    <w:snapToGrid w:val="0"/>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砂磨</w:t>
                  </w:r>
                </w:p>
              </w:tc>
              <w:tc>
                <w:tcPr>
                  <w:tcW w:w="535" w:type="pct"/>
                  <w:vMerge w:val="continue"/>
                  <w:tcBorders>
                    <w:tl2br w:val="nil"/>
                    <w:tr2bl w:val="nil"/>
                  </w:tcBorders>
                  <w:shd w:val="clear" w:color="auto" w:fill="auto"/>
                  <w:vAlign w:val="center"/>
                </w:tcPr>
                <w:p w14:paraId="1D13E83E">
                  <w:pPr>
                    <w:widowControl/>
                    <w:adjustRightInd w:val="0"/>
                    <w:snapToGrid w:val="0"/>
                    <w:jc w:val="center"/>
                    <w:textAlignment w:val="center"/>
                    <w:rPr>
                      <w:rFonts w:hint="eastAsia" w:ascii="Times New Roman" w:hAnsi="Times New Roman" w:eastAsia="宋体" w:cs="Times New Roman"/>
                      <w:snapToGrid w:val="0"/>
                      <w:color w:val="auto"/>
                      <w:kern w:val="0"/>
                      <w:sz w:val="21"/>
                      <w:szCs w:val="21"/>
                      <w:lang w:val="en-US" w:eastAsia="zh-CN" w:bidi="ar-SA"/>
                    </w:rPr>
                  </w:pPr>
                </w:p>
              </w:tc>
              <w:tc>
                <w:tcPr>
                  <w:tcW w:w="1428" w:type="dxa"/>
                  <w:tcBorders>
                    <w:tl2br w:val="nil"/>
                    <w:tr2bl w:val="nil"/>
                  </w:tcBorders>
                  <w:shd w:val="clear" w:color="auto" w:fill="auto"/>
                  <w:vAlign w:val="center"/>
                </w:tcPr>
                <w:p w14:paraId="3CE1169A">
                  <w:pPr>
                    <w:jc w:val="center"/>
                    <w:rPr>
                      <w:rFonts w:hint="eastAsia"/>
                      <w:color w:val="auto"/>
                      <w:kern w:val="0"/>
                      <w:lang w:val="en-US" w:eastAsia="zh-CN"/>
                    </w:rPr>
                  </w:pPr>
                  <w:r>
                    <w:rPr>
                      <w:rFonts w:hint="eastAsia"/>
                      <w:color w:val="auto"/>
                      <w:kern w:val="0"/>
                      <w:lang w:val="en-US" w:eastAsia="zh-CN"/>
                    </w:rPr>
                    <w:t>900-099-S59</w:t>
                  </w:r>
                </w:p>
              </w:tc>
              <w:tc>
                <w:tcPr>
                  <w:tcW w:w="1056" w:type="dxa"/>
                  <w:tcBorders>
                    <w:tl2br w:val="nil"/>
                    <w:tr2bl w:val="nil"/>
                  </w:tcBorders>
                  <w:shd w:val="clear" w:color="auto" w:fill="auto"/>
                  <w:vAlign w:val="center"/>
                </w:tcPr>
                <w:p w14:paraId="7FAEF646">
                  <w:pPr>
                    <w:pStyle w:val="5"/>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2</w:t>
                  </w:r>
                </w:p>
              </w:tc>
              <w:tc>
                <w:tcPr>
                  <w:tcW w:w="1320" w:type="dxa"/>
                  <w:tcBorders>
                    <w:tl2br w:val="nil"/>
                    <w:tr2bl w:val="nil"/>
                  </w:tcBorders>
                  <w:shd w:val="clear" w:color="auto" w:fill="auto"/>
                  <w:vAlign w:val="center"/>
                </w:tcPr>
                <w:p w14:paraId="2FC1FC50">
                  <w:pPr>
                    <w:keepNext w:val="0"/>
                    <w:keepLines w:val="0"/>
                    <w:pageBreakBefore w:val="0"/>
                    <w:kinsoku/>
                    <w:wordWrap/>
                    <w:overflowPunct/>
                    <w:topLinePunct w:val="0"/>
                    <w:autoSpaceDE/>
                    <w:autoSpaceDN/>
                    <w:bidi w:val="0"/>
                    <w:adjustRightInd w:val="0"/>
                    <w:snapToGrid w:val="0"/>
                    <w:jc w:val="center"/>
                    <w:textAlignment w:val="auto"/>
                    <w:rPr>
                      <w:rFonts w:hint="eastAsia"/>
                      <w:color w:val="auto"/>
                      <w:kern w:val="0"/>
                    </w:rPr>
                  </w:pPr>
                  <w:r>
                    <w:rPr>
                      <w:rFonts w:hint="eastAsia"/>
                      <w:color w:val="auto"/>
                      <w:kern w:val="0"/>
                    </w:rPr>
                    <w:t>外售处置</w:t>
                  </w:r>
                </w:p>
              </w:tc>
              <w:tc>
                <w:tcPr>
                  <w:tcW w:w="1347" w:type="dxa"/>
                  <w:tcBorders>
                    <w:tl2br w:val="nil"/>
                    <w:tr2bl w:val="nil"/>
                  </w:tcBorders>
                  <w:shd w:val="clear" w:color="auto" w:fill="auto"/>
                  <w:vAlign w:val="center"/>
                </w:tcPr>
                <w:p w14:paraId="0627AF72">
                  <w:pPr>
                    <w:keepNext w:val="0"/>
                    <w:keepLines w:val="0"/>
                    <w:pageBreakBefore w:val="0"/>
                    <w:kinsoku/>
                    <w:wordWrap/>
                    <w:overflowPunct/>
                    <w:topLinePunct w:val="0"/>
                    <w:autoSpaceDE/>
                    <w:autoSpaceDN/>
                    <w:bidi w:val="0"/>
                    <w:adjustRightInd w:val="0"/>
                    <w:snapToGrid w:val="0"/>
                    <w:jc w:val="center"/>
                    <w:textAlignment w:val="auto"/>
                    <w:rPr>
                      <w:rFonts w:hint="eastAsia"/>
                      <w:color w:val="auto"/>
                      <w:kern w:val="0"/>
                      <w:lang w:val="en-US" w:eastAsia="zh-CN"/>
                    </w:rPr>
                  </w:pPr>
                  <w:r>
                    <w:rPr>
                      <w:rFonts w:hint="eastAsia"/>
                      <w:color w:val="auto"/>
                      <w:kern w:val="0"/>
                      <w:lang w:val="en-US" w:eastAsia="zh-CN"/>
                    </w:rPr>
                    <w:t>物资回收公司</w:t>
                  </w:r>
                </w:p>
              </w:tc>
            </w:tr>
            <w:tr w14:paraId="09DB545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569" w:type="dxa"/>
                  <w:tcBorders>
                    <w:tl2br w:val="nil"/>
                    <w:tr2bl w:val="nil"/>
                  </w:tcBorders>
                  <w:shd w:val="clear" w:color="auto" w:fill="auto"/>
                  <w:vAlign w:val="center"/>
                </w:tcPr>
                <w:p w14:paraId="043311A5">
                  <w:pPr>
                    <w:pStyle w:val="5"/>
                    <w:adjustRightInd w:val="0"/>
                    <w:snapToGrid w:val="0"/>
                    <w:ind w:firstLine="0" w:firstLineChars="0"/>
                    <w:jc w:val="center"/>
                    <w:rPr>
                      <w:rFonts w:hint="eastAsia"/>
                      <w:bCs/>
                      <w:color w:val="auto"/>
                      <w:kern w:val="0"/>
                      <w:szCs w:val="21"/>
                      <w:lang w:val="en-US" w:eastAsia="zh-CN"/>
                    </w:rPr>
                  </w:pPr>
                  <w:r>
                    <w:rPr>
                      <w:rFonts w:hint="eastAsia"/>
                      <w:bCs/>
                      <w:color w:val="auto"/>
                      <w:kern w:val="0"/>
                      <w:szCs w:val="21"/>
                      <w:lang w:val="en-US" w:eastAsia="zh-CN"/>
                    </w:rPr>
                    <w:t>收集尘</w:t>
                  </w:r>
                </w:p>
              </w:tc>
              <w:tc>
                <w:tcPr>
                  <w:tcW w:w="1188" w:type="dxa"/>
                  <w:tcBorders>
                    <w:tl2br w:val="nil"/>
                    <w:tr2bl w:val="nil"/>
                  </w:tcBorders>
                  <w:shd w:val="clear" w:color="auto" w:fill="auto"/>
                  <w:vAlign w:val="center"/>
                </w:tcPr>
                <w:p w14:paraId="40D512D3">
                  <w:pPr>
                    <w:widowControl/>
                    <w:adjustRightInd w:val="0"/>
                    <w:snapToGrid w:val="0"/>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废气治理</w:t>
                  </w:r>
                </w:p>
              </w:tc>
              <w:tc>
                <w:tcPr>
                  <w:tcW w:w="535" w:type="pct"/>
                  <w:vMerge w:val="continue"/>
                  <w:tcBorders>
                    <w:tl2br w:val="nil"/>
                    <w:tr2bl w:val="nil"/>
                  </w:tcBorders>
                  <w:shd w:val="clear" w:color="auto" w:fill="auto"/>
                  <w:vAlign w:val="center"/>
                </w:tcPr>
                <w:p w14:paraId="31FC9D1A">
                  <w:pPr>
                    <w:widowControl/>
                    <w:adjustRightInd w:val="0"/>
                    <w:snapToGrid w:val="0"/>
                    <w:jc w:val="center"/>
                    <w:textAlignment w:val="center"/>
                    <w:rPr>
                      <w:rFonts w:hint="eastAsia" w:ascii="Times New Roman" w:hAnsi="Times New Roman" w:eastAsia="宋体" w:cs="Times New Roman"/>
                      <w:snapToGrid w:val="0"/>
                      <w:color w:val="auto"/>
                      <w:kern w:val="0"/>
                      <w:sz w:val="21"/>
                      <w:szCs w:val="21"/>
                      <w:lang w:val="en-US" w:eastAsia="zh-CN" w:bidi="ar-SA"/>
                    </w:rPr>
                  </w:pPr>
                </w:p>
              </w:tc>
              <w:tc>
                <w:tcPr>
                  <w:tcW w:w="1428" w:type="dxa"/>
                  <w:tcBorders>
                    <w:tl2br w:val="nil"/>
                    <w:tr2bl w:val="nil"/>
                  </w:tcBorders>
                  <w:shd w:val="clear" w:color="auto" w:fill="auto"/>
                  <w:vAlign w:val="center"/>
                </w:tcPr>
                <w:p w14:paraId="197942BE">
                  <w:pPr>
                    <w:jc w:val="center"/>
                    <w:rPr>
                      <w:rFonts w:hint="eastAsia"/>
                      <w:color w:val="auto"/>
                      <w:kern w:val="0"/>
                      <w:lang w:val="en-US" w:eastAsia="zh-CN"/>
                    </w:rPr>
                  </w:pPr>
                  <w:r>
                    <w:rPr>
                      <w:rFonts w:hint="eastAsia"/>
                      <w:color w:val="auto"/>
                      <w:kern w:val="0"/>
                      <w:lang w:val="en-US" w:eastAsia="zh-CN"/>
                    </w:rPr>
                    <w:t>900-099-S59</w:t>
                  </w:r>
                </w:p>
              </w:tc>
              <w:tc>
                <w:tcPr>
                  <w:tcW w:w="1056" w:type="dxa"/>
                  <w:tcBorders>
                    <w:tl2br w:val="nil"/>
                    <w:tr2bl w:val="nil"/>
                  </w:tcBorders>
                  <w:shd w:val="clear" w:color="auto" w:fill="auto"/>
                  <w:vAlign w:val="center"/>
                </w:tcPr>
                <w:p w14:paraId="7B63B66C">
                  <w:pPr>
                    <w:pStyle w:val="5"/>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0.168</w:t>
                  </w:r>
                </w:p>
              </w:tc>
              <w:tc>
                <w:tcPr>
                  <w:tcW w:w="1320" w:type="dxa"/>
                  <w:tcBorders>
                    <w:tl2br w:val="nil"/>
                    <w:tr2bl w:val="nil"/>
                  </w:tcBorders>
                  <w:shd w:val="clear" w:color="auto" w:fill="auto"/>
                  <w:vAlign w:val="center"/>
                </w:tcPr>
                <w:p w14:paraId="2624A10E">
                  <w:pPr>
                    <w:keepNext w:val="0"/>
                    <w:keepLines w:val="0"/>
                    <w:pageBreakBefore w:val="0"/>
                    <w:kinsoku/>
                    <w:wordWrap/>
                    <w:overflowPunct/>
                    <w:topLinePunct w:val="0"/>
                    <w:autoSpaceDE/>
                    <w:autoSpaceDN/>
                    <w:bidi w:val="0"/>
                    <w:adjustRightInd w:val="0"/>
                    <w:snapToGrid w:val="0"/>
                    <w:jc w:val="center"/>
                    <w:textAlignment w:val="auto"/>
                    <w:rPr>
                      <w:rFonts w:hint="eastAsia"/>
                      <w:color w:val="auto"/>
                      <w:kern w:val="0"/>
                    </w:rPr>
                  </w:pPr>
                  <w:r>
                    <w:rPr>
                      <w:rFonts w:hint="eastAsia"/>
                      <w:color w:val="auto"/>
                      <w:kern w:val="0"/>
                    </w:rPr>
                    <w:t>外售处置</w:t>
                  </w:r>
                </w:p>
              </w:tc>
              <w:tc>
                <w:tcPr>
                  <w:tcW w:w="1347" w:type="dxa"/>
                  <w:tcBorders>
                    <w:tl2br w:val="nil"/>
                    <w:tr2bl w:val="nil"/>
                  </w:tcBorders>
                  <w:shd w:val="clear" w:color="auto" w:fill="auto"/>
                  <w:vAlign w:val="center"/>
                </w:tcPr>
                <w:p w14:paraId="3E4411D9">
                  <w:pPr>
                    <w:keepNext w:val="0"/>
                    <w:keepLines w:val="0"/>
                    <w:pageBreakBefore w:val="0"/>
                    <w:kinsoku/>
                    <w:wordWrap/>
                    <w:overflowPunct/>
                    <w:topLinePunct w:val="0"/>
                    <w:autoSpaceDE/>
                    <w:autoSpaceDN/>
                    <w:bidi w:val="0"/>
                    <w:adjustRightInd w:val="0"/>
                    <w:snapToGrid w:val="0"/>
                    <w:jc w:val="center"/>
                    <w:textAlignment w:val="auto"/>
                    <w:rPr>
                      <w:rFonts w:hint="eastAsia"/>
                      <w:color w:val="auto"/>
                      <w:kern w:val="0"/>
                      <w:lang w:val="en-US" w:eastAsia="zh-CN"/>
                    </w:rPr>
                  </w:pPr>
                  <w:r>
                    <w:rPr>
                      <w:rFonts w:hint="eastAsia"/>
                      <w:color w:val="auto"/>
                      <w:kern w:val="0"/>
                      <w:lang w:val="en-US" w:eastAsia="zh-CN"/>
                    </w:rPr>
                    <w:t>物资回收公司</w:t>
                  </w:r>
                </w:p>
              </w:tc>
            </w:tr>
            <w:tr w14:paraId="19A29AE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569" w:type="dxa"/>
                  <w:tcBorders>
                    <w:tl2br w:val="nil"/>
                    <w:tr2bl w:val="nil"/>
                  </w:tcBorders>
                  <w:shd w:val="clear" w:color="auto" w:fill="auto"/>
                  <w:vAlign w:val="center"/>
                </w:tcPr>
                <w:p w14:paraId="4B84FC25">
                  <w:pPr>
                    <w:pStyle w:val="5"/>
                    <w:adjustRightInd w:val="0"/>
                    <w:snapToGrid w:val="0"/>
                    <w:ind w:firstLine="0" w:firstLineChars="0"/>
                    <w:jc w:val="center"/>
                    <w:rPr>
                      <w:rFonts w:hint="eastAsia"/>
                      <w:bCs/>
                      <w:color w:val="auto"/>
                      <w:kern w:val="0"/>
                      <w:szCs w:val="21"/>
                      <w:lang w:val="en-US" w:eastAsia="zh-CN"/>
                    </w:rPr>
                  </w:pPr>
                  <w:r>
                    <w:rPr>
                      <w:rFonts w:hint="eastAsia"/>
                      <w:bCs/>
                      <w:color w:val="auto"/>
                      <w:kern w:val="0"/>
                      <w:szCs w:val="21"/>
                      <w:lang w:val="en-US" w:eastAsia="zh-CN"/>
                    </w:rPr>
                    <w:t>废布袋</w:t>
                  </w:r>
                </w:p>
              </w:tc>
              <w:tc>
                <w:tcPr>
                  <w:tcW w:w="1188" w:type="dxa"/>
                  <w:tcBorders>
                    <w:tl2br w:val="nil"/>
                    <w:tr2bl w:val="nil"/>
                  </w:tcBorders>
                  <w:shd w:val="clear" w:color="auto" w:fill="auto"/>
                  <w:vAlign w:val="center"/>
                </w:tcPr>
                <w:p w14:paraId="03CFCE58">
                  <w:pPr>
                    <w:widowControl/>
                    <w:adjustRightInd w:val="0"/>
                    <w:snapToGrid w:val="0"/>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废气治理</w:t>
                  </w:r>
                </w:p>
              </w:tc>
              <w:tc>
                <w:tcPr>
                  <w:tcW w:w="535" w:type="pct"/>
                  <w:vMerge w:val="continue"/>
                  <w:tcBorders>
                    <w:tl2br w:val="nil"/>
                    <w:tr2bl w:val="nil"/>
                  </w:tcBorders>
                  <w:shd w:val="clear" w:color="auto" w:fill="auto"/>
                  <w:vAlign w:val="center"/>
                </w:tcPr>
                <w:p w14:paraId="4BB4B373">
                  <w:pPr>
                    <w:widowControl/>
                    <w:adjustRightInd w:val="0"/>
                    <w:snapToGrid w:val="0"/>
                    <w:jc w:val="center"/>
                    <w:textAlignment w:val="center"/>
                    <w:rPr>
                      <w:rFonts w:hint="eastAsia" w:ascii="Times New Roman" w:hAnsi="Times New Roman" w:eastAsia="宋体" w:cs="Times New Roman"/>
                      <w:snapToGrid w:val="0"/>
                      <w:color w:val="auto"/>
                      <w:kern w:val="0"/>
                      <w:sz w:val="21"/>
                      <w:szCs w:val="21"/>
                      <w:lang w:val="en-US" w:eastAsia="zh-CN" w:bidi="ar-SA"/>
                    </w:rPr>
                  </w:pPr>
                </w:p>
              </w:tc>
              <w:tc>
                <w:tcPr>
                  <w:tcW w:w="1428" w:type="dxa"/>
                  <w:tcBorders>
                    <w:tl2br w:val="nil"/>
                    <w:tr2bl w:val="nil"/>
                  </w:tcBorders>
                  <w:shd w:val="clear" w:color="auto" w:fill="auto"/>
                  <w:vAlign w:val="center"/>
                </w:tcPr>
                <w:p w14:paraId="290751A2">
                  <w:pPr>
                    <w:jc w:val="center"/>
                    <w:rPr>
                      <w:rFonts w:hint="eastAsia"/>
                      <w:color w:val="auto"/>
                      <w:kern w:val="0"/>
                      <w:lang w:val="en-US" w:eastAsia="zh-CN"/>
                    </w:rPr>
                  </w:pPr>
                  <w:r>
                    <w:rPr>
                      <w:rFonts w:hint="eastAsia"/>
                      <w:color w:val="auto"/>
                      <w:kern w:val="0"/>
                      <w:lang w:val="en-US" w:eastAsia="zh-CN"/>
                    </w:rPr>
                    <w:t>900-009-S59</w:t>
                  </w:r>
                </w:p>
              </w:tc>
              <w:tc>
                <w:tcPr>
                  <w:tcW w:w="1056" w:type="dxa"/>
                  <w:tcBorders>
                    <w:tl2br w:val="nil"/>
                    <w:tr2bl w:val="nil"/>
                  </w:tcBorders>
                  <w:shd w:val="clear" w:color="auto" w:fill="auto"/>
                  <w:vAlign w:val="center"/>
                </w:tcPr>
                <w:p w14:paraId="7EB38FE5">
                  <w:pPr>
                    <w:pStyle w:val="5"/>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0.1</w:t>
                  </w:r>
                </w:p>
              </w:tc>
              <w:tc>
                <w:tcPr>
                  <w:tcW w:w="1320" w:type="dxa"/>
                  <w:tcBorders>
                    <w:tl2br w:val="nil"/>
                    <w:tr2bl w:val="nil"/>
                  </w:tcBorders>
                  <w:shd w:val="clear" w:color="auto" w:fill="auto"/>
                  <w:vAlign w:val="center"/>
                </w:tcPr>
                <w:p w14:paraId="59F91410">
                  <w:pPr>
                    <w:keepNext w:val="0"/>
                    <w:keepLines w:val="0"/>
                    <w:pageBreakBefore w:val="0"/>
                    <w:kinsoku/>
                    <w:wordWrap/>
                    <w:overflowPunct/>
                    <w:topLinePunct w:val="0"/>
                    <w:autoSpaceDE/>
                    <w:autoSpaceDN/>
                    <w:bidi w:val="0"/>
                    <w:adjustRightInd w:val="0"/>
                    <w:snapToGrid w:val="0"/>
                    <w:jc w:val="center"/>
                    <w:textAlignment w:val="auto"/>
                    <w:rPr>
                      <w:rFonts w:hint="eastAsia"/>
                      <w:color w:val="auto"/>
                      <w:kern w:val="0"/>
                    </w:rPr>
                  </w:pPr>
                  <w:r>
                    <w:rPr>
                      <w:rFonts w:hint="eastAsia"/>
                      <w:color w:val="auto"/>
                      <w:kern w:val="0"/>
                    </w:rPr>
                    <w:t>外售处置</w:t>
                  </w:r>
                </w:p>
              </w:tc>
              <w:tc>
                <w:tcPr>
                  <w:tcW w:w="1347" w:type="dxa"/>
                  <w:tcBorders>
                    <w:tl2br w:val="nil"/>
                    <w:tr2bl w:val="nil"/>
                  </w:tcBorders>
                  <w:shd w:val="clear" w:color="auto" w:fill="auto"/>
                  <w:vAlign w:val="center"/>
                </w:tcPr>
                <w:p w14:paraId="219C9B19">
                  <w:pPr>
                    <w:keepNext w:val="0"/>
                    <w:keepLines w:val="0"/>
                    <w:pageBreakBefore w:val="0"/>
                    <w:kinsoku/>
                    <w:wordWrap/>
                    <w:overflowPunct/>
                    <w:topLinePunct w:val="0"/>
                    <w:autoSpaceDE/>
                    <w:autoSpaceDN/>
                    <w:bidi w:val="0"/>
                    <w:adjustRightInd w:val="0"/>
                    <w:snapToGrid w:val="0"/>
                    <w:jc w:val="center"/>
                    <w:textAlignment w:val="auto"/>
                    <w:rPr>
                      <w:rFonts w:hint="eastAsia"/>
                      <w:color w:val="auto"/>
                      <w:kern w:val="0"/>
                      <w:lang w:val="en-US" w:eastAsia="zh-CN"/>
                    </w:rPr>
                  </w:pPr>
                  <w:r>
                    <w:rPr>
                      <w:rFonts w:hint="eastAsia"/>
                      <w:color w:val="auto"/>
                      <w:kern w:val="0"/>
                      <w:lang w:val="en-US" w:eastAsia="zh-CN"/>
                    </w:rPr>
                    <w:t>物资回收公司</w:t>
                  </w:r>
                </w:p>
              </w:tc>
            </w:tr>
            <w:tr w14:paraId="1633A28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569" w:type="dxa"/>
                  <w:tcBorders>
                    <w:tl2br w:val="nil"/>
                    <w:tr2bl w:val="nil"/>
                  </w:tcBorders>
                  <w:shd w:val="clear" w:color="auto" w:fill="auto"/>
                  <w:vAlign w:val="center"/>
                </w:tcPr>
                <w:p w14:paraId="4B9C3A83">
                  <w:pPr>
                    <w:pStyle w:val="5"/>
                    <w:adjustRightInd w:val="0"/>
                    <w:snapToGrid w:val="0"/>
                    <w:ind w:firstLine="0" w:firstLineChars="0"/>
                    <w:jc w:val="center"/>
                    <w:rPr>
                      <w:rFonts w:hint="eastAsia"/>
                      <w:bCs/>
                      <w:color w:val="auto"/>
                      <w:kern w:val="0"/>
                      <w:szCs w:val="21"/>
                      <w:lang w:val="en-US" w:eastAsia="zh-CN"/>
                    </w:rPr>
                  </w:pPr>
                  <w:r>
                    <w:rPr>
                      <w:rFonts w:hint="eastAsia"/>
                      <w:bCs/>
                      <w:color w:val="auto"/>
                      <w:kern w:val="0"/>
                      <w:szCs w:val="21"/>
                      <w:lang w:val="en-US" w:eastAsia="zh-CN"/>
                    </w:rPr>
                    <w:t>擦色废物</w:t>
                  </w:r>
                </w:p>
              </w:tc>
              <w:tc>
                <w:tcPr>
                  <w:tcW w:w="1188" w:type="dxa"/>
                  <w:tcBorders>
                    <w:tl2br w:val="nil"/>
                    <w:tr2bl w:val="nil"/>
                  </w:tcBorders>
                  <w:shd w:val="clear" w:color="auto" w:fill="auto"/>
                  <w:vAlign w:val="center"/>
                </w:tcPr>
                <w:p w14:paraId="515D454C">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rPr>
                    <w:t>擦色</w:t>
                  </w:r>
                </w:p>
              </w:tc>
              <w:tc>
                <w:tcPr>
                  <w:tcW w:w="535" w:type="pct"/>
                  <w:vMerge w:val="restart"/>
                  <w:tcBorders>
                    <w:tl2br w:val="nil"/>
                    <w:tr2bl w:val="nil"/>
                  </w:tcBorders>
                  <w:shd w:val="clear" w:color="auto" w:fill="auto"/>
                  <w:vAlign w:val="center"/>
                </w:tcPr>
                <w:p w14:paraId="270C8135">
                  <w:pPr>
                    <w:pStyle w:val="693"/>
                    <w:rPr>
                      <w:rFonts w:hint="eastAsia" w:eastAsia="宋体"/>
                      <w:b w:val="0"/>
                      <w:bCs/>
                      <w:color w:val="auto"/>
                      <w:kern w:val="0"/>
                      <w:lang w:val="en-US" w:eastAsia="zh-CN"/>
                    </w:rPr>
                  </w:pPr>
                  <w:r>
                    <w:rPr>
                      <w:rFonts w:hint="eastAsia" w:eastAsia="宋体"/>
                      <w:b w:val="0"/>
                      <w:bCs/>
                      <w:color w:val="auto"/>
                      <w:kern w:val="0"/>
                      <w:lang w:val="en-US" w:eastAsia="zh-CN"/>
                    </w:rPr>
                    <w:t>危险废物</w:t>
                  </w:r>
                </w:p>
              </w:tc>
              <w:tc>
                <w:tcPr>
                  <w:tcW w:w="1428" w:type="dxa"/>
                  <w:tcBorders>
                    <w:tl2br w:val="nil"/>
                    <w:tr2bl w:val="nil"/>
                  </w:tcBorders>
                  <w:shd w:val="clear" w:color="auto" w:fill="auto"/>
                  <w:vAlign w:val="center"/>
                </w:tcPr>
                <w:p w14:paraId="225FCBD4">
                  <w:pPr>
                    <w:contextualSpacing/>
                    <w:jc w:val="center"/>
                    <w:rPr>
                      <w:rFonts w:hint="eastAsia"/>
                      <w:color w:val="auto"/>
                      <w:kern w:val="0"/>
                      <w:lang w:val="en-US" w:eastAsia="zh-CN"/>
                    </w:rPr>
                  </w:pPr>
                  <w:r>
                    <w:rPr>
                      <w:rFonts w:hint="eastAsia"/>
                      <w:color w:val="auto"/>
                      <w:kern w:val="0"/>
                      <w:lang w:val="en-US" w:eastAsia="zh-CN"/>
                    </w:rPr>
                    <w:t>900-252-12</w:t>
                  </w:r>
                </w:p>
              </w:tc>
              <w:tc>
                <w:tcPr>
                  <w:tcW w:w="1056" w:type="dxa"/>
                  <w:tcBorders>
                    <w:tl2br w:val="nil"/>
                    <w:tr2bl w:val="nil"/>
                  </w:tcBorders>
                  <w:shd w:val="clear" w:color="auto" w:fill="auto"/>
                  <w:vAlign w:val="center"/>
                </w:tcPr>
                <w:p w14:paraId="22EB41D3">
                  <w:pPr>
                    <w:pStyle w:val="5"/>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0.3</w:t>
                  </w:r>
                </w:p>
              </w:tc>
              <w:tc>
                <w:tcPr>
                  <w:tcW w:w="745" w:type="pct"/>
                  <w:tcBorders>
                    <w:tl2br w:val="nil"/>
                    <w:tr2bl w:val="nil"/>
                  </w:tcBorders>
                  <w:shd w:val="clear" w:color="auto" w:fill="auto"/>
                  <w:vAlign w:val="center"/>
                </w:tcPr>
                <w:p w14:paraId="6FE334BF">
                  <w:pPr>
                    <w:keepNext w:val="0"/>
                    <w:keepLines w:val="0"/>
                    <w:pageBreakBefore w:val="0"/>
                    <w:kinsoku/>
                    <w:wordWrap/>
                    <w:overflowPunct/>
                    <w:topLinePunct w:val="0"/>
                    <w:autoSpaceDE/>
                    <w:autoSpaceDN/>
                    <w:bidi w:val="0"/>
                    <w:adjustRightInd w:val="0"/>
                    <w:snapToGrid w:val="0"/>
                    <w:jc w:val="center"/>
                    <w:textAlignment w:val="auto"/>
                    <w:rPr>
                      <w:rFonts w:hint="eastAsia"/>
                      <w:color w:val="auto"/>
                      <w:kern w:val="0"/>
                    </w:rPr>
                  </w:pPr>
                  <w:r>
                    <w:rPr>
                      <w:rFonts w:hint="eastAsia"/>
                      <w:color w:val="auto"/>
                      <w:kern w:val="0"/>
                      <w:lang w:val="en-US" w:eastAsia="zh-CN"/>
                    </w:rPr>
                    <w:t>有资质的危废处置单位</w:t>
                  </w:r>
                </w:p>
              </w:tc>
              <w:tc>
                <w:tcPr>
                  <w:tcW w:w="760" w:type="pct"/>
                  <w:tcBorders>
                    <w:tl2br w:val="nil"/>
                    <w:tr2bl w:val="nil"/>
                  </w:tcBorders>
                  <w:shd w:val="clear" w:color="auto" w:fill="auto"/>
                  <w:vAlign w:val="center"/>
                </w:tcPr>
                <w:p w14:paraId="4831E7C8">
                  <w:pPr>
                    <w:keepNext w:val="0"/>
                    <w:keepLines w:val="0"/>
                    <w:pageBreakBefore w:val="0"/>
                    <w:kinsoku/>
                    <w:wordWrap/>
                    <w:overflowPunct/>
                    <w:topLinePunct w:val="0"/>
                    <w:autoSpaceDE/>
                    <w:autoSpaceDN/>
                    <w:bidi w:val="0"/>
                    <w:adjustRightInd w:val="0"/>
                    <w:snapToGrid w:val="0"/>
                    <w:jc w:val="center"/>
                    <w:textAlignment w:val="auto"/>
                    <w:rPr>
                      <w:rFonts w:hint="eastAsia"/>
                      <w:color w:val="auto"/>
                      <w:kern w:val="0"/>
                    </w:rPr>
                  </w:pPr>
                  <w:r>
                    <w:rPr>
                      <w:rFonts w:hint="eastAsia"/>
                      <w:color w:val="auto"/>
                      <w:kern w:val="0"/>
                      <w:lang w:val="en-US" w:eastAsia="zh-CN"/>
                    </w:rPr>
                    <w:t>有资质的危废处置单位</w:t>
                  </w:r>
                </w:p>
              </w:tc>
            </w:tr>
            <w:tr w14:paraId="5B47D3B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569" w:type="dxa"/>
                  <w:tcBorders>
                    <w:tl2br w:val="nil"/>
                    <w:tr2bl w:val="nil"/>
                  </w:tcBorders>
                  <w:shd w:val="clear" w:color="auto" w:fill="auto"/>
                  <w:vAlign w:val="center"/>
                </w:tcPr>
                <w:p w14:paraId="5143E58C">
                  <w:pPr>
                    <w:pStyle w:val="5"/>
                    <w:adjustRightInd w:val="0"/>
                    <w:snapToGrid w:val="0"/>
                    <w:ind w:firstLine="0" w:firstLineChars="0"/>
                    <w:jc w:val="center"/>
                    <w:rPr>
                      <w:rFonts w:hint="eastAsia"/>
                      <w:bCs/>
                      <w:color w:val="auto"/>
                      <w:kern w:val="0"/>
                      <w:szCs w:val="21"/>
                      <w:lang w:val="en-US" w:eastAsia="zh-CN"/>
                    </w:rPr>
                  </w:pPr>
                  <w:r>
                    <w:rPr>
                      <w:rFonts w:hint="eastAsia"/>
                      <w:bCs/>
                      <w:color w:val="auto"/>
                      <w:kern w:val="0"/>
                      <w:szCs w:val="21"/>
                      <w:lang w:val="en-US" w:eastAsia="zh-CN"/>
                    </w:rPr>
                    <w:t>含漆废物</w:t>
                  </w:r>
                </w:p>
              </w:tc>
              <w:tc>
                <w:tcPr>
                  <w:tcW w:w="1188" w:type="dxa"/>
                  <w:tcBorders>
                    <w:tl2br w:val="nil"/>
                    <w:tr2bl w:val="nil"/>
                  </w:tcBorders>
                  <w:shd w:val="clear" w:color="auto" w:fill="auto"/>
                  <w:vAlign w:val="center"/>
                </w:tcPr>
                <w:p w14:paraId="483F3354">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rPr>
                    <w:t>刷漆/喷漆</w:t>
                  </w:r>
                </w:p>
              </w:tc>
              <w:tc>
                <w:tcPr>
                  <w:tcW w:w="535" w:type="pct"/>
                  <w:vMerge w:val="continue"/>
                  <w:tcBorders>
                    <w:tl2br w:val="nil"/>
                    <w:tr2bl w:val="nil"/>
                  </w:tcBorders>
                  <w:shd w:val="clear" w:color="auto" w:fill="auto"/>
                  <w:vAlign w:val="center"/>
                </w:tcPr>
                <w:p w14:paraId="6D4B452D">
                  <w:pPr>
                    <w:widowControl/>
                    <w:adjustRightInd w:val="0"/>
                    <w:snapToGrid w:val="0"/>
                    <w:jc w:val="center"/>
                    <w:textAlignment w:val="center"/>
                    <w:rPr>
                      <w:rFonts w:hint="eastAsia" w:ascii="Times New Roman" w:hAnsi="Times New Roman" w:eastAsia="宋体" w:cs="Times New Roman"/>
                      <w:snapToGrid w:val="0"/>
                      <w:color w:val="auto"/>
                      <w:kern w:val="0"/>
                      <w:sz w:val="21"/>
                      <w:szCs w:val="21"/>
                      <w:lang w:val="en-US" w:eastAsia="zh-CN" w:bidi="ar-SA"/>
                    </w:rPr>
                  </w:pPr>
                </w:p>
              </w:tc>
              <w:tc>
                <w:tcPr>
                  <w:tcW w:w="1428" w:type="dxa"/>
                  <w:tcBorders>
                    <w:tl2br w:val="nil"/>
                    <w:tr2bl w:val="nil"/>
                  </w:tcBorders>
                  <w:shd w:val="clear" w:color="auto" w:fill="auto"/>
                  <w:vAlign w:val="center"/>
                </w:tcPr>
                <w:p w14:paraId="7FF735DF">
                  <w:pPr>
                    <w:contextualSpacing/>
                    <w:jc w:val="center"/>
                    <w:rPr>
                      <w:rFonts w:hint="eastAsia"/>
                      <w:color w:val="auto"/>
                      <w:kern w:val="0"/>
                      <w:lang w:val="en-US" w:eastAsia="zh-CN"/>
                    </w:rPr>
                  </w:pPr>
                  <w:r>
                    <w:rPr>
                      <w:rFonts w:hint="eastAsia"/>
                      <w:color w:val="auto"/>
                      <w:kern w:val="0"/>
                      <w:lang w:val="en-US" w:eastAsia="zh-CN"/>
                    </w:rPr>
                    <w:t>900-252-12</w:t>
                  </w:r>
                </w:p>
              </w:tc>
              <w:tc>
                <w:tcPr>
                  <w:tcW w:w="1056" w:type="dxa"/>
                  <w:tcBorders>
                    <w:tl2br w:val="nil"/>
                    <w:tr2bl w:val="nil"/>
                  </w:tcBorders>
                  <w:shd w:val="clear" w:color="auto" w:fill="auto"/>
                  <w:vAlign w:val="center"/>
                </w:tcPr>
                <w:p w14:paraId="16382DA4">
                  <w:pPr>
                    <w:pStyle w:val="5"/>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0.5</w:t>
                  </w:r>
                </w:p>
              </w:tc>
              <w:tc>
                <w:tcPr>
                  <w:tcW w:w="745" w:type="pct"/>
                  <w:tcBorders>
                    <w:tl2br w:val="nil"/>
                    <w:tr2bl w:val="nil"/>
                  </w:tcBorders>
                  <w:shd w:val="clear" w:color="auto" w:fill="auto"/>
                  <w:vAlign w:val="center"/>
                </w:tcPr>
                <w:p w14:paraId="75CAD162">
                  <w:pPr>
                    <w:keepNext w:val="0"/>
                    <w:keepLines w:val="0"/>
                    <w:pageBreakBefore w:val="0"/>
                    <w:kinsoku/>
                    <w:wordWrap/>
                    <w:overflowPunct/>
                    <w:topLinePunct w:val="0"/>
                    <w:autoSpaceDE/>
                    <w:autoSpaceDN/>
                    <w:bidi w:val="0"/>
                    <w:adjustRightInd w:val="0"/>
                    <w:snapToGrid w:val="0"/>
                    <w:jc w:val="center"/>
                    <w:textAlignment w:val="auto"/>
                    <w:rPr>
                      <w:rFonts w:hint="eastAsia"/>
                      <w:color w:val="auto"/>
                      <w:kern w:val="0"/>
                    </w:rPr>
                  </w:pPr>
                  <w:r>
                    <w:rPr>
                      <w:rFonts w:hint="eastAsia"/>
                      <w:color w:val="auto"/>
                      <w:kern w:val="0"/>
                      <w:lang w:val="en-US" w:eastAsia="zh-CN"/>
                    </w:rPr>
                    <w:t>有资质的危废处置单位</w:t>
                  </w:r>
                </w:p>
              </w:tc>
              <w:tc>
                <w:tcPr>
                  <w:tcW w:w="760" w:type="pct"/>
                  <w:tcBorders>
                    <w:tl2br w:val="nil"/>
                    <w:tr2bl w:val="nil"/>
                  </w:tcBorders>
                  <w:shd w:val="clear" w:color="auto" w:fill="auto"/>
                  <w:vAlign w:val="center"/>
                </w:tcPr>
                <w:p w14:paraId="799B9EFD">
                  <w:pPr>
                    <w:keepNext w:val="0"/>
                    <w:keepLines w:val="0"/>
                    <w:pageBreakBefore w:val="0"/>
                    <w:kinsoku/>
                    <w:wordWrap/>
                    <w:overflowPunct/>
                    <w:topLinePunct w:val="0"/>
                    <w:autoSpaceDE/>
                    <w:autoSpaceDN/>
                    <w:bidi w:val="0"/>
                    <w:adjustRightInd w:val="0"/>
                    <w:snapToGrid w:val="0"/>
                    <w:jc w:val="center"/>
                    <w:textAlignment w:val="auto"/>
                    <w:rPr>
                      <w:rFonts w:hint="eastAsia"/>
                      <w:color w:val="auto"/>
                      <w:kern w:val="0"/>
                    </w:rPr>
                  </w:pPr>
                  <w:r>
                    <w:rPr>
                      <w:rFonts w:hint="eastAsia"/>
                      <w:color w:val="auto"/>
                      <w:kern w:val="0"/>
                      <w:lang w:val="en-US" w:eastAsia="zh-CN"/>
                    </w:rPr>
                    <w:t>有资质的危废处置单位</w:t>
                  </w:r>
                </w:p>
              </w:tc>
            </w:tr>
            <w:tr w14:paraId="6F38BCC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569" w:type="dxa"/>
                  <w:tcBorders>
                    <w:tl2br w:val="nil"/>
                    <w:tr2bl w:val="nil"/>
                  </w:tcBorders>
                  <w:vAlign w:val="center"/>
                </w:tcPr>
                <w:p w14:paraId="7657037B">
                  <w:pPr>
                    <w:pStyle w:val="5"/>
                    <w:adjustRightInd w:val="0"/>
                    <w:snapToGrid w:val="0"/>
                    <w:ind w:firstLine="0" w:firstLineChars="0"/>
                    <w:jc w:val="center"/>
                    <w:rPr>
                      <w:bCs/>
                      <w:color w:val="auto"/>
                      <w:kern w:val="0"/>
                      <w:szCs w:val="21"/>
                    </w:rPr>
                  </w:pPr>
                  <w:r>
                    <w:rPr>
                      <w:rFonts w:hint="eastAsia"/>
                      <w:bCs/>
                      <w:color w:val="auto"/>
                      <w:kern w:val="0"/>
                      <w:szCs w:val="21"/>
                      <w:lang w:val="en-US" w:eastAsia="zh-CN"/>
                    </w:rPr>
                    <w:t>漆渣</w:t>
                  </w:r>
                </w:p>
              </w:tc>
              <w:tc>
                <w:tcPr>
                  <w:tcW w:w="1188" w:type="dxa"/>
                  <w:tcBorders>
                    <w:tl2br w:val="nil"/>
                    <w:tr2bl w:val="nil"/>
                  </w:tcBorders>
                  <w:vAlign w:val="center"/>
                </w:tcPr>
                <w:p w14:paraId="4E735634">
                  <w:pPr>
                    <w:widowControl/>
                    <w:adjustRightInd w:val="0"/>
                    <w:snapToGrid w:val="0"/>
                    <w:jc w:val="center"/>
                    <w:textAlignment w:val="center"/>
                    <w:rPr>
                      <w:color w:val="auto"/>
                      <w:kern w:val="0"/>
                    </w:rPr>
                  </w:pPr>
                  <w:r>
                    <w:rPr>
                      <w:rFonts w:hint="eastAsia"/>
                      <w:color w:val="auto"/>
                      <w:kern w:val="0"/>
                      <w:lang w:val="en-US" w:eastAsia="zh-CN"/>
                    </w:rPr>
                    <w:t>喷漆</w:t>
                  </w:r>
                </w:p>
              </w:tc>
              <w:tc>
                <w:tcPr>
                  <w:tcW w:w="535" w:type="pct"/>
                  <w:vMerge w:val="continue"/>
                  <w:tcBorders>
                    <w:tl2br w:val="nil"/>
                    <w:tr2bl w:val="nil"/>
                  </w:tcBorders>
                  <w:vAlign w:val="center"/>
                </w:tcPr>
                <w:p w14:paraId="0280404E">
                  <w:pPr>
                    <w:pStyle w:val="693"/>
                    <w:rPr>
                      <w:rFonts w:hint="eastAsia" w:eastAsia="宋体"/>
                      <w:b w:val="0"/>
                      <w:bCs/>
                      <w:color w:val="auto"/>
                      <w:kern w:val="0"/>
                      <w:lang w:val="en-US" w:eastAsia="zh-CN"/>
                    </w:rPr>
                  </w:pPr>
                </w:p>
              </w:tc>
              <w:tc>
                <w:tcPr>
                  <w:tcW w:w="1428" w:type="dxa"/>
                  <w:tcBorders>
                    <w:tl2br w:val="nil"/>
                    <w:tr2bl w:val="nil"/>
                  </w:tcBorders>
                  <w:vAlign w:val="center"/>
                </w:tcPr>
                <w:p w14:paraId="51436029">
                  <w:pPr>
                    <w:contextualSpacing/>
                    <w:jc w:val="center"/>
                    <w:rPr>
                      <w:color w:val="auto"/>
                      <w:kern w:val="0"/>
                    </w:rPr>
                  </w:pPr>
                  <w:r>
                    <w:rPr>
                      <w:rFonts w:hint="eastAsia"/>
                      <w:color w:val="auto"/>
                      <w:kern w:val="0"/>
                      <w:lang w:val="en-US" w:eastAsia="zh-CN"/>
                    </w:rPr>
                    <w:t>900-299-12</w:t>
                  </w:r>
                </w:p>
              </w:tc>
              <w:tc>
                <w:tcPr>
                  <w:tcW w:w="1056" w:type="dxa"/>
                  <w:tcBorders>
                    <w:tl2br w:val="nil"/>
                    <w:tr2bl w:val="nil"/>
                  </w:tcBorders>
                  <w:vAlign w:val="center"/>
                </w:tcPr>
                <w:p w14:paraId="22D29D85">
                  <w:pPr>
                    <w:pStyle w:val="5"/>
                    <w:adjustRightInd w:val="0"/>
                    <w:snapToGrid w:val="0"/>
                    <w:ind w:firstLine="0" w:firstLineChars="0"/>
                    <w:jc w:val="center"/>
                    <w:rPr>
                      <w:rFonts w:hint="default" w:eastAsia="宋体"/>
                      <w:color w:val="auto"/>
                      <w:kern w:val="0"/>
                      <w:szCs w:val="21"/>
                      <w:lang w:val="en-US" w:eastAsia="zh-CN"/>
                    </w:rPr>
                  </w:pPr>
                  <w:r>
                    <w:rPr>
                      <w:rFonts w:hint="eastAsia"/>
                      <w:color w:val="auto"/>
                      <w:kern w:val="0"/>
                      <w:szCs w:val="21"/>
                      <w:lang w:val="en-US" w:eastAsia="zh-CN"/>
                    </w:rPr>
                    <w:t>0.05014</w:t>
                  </w:r>
                </w:p>
              </w:tc>
              <w:tc>
                <w:tcPr>
                  <w:tcW w:w="745" w:type="pct"/>
                  <w:tcBorders>
                    <w:tl2br w:val="nil"/>
                    <w:tr2bl w:val="nil"/>
                  </w:tcBorders>
                  <w:vAlign w:val="center"/>
                </w:tcPr>
                <w:p w14:paraId="15D74A80">
                  <w:pPr>
                    <w:keepNext w:val="0"/>
                    <w:keepLines w:val="0"/>
                    <w:pageBreakBefore w:val="0"/>
                    <w:kinsoku/>
                    <w:wordWrap/>
                    <w:overflowPunct/>
                    <w:topLinePunct w:val="0"/>
                    <w:autoSpaceDE/>
                    <w:autoSpaceDN/>
                    <w:bidi w:val="0"/>
                    <w:adjustRightInd w:val="0"/>
                    <w:snapToGrid w:val="0"/>
                    <w:jc w:val="center"/>
                    <w:textAlignment w:val="auto"/>
                    <w:rPr>
                      <w:color w:val="auto"/>
                      <w:kern w:val="0"/>
                    </w:rPr>
                  </w:pPr>
                  <w:r>
                    <w:rPr>
                      <w:rFonts w:hint="eastAsia"/>
                      <w:color w:val="auto"/>
                      <w:kern w:val="0"/>
                      <w:lang w:val="en-US" w:eastAsia="zh-CN"/>
                    </w:rPr>
                    <w:t>有资质的危废处置单位</w:t>
                  </w:r>
                </w:p>
              </w:tc>
              <w:tc>
                <w:tcPr>
                  <w:tcW w:w="760" w:type="pct"/>
                  <w:tcBorders>
                    <w:tl2br w:val="nil"/>
                    <w:tr2bl w:val="nil"/>
                  </w:tcBorders>
                  <w:vAlign w:val="center"/>
                </w:tcPr>
                <w:p w14:paraId="7A0AD116">
                  <w:pPr>
                    <w:keepNext w:val="0"/>
                    <w:keepLines w:val="0"/>
                    <w:pageBreakBefore w:val="0"/>
                    <w:kinsoku/>
                    <w:wordWrap/>
                    <w:overflowPunct/>
                    <w:topLinePunct w:val="0"/>
                    <w:autoSpaceDE/>
                    <w:autoSpaceDN/>
                    <w:bidi w:val="0"/>
                    <w:adjustRightInd w:val="0"/>
                    <w:snapToGrid w:val="0"/>
                    <w:jc w:val="center"/>
                    <w:textAlignment w:val="auto"/>
                    <w:rPr>
                      <w:bCs/>
                      <w:color w:val="auto"/>
                      <w:kern w:val="0"/>
                    </w:rPr>
                  </w:pPr>
                  <w:r>
                    <w:rPr>
                      <w:rFonts w:hint="eastAsia"/>
                      <w:color w:val="auto"/>
                      <w:kern w:val="0"/>
                      <w:lang w:val="en-US" w:eastAsia="zh-CN"/>
                    </w:rPr>
                    <w:t>有资质的危废处置单位</w:t>
                  </w:r>
                </w:p>
              </w:tc>
            </w:tr>
            <w:tr w14:paraId="6057532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569" w:type="dxa"/>
                  <w:tcBorders>
                    <w:tl2br w:val="nil"/>
                    <w:tr2bl w:val="nil"/>
                  </w:tcBorders>
                  <w:vAlign w:val="center"/>
                </w:tcPr>
                <w:p w14:paraId="44C086EA">
                  <w:pPr>
                    <w:pStyle w:val="5"/>
                    <w:adjustRightInd w:val="0"/>
                    <w:snapToGrid w:val="0"/>
                    <w:ind w:firstLine="0" w:firstLineChars="0"/>
                    <w:jc w:val="center"/>
                    <w:rPr>
                      <w:rFonts w:hint="eastAsia"/>
                      <w:bCs/>
                      <w:color w:val="auto"/>
                      <w:kern w:val="0"/>
                      <w:szCs w:val="21"/>
                    </w:rPr>
                  </w:pPr>
                  <w:r>
                    <w:rPr>
                      <w:rFonts w:hint="eastAsia"/>
                      <w:bCs/>
                      <w:color w:val="auto"/>
                      <w:kern w:val="0"/>
                      <w:szCs w:val="21"/>
                      <w:lang w:val="en-US" w:eastAsia="zh-CN"/>
                    </w:rPr>
                    <w:t>水帘废液</w:t>
                  </w:r>
                </w:p>
              </w:tc>
              <w:tc>
                <w:tcPr>
                  <w:tcW w:w="1188" w:type="dxa"/>
                  <w:tcBorders>
                    <w:tl2br w:val="nil"/>
                    <w:tr2bl w:val="nil"/>
                  </w:tcBorders>
                  <w:vAlign w:val="center"/>
                </w:tcPr>
                <w:p w14:paraId="20A3F5EB">
                  <w:pPr>
                    <w:widowControl/>
                    <w:adjustRightInd w:val="0"/>
                    <w:snapToGrid w:val="0"/>
                    <w:jc w:val="center"/>
                    <w:textAlignment w:val="center"/>
                    <w:rPr>
                      <w:rFonts w:hint="eastAsia"/>
                      <w:color w:val="auto"/>
                      <w:kern w:val="0"/>
                    </w:rPr>
                  </w:pPr>
                  <w:r>
                    <w:rPr>
                      <w:rFonts w:hint="eastAsia"/>
                      <w:color w:val="auto"/>
                      <w:kern w:val="0"/>
                      <w:lang w:val="en-US" w:eastAsia="zh-CN"/>
                    </w:rPr>
                    <w:t>废气治理</w:t>
                  </w:r>
                </w:p>
              </w:tc>
              <w:tc>
                <w:tcPr>
                  <w:tcW w:w="535" w:type="pct"/>
                  <w:vMerge w:val="continue"/>
                  <w:tcBorders>
                    <w:tl2br w:val="nil"/>
                    <w:tr2bl w:val="nil"/>
                  </w:tcBorders>
                  <w:vAlign w:val="center"/>
                </w:tcPr>
                <w:p w14:paraId="1B4C0568">
                  <w:pPr>
                    <w:pStyle w:val="693"/>
                    <w:rPr>
                      <w:rFonts w:hint="eastAsia" w:eastAsia="宋体"/>
                      <w:b w:val="0"/>
                      <w:bCs/>
                      <w:color w:val="auto"/>
                      <w:kern w:val="0"/>
                      <w:lang w:val="en-US" w:eastAsia="zh-CN"/>
                    </w:rPr>
                  </w:pPr>
                </w:p>
              </w:tc>
              <w:tc>
                <w:tcPr>
                  <w:tcW w:w="1428" w:type="dxa"/>
                  <w:tcBorders>
                    <w:tl2br w:val="nil"/>
                    <w:tr2bl w:val="nil"/>
                  </w:tcBorders>
                  <w:vAlign w:val="center"/>
                </w:tcPr>
                <w:p w14:paraId="3C32FB52">
                  <w:pPr>
                    <w:contextualSpacing/>
                    <w:jc w:val="center"/>
                    <w:rPr>
                      <w:color w:val="auto"/>
                      <w:kern w:val="0"/>
                    </w:rPr>
                  </w:pPr>
                  <w:r>
                    <w:rPr>
                      <w:rFonts w:hint="eastAsia"/>
                      <w:color w:val="auto"/>
                      <w:kern w:val="0"/>
                      <w:lang w:val="en-US" w:eastAsia="zh-CN"/>
                    </w:rPr>
                    <w:t>900-041-49</w:t>
                  </w:r>
                </w:p>
              </w:tc>
              <w:tc>
                <w:tcPr>
                  <w:tcW w:w="1056" w:type="dxa"/>
                  <w:tcBorders>
                    <w:tl2br w:val="nil"/>
                    <w:tr2bl w:val="nil"/>
                  </w:tcBorders>
                  <w:vAlign w:val="center"/>
                </w:tcPr>
                <w:p w14:paraId="050AD37D">
                  <w:pPr>
                    <w:pStyle w:val="5"/>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3</w:t>
                  </w:r>
                </w:p>
              </w:tc>
              <w:tc>
                <w:tcPr>
                  <w:tcW w:w="745" w:type="pct"/>
                  <w:tcBorders>
                    <w:tl2br w:val="nil"/>
                    <w:tr2bl w:val="nil"/>
                  </w:tcBorders>
                  <w:vAlign w:val="center"/>
                </w:tcPr>
                <w:p w14:paraId="042F350C">
                  <w:pPr>
                    <w:keepNext w:val="0"/>
                    <w:keepLines w:val="0"/>
                    <w:pageBreakBefore w:val="0"/>
                    <w:kinsoku/>
                    <w:wordWrap/>
                    <w:overflowPunct/>
                    <w:topLinePunct w:val="0"/>
                    <w:autoSpaceDE/>
                    <w:autoSpaceDN/>
                    <w:bidi w:val="0"/>
                    <w:adjustRightInd w:val="0"/>
                    <w:snapToGrid w:val="0"/>
                    <w:jc w:val="center"/>
                    <w:textAlignment w:val="auto"/>
                    <w:rPr>
                      <w:rFonts w:hint="eastAsia"/>
                      <w:color w:val="auto"/>
                      <w:kern w:val="0"/>
                    </w:rPr>
                  </w:pPr>
                  <w:r>
                    <w:rPr>
                      <w:rFonts w:hint="eastAsia"/>
                      <w:color w:val="auto"/>
                      <w:kern w:val="0"/>
                      <w:lang w:val="en-US" w:eastAsia="zh-CN"/>
                    </w:rPr>
                    <w:t>有资质的危废处置单位</w:t>
                  </w:r>
                </w:p>
              </w:tc>
              <w:tc>
                <w:tcPr>
                  <w:tcW w:w="760" w:type="pct"/>
                  <w:tcBorders>
                    <w:tl2br w:val="nil"/>
                    <w:tr2bl w:val="nil"/>
                  </w:tcBorders>
                  <w:vAlign w:val="center"/>
                </w:tcPr>
                <w:p w14:paraId="3A8C025C">
                  <w:pPr>
                    <w:keepNext w:val="0"/>
                    <w:keepLines w:val="0"/>
                    <w:pageBreakBefore w:val="0"/>
                    <w:kinsoku/>
                    <w:wordWrap/>
                    <w:overflowPunct/>
                    <w:topLinePunct w:val="0"/>
                    <w:autoSpaceDE/>
                    <w:autoSpaceDN/>
                    <w:bidi w:val="0"/>
                    <w:adjustRightInd w:val="0"/>
                    <w:snapToGrid w:val="0"/>
                    <w:jc w:val="center"/>
                    <w:textAlignment w:val="auto"/>
                    <w:rPr>
                      <w:rFonts w:hint="eastAsia"/>
                      <w:color w:val="auto"/>
                      <w:kern w:val="0"/>
                    </w:rPr>
                  </w:pPr>
                  <w:r>
                    <w:rPr>
                      <w:rFonts w:hint="eastAsia"/>
                      <w:color w:val="auto"/>
                      <w:kern w:val="0"/>
                      <w:lang w:val="en-US" w:eastAsia="zh-CN"/>
                    </w:rPr>
                    <w:t>有资质的危废处置单位</w:t>
                  </w:r>
                </w:p>
              </w:tc>
            </w:tr>
            <w:tr w14:paraId="1697827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569" w:type="dxa"/>
                  <w:tcBorders>
                    <w:tl2br w:val="nil"/>
                    <w:tr2bl w:val="nil"/>
                  </w:tcBorders>
                  <w:vAlign w:val="center"/>
                </w:tcPr>
                <w:p w14:paraId="6209D5FF">
                  <w:pPr>
                    <w:pStyle w:val="5"/>
                    <w:adjustRightInd w:val="0"/>
                    <w:snapToGrid w:val="0"/>
                    <w:ind w:firstLine="0" w:firstLineChars="0"/>
                    <w:jc w:val="center"/>
                    <w:rPr>
                      <w:rFonts w:hint="eastAsia"/>
                      <w:bCs/>
                      <w:color w:val="auto"/>
                      <w:kern w:val="0"/>
                      <w:szCs w:val="21"/>
                    </w:rPr>
                  </w:pPr>
                  <w:r>
                    <w:rPr>
                      <w:rFonts w:hint="eastAsia"/>
                      <w:bCs/>
                      <w:color w:val="auto"/>
                      <w:kern w:val="0"/>
                      <w:szCs w:val="21"/>
                      <w:lang w:val="en-US" w:eastAsia="zh-CN"/>
                    </w:rPr>
                    <w:t>喷枪清洗废液</w:t>
                  </w:r>
                </w:p>
              </w:tc>
              <w:tc>
                <w:tcPr>
                  <w:tcW w:w="1188" w:type="dxa"/>
                  <w:tcBorders>
                    <w:tl2br w:val="nil"/>
                    <w:tr2bl w:val="nil"/>
                  </w:tcBorders>
                  <w:vAlign w:val="center"/>
                </w:tcPr>
                <w:p w14:paraId="27BC873B">
                  <w:pPr>
                    <w:widowControl/>
                    <w:adjustRightInd w:val="0"/>
                    <w:snapToGrid w:val="0"/>
                    <w:jc w:val="center"/>
                    <w:textAlignment w:val="center"/>
                    <w:rPr>
                      <w:rFonts w:hint="eastAsia"/>
                      <w:color w:val="auto"/>
                      <w:kern w:val="0"/>
                    </w:rPr>
                  </w:pPr>
                  <w:r>
                    <w:rPr>
                      <w:rFonts w:hint="eastAsia"/>
                      <w:color w:val="auto"/>
                      <w:kern w:val="0"/>
                      <w:lang w:val="en-US" w:eastAsia="zh-CN"/>
                    </w:rPr>
                    <w:t>喷枪清洗</w:t>
                  </w:r>
                </w:p>
              </w:tc>
              <w:tc>
                <w:tcPr>
                  <w:tcW w:w="535" w:type="pct"/>
                  <w:vMerge w:val="continue"/>
                  <w:tcBorders>
                    <w:tl2br w:val="nil"/>
                    <w:tr2bl w:val="nil"/>
                  </w:tcBorders>
                  <w:vAlign w:val="center"/>
                </w:tcPr>
                <w:p w14:paraId="42BA0510">
                  <w:pPr>
                    <w:pStyle w:val="693"/>
                    <w:rPr>
                      <w:rFonts w:hint="eastAsia" w:eastAsia="宋体"/>
                      <w:b w:val="0"/>
                      <w:bCs/>
                      <w:color w:val="auto"/>
                      <w:kern w:val="0"/>
                      <w:lang w:val="en-US" w:eastAsia="zh-CN"/>
                    </w:rPr>
                  </w:pPr>
                </w:p>
              </w:tc>
              <w:tc>
                <w:tcPr>
                  <w:tcW w:w="1428" w:type="dxa"/>
                  <w:tcBorders>
                    <w:tl2br w:val="nil"/>
                    <w:tr2bl w:val="nil"/>
                  </w:tcBorders>
                  <w:vAlign w:val="center"/>
                </w:tcPr>
                <w:p w14:paraId="784C42D6">
                  <w:pPr>
                    <w:contextualSpacing/>
                    <w:jc w:val="center"/>
                    <w:rPr>
                      <w:color w:val="auto"/>
                      <w:kern w:val="0"/>
                    </w:rPr>
                  </w:pPr>
                  <w:r>
                    <w:rPr>
                      <w:rFonts w:hint="eastAsia"/>
                      <w:color w:val="auto"/>
                      <w:kern w:val="0"/>
                      <w:lang w:val="en-US" w:eastAsia="zh-CN"/>
                    </w:rPr>
                    <w:t>900-041-49</w:t>
                  </w:r>
                </w:p>
              </w:tc>
              <w:tc>
                <w:tcPr>
                  <w:tcW w:w="1056" w:type="dxa"/>
                  <w:tcBorders>
                    <w:tl2br w:val="nil"/>
                    <w:tr2bl w:val="nil"/>
                  </w:tcBorders>
                  <w:vAlign w:val="center"/>
                </w:tcPr>
                <w:p w14:paraId="3690B0AC">
                  <w:pPr>
                    <w:pStyle w:val="5"/>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0.05</w:t>
                  </w:r>
                </w:p>
              </w:tc>
              <w:tc>
                <w:tcPr>
                  <w:tcW w:w="745" w:type="pct"/>
                  <w:tcBorders>
                    <w:tl2br w:val="nil"/>
                    <w:tr2bl w:val="nil"/>
                  </w:tcBorders>
                  <w:vAlign w:val="center"/>
                </w:tcPr>
                <w:p w14:paraId="415FDEB2">
                  <w:pPr>
                    <w:keepNext w:val="0"/>
                    <w:keepLines w:val="0"/>
                    <w:pageBreakBefore w:val="0"/>
                    <w:kinsoku/>
                    <w:wordWrap/>
                    <w:overflowPunct/>
                    <w:topLinePunct w:val="0"/>
                    <w:autoSpaceDE/>
                    <w:autoSpaceDN/>
                    <w:bidi w:val="0"/>
                    <w:adjustRightInd w:val="0"/>
                    <w:snapToGrid w:val="0"/>
                    <w:jc w:val="center"/>
                    <w:textAlignment w:val="auto"/>
                    <w:rPr>
                      <w:rFonts w:hint="eastAsia"/>
                      <w:color w:val="auto"/>
                      <w:kern w:val="0"/>
                    </w:rPr>
                  </w:pPr>
                  <w:r>
                    <w:rPr>
                      <w:rFonts w:hint="eastAsia"/>
                      <w:color w:val="auto"/>
                      <w:kern w:val="0"/>
                      <w:lang w:val="en-US" w:eastAsia="zh-CN"/>
                    </w:rPr>
                    <w:t>有资质的危废处置单位</w:t>
                  </w:r>
                </w:p>
              </w:tc>
              <w:tc>
                <w:tcPr>
                  <w:tcW w:w="760" w:type="pct"/>
                  <w:tcBorders>
                    <w:tl2br w:val="nil"/>
                    <w:tr2bl w:val="nil"/>
                  </w:tcBorders>
                  <w:vAlign w:val="center"/>
                </w:tcPr>
                <w:p w14:paraId="5CBFCA19">
                  <w:pPr>
                    <w:keepNext w:val="0"/>
                    <w:keepLines w:val="0"/>
                    <w:pageBreakBefore w:val="0"/>
                    <w:kinsoku/>
                    <w:wordWrap/>
                    <w:overflowPunct/>
                    <w:topLinePunct w:val="0"/>
                    <w:autoSpaceDE/>
                    <w:autoSpaceDN/>
                    <w:bidi w:val="0"/>
                    <w:adjustRightInd w:val="0"/>
                    <w:snapToGrid w:val="0"/>
                    <w:jc w:val="center"/>
                    <w:textAlignment w:val="auto"/>
                    <w:rPr>
                      <w:rFonts w:hint="eastAsia"/>
                      <w:color w:val="auto"/>
                      <w:kern w:val="0"/>
                    </w:rPr>
                  </w:pPr>
                  <w:r>
                    <w:rPr>
                      <w:rFonts w:hint="eastAsia"/>
                      <w:color w:val="auto"/>
                      <w:kern w:val="0"/>
                      <w:lang w:val="en-US" w:eastAsia="zh-CN"/>
                    </w:rPr>
                    <w:t>有资质的危废处置单位</w:t>
                  </w:r>
                </w:p>
              </w:tc>
            </w:tr>
            <w:tr w14:paraId="78623FC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569" w:type="dxa"/>
                  <w:tcBorders>
                    <w:tl2br w:val="nil"/>
                    <w:tr2bl w:val="nil"/>
                  </w:tcBorders>
                  <w:vAlign w:val="center"/>
                </w:tcPr>
                <w:p w14:paraId="4F8DDE1E">
                  <w:pPr>
                    <w:pStyle w:val="5"/>
                    <w:adjustRightInd w:val="0"/>
                    <w:snapToGrid w:val="0"/>
                    <w:ind w:firstLine="0" w:firstLineChars="0"/>
                    <w:jc w:val="center"/>
                    <w:rPr>
                      <w:rFonts w:hint="eastAsia"/>
                      <w:bCs/>
                      <w:color w:val="auto"/>
                      <w:kern w:val="0"/>
                      <w:szCs w:val="21"/>
                    </w:rPr>
                  </w:pPr>
                  <w:r>
                    <w:rPr>
                      <w:rFonts w:hint="eastAsia"/>
                      <w:bCs/>
                      <w:color w:val="auto"/>
                      <w:kern w:val="0"/>
                      <w:szCs w:val="21"/>
                      <w:lang w:val="en-US" w:eastAsia="zh-CN"/>
                    </w:rPr>
                    <w:t>废包装桶</w:t>
                  </w:r>
                </w:p>
              </w:tc>
              <w:tc>
                <w:tcPr>
                  <w:tcW w:w="1188" w:type="dxa"/>
                  <w:tcBorders>
                    <w:tl2br w:val="nil"/>
                    <w:tr2bl w:val="nil"/>
                  </w:tcBorders>
                  <w:vAlign w:val="center"/>
                </w:tcPr>
                <w:p w14:paraId="5B68B15C">
                  <w:pPr>
                    <w:widowControl/>
                    <w:adjustRightInd w:val="0"/>
                    <w:snapToGrid w:val="0"/>
                    <w:jc w:val="center"/>
                    <w:textAlignment w:val="center"/>
                    <w:rPr>
                      <w:rFonts w:hint="eastAsia"/>
                      <w:color w:val="auto"/>
                      <w:kern w:val="0"/>
                      <w:lang w:val="en-US" w:eastAsia="zh-CN"/>
                    </w:rPr>
                  </w:pPr>
                  <w:r>
                    <w:rPr>
                      <w:rFonts w:hint="eastAsia"/>
                      <w:color w:val="auto"/>
                      <w:kern w:val="0"/>
                      <w:lang w:val="en-US" w:eastAsia="zh-CN"/>
                    </w:rPr>
                    <w:t>原料</w:t>
                  </w:r>
                </w:p>
                <w:p w14:paraId="1E9F8AEA">
                  <w:pPr>
                    <w:widowControl/>
                    <w:adjustRightInd w:val="0"/>
                    <w:snapToGrid w:val="0"/>
                    <w:jc w:val="center"/>
                    <w:textAlignment w:val="center"/>
                    <w:rPr>
                      <w:rFonts w:hint="eastAsia"/>
                      <w:color w:val="auto"/>
                      <w:kern w:val="0"/>
                    </w:rPr>
                  </w:pPr>
                  <w:r>
                    <w:rPr>
                      <w:rFonts w:hint="eastAsia"/>
                      <w:color w:val="auto"/>
                      <w:kern w:val="0"/>
                      <w:lang w:val="en-US" w:eastAsia="zh-CN"/>
                    </w:rPr>
                    <w:t>拆包</w:t>
                  </w:r>
                </w:p>
              </w:tc>
              <w:tc>
                <w:tcPr>
                  <w:tcW w:w="535" w:type="pct"/>
                  <w:vMerge w:val="continue"/>
                  <w:tcBorders>
                    <w:tl2br w:val="nil"/>
                    <w:tr2bl w:val="nil"/>
                  </w:tcBorders>
                  <w:vAlign w:val="center"/>
                </w:tcPr>
                <w:p w14:paraId="6712AD0A">
                  <w:pPr>
                    <w:pStyle w:val="693"/>
                    <w:rPr>
                      <w:rFonts w:hint="eastAsia" w:eastAsia="宋体"/>
                      <w:b w:val="0"/>
                      <w:bCs/>
                      <w:color w:val="auto"/>
                      <w:kern w:val="0"/>
                      <w:lang w:val="en-US" w:eastAsia="zh-CN"/>
                    </w:rPr>
                  </w:pPr>
                </w:p>
              </w:tc>
              <w:tc>
                <w:tcPr>
                  <w:tcW w:w="1428" w:type="dxa"/>
                  <w:tcBorders>
                    <w:tl2br w:val="nil"/>
                    <w:tr2bl w:val="nil"/>
                  </w:tcBorders>
                  <w:vAlign w:val="center"/>
                </w:tcPr>
                <w:p w14:paraId="434F8A14">
                  <w:pPr>
                    <w:contextualSpacing/>
                    <w:jc w:val="center"/>
                    <w:rPr>
                      <w:color w:val="auto"/>
                      <w:kern w:val="0"/>
                    </w:rPr>
                  </w:pPr>
                  <w:r>
                    <w:rPr>
                      <w:rFonts w:hint="eastAsia"/>
                      <w:color w:val="auto"/>
                      <w:kern w:val="0"/>
                      <w:lang w:val="en-US" w:eastAsia="zh-CN"/>
                    </w:rPr>
                    <w:t>900-041-49</w:t>
                  </w:r>
                </w:p>
              </w:tc>
              <w:tc>
                <w:tcPr>
                  <w:tcW w:w="1056" w:type="dxa"/>
                  <w:tcBorders>
                    <w:tl2br w:val="nil"/>
                    <w:tr2bl w:val="nil"/>
                  </w:tcBorders>
                  <w:vAlign w:val="center"/>
                </w:tcPr>
                <w:p w14:paraId="1725B9BE">
                  <w:pPr>
                    <w:pStyle w:val="5"/>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0.332</w:t>
                  </w:r>
                </w:p>
              </w:tc>
              <w:tc>
                <w:tcPr>
                  <w:tcW w:w="745" w:type="pct"/>
                  <w:tcBorders>
                    <w:tl2br w:val="nil"/>
                    <w:tr2bl w:val="nil"/>
                  </w:tcBorders>
                  <w:vAlign w:val="center"/>
                </w:tcPr>
                <w:p w14:paraId="5E3F14DE">
                  <w:pPr>
                    <w:keepNext w:val="0"/>
                    <w:keepLines w:val="0"/>
                    <w:pageBreakBefore w:val="0"/>
                    <w:kinsoku/>
                    <w:wordWrap/>
                    <w:overflowPunct/>
                    <w:topLinePunct w:val="0"/>
                    <w:autoSpaceDE/>
                    <w:autoSpaceDN/>
                    <w:bidi w:val="0"/>
                    <w:adjustRightInd w:val="0"/>
                    <w:snapToGrid w:val="0"/>
                    <w:jc w:val="center"/>
                    <w:textAlignment w:val="auto"/>
                    <w:rPr>
                      <w:rFonts w:hint="eastAsia"/>
                      <w:color w:val="auto"/>
                      <w:kern w:val="0"/>
                    </w:rPr>
                  </w:pPr>
                  <w:r>
                    <w:rPr>
                      <w:rFonts w:hint="eastAsia"/>
                      <w:color w:val="auto"/>
                      <w:kern w:val="0"/>
                      <w:lang w:val="en-US" w:eastAsia="zh-CN"/>
                    </w:rPr>
                    <w:t>有资质的危废处置单位</w:t>
                  </w:r>
                </w:p>
              </w:tc>
              <w:tc>
                <w:tcPr>
                  <w:tcW w:w="760" w:type="pct"/>
                  <w:tcBorders>
                    <w:tl2br w:val="nil"/>
                    <w:tr2bl w:val="nil"/>
                  </w:tcBorders>
                  <w:vAlign w:val="center"/>
                </w:tcPr>
                <w:p w14:paraId="3373EFE0">
                  <w:pPr>
                    <w:keepNext w:val="0"/>
                    <w:keepLines w:val="0"/>
                    <w:pageBreakBefore w:val="0"/>
                    <w:kinsoku/>
                    <w:wordWrap/>
                    <w:overflowPunct/>
                    <w:topLinePunct w:val="0"/>
                    <w:autoSpaceDE/>
                    <w:autoSpaceDN/>
                    <w:bidi w:val="0"/>
                    <w:adjustRightInd w:val="0"/>
                    <w:snapToGrid w:val="0"/>
                    <w:jc w:val="center"/>
                    <w:textAlignment w:val="auto"/>
                    <w:rPr>
                      <w:rFonts w:hint="eastAsia"/>
                      <w:color w:val="auto"/>
                      <w:kern w:val="0"/>
                    </w:rPr>
                  </w:pPr>
                  <w:r>
                    <w:rPr>
                      <w:rFonts w:hint="eastAsia"/>
                      <w:color w:val="auto"/>
                      <w:kern w:val="0"/>
                      <w:lang w:val="en-US" w:eastAsia="zh-CN"/>
                    </w:rPr>
                    <w:t>有资质的危废处置单位</w:t>
                  </w:r>
                </w:p>
              </w:tc>
            </w:tr>
            <w:tr w14:paraId="61FBF33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569" w:type="dxa"/>
                  <w:tcBorders>
                    <w:tl2br w:val="nil"/>
                    <w:tr2bl w:val="nil"/>
                  </w:tcBorders>
                  <w:vAlign w:val="center"/>
                </w:tcPr>
                <w:p w14:paraId="4194408C">
                  <w:pPr>
                    <w:pStyle w:val="5"/>
                    <w:adjustRightInd w:val="0"/>
                    <w:snapToGrid w:val="0"/>
                    <w:ind w:firstLine="0" w:firstLineChars="0"/>
                    <w:jc w:val="center"/>
                    <w:rPr>
                      <w:rFonts w:hint="eastAsia"/>
                      <w:bCs/>
                      <w:color w:val="auto"/>
                      <w:kern w:val="0"/>
                      <w:szCs w:val="21"/>
                    </w:rPr>
                  </w:pPr>
                  <w:r>
                    <w:rPr>
                      <w:rFonts w:hint="eastAsia"/>
                      <w:bCs/>
                      <w:color w:val="auto"/>
                      <w:kern w:val="0"/>
                      <w:szCs w:val="21"/>
                      <w:lang w:val="en-US" w:eastAsia="zh-CN"/>
                    </w:rPr>
                    <w:t>干式内循环打磨处理器收集尘</w:t>
                  </w:r>
                </w:p>
              </w:tc>
              <w:tc>
                <w:tcPr>
                  <w:tcW w:w="1188" w:type="dxa"/>
                  <w:tcBorders>
                    <w:tl2br w:val="nil"/>
                    <w:tr2bl w:val="nil"/>
                  </w:tcBorders>
                  <w:vAlign w:val="center"/>
                </w:tcPr>
                <w:p w14:paraId="7B79B363">
                  <w:pPr>
                    <w:widowControl/>
                    <w:adjustRightInd w:val="0"/>
                    <w:snapToGrid w:val="0"/>
                    <w:jc w:val="center"/>
                    <w:textAlignment w:val="center"/>
                    <w:rPr>
                      <w:rFonts w:hint="eastAsia"/>
                      <w:color w:val="auto"/>
                      <w:kern w:val="0"/>
                    </w:rPr>
                  </w:pPr>
                  <w:r>
                    <w:rPr>
                      <w:rFonts w:hint="eastAsia"/>
                      <w:color w:val="auto"/>
                      <w:kern w:val="0"/>
                      <w:lang w:val="en-US" w:eastAsia="zh-CN"/>
                    </w:rPr>
                    <w:t>废气治理</w:t>
                  </w:r>
                </w:p>
              </w:tc>
              <w:tc>
                <w:tcPr>
                  <w:tcW w:w="535" w:type="pct"/>
                  <w:vMerge w:val="continue"/>
                  <w:tcBorders>
                    <w:tl2br w:val="nil"/>
                    <w:tr2bl w:val="nil"/>
                  </w:tcBorders>
                  <w:vAlign w:val="center"/>
                </w:tcPr>
                <w:p w14:paraId="5DDBB020">
                  <w:pPr>
                    <w:pStyle w:val="693"/>
                    <w:rPr>
                      <w:rFonts w:hint="eastAsia" w:eastAsia="宋体"/>
                      <w:b w:val="0"/>
                      <w:bCs/>
                      <w:color w:val="auto"/>
                      <w:kern w:val="0"/>
                      <w:lang w:val="en-US" w:eastAsia="zh-CN"/>
                    </w:rPr>
                  </w:pPr>
                </w:p>
              </w:tc>
              <w:tc>
                <w:tcPr>
                  <w:tcW w:w="1428" w:type="dxa"/>
                  <w:tcBorders>
                    <w:tl2br w:val="nil"/>
                    <w:tr2bl w:val="nil"/>
                  </w:tcBorders>
                  <w:vAlign w:val="center"/>
                </w:tcPr>
                <w:p w14:paraId="657A95FC">
                  <w:pPr>
                    <w:contextualSpacing/>
                    <w:jc w:val="center"/>
                    <w:rPr>
                      <w:color w:val="auto"/>
                      <w:kern w:val="0"/>
                    </w:rPr>
                  </w:pPr>
                  <w:r>
                    <w:rPr>
                      <w:rFonts w:hint="eastAsia"/>
                      <w:color w:val="auto"/>
                      <w:kern w:val="0"/>
                      <w:lang w:val="en-US" w:eastAsia="zh-CN"/>
                    </w:rPr>
                    <w:t>900-299-12</w:t>
                  </w:r>
                </w:p>
              </w:tc>
              <w:tc>
                <w:tcPr>
                  <w:tcW w:w="1056" w:type="dxa"/>
                  <w:tcBorders>
                    <w:tl2br w:val="nil"/>
                    <w:tr2bl w:val="nil"/>
                  </w:tcBorders>
                  <w:vAlign w:val="center"/>
                </w:tcPr>
                <w:p w14:paraId="3D1A4AA5">
                  <w:pPr>
                    <w:pStyle w:val="5"/>
                    <w:adjustRightInd w:val="0"/>
                    <w:snapToGrid w:val="0"/>
                    <w:ind w:firstLine="0" w:firstLineChars="0"/>
                    <w:jc w:val="center"/>
                    <w:rPr>
                      <w:rFonts w:hint="eastAsia"/>
                      <w:color w:val="auto"/>
                      <w:kern w:val="0"/>
                      <w:szCs w:val="21"/>
                      <w:lang w:val="en-US" w:eastAsia="zh-CN"/>
                    </w:rPr>
                  </w:pPr>
                  <w:r>
                    <w:rPr>
                      <w:rFonts w:hint="eastAsia"/>
                      <w:color w:val="auto"/>
                      <w:kern w:val="0"/>
                      <w:szCs w:val="21"/>
                      <w:lang w:val="en-US" w:eastAsia="zh-CN"/>
                    </w:rPr>
                    <w:t>0.0172</w:t>
                  </w:r>
                </w:p>
              </w:tc>
              <w:tc>
                <w:tcPr>
                  <w:tcW w:w="745" w:type="pct"/>
                  <w:tcBorders>
                    <w:tl2br w:val="nil"/>
                    <w:tr2bl w:val="nil"/>
                  </w:tcBorders>
                  <w:vAlign w:val="center"/>
                </w:tcPr>
                <w:p w14:paraId="7A6F2E08">
                  <w:pPr>
                    <w:keepNext w:val="0"/>
                    <w:keepLines w:val="0"/>
                    <w:pageBreakBefore w:val="0"/>
                    <w:kinsoku/>
                    <w:wordWrap/>
                    <w:overflowPunct/>
                    <w:topLinePunct w:val="0"/>
                    <w:autoSpaceDE/>
                    <w:autoSpaceDN/>
                    <w:bidi w:val="0"/>
                    <w:adjustRightInd w:val="0"/>
                    <w:snapToGrid w:val="0"/>
                    <w:jc w:val="center"/>
                    <w:textAlignment w:val="auto"/>
                    <w:rPr>
                      <w:rFonts w:hint="eastAsia"/>
                      <w:color w:val="auto"/>
                      <w:kern w:val="0"/>
                    </w:rPr>
                  </w:pPr>
                  <w:r>
                    <w:rPr>
                      <w:rFonts w:hint="eastAsia"/>
                      <w:color w:val="auto"/>
                      <w:kern w:val="0"/>
                      <w:lang w:val="en-US" w:eastAsia="zh-CN"/>
                    </w:rPr>
                    <w:t>有资质的危废处置单位</w:t>
                  </w:r>
                </w:p>
              </w:tc>
              <w:tc>
                <w:tcPr>
                  <w:tcW w:w="760" w:type="pct"/>
                  <w:tcBorders>
                    <w:tl2br w:val="nil"/>
                    <w:tr2bl w:val="nil"/>
                  </w:tcBorders>
                  <w:vAlign w:val="center"/>
                </w:tcPr>
                <w:p w14:paraId="134D43A5">
                  <w:pPr>
                    <w:keepNext w:val="0"/>
                    <w:keepLines w:val="0"/>
                    <w:pageBreakBefore w:val="0"/>
                    <w:kinsoku/>
                    <w:wordWrap/>
                    <w:overflowPunct/>
                    <w:topLinePunct w:val="0"/>
                    <w:autoSpaceDE/>
                    <w:autoSpaceDN/>
                    <w:bidi w:val="0"/>
                    <w:adjustRightInd w:val="0"/>
                    <w:snapToGrid w:val="0"/>
                    <w:jc w:val="center"/>
                    <w:textAlignment w:val="auto"/>
                    <w:rPr>
                      <w:rFonts w:hint="eastAsia"/>
                      <w:color w:val="auto"/>
                      <w:kern w:val="0"/>
                    </w:rPr>
                  </w:pPr>
                  <w:r>
                    <w:rPr>
                      <w:rFonts w:hint="eastAsia"/>
                      <w:color w:val="auto"/>
                      <w:kern w:val="0"/>
                      <w:lang w:val="en-US" w:eastAsia="zh-CN"/>
                    </w:rPr>
                    <w:t>有资质的危废处置单位</w:t>
                  </w:r>
                </w:p>
              </w:tc>
            </w:tr>
            <w:tr w14:paraId="51958D5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569" w:type="dxa"/>
                  <w:tcBorders>
                    <w:tl2br w:val="nil"/>
                    <w:tr2bl w:val="nil"/>
                  </w:tcBorders>
                  <w:vAlign w:val="center"/>
                </w:tcPr>
                <w:p w14:paraId="320B3929">
                  <w:pPr>
                    <w:pStyle w:val="5"/>
                    <w:adjustRightInd w:val="0"/>
                    <w:snapToGrid w:val="0"/>
                    <w:ind w:firstLine="0" w:firstLineChars="0"/>
                    <w:jc w:val="center"/>
                    <w:rPr>
                      <w:rFonts w:hint="eastAsia"/>
                      <w:bCs/>
                      <w:color w:val="auto"/>
                      <w:kern w:val="0"/>
                      <w:szCs w:val="21"/>
                    </w:rPr>
                  </w:pPr>
                  <w:r>
                    <w:rPr>
                      <w:rFonts w:hint="eastAsia"/>
                      <w:bCs/>
                      <w:color w:val="auto"/>
                      <w:kern w:val="0"/>
                      <w:szCs w:val="21"/>
                      <w:lang w:val="en-US" w:eastAsia="zh-CN"/>
                    </w:rPr>
                    <w:t>废活性炭</w:t>
                  </w:r>
                </w:p>
              </w:tc>
              <w:tc>
                <w:tcPr>
                  <w:tcW w:w="1188" w:type="dxa"/>
                  <w:tcBorders>
                    <w:tl2br w:val="nil"/>
                    <w:tr2bl w:val="nil"/>
                  </w:tcBorders>
                  <w:vAlign w:val="center"/>
                </w:tcPr>
                <w:p w14:paraId="27B15B3C">
                  <w:pPr>
                    <w:widowControl/>
                    <w:adjustRightInd w:val="0"/>
                    <w:snapToGrid w:val="0"/>
                    <w:jc w:val="center"/>
                    <w:textAlignment w:val="center"/>
                    <w:rPr>
                      <w:rFonts w:hint="eastAsia"/>
                      <w:color w:val="auto"/>
                      <w:kern w:val="0"/>
                    </w:rPr>
                  </w:pPr>
                  <w:r>
                    <w:rPr>
                      <w:rFonts w:hint="eastAsia"/>
                      <w:color w:val="auto"/>
                      <w:kern w:val="0"/>
                      <w:lang w:val="en-US" w:eastAsia="zh-CN"/>
                    </w:rPr>
                    <w:t>废气治理</w:t>
                  </w:r>
                </w:p>
              </w:tc>
              <w:tc>
                <w:tcPr>
                  <w:tcW w:w="535" w:type="pct"/>
                  <w:vMerge w:val="continue"/>
                  <w:tcBorders>
                    <w:tl2br w:val="nil"/>
                    <w:tr2bl w:val="nil"/>
                  </w:tcBorders>
                  <w:vAlign w:val="center"/>
                </w:tcPr>
                <w:p w14:paraId="6CCCA604">
                  <w:pPr>
                    <w:pStyle w:val="693"/>
                    <w:rPr>
                      <w:rFonts w:hint="eastAsia" w:eastAsia="宋体"/>
                      <w:b w:val="0"/>
                      <w:bCs/>
                      <w:color w:val="auto"/>
                      <w:kern w:val="0"/>
                      <w:lang w:val="en-US" w:eastAsia="zh-CN"/>
                    </w:rPr>
                  </w:pPr>
                </w:p>
              </w:tc>
              <w:tc>
                <w:tcPr>
                  <w:tcW w:w="1428" w:type="dxa"/>
                  <w:tcBorders>
                    <w:tl2br w:val="nil"/>
                    <w:tr2bl w:val="nil"/>
                  </w:tcBorders>
                  <w:vAlign w:val="center"/>
                </w:tcPr>
                <w:p w14:paraId="6B0E59F5">
                  <w:pPr>
                    <w:contextualSpacing/>
                    <w:jc w:val="center"/>
                    <w:rPr>
                      <w:color w:val="auto"/>
                      <w:kern w:val="0"/>
                    </w:rPr>
                  </w:pPr>
                  <w:r>
                    <w:rPr>
                      <w:color w:val="auto"/>
                      <w:kern w:val="0"/>
                    </w:rPr>
                    <w:t>900-039-49</w:t>
                  </w:r>
                </w:p>
              </w:tc>
              <w:tc>
                <w:tcPr>
                  <w:tcW w:w="1056" w:type="dxa"/>
                  <w:tcBorders>
                    <w:tl2br w:val="nil"/>
                    <w:tr2bl w:val="nil"/>
                  </w:tcBorders>
                  <w:vAlign w:val="center"/>
                </w:tcPr>
                <w:p w14:paraId="0B097691">
                  <w:pPr>
                    <w:pStyle w:val="5"/>
                    <w:adjustRightInd w:val="0"/>
                    <w:snapToGrid w:val="0"/>
                    <w:ind w:firstLine="0" w:firstLineChars="0"/>
                    <w:jc w:val="center"/>
                    <w:rPr>
                      <w:rFonts w:hint="default"/>
                      <w:color w:val="auto"/>
                      <w:kern w:val="0"/>
                      <w:szCs w:val="21"/>
                      <w:lang w:val="en-US" w:eastAsia="zh-CN"/>
                    </w:rPr>
                  </w:pPr>
                  <w:r>
                    <w:rPr>
                      <w:rFonts w:hint="eastAsia"/>
                      <w:color w:val="auto"/>
                      <w:kern w:val="0"/>
                      <w:szCs w:val="21"/>
                      <w:lang w:val="en-US" w:eastAsia="zh-CN"/>
                    </w:rPr>
                    <w:t>10.57</w:t>
                  </w:r>
                </w:p>
              </w:tc>
              <w:tc>
                <w:tcPr>
                  <w:tcW w:w="745" w:type="pct"/>
                  <w:tcBorders>
                    <w:tl2br w:val="nil"/>
                    <w:tr2bl w:val="nil"/>
                  </w:tcBorders>
                  <w:vAlign w:val="center"/>
                </w:tcPr>
                <w:p w14:paraId="0F9E1427">
                  <w:pPr>
                    <w:keepNext w:val="0"/>
                    <w:keepLines w:val="0"/>
                    <w:pageBreakBefore w:val="0"/>
                    <w:kinsoku/>
                    <w:wordWrap/>
                    <w:overflowPunct/>
                    <w:topLinePunct w:val="0"/>
                    <w:autoSpaceDE/>
                    <w:autoSpaceDN/>
                    <w:bidi w:val="0"/>
                    <w:adjustRightInd w:val="0"/>
                    <w:snapToGrid w:val="0"/>
                    <w:jc w:val="center"/>
                    <w:textAlignment w:val="auto"/>
                    <w:rPr>
                      <w:rFonts w:hint="eastAsia"/>
                      <w:color w:val="auto"/>
                      <w:kern w:val="0"/>
                    </w:rPr>
                  </w:pPr>
                  <w:r>
                    <w:rPr>
                      <w:rFonts w:hint="eastAsia"/>
                      <w:color w:val="auto"/>
                      <w:kern w:val="0"/>
                      <w:lang w:val="en-US" w:eastAsia="zh-CN"/>
                    </w:rPr>
                    <w:t>有资质的危废处置单位</w:t>
                  </w:r>
                </w:p>
              </w:tc>
              <w:tc>
                <w:tcPr>
                  <w:tcW w:w="760" w:type="pct"/>
                  <w:tcBorders>
                    <w:tl2br w:val="nil"/>
                    <w:tr2bl w:val="nil"/>
                  </w:tcBorders>
                  <w:vAlign w:val="center"/>
                </w:tcPr>
                <w:p w14:paraId="155CE974">
                  <w:pPr>
                    <w:keepNext w:val="0"/>
                    <w:keepLines w:val="0"/>
                    <w:pageBreakBefore w:val="0"/>
                    <w:kinsoku/>
                    <w:wordWrap/>
                    <w:overflowPunct/>
                    <w:topLinePunct w:val="0"/>
                    <w:autoSpaceDE/>
                    <w:autoSpaceDN/>
                    <w:bidi w:val="0"/>
                    <w:adjustRightInd w:val="0"/>
                    <w:snapToGrid w:val="0"/>
                    <w:jc w:val="center"/>
                    <w:textAlignment w:val="auto"/>
                    <w:rPr>
                      <w:rFonts w:hint="eastAsia"/>
                      <w:color w:val="auto"/>
                      <w:kern w:val="0"/>
                    </w:rPr>
                  </w:pPr>
                  <w:r>
                    <w:rPr>
                      <w:rFonts w:hint="eastAsia"/>
                      <w:color w:val="auto"/>
                      <w:kern w:val="0"/>
                      <w:lang w:val="en-US" w:eastAsia="zh-CN"/>
                    </w:rPr>
                    <w:t>有资质的危废处置单位</w:t>
                  </w:r>
                </w:p>
              </w:tc>
            </w:tr>
            <w:tr w14:paraId="1BE9C2F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85" w:type="pct"/>
                  <w:tcBorders>
                    <w:tl2br w:val="nil"/>
                    <w:tr2bl w:val="nil"/>
                  </w:tcBorders>
                  <w:shd w:val="clear" w:color="auto" w:fill="auto"/>
                  <w:vAlign w:val="center"/>
                </w:tcPr>
                <w:p w14:paraId="572ED9A1">
                  <w:pPr>
                    <w:pStyle w:val="5"/>
                    <w:adjustRightInd w:val="0"/>
                    <w:snapToGrid w:val="0"/>
                    <w:ind w:firstLine="0" w:firstLineChars="0"/>
                    <w:jc w:val="center"/>
                    <w:rPr>
                      <w:rFonts w:hint="eastAsia" w:ascii="Times New Roman" w:hAnsi="Times New Roman" w:eastAsia="宋体" w:cs="Times New Roman"/>
                      <w:bCs/>
                      <w:snapToGrid w:val="0"/>
                      <w:color w:val="auto"/>
                      <w:kern w:val="0"/>
                      <w:sz w:val="21"/>
                      <w:szCs w:val="21"/>
                      <w:lang w:val="en-US" w:eastAsia="zh-CN" w:bidi="ar-SA"/>
                    </w:rPr>
                  </w:pPr>
                  <w:r>
                    <w:rPr>
                      <w:rFonts w:hint="eastAsia"/>
                      <w:bCs/>
                      <w:color w:val="auto"/>
                      <w:kern w:val="0"/>
                      <w:szCs w:val="21"/>
                      <w:lang w:val="en-US" w:eastAsia="zh-CN"/>
                    </w:rPr>
                    <w:t>生活垃圾</w:t>
                  </w:r>
                </w:p>
              </w:tc>
              <w:tc>
                <w:tcPr>
                  <w:tcW w:w="670" w:type="pct"/>
                  <w:tcBorders>
                    <w:tl2br w:val="nil"/>
                    <w:tr2bl w:val="nil"/>
                  </w:tcBorders>
                  <w:shd w:val="clear" w:color="auto" w:fill="auto"/>
                  <w:vAlign w:val="center"/>
                </w:tcPr>
                <w:p w14:paraId="1F87C8EA">
                  <w:pPr>
                    <w:widowControl/>
                    <w:adjustRightInd w:val="0"/>
                    <w:snapToGrid w:val="0"/>
                    <w:jc w:val="center"/>
                    <w:textAlignment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员工生活</w:t>
                  </w:r>
                </w:p>
              </w:tc>
              <w:tc>
                <w:tcPr>
                  <w:tcW w:w="535" w:type="pct"/>
                  <w:tcBorders>
                    <w:tl2br w:val="nil"/>
                    <w:tr2bl w:val="nil"/>
                  </w:tcBorders>
                  <w:shd w:val="clear" w:color="auto" w:fill="auto"/>
                  <w:vAlign w:val="center"/>
                </w:tcPr>
                <w:p w14:paraId="0367FCA9">
                  <w:pPr>
                    <w:pStyle w:val="693"/>
                    <w:rPr>
                      <w:rFonts w:hint="eastAsia" w:ascii="Times New Roman" w:hAnsi="Times New Roman" w:eastAsia="宋体" w:cs="Times New Roman"/>
                      <w:b w:val="0"/>
                      <w:bCs/>
                      <w:snapToGrid w:val="0"/>
                      <w:color w:val="auto"/>
                      <w:kern w:val="0"/>
                      <w:sz w:val="21"/>
                      <w:szCs w:val="21"/>
                      <w:lang w:val="en-US" w:eastAsia="zh-CN" w:bidi="ar-SA"/>
                    </w:rPr>
                  </w:pPr>
                  <w:r>
                    <w:rPr>
                      <w:rFonts w:hint="eastAsia" w:eastAsia="宋体"/>
                      <w:b w:val="0"/>
                      <w:bCs/>
                      <w:color w:val="auto"/>
                      <w:kern w:val="0"/>
                      <w:lang w:val="en-US" w:eastAsia="zh-CN"/>
                    </w:rPr>
                    <w:t>生活垃圾</w:t>
                  </w:r>
                </w:p>
              </w:tc>
              <w:tc>
                <w:tcPr>
                  <w:tcW w:w="1428" w:type="dxa"/>
                  <w:tcBorders>
                    <w:tl2br w:val="nil"/>
                    <w:tr2bl w:val="nil"/>
                  </w:tcBorders>
                  <w:shd w:val="clear" w:color="auto" w:fill="auto"/>
                  <w:vAlign w:val="center"/>
                </w:tcPr>
                <w:p w14:paraId="6B219E8E">
                  <w:pPr>
                    <w:pStyle w:val="55"/>
                    <w:widowControl w:val="0"/>
                    <w:ind w:left="-30" w:leftChars="0" w:right="-30" w:rightChars="0"/>
                    <w:rPr>
                      <w:rFonts w:ascii="Times New Roman" w:hAnsi="Times New Roman" w:eastAsia="宋体" w:cs="Times New Roman"/>
                      <w:b/>
                      <w:bCs/>
                      <w:snapToGrid w:val="0"/>
                      <w:color w:val="auto"/>
                      <w:kern w:val="0"/>
                      <w:sz w:val="24"/>
                      <w:szCs w:val="20"/>
                      <w:lang w:val="en-US" w:eastAsia="zh-CN" w:bidi="ar-SA"/>
                    </w:rPr>
                  </w:pPr>
                  <w:r>
                    <w:rPr>
                      <w:rFonts w:hint="eastAsia"/>
                      <w:b w:val="0"/>
                      <w:bCs w:val="0"/>
                      <w:color w:val="auto"/>
                      <w:sz w:val="21"/>
                      <w:szCs w:val="21"/>
                    </w:rPr>
                    <w:t>900-099-S64</w:t>
                  </w:r>
                </w:p>
              </w:tc>
              <w:tc>
                <w:tcPr>
                  <w:tcW w:w="1056" w:type="dxa"/>
                  <w:tcBorders>
                    <w:tl2br w:val="nil"/>
                    <w:tr2bl w:val="nil"/>
                  </w:tcBorders>
                  <w:shd w:val="clear" w:color="auto" w:fill="auto"/>
                  <w:vAlign w:val="center"/>
                </w:tcPr>
                <w:p w14:paraId="6A23D6E3">
                  <w:pPr>
                    <w:pStyle w:val="5"/>
                    <w:adjustRightInd w:val="0"/>
                    <w:snapToGrid w:val="0"/>
                    <w:ind w:firstLine="0" w:firstLineChars="0"/>
                    <w:jc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szCs w:val="21"/>
                      <w:lang w:val="en-US" w:eastAsia="zh-CN"/>
                    </w:rPr>
                    <w:t>9</w:t>
                  </w:r>
                </w:p>
              </w:tc>
              <w:tc>
                <w:tcPr>
                  <w:tcW w:w="745" w:type="pct"/>
                  <w:tcBorders>
                    <w:tl2br w:val="nil"/>
                    <w:tr2bl w:val="nil"/>
                  </w:tcBorders>
                  <w:shd w:val="clear" w:color="auto" w:fill="auto"/>
                  <w:vAlign w:val="center"/>
                </w:tcPr>
                <w:p w14:paraId="30DADBCB">
                  <w:pPr>
                    <w:adjustRightInd w:val="0"/>
                    <w:snapToGrid w:val="0"/>
                    <w:jc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环卫清运</w:t>
                  </w:r>
                </w:p>
              </w:tc>
              <w:tc>
                <w:tcPr>
                  <w:tcW w:w="760" w:type="pct"/>
                  <w:tcBorders>
                    <w:tl2br w:val="nil"/>
                    <w:tr2bl w:val="nil"/>
                  </w:tcBorders>
                  <w:shd w:val="clear" w:color="auto" w:fill="auto"/>
                  <w:vAlign w:val="center"/>
                </w:tcPr>
                <w:p w14:paraId="7950976B">
                  <w:pPr>
                    <w:adjustRightInd w:val="0"/>
                    <w:snapToGrid w:val="0"/>
                    <w:jc w:val="center"/>
                    <w:rPr>
                      <w:rFonts w:hint="eastAsia" w:ascii="Times New Roman" w:hAnsi="Times New Roman" w:eastAsia="宋体" w:cs="Times New Roman"/>
                      <w:snapToGrid w:val="0"/>
                      <w:color w:val="auto"/>
                      <w:kern w:val="0"/>
                      <w:sz w:val="21"/>
                      <w:szCs w:val="21"/>
                      <w:lang w:val="en-US" w:eastAsia="zh-CN" w:bidi="ar-SA"/>
                    </w:rPr>
                  </w:pPr>
                  <w:r>
                    <w:rPr>
                      <w:rFonts w:hint="eastAsia"/>
                      <w:color w:val="auto"/>
                      <w:kern w:val="0"/>
                      <w:lang w:val="en-US" w:eastAsia="zh-CN"/>
                    </w:rPr>
                    <w:t>环卫清运</w:t>
                  </w:r>
                </w:p>
              </w:tc>
            </w:tr>
          </w:tbl>
          <w:p w14:paraId="10F6A676">
            <w:pPr>
              <w:pStyle w:val="697"/>
              <w:adjustRightInd w:val="0"/>
              <w:snapToGrid w:val="0"/>
              <w:spacing w:line="360" w:lineRule="auto"/>
              <w:ind w:firstLine="422"/>
              <w:jc w:val="both"/>
              <w:rPr>
                <w:rFonts w:eastAsia="宋体"/>
                <w:b/>
                <w:bCs/>
                <w:color w:val="auto"/>
                <w:kern w:val="0"/>
                <w:sz w:val="21"/>
                <w:szCs w:val="21"/>
              </w:rPr>
            </w:pPr>
            <w:r>
              <w:rPr>
                <w:rFonts w:eastAsia="宋体"/>
                <w:b/>
                <w:bCs/>
                <w:color w:val="auto"/>
                <w:kern w:val="0"/>
                <w:sz w:val="21"/>
                <w:szCs w:val="21"/>
              </w:rPr>
              <w:t>（</w:t>
            </w:r>
            <w:r>
              <w:rPr>
                <w:rFonts w:hint="eastAsia" w:eastAsia="宋体"/>
                <w:b/>
                <w:bCs/>
                <w:color w:val="auto"/>
                <w:kern w:val="0"/>
                <w:sz w:val="21"/>
                <w:szCs w:val="21"/>
              </w:rPr>
              <w:t>4</w:t>
            </w:r>
            <w:r>
              <w:rPr>
                <w:rFonts w:eastAsia="宋体"/>
                <w:b/>
                <w:bCs/>
                <w:color w:val="auto"/>
                <w:kern w:val="0"/>
                <w:sz w:val="21"/>
                <w:szCs w:val="21"/>
              </w:rPr>
              <w:t>）固体废物防治措施</w:t>
            </w:r>
          </w:p>
          <w:p w14:paraId="36B2F7F2">
            <w:pPr>
              <w:adjustRightInd w:val="0"/>
              <w:snapToGrid w:val="0"/>
              <w:spacing w:line="360" w:lineRule="auto"/>
              <w:ind w:firstLine="420" w:firstLineChars="200"/>
              <w:rPr>
                <w:color w:val="auto"/>
                <w:kern w:val="0"/>
              </w:rPr>
            </w:pPr>
            <w:r>
              <w:rPr>
                <w:color w:val="auto"/>
                <w:kern w:val="0"/>
              </w:rPr>
              <w:t>本项目产生的</w:t>
            </w:r>
            <w:r>
              <w:rPr>
                <w:rFonts w:hint="eastAsia"/>
                <w:color w:val="auto"/>
                <w:kern w:val="0"/>
              </w:rPr>
              <w:t>一般固废为</w:t>
            </w:r>
            <w:r>
              <w:rPr>
                <w:rFonts w:hint="eastAsia"/>
                <w:color w:val="auto"/>
                <w:kern w:val="0"/>
                <w:lang w:val="en-US" w:eastAsia="zh-CN"/>
              </w:rPr>
              <w:t>木屑、边角料、废抹布、废砂纸、收集尘、废布袋，</w:t>
            </w:r>
            <w:r>
              <w:rPr>
                <w:rFonts w:hint="eastAsia"/>
                <w:color w:val="auto"/>
                <w:kern w:val="0"/>
              </w:rPr>
              <w:t>收集后外售处置；</w:t>
            </w:r>
            <w:r>
              <w:rPr>
                <w:color w:val="auto"/>
                <w:kern w:val="0"/>
              </w:rPr>
              <w:t>危险废物</w:t>
            </w:r>
            <w:r>
              <w:rPr>
                <w:rFonts w:hint="eastAsia"/>
                <w:color w:val="auto"/>
                <w:kern w:val="0"/>
              </w:rPr>
              <w:t>为</w:t>
            </w:r>
            <w:r>
              <w:rPr>
                <w:rFonts w:hint="eastAsia"/>
                <w:color w:val="auto"/>
                <w:kern w:val="0"/>
                <w:lang w:val="en-US" w:eastAsia="zh-CN"/>
              </w:rPr>
              <w:t>擦色废物、含漆废物、漆渣、水帘废液、喷枪清洗废液、废包装桶、干式内循环打磨处理器收集尘、废活性炭</w:t>
            </w:r>
            <w:r>
              <w:rPr>
                <w:rFonts w:hint="eastAsia"/>
                <w:color w:val="auto"/>
                <w:kern w:val="0"/>
              </w:rPr>
              <w:t>，</w:t>
            </w:r>
            <w:r>
              <w:rPr>
                <w:color w:val="auto"/>
                <w:kern w:val="0"/>
              </w:rPr>
              <w:t>收集后委托有资质单位</w:t>
            </w:r>
            <w:r>
              <w:rPr>
                <w:rFonts w:hint="eastAsia"/>
                <w:color w:val="auto"/>
                <w:kern w:val="0"/>
              </w:rPr>
              <w:t>处置；生活垃圾委托环卫部门清运</w:t>
            </w:r>
            <w:r>
              <w:rPr>
                <w:color w:val="auto"/>
                <w:kern w:val="0"/>
              </w:rPr>
              <w:t>。</w:t>
            </w:r>
          </w:p>
          <w:p w14:paraId="037D9F58">
            <w:pPr>
              <w:adjustRightInd w:val="0"/>
              <w:snapToGrid w:val="0"/>
              <w:spacing w:line="360" w:lineRule="auto"/>
              <w:ind w:firstLine="422" w:firstLineChars="200"/>
              <w:rPr>
                <w:b/>
                <w:bCs/>
                <w:color w:val="auto"/>
                <w:kern w:val="0"/>
              </w:rPr>
            </w:pPr>
            <w:r>
              <w:rPr>
                <w:b/>
                <w:bCs/>
                <w:color w:val="auto"/>
                <w:kern w:val="0"/>
              </w:rPr>
              <w:t>①危险废物防治措施</w:t>
            </w:r>
          </w:p>
          <w:p w14:paraId="2F4A90EB">
            <w:pPr>
              <w:adjustRightInd w:val="0"/>
              <w:snapToGrid w:val="0"/>
              <w:spacing w:line="360" w:lineRule="auto"/>
              <w:ind w:firstLine="422" w:firstLineChars="200"/>
              <w:rPr>
                <w:b/>
                <w:bCs/>
                <w:color w:val="auto"/>
                <w:kern w:val="0"/>
              </w:rPr>
            </w:pPr>
            <w:r>
              <w:rPr>
                <w:rFonts w:hint="eastAsia"/>
                <w:b/>
                <w:bCs/>
                <w:color w:val="auto"/>
                <w:kern w:val="0"/>
              </w:rPr>
              <w:t>1）</w:t>
            </w:r>
            <w:r>
              <w:rPr>
                <w:b/>
                <w:bCs/>
                <w:color w:val="auto"/>
                <w:kern w:val="0"/>
              </w:rPr>
              <w:t>危险废物贮存场所环境影响分析</w:t>
            </w:r>
          </w:p>
          <w:p w14:paraId="5C2074C8">
            <w:pPr>
              <w:autoSpaceDE w:val="0"/>
              <w:autoSpaceDN w:val="0"/>
              <w:adjustRightInd w:val="0"/>
              <w:snapToGrid w:val="0"/>
              <w:spacing w:line="360" w:lineRule="auto"/>
              <w:ind w:firstLine="420" w:firstLineChars="200"/>
              <w:rPr>
                <w:color w:val="auto"/>
                <w:kern w:val="0"/>
              </w:rPr>
            </w:pPr>
            <w:r>
              <w:rPr>
                <w:color w:val="auto"/>
                <w:kern w:val="0"/>
              </w:rPr>
              <w:t>本项目危险废物贮存场所基本情况详见</w:t>
            </w:r>
            <w:r>
              <w:rPr>
                <w:rFonts w:hint="eastAsia"/>
                <w:color w:val="auto"/>
                <w:kern w:val="0"/>
              </w:rPr>
              <w:t>下表</w:t>
            </w:r>
            <w:r>
              <w:rPr>
                <w:color w:val="auto"/>
                <w:kern w:val="0"/>
              </w:rPr>
              <w:t>。</w:t>
            </w:r>
          </w:p>
          <w:p w14:paraId="106A52DC">
            <w:pPr>
              <w:jc w:val="center"/>
              <w:rPr>
                <w:b/>
                <w:color w:val="auto"/>
                <w:kern w:val="0"/>
              </w:rPr>
            </w:pPr>
            <w:r>
              <w:rPr>
                <w:b/>
                <w:color w:val="auto"/>
                <w:kern w:val="0"/>
              </w:rPr>
              <w:t>表4-</w:t>
            </w:r>
            <w:r>
              <w:rPr>
                <w:rFonts w:hint="eastAsia"/>
                <w:b/>
                <w:color w:val="auto"/>
                <w:kern w:val="0"/>
                <w:lang w:val="en-US" w:eastAsia="zh-CN"/>
              </w:rPr>
              <w:t>24</w:t>
            </w:r>
            <w:r>
              <w:rPr>
                <w:rFonts w:hint="eastAsia"/>
                <w:b/>
                <w:color w:val="auto"/>
                <w:kern w:val="0"/>
              </w:rPr>
              <w:t xml:space="preserve">   </w:t>
            </w:r>
            <w:r>
              <w:rPr>
                <w:b/>
                <w:color w:val="auto"/>
                <w:kern w:val="0"/>
              </w:rPr>
              <w:t>危险废物贮存场所基本情况表</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28" w:type="dxa"/>
                <w:bottom w:w="0" w:type="dxa"/>
                <w:right w:w="28" w:type="dxa"/>
              </w:tblCellMar>
            </w:tblPr>
            <w:tblGrid>
              <w:gridCol w:w="1212"/>
              <w:gridCol w:w="567"/>
              <w:gridCol w:w="808"/>
              <w:gridCol w:w="1278"/>
              <w:gridCol w:w="819"/>
              <w:gridCol w:w="932"/>
              <w:gridCol w:w="929"/>
              <w:gridCol w:w="736"/>
              <w:gridCol w:w="787"/>
              <w:gridCol w:w="788"/>
            </w:tblGrid>
            <w:tr w14:paraId="13D451C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684" w:type="pct"/>
                  <w:vAlign w:val="center"/>
                </w:tcPr>
                <w:p w14:paraId="2B57E297">
                  <w:pPr>
                    <w:pStyle w:val="696"/>
                    <w:keepNext w:val="0"/>
                    <w:keepLines w:val="0"/>
                    <w:pageBreakBefore w:val="0"/>
                    <w:widowControl w:val="0"/>
                    <w:kinsoku/>
                    <w:wordWrap/>
                    <w:overflowPunct/>
                    <w:topLinePunct w:val="0"/>
                    <w:autoSpaceDE/>
                    <w:autoSpaceDN/>
                    <w:bidi w:val="0"/>
                    <w:adjustRightInd w:val="0"/>
                    <w:snapToGrid w:val="0"/>
                    <w:jc w:val="center"/>
                    <w:textAlignment w:val="auto"/>
                    <w:rPr>
                      <w:b/>
                      <w:color w:val="auto"/>
                      <w:kern w:val="0"/>
                    </w:rPr>
                  </w:pPr>
                  <w:r>
                    <w:rPr>
                      <w:b/>
                      <w:color w:val="auto"/>
                      <w:kern w:val="0"/>
                    </w:rPr>
                    <w:t>固体废物名称</w:t>
                  </w:r>
                </w:p>
              </w:tc>
              <w:tc>
                <w:tcPr>
                  <w:tcW w:w="320" w:type="pct"/>
                  <w:vAlign w:val="center"/>
                </w:tcPr>
                <w:p w14:paraId="7020A21B">
                  <w:pPr>
                    <w:pStyle w:val="696"/>
                    <w:keepNext w:val="0"/>
                    <w:keepLines w:val="0"/>
                    <w:pageBreakBefore w:val="0"/>
                    <w:widowControl w:val="0"/>
                    <w:kinsoku/>
                    <w:wordWrap/>
                    <w:overflowPunct/>
                    <w:topLinePunct w:val="0"/>
                    <w:autoSpaceDE/>
                    <w:autoSpaceDN/>
                    <w:bidi w:val="0"/>
                    <w:adjustRightInd w:val="0"/>
                    <w:snapToGrid w:val="0"/>
                    <w:jc w:val="center"/>
                    <w:textAlignment w:val="auto"/>
                    <w:rPr>
                      <w:b/>
                      <w:color w:val="auto"/>
                      <w:kern w:val="0"/>
                    </w:rPr>
                  </w:pPr>
                  <w:r>
                    <w:rPr>
                      <w:b/>
                      <w:color w:val="auto"/>
                      <w:kern w:val="0"/>
                    </w:rPr>
                    <w:t>贮存场所</w:t>
                  </w:r>
                </w:p>
              </w:tc>
              <w:tc>
                <w:tcPr>
                  <w:tcW w:w="456" w:type="pct"/>
                  <w:vAlign w:val="center"/>
                </w:tcPr>
                <w:p w14:paraId="1CC8849A">
                  <w:pPr>
                    <w:pStyle w:val="696"/>
                    <w:keepNext w:val="0"/>
                    <w:keepLines w:val="0"/>
                    <w:pageBreakBefore w:val="0"/>
                    <w:widowControl w:val="0"/>
                    <w:kinsoku/>
                    <w:wordWrap/>
                    <w:overflowPunct/>
                    <w:topLinePunct w:val="0"/>
                    <w:autoSpaceDE/>
                    <w:autoSpaceDN/>
                    <w:bidi w:val="0"/>
                    <w:adjustRightInd w:val="0"/>
                    <w:snapToGrid w:val="0"/>
                    <w:jc w:val="center"/>
                    <w:textAlignment w:val="auto"/>
                    <w:rPr>
                      <w:b/>
                      <w:color w:val="auto"/>
                      <w:kern w:val="0"/>
                    </w:rPr>
                  </w:pPr>
                  <w:r>
                    <w:rPr>
                      <w:b/>
                      <w:color w:val="auto"/>
                      <w:kern w:val="0"/>
                    </w:rPr>
                    <w:t>危废类别</w:t>
                  </w:r>
                </w:p>
              </w:tc>
              <w:tc>
                <w:tcPr>
                  <w:tcW w:w="721" w:type="pct"/>
                  <w:vAlign w:val="center"/>
                </w:tcPr>
                <w:p w14:paraId="1D02DCAC">
                  <w:pPr>
                    <w:pStyle w:val="696"/>
                    <w:keepNext w:val="0"/>
                    <w:keepLines w:val="0"/>
                    <w:pageBreakBefore w:val="0"/>
                    <w:widowControl w:val="0"/>
                    <w:kinsoku/>
                    <w:wordWrap/>
                    <w:overflowPunct/>
                    <w:topLinePunct w:val="0"/>
                    <w:autoSpaceDE/>
                    <w:autoSpaceDN/>
                    <w:bidi w:val="0"/>
                    <w:adjustRightInd w:val="0"/>
                    <w:snapToGrid w:val="0"/>
                    <w:jc w:val="center"/>
                    <w:textAlignment w:val="auto"/>
                    <w:rPr>
                      <w:b/>
                      <w:color w:val="auto"/>
                      <w:kern w:val="0"/>
                    </w:rPr>
                  </w:pPr>
                  <w:r>
                    <w:rPr>
                      <w:b/>
                      <w:color w:val="auto"/>
                      <w:kern w:val="0"/>
                    </w:rPr>
                    <w:t>废物代码</w:t>
                  </w:r>
                </w:p>
              </w:tc>
              <w:tc>
                <w:tcPr>
                  <w:tcW w:w="462" w:type="pct"/>
                  <w:vAlign w:val="center"/>
                </w:tcPr>
                <w:p w14:paraId="7F463570">
                  <w:pPr>
                    <w:pStyle w:val="696"/>
                    <w:keepNext w:val="0"/>
                    <w:keepLines w:val="0"/>
                    <w:pageBreakBefore w:val="0"/>
                    <w:widowControl w:val="0"/>
                    <w:kinsoku/>
                    <w:wordWrap/>
                    <w:overflowPunct/>
                    <w:topLinePunct w:val="0"/>
                    <w:autoSpaceDE/>
                    <w:autoSpaceDN/>
                    <w:bidi w:val="0"/>
                    <w:adjustRightInd w:val="0"/>
                    <w:snapToGrid w:val="0"/>
                    <w:jc w:val="center"/>
                    <w:textAlignment w:val="auto"/>
                    <w:rPr>
                      <w:b/>
                      <w:color w:val="auto"/>
                      <w:kern w:val="0"/>
                    </w:rPr>
                  </w:pPr>
                  <w:r>
                    <w:rPr>
                      <w:b/>
                      <w:color w:val="auto"/>
                      <w:kern w:val="0"/>
                    </w:rPr>
                    <w:t>产生量t/a</w:t>
                  </w:r>
                </w:p>
              </w:tc>
              <w:tc>
                <w:tcPr>
                  <w:tcW w:w="526" w:type="pct"/>
                  <w:vAlign w:val="center"/>
                </w:tcPr>
                <w:p w14:paraId="6F153DB5">
                  <w:pPr>
                    <w:pStyle w:val="696"/>
                    <w:keepNext w:val="0"/>
                    <w:keepLines w:val="0"/>
                    <w:pageBreakBefore w:val="0"/>
                    <w:widowControl w:val="0"/>
                    <w:kinsoku/>
                    <w:wordWrap/>
                    <w:overflowPunct/>
                    <w:topLinePunct w:val="0"/>
                    <w:autoSpaceDE/>
                    <w:autoSpaceDN/>
                    <w:bidi w:val="0"/>
                    <w:adjustRightInd w:val="0"/>
                    <w:snapToGrid w:val="0"/>
                    <w:jc w:val="center"/>
                    <w:textAlignment w:val="auto"/>
                    <w:rPr>
                      <w:b/>
                      <w:color w:val="auto"/>
                      <w:kern w:val="0"/>
                    </w:rPr>
                  </w:pPr>
                  <w:r>
                    <w:rPr>
                      <w:rFonts w:hint="eastAsia"/>
                      <w:b/>
                      <w:color w:val="auto"/>
                      <w:kern w:val="0"/>
                    </w:rPr>
                    <w:t>暂存</w:t>
                  </w:r>
                  <w:r>
                    <w:rPr>
                      <w:b/>
                      <w:color w:val="auto"/>
                      <w:kern w:val="0"/>
                    </w:rPr>
                    <w:t>量t/a</w:t>
                  </w:r>
                </w:p>
              </w:tc>
              <w:tc>
                <w:tcPr>
                  <w:tcW w:w="524" w:type="pct"/>
                  <w:vAlign w:val="center"/>
                </w:tcPr>
                <w:p w14:paraId="3E427044">
                  <w:pPr>
                    <w:pStyle w:val="696"/>
                    <w:keepNext w:val="0"/>
                    <w:keepLines w:val="0"/>
                    <w:pageBreakBefore w:val="0"/>
                    <w:widowControl w:val="0"/>
                    <w:kinsoku/>
                    <w:wordWrap/>
                    <w:overflowPunct/>
                    <w:topLinePunct w:val="0"/>
                    <w:autoSpaceDE/>
                    <w:autoSpaceDN/>
                    <w:bidi w:val="0"/>
                    <w:adjustRightInd w:val="0"/>
                    <w:snapToGrid w:val="0"/>
                    <w:jc w:val="center"/>
                    <w:textAlignment w:val="auto"/>
                    <w:rPr>
                      <w:b/>
                      <w:color w:val="auto"/>
                      <w:kern w:val="0"/>
                    </w:rPr>
                  </w:pPr>
                  <w:r>
                    <w:rPr>
                      <w:b/>
                      <w:color w:val="auto"/>
                      <w:kern w:val="0"/>
                    </w:rPr>
                    <w:t>占地面积m</w:t>
                  </w:r>
                  <w:r>
                    <w:rPr>
                      <w:b/>
                      <w:color w:val="auto"/>
                      <w:kern w:val="0"/>
                      <w:vertAlign w:val="superscript"/>
                    </w:rPr>
                    <w:t>2</w:t>
                  </w:r>
                </w:p>
              </w:tc>
              <w:tc>
                <w:tcPr>
                  <w:tcW w:w="415" w:type="pct"/>
                  <w:vAlign w:val="center"/>
                </w:tcPr>
                <w:p w14:paraId="41D8E7F3">
                  <w:pPr>
                    <w:pStyle w:val="696"/>
                    <w:keepNext w:val="0"/>
                    <w:keepLines w:val="0"/>
                    <w:pageBreakBefore w:val="0"/>
                    <w:widowControl w:val="0"/>
                    <w:kinsoku/>
                    <w:wordWrap/>
                    <w:overflowPunct/>
                    <w:topLinePunct w:val="0"/>
                    <w:autoSpaceDE/>
                    <w:autoSpaceDN/>
                    <w:bidi w:val="0"/>
                    <w:adjustRightInd w:val="0"/>
                    <w:snapToGrid w:val="0"/>
                    <w:jc w:val="center"/>
                    <w:textAlignment w:val="auto"/>
                    <w:rPr>
                      <w:b/>
                      <w:color w:val="auto"/>
                      <w:kern w:val="0"/>
                    </w:rPr>
                  </w:pPr>
                  <w:r>
                    <w:rPr>
                      <w:b/>
                      <w:color w:val="auto"/>
                      <w:kern w:val="0"/>
                    </w:rPr>
                    <w:t>贮存方式</w:t>
                  </w:r>
                </w:p>
              </w:tc>
              <w:tc>
                <w:tcPr>
                  <w:tcW w:w="444" w:type="pct"/>
                  <w:vAlign w:val="center"/>
                </w:tcPr>
                <w:p w14:paraId="38E41C4A">
                  <w:pPr>
                    <w:pStyle w:val="696"/>
                    <w:keepNext w:val="0"/>
                    <w:keepLines w:val="0"/>
                    <w:pageBreakBefore w:val="0"/>
                    <w:widowControl w:val="0"/>
                    <w:kinsoku/>
                    <w:wordWrap/>
                    <w:overflowPunct/>
                    <w:topLinePunct w:val="0"/>
                    <w:autoSpaceDE/>
                    <w:autoSpaceDN/>
                    <w:bidi w:val="0"/>
                    <w:adjustRightInd w:val="0"/>
                    <w:snapToGrid w:val="0"/>
                    <w:jc w:val="center"/>
                    <w:textAlignment w:val="auto"/>
                    <w:rPr>
                      <w:b/>
                      <w:color w:val="auto"/>
                      <w:kern w:val="0"/>
                    </w:rPr>
                  </w:pPr>
                  <w:r>
                    <w:rPr>
                      <w:b/>
                      <w:color w:val="auto"/>
                      <w:kern w:val="0"/>
                    </w:rPr>
                    <w:t>贮存能力t</w:t>
                  </w:r>
                </w:p>
              </w:tc>
              <w:tc>
                <w:tcPr>
                  <w:tcW w:w="444" w:type="pct"/>
                  <w:vAlign w:val="center"/>
                </w:tcPr>
                <w:p w14:paraId="244EC094">
                  <w:pPr>
                    <w:pStyle w:val="696"/>
                    <w:keepNext w:val="0"/>
                    <w:keepLines w:val="0"/>
                    <w:pageBreakBefore w:val="0"/>
                    <w:widowControl w:val="0"/>
                    <w:kinsoku/>
                    <w:wordWrap/>
                    <w:overflowPunct/>
                    <w:topLinePunct w:val="0"/>
                    <w:autoSpaceDE/>
                    <w:autoSpaceDN/>
                    <w:bidi w:val="0"/>
                    <w:adjustRightInd w:val="0"/>
                    <w:snapToGrid w:val="0"/>
                    <w:jc w:val="center"/>
                    <w:textAlignment w:val="auto"/>
                    <w:rPr>
                      <w:b/>
                      <w:color w:val="auto"/>
                      <w:kern w:val="0"/>
                    </w:rPr>
                  </w:pPr>
                  <w:r>
                    <w:rPr>
                      <w:b/>
                      <w:color w:val="auto"/>
                      <w:kern w:val="0"/>
                    </w:rPr>
                    <w:t>贮存周期</w:t>
                  </w:r>
                </w:p>
              </w:tc>
            </w:tr>
            <w:tr w14:paraId="698D7F1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jc w:val="center"/>
              </w:trPr>
              <w:tc>
                <w:tcPr>
                  <w:tcW w:w="684" w:type="pct"/>
                  <w:vAlign w:val="center"/>
                </w:tcPr>
                <w:p w14:paraId="54A1CBAE">
                  <w:pPr>
                    <w:pStyle w:val="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b w:val="0"/>
                      <w:bCs/>
                      <w:color w:val="auto"/>
                      <w:kern w:val="0"/>
                    </w:rPr>
                  </w:pPr>
                  <w:r>
                    <w:rPr>
                      <w:rFonts w:hint="eastAsia"/>
                      <w:bCs/>
                      <w:color w:val="auto"/>
                      <w:kern w:val="0"/>
                      <w:szCs w:val="21"/>
                      <w:lang w:val="en-US" w:eastAsia="zh-CN"/>
                    </w:rPr>
                    <w:t>擦色废物</w:t>
                  </w:r>
                </w:p>
              </w:tc>
              <w:tc>
                <w:tcPr>
                  <w:tcW w:w="320" w:type="pct"/>
                  <w:vMerge w:val="restart"/>
                  <w:vAlign w:val="center"/>
                </w:tcPr>
                <w:p w14:paraId="6CC6DDE2">
                  <w:pPr>
                    <w:pStyle w:val="696"/>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kern w:val="0"/>
                      <w:lang w:val="en-US" w:eastAsia="zh-CN"/>
                    </w:rPr>
                  </w:pPr>
                  <w:r>
                    <w:rPr>
                      <w:rFonts w:hint="eastAsia"/>
                      <w:color w:val="auto"/>
                      <w:kern w:val="0"/>
                      <w:lang w:val="en-US" w:eastAsia="zh-CN"/>
                    </w:rPr>
                    <w:t>危废仓库</w:t>
                  </w:r>
                </w:p>
              </w:tc>
              <w:tc>
                <w:tcPr>
                  <w:tcW w:w="456" w:type="pct"/>
                  <w:vAlign w:val="center"/>
                </w:tcPr>
                <w:p w14:paraId="78EF22FC">
                  <w:pPr>
                    <w:keepNext w:val="0"/>
                    <w:keepLines w:val="0"/>
                    <w:pageBreakBefore w:val="0"/>
                    <w:widowControl w:val="0"/>
                    <w:kinsoku/>
                    <w:wordWrap/>
                    <w:overflowPunct/>
                    <w:topLinePunct w:val="0"/>
                    <w:autoSpaceDE/>
                    <w:autoSpaceDN/>
                    <w:bidi w:val="0"/>
                    <w:adjustRightInd w:val="0"/>
                    <w:snapToGrid w:val="0"/>
                    <w:contextualSpacing/>
                    <w:jc w:val="center"/>
                    <w:textAlignment w:val="auto"/>
                    <w:rPr>
                      <w:b w:val="0"/>
                      <w:bCs/>
                      <w:color w:val="auto"/>
                      <w:kern w:val="0"/>
                    </w:rPr>
                  </w:pPr>
                  <w:r>
                    <w:rPr>
                      <w:rFonts w:hint="eastAsia"/>
                      <w:color w:val="auto"/>
                      <w:kern w:val="0"/>
                      <w:lang w:val="en-US" w:eastAsia="zh-CN"/>
                    </w:rPr>
                    <w:t>HW12</w:t>
                  </w:r>
                </w:p>
              </w:tc>
              <w:tc>
                <w:tcPr>
                  <w:tcW w:w="721" w:type="pct"/>
                  <w:vAlign w:val="center"/>
                </w:tcPr>
                <w:p w14:paraId="72FFC182">
                  <w:pPr>
                    <w:keepNext w:val="0"/>
                    <w:keepLines w:val="0"/>
                    <w:pageBreakBefore w:val="0"/>
                    <w:widowControl w:val="0"/>
                    <w:kinsoku/>
                    <w:wordWrap/>
                    <w:overflowPunct/>
                    <w:topLinePunct w:val="0"/>
                    <w:autoSpaceDE/>
                    <w:autoSpaceDN/>
                    <w:bidi w:val="0"/>
                    <w:adjustRightInd w:val="0"/>
                    <w:snapToGrid w:val="0"/>
                    <w:contextualSpacing/>
                    <w:jc w:val="center"/>
                    <w:textAlignment w:val="auto"/>
                    <w:rPr>
                      <w:b w:val="0"/>
                      <w:bCs/>
                      <w:color w:val="auto"/>
                      <w:kern w:val="0"/>
                    </w:rPr>
                  </w:pPr>
                  <w:r>
                    <w:rPr>
                      <w:rFonts w:hint="eastAsia"/>
                      <w:color w:val="auto"/>
                      <w:kern w:val="0"/>
                      <w:lang w:val="en-US" w:eastAsia="zh-CN"/>
                    </w:rPr>
                    <w:t>900-252-12</w:t>
                  </w:r>
                </w:p>
              </w:tc>
              <w:tc>
                <w:tcPr>
                  <w:tcW w:w="462" w:type="pct"/>
                  <w:vAlign w:val="center"/>
                </w:tcPr>
                <w:p w14:paraId="46E28015">
                  <w:pPr>
                    <w:pStyle w:val="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b w:val="0"/>
                      <w:bCs/>
                      <w:color w:val="auto"/>
                      <w:kern w:val="0"/>
                    </w:rPr>
                  </w:pPr>
                  <w:r>
                    <w:rPr>
                      <w:rFonts w:hint="eastAsia"/>
                      <w:color w:val="auto"/>
                      <w:kern w:val="0"/>
                      <w:szCs w:val="21"/>
                      <w:lang w:val="en-US" w:eastAsia="zh-CN"/>
                    </w:rPr>
                    <w:t>0.3</w:t>
                  </w:r>
                </w:p>
              </w:tc>
              <w:tc>
                <w:tcPr>
                  <w:tcW w:w="526" w:type="pct"/>
                  <w:vAlign w:val="center"/>
                </w:tcPr>
                <w:p w14:paraId="24027317">
                  <w:pPr>
                    <w:pStyle w:val="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0.075</w:t>
                  </w:r>
                </w:p>
              </w:tc>
              <w:tc>
                <w:tcPr>
                  <w:tcW w:w="524" w:type="pct"/>
                  <w:vAlign w:val="center"/>
                </w:tcPr>
                <w:p w14:paraId="72A8ABE9">
                  <w:pPr>
                    <w:pStyle w:val="698"/>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b w:val="0"/>
                      <w:bCs/>
                      <w:color w:val="auto"/>
                      <w:kern w:val="0"/>
                      <w:lang w:val="en-US" w:eastAsia="zh-CN"/>
                    </w:rPr>
                  </w:pPr>
                  <w:r>
                    <w:rPr>
                      <w:rFonts w:hint="eastAsia" w:eastAsia="宋体"/>
                      <w:b w:val="0"/>
                      <w:bCs/>
                      <w:color w:val="auto"/>
                      <w:kern w:val="0"/>
                      <w:lang w:val="en-US" w:eastAsia="zh-CN"/>
                    </w:rPr>
                    <w:t>1</w:t>
                  </w:r>
                </w:p>
              </w:tc>
              <w:tc>
                <w:tcPr>
                  <w:tcW w:w="415" w:type="pct"/>
                  <w:vAlign w:val="center"/>
                </w:tcPr>
                <w:p w14:paraId="070BAD4D">
                  <w:pPr>
                    <w:pStyle w:val="696"/>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b w:val="0"/>
                      <w:bCs/>
                      <w:color w:val="auto"/>
                      <w:kern w:val="0"/>
                      <w:lang w:val="en-US" w:eastAsia="zh-CN"/>
                    </w:rPr>
                  </w:pPr>
                  <w:r>
                    <w:rPr>
                      <w:rFonts w:hint="eastAsia"/>
                      <w:b w:val="0"/>
                      <w:bCs/>
                      <w:color w:val="auto"/>
                      <w:kern w:val="0"/>
                      <w:lang w:val="en-US" w:eastAsia="zh-CN"/>
                    </w:rPr>
                    <w:t>袋装</w:t>
                  </w:r>
                </w:p>
              </w:tc>
              <w:tc>
                <w:tcPr>
                  <w:tcW w:w="444" w:type="pct"/>
                  <w:shd w:val="clear" w:color="auto" w:fill="auto"/>
                  <w:vAlign w:val="center"/>
                </w:tcPr>
                <w:p w14:paraId="25E53016">
                  <w:pPr>
                    <w:pStyle w:val="69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snapToGrid w:val="0"/>
                      <w:color w:val="auto"/>
                      <w:kern w:val="0"/>
                      <w:sz w:val="21"/>
                      <w:szCs w:val="21"/>
                      <w:lang w:val="en-US" w:eastAsia="zh-CN" w:bidi="ar-SA"/>
                    </w:rPr>
                  </w:pPr>
                  <w:r>
                    <w:rPr>
                      <w:rFonts w:hint="eastAsia" w:eastAsia="宋体"/>
                      <w:b w:val="0"/>
                      <w:bCs/>
                      <w:color w:val="auto"/>
                      <w:kern w:val="0"/>
                      <w:lang w:val="en-US" w:eastAsia="zh-CN"/>
                    </w:rPr>
                    <w:t>0.1</w:t>
                  </w:r>
                </w:p>
              </w:tc>
              <w:tc>
                <w:tcPr>
                  <w:tcW w:w="444" w:type="pct"/>
                  <w:vAlign w:val="center"/>
                </w:tcPr>
                <w:p w14:paraId="01ADA5AC">
                  <w:pPr>
                    <w:keepNext w:val="0"/>
                    <w:keepLines w:val="0"/>
                    <w:pageBreakBefore w:val="0"/>
                    <w:widowControl w:val="0"/>
                    <w:kinsoku/>
                    <w:wordWrap/>
                    <w:overflowPunct/>
                    <w:topLinePunct w:val="0"/>
                    <w:autoSpaceDE/>
                    <w:autoSpaceDN/>
                    <w:bidi w:val="0"/>
                    <w:adjustRightInd w:val="0"/>
                    <w:snapToGrid w:val="0"/>
                    <w:jc w:val="center"/>
                    <w:textAlignment w:val="auto"/>
                    <w:rPr>
                      <w:b w:val="0"/>
                      <w:bCs/>
                      <w:color w:val="auto"/>
                      <w:kern w:val="0"/>
                    </w:rPr>
                  </w:pPr>
                  <w:r>
                    <w:rPr>
                      <w:rFonts w:hint="eastAsia"/>
                      <w:color w:val="auto"/>
                      <w:kern w:val="0"/>
                    </w:rPr>
                    <w:t>3个月</w:t>
                  </w:r>
                </w:p>
              </w:tc>
            </w:tr>
            <w:tr w14:paraId="12DFB7F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jc w:val="center"/>
              </w:trPr>
              <w:tc>
                <w:tcPr>
                  <w:tcW w:w="684" w:type="pct"/>
                  <w:vAlign w:val="center"/>
                </w:tcPr>
                <w:p w14:paraId="0C7AEB21">
                  <w:pPr>
                    <w:pStyle w:val="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b w:val="0"/>
                      <w:bCs/>
                      <w:color w:val="auto"/>
                      <w:kern w:val="0"/>
                    </w:rPr>
                  </w:pPr>
                  <w:r>
                    <w:rPr>
                      <w:rFonts w:hint="eastAsia"/>
                      <w:bCs/>
                      <w:color w:val="auto"/>
                      <w:kern w:val="0"/>
                      <w:szCs w:val="21"/>
                      <w:lang w:val="en-US" w:eastAsia="zh-CN"/>
                    </w:rPr>
                    <w:t>含漆废物</w:t>
                  </w:r>
                </w:p>
              </w:tc>
              <w:tc>
                <w:tcPr>
                  <w:tcW w:w="320" w:type="pct"/>
                  <w:vMerge w:val="continue"/>
                  <w:vAlign w:val="center"/>
                </w:tcPr>
                <w:p w14:paraId="5DBB1E37">
                  <w:pPr>
                    <w:pStyle w:val="696"/>
                    <w:keepNext w:val="0"/>
                    <w:keepLines w:val="0"/>
                    <w:pageBreakBefore w:val="0"/>
                    <w:widowControl w:val="0"/>
                    <w:kinsoku/>
                    <w:wordWrap/>
                    <w:overflowPunct/>
                    <w:topLinePunct w:val="0"/>
                    <w:autoSpaceDE/>
                    <w:autoSpaceDN/>
                    <w:bidi w:val="0"/>
                    <w:adjustRightInd w:val="0"/>
                    <w:snapToGrid w:val="0"/>
                    <w:jc w:val="center"/>
                    <w:textAlignment w:val="auto"/>
                    <w:rPr>
                      <w:b w:val="0"/>
                      <w:bCs/>
                      <w:color w:val="auto"/>
                      <w:kern w:val="0"/>
                    </w:rPr>
                  </w:pPr>
                </w:p>
              </w:tc>
              <w:tc>
                <w:tcPr>
                  <w:tcW w:w="456" w:type="pct"/>
                  <w:vAlign w:val="center"/>
                </w:tcPr>
                <w:p w14:paraId="2B8A8EB5">
                  <w:pPr>
                    <w:keepNext w:val="0"/>
                    <w:keepLines w:val="0"/>
                    <w:pageBreakBefore w:val="0"/>
                    <w:widowControl w:val="0"/>
                    <w:kinsoku/>
                    <w:wordWrap/>
                    <w:overflowPunct/>
                    <w:topLinePunct w:val="0"/>
                    <w:autoSpaceDE/>
                    <w:autoSpaceDN/>
                    <w:bidi w:val="0"/>
                    <w:adjustRightInd w:val="0"/>
                    <w:snapToGrid w:val="0"/>
                    <w:contextualSpacing/>
                    <w:jc w:val="center"/>
                    <w:textAlignment w:val="auto"/>
                    <w:rPr>
                      <w:b w:val="0"/>
                      <w:bCs/>
                      <w:color w:val="auto"/>
                      <w:kern w:val="0"/>
                    </w:rPr>
                  </w:pPr>
                  <w:r>
                    <w:rPr>
                      <w:rFonts w:hint="eastAsia"/>
                      <w:color w:val="auto"/>
                      <w:kern w:val="0"/>
                      <w:lang w:val="en-US" w:eastAsia="zh-CN"/>
                    </w:rPr>
                    <w:t>HW12</w:t>
                  </w:r>
                </w:p>
              </w:tc>
              <w:tc>
                <w:tcPr>
                  <w:tcW w:w="721" w:type="pct"/>
                  <w:vAlign w:val="center"/>
                </w:tcPr>
                <w:p w14:paraId="184F507A">
                  <w:pPr>
                    <w:keepNext w:val="0"/>
                    <w:keepLines w:val="0"/>
                    <w:pageBreakBefore w:val="0"/>
                    <w:widowControl w:val="0"/>
                    <w:kinsoku/>
                    <w:wordWrap/>
                    <w:overflowPunct/>
                    <w:topLinePunct w:val="0"/>
                    <w:autoSpaceDE/>
                    <w:autoSpaceDN/>
                    <w:bidi w:val="0"/>
                    <w:adjustRightInd w:val="0"/>
                    <w:snapToGrid w:val="0"/>
                    <w:contextualSpacing/>
                    <w:jc w:val="center"/>
                    <w:textAlignment w:val="auto"/>
                    <w:rPr>
                      <w:b w:val="0"/>
                      <w:bCs/>
                      <w:color w:val="auto"/>
                      <w:kern w:val="0"/>
                    </w:rPr>
                  </w:pPr>
                  <w:r>
                    <w:rPr>
                      <w:rFonts w:hint="eastAsia"/>
                      <w:color w:val="auto"/>
                      <w:kern w:val="0"/>
                      <w:lang w:val="en-US" w:eastAsia="zh-CN"/>
                    </w:rPr>
                    <w:t>900-252-12</w:t>
                  </w:r>
                </w:p>
              </w:tc>
              <w:tc>
                <w:tcPr>
                  <w:tcW w:w="462" w:type="pct"/>
                  <w:vAlign w:val="center"/>
                </w:tcPr>
                <w:p w14:paraId="40BE1019">
                  <w:pPr>
                    <w:pStyle w:val="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b w:val="0"/>
                      <w:bCs/>
                      <w:color w:val="auto"/>
                      <w:kern w:val="0"/>
                    </w:rPr>
                  </w:pPr>
                  <w:r>
                    <w:rPr>
                      <w:rFonts w:hint="eastAsia"/>
                      <w:color w:val="auto"/>
                      <w:kern w:val="0"/>
                      <w:szCs w:val="21"/>
                      <w:lang w:val="en-US" w:eastAsia="zh-CN"/>
                    </w:rPr>
                    <w:t>0.5</w:t>
                  </w:r>
                </w:p>
              </w:tc>
              <w:tc>
                <w:tcPr>
                  <w:tcW w:w="526" w:type="pct"/>
                  <w:vAlign w:val="center"/>
                </w:tcPr>
                <w:p w14:paraId="7C9A587C">
                  <w:pPr>
                    <w:pStyle w:val="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0.125</w:t>
                  </w:r>
                </w:p>
              </w:tc>
              <w:tc>
                <w:tcPr>
                  <w:tcW w:w="524" w:type="pct"/>
                  <w:vAlign w:val="center"/>
                </w:tcPr>
                <w:p w14:paraId="0CB4A6D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b w:val="0"/>
                      <w:bCs/>
                      <w:color w:val="auto"/>
                      <w:kern w:val="0"/>
                      <w:lang w:val="en-US" w:eastAsia="zh-CN"/>
                    </w:rPr>
                  </w:pPr>
                  <w:r>
                    <w:rPr>
                      <w:rFonts w:hint="eastAsia" w:eastAsia="宋体"/>
                      <w:b w:val="0"/>
                      <w:bCs/>
                      <w:color w:val="auto"/>
                      <w:kern w:val="0"/>
                      <w:lang w:val="en-US" w:eastAsia="zh-CN"/>
                    </w:rPr>
                    <w:t>1</w:t>
                  </w:r>
                </w:p>
              </w:tc>
              <w:tc>
                <w:tcPr>
                  <w:tcW w:w="415" w:type="pct"/>
                  <w:vAlign w:val="center"/>
                </w:tcPr>
                <w:p w14:paraId="6E85E9B9">
                  <w:pPr>
                    <w:pStyle w:val="696"/>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b w:val="0"/>
                      <w:bCs/>
                      <w:color w:val="auto"/>
                      <w:kern w:val="0"/>
                      <w:lang w:val="en-US" w:eastAsia="zh-CN"/>
                    </w:rPr>
                  </w:pPr>
                  <w:r>
                    <w:rPr>
                      <w:rFonts w:hint="eastAsia"/>
                      <w:b w:val="0"/>
                      <w:bCs/>
                      <w:color w:val="auto"/>
                      <w:kern w:val="0"/>
                      <w:lang w:val="en-US" w:eastAsia="zh-CN"/>
                    </w:rPr>
                    <w:t>袋装</w:t>
                  </w:r>
                </w:p>
              </w:tc>
              <w:tc>
                <w:tcPr>
                  <w:tcW w:w="444" w:type="pct"/>
                  <w:shd w:val="clear" w:color="auto" w:fill="auto"/>
                  <w:vAlign w:val="center"/>
                </w:tcPr>
                <w:p w14:paraId="690183D0">
                  <w:pPr>
                    <w:pStyle w:val="69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snapToGrid w:val="0"/>
                      <w:color w:val="auto"/>
                      <w:kern w:val="0"/>
                      <w:sz w:val="21"/>
                      <w:szCs w:val="21"/>
                      <w:lang w:val="en-US" w:eastAsia="zh-CN" w:bidi="ar-SA"/>
                    </w:rPr>
                  </w:pPr>
                  <w:r>
                    <w:rPr>
                      <w:rFonts w:hint="eastAsia" w:eastAsia="宋体"/>
                      <w:b w:val="0"/>
                      <w:bCs/>
                      <w:color w:val="auto"/>
                      <w:kern w:val="0"/>
                      <w:lang w:val="en-US" w:eastAsia="zh-CN"/>
                    </w:rPr>
                    <w:t>0.5</w:t>
                  </w:r>
                </w:p>
              </w:tc>
              <w:tc>
                <w:tcPr>
                  <w:tcW w:w="444" w:type="pct"/>
                  <w:vAlign w:val="center"/>
                </w:tcPr>
                <w:p w14:paraId="783EAEC1">
                  <w:pPr>
                    <w:keepNext w:val="0"/>
                    <w:keepLines w:val="0"/>
                    <w:pageBreakBefore w:val="0"/>
                    <w:widowControl w:val="0"/>
                    <w:kinsoku/>
                    <w:wordWrap/>
                    <w:overflowPunct/>
                    <w:topLinePunct w:val="0"/>
                    <w:autoSpaceDE/>
                    <w:autoSpaceDN/>
                    <w:bidi w:val="0"/>
                    <w:adjustRightInd w:val="0"/>
                    <w:snapToGrid w:val="0"/>
                    <w:jc w:val="center"/>
                    <w:textAlignment w:val="auto"/>
                    <w:rPr>
                      <w:b w:val="0"/>
                      <w:bCs/>
                      <w:color w:val="auto"/>
                      <w:kern w:val="0"/>
                    </w:rPr>
                  </w:pPr>
                  <w:r>
                    <w:rPr>
                      <w:rFonts w:hint="eastAsia"/>
                      <w:color w:val="auto"/>
                      <w:kern w:val="0"/>
                    </w:rPr>
                    <w:t>3个月</w:t>
                  </w:r>
                </w:p>
              </w:tc>
            </w:tr>
            <w:tr w14:paraId="0643EF5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jc w:val="center"/>
              </w:trPr>
              <w:tc>
                <w:tcPr>
                  <w:tcW w:w="684" w:type="pct"/>
                  <w:vAlign w:val="center"/>
                </w:tcPr>
                <w:p w14:paraId="4D9B45AC">
                  <w:pPr>
                    <w:pStyle w:val="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bCs/>
                      <w:color w:val="auto"/>
                      <w:kern w:val="0"/>
                      <w:szCs w:val="21"/>
                    </w:rPr>
                  </w:pPr>
                  <w:r>
                    <w:rPr>
                      <w:rFonts w:hint="eastAsia"/>
                      <w:bCs/>
                      <w:color w:val="auto"/>
                      <w:kern w:val="0"/>
                      <w:szCs w:val="21"/>
                      <w:lang w:val="en-US" w:eastAsia="zh-CN"/>
                    </w:rPr>
                    <w:t>漆渣</w:t>
                  </w:r>
                </w:p>
              </w:tc>
              <w:tc>
                <w:tcPr>
                  <w:tcW w:w="320" w:type="pct"/>
                  <w:vMerge w:val="continue"/>
                  <w:vAlign w:val="center"/>
                </w:tcPr>
                <w:p w14:paraId="02C126C9">
                  <w:pPr>
                    <w:pStyle w:val="696"/>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kern w:val="0"/>
                      <w:lang w:val="en-US" w:eastAsia="zh-CN"/>
                    </w:rPr>
                  </w:pPr>
                </w:p>
              </w:tc>
              <w:tc>
                <w:tcPr>
                  <w:tcW w:w="456" w:type="pct"/>
                  <w:vAlign w:val="center"/>
                </w:tcPr>
                <w:p w14:paraId="7EB2DE21">
                  <w:pPr>
                    <w:keepNext w:val="0"/>
                    <w:keepLines w:val="0"/>
                    <w:pageBreakBefore w:val="0"/>
                    <w:widowControl w:val="0"/>
                    <w:kinsoku/>
                    <w:wordWrap/>
                    <w:overflowPunct/>
                    <w:topLinePunct w:val="0"/>
                    <w:autoSpaceDE/>
                    <w:autoSpaceDN/>
                    <w:bidi w:val="0"/>
                    <w:adjustRightInd w:val="0"/>
                    <w:snapToGrid w:val="0"/>
                    <w:contextualSpacing/>
                    <w:jc w:val="center"/>
                    <w:textAlignment w:val="auto"/>
                    <w:rPr>
                      <w:bCs/>
                      <w:color w:val="auto"/>
                      <w:kern w:val="0"/>
                    </w:rPr>
                  </w:pPr>
                  <w:r>
                    <w:rPr>
                      <w:rFonts w:hint="eastAsia"/>
                      <w:color w:val="auto"/>
                      <w:kern w:val="0"/>
                      <w:lang w:val="en-US" w:eastAsia="zh-CN"/>
                    </w:rPr>
                    <w:t>HW12</w:t>
                  </w:r>
                </w:p>
              </w:tc>
              <w:tc>
                <w:tcPr>
                  <w:tcW w:w="721" w:type="pct"/>
                  <w:vAlign w:val="center"/>
                </w:tcPr>
                <w:p w14:paraId="00A2D7EA">
                  <w:pPr>
                    <w:keepNext w:val="0"/>
                    <w:keepLines w:val="0"/>
                    <w:pageBreakBefore w:val="0"/>
                    <w:widowControl w:val="0"/>
                    <w:kinsoku/>
                    <w:wordWrap/>
                    <w:overflowPunct/>
                    <w:topLinePunct w:val="0"/>
                    <w:autoSpaceDE/>
                    <w:autoSpaceDN/>
                    <w:bidi w:val="0"/>
                    <w:adjustRightInd w:val="0"/>
                    <w:snapToGrid w:val="0"/>
                    <w:contextualSpacing/>
                    <w:jc w:val="center"/>
                    <w:textAlignment w:val="auto"/>
                    <w:rPr>
                      <w:bCs/>
                      <w:color w:val="auto"/>
                      <w:kern w:val="0"/>
                    </w:rPr>
                  </w:pPr>
                  <w:r>
                    <w:rPr>
                      <w:rFonts w:hint="eastAsia"/>
                      <w:color w:val="auto"/>
                      <w:kern w:val="0"/>
                      <w:lang w:val="en-US" w:eastAsia="zh-CN"/>
                    </w:rPr>
                    <w:t>900-299-12</w:t>
                  </w:r>
                </w:p>
              </w:tc>
              <w:tc>
                <w:tcPr>
                  <w:tcW w:w="462" w:type="pct"/>
                  <w:vAlign w:val="center"/>
                </w:tcPr>
                <w:p w14:paraId="12AF2DD8">
                  <w:pPr>
                    <w:pStyle w:val="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eastAsia="宋体"/>
                      <w:color w:val="auto"/>
                      <w:kern w:val="0"/>
                      <w:szCs w:val="21"/>
                      <w:lang w:val="en-US" w:eastAsia="zh-CN"/>
                    </w:rPr>
                  </w:pPr>
                  <w:r>
                    <w:rPr>
                      <w:rFonts w:hint="eastAsia"/>
                      <w:color w:val="auto"/>
                      <w:kern w:val="0"/>
                      <w:szCs w:val="21"/>
                      <w:lang w:val="en-US" w:eastAsia="zh-CN"/>
                    </w:rPr>
                    <w:t>0.05014</w:t>
                  </w:r>
                </w:p>
              </w:tc>
              <w:tc>
                <w:tcPr>
                  <w:tcW w:w="526" w:type="pct"/>
                  <w:vAlign w:val="center"/>
                </w:tcPr>
                <w:p w14:paraId="54C811A0">
                  <w:pPr>
                    <w:pStyle w:val="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0.01</w:t>
                  </w:r>
                  <w:r>
                    <w:rPr>
                      <w:rFonts w:hint="eastAsia" w:cs="Times New Roman"/>
                      <w:color w:val="auto"/>
                      <w:kern w:val="0"/>
                      <w:szCs w:val="21"/>
                      <w:lang w:val="en-US" w:eastAsia="zh-CN"/>
                    </w:rPr>
                    <w:t>2535</w:t>
                  </w:r>
                </w:p>
              </w:tc>
              <w:tc>
                <w:tcPr>
                  <w:tcW w:w="524" w:type="pct"/>
                  <w:vAlign w:val="center"/>
                </w:tcPr>
                <w:p w14:paraId="27A1502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kern w:val="0"/>
                      <w:lang w:val="en-US" w:eastAsia="zh-CN"/>
                    </w:rPr>
                  </w:pPr>
                  <w:r>
                    <w:rPr>
                      <w:rFonts w:hint="eastAsia" w:eastAsia="宋体"/>
                      <w:b w:val="0"/>
                      <w:bCs/>
                      <w:color w:val="auto"/>
                      <w:kern w:val="0"/>
                      <w:lang w:val="en-US" w:eastAsia="zh-CN"/>
                    </w:rPr>
                    <w:t>1</w:t>
                  </w:r>
                </w:p>
              </w:tc>
              <w:tc>
                <w:tcPr>
                  <w:tcW w:w="415" w:type="pct"/>
                  <w:vAlign w:val="center"/>
                </w:tcPr>
                <w:p w14:paraId="19A92EEA">
                  <w:pPr>
                    <w:pStyle w:val="696"/>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color w:val="auto"/>
                      <w:kern w:val="0"/>
                    </w:rPr>
                    <w:t>袋装</w:t>
                  </w:r>
                </w:p>
              </w:tc>
              <w:tc>
                <w:tcPr>
                  <w:tcW w:w="444" w:type="pct"/>
                  <w:shd w:val="clear" w:color="auto" w:fill="auto"/>
                  <w:vAlign w:val="center"/>
                </w:tcPr>
                <w:p w14:paraId="370F8894">
                  <w:pPr>
                    <w:pStyle w:val="698"/>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eastAsia="宋体"/>
                      <w:color w:val="auto"/>
                      <w:kern w:val="0"/>
                      <w:lang w:val="en-US" w:eastAsia="zh-CN"/>
                    </w:rPr>
                    <w:t>0.1</w:t>
                  </w:r>
                </w:p>
              </w:tc>
              <w:tc>
                <w:tcPr>
                  <w:tcW w:w="444" w:type="pct"/>
                  <w:vAlign w:val="center"/>
                </w:tcPr>
                <w:p w14:paraId="37951AAC">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rFonts w:hint="eastAsia"/>
                      <w:color w:val="auto"/>
                      <w:kern w:val="0"/>
                    </w:rPr>
                    <w:t>3个月</w:t>
                  </w:r>
                </w:p>
              </w:tc>
            </w:tr>
            <w:tr w14:paraId="67FC2C2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jc w:val="center"/>
              </w:trPr>
              <w:tc>
                <w:tcPr>
                  <w:tcW w:w="684" w:type="pct"/>
                  <w:vAlign w:val="center"/>
                </w:tcPr>
                <w:p w14:paraId="027E1170">
                  <w:pPr>
                    <w:pStyle w:val="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bCs/>
                      <w:color w:val="auto"/>
                      <w:kern w:val="0"/>
                      <w:szCs w:val="21"/>
                    </w:rPr>
                  </w:pPr>
                  <w:r>
                    <w:rPr>
                      <w:rFonts w:hint="eastAsia"/>
                      <w:bCs/>
                      <w:color w:val="auto"/>
                      <w:kern w:val="0"/>
                      <w:szCs w:val="21"/>
                      <w:lang w:val="en-US" w:eastAsia="zh-CN"/>
                    </w:rPr>
                    <w:t>水帘废液</w:t>
                  </w:r>
                </w:p>
              </w:tc>
              <w:tc>
                <w:tcPr>
                  <w:tcW w:w="320" w:type="pct"/>
                  <w:vMerge w:val="continue"/>
                  <w:vAlign w:val="center"/>
                </w:tcPr>
                <w:p w14:paraId="6B4BDC53">
                  <w:pPr>
                    <w:pStyle w:val="696"/>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kern w:val="0"/>
                      <w:lang w:val="en-US" w:eastAsia="zh-CN"/>
                    </w:rPr>
                  </w:pPr>
                </w:p>
              </w:tc>
              <w:tc>
                <w:tcPr>
                  <w:tcW w:w="456" w:type="pct"/>
                  <w:vAlign w:val="center"/>
                </w:tcPr>
                <w:p w14:paraId="1C543588">
                  <w:pPr>
                    <w:keepNext w:val="0"/>
                    <w:keepLines w:val="0"/>
                    <w:pageBreakBefore w:val="0"/>
                    <w:widowControl w:val="0"/>
                    <w:kinsoku/>
                    <w:wordWrap/>
                    <w:overflowPunct/>
                    <w:topLinePunct w:val="0"/>
                    <w:autoSpaceDE/>
                    <w:autoSpaceDN/>
                    <w:bidi w:val="0"/>
                    <w:adjustRightInd w:val="0"/>
                    <w:snapToGrid w:val="0"/>
                    <w:contextualSpacing/>
                    <w:jc w:val="center"/>
                    <w:textAlignment w:val="auto"/>
                    <w:rPr>
                      <w:color w:val="auto"/>
                      <w:kern w:val="0"/>
                    </w:rPr>
                  </w:pPr>
                  <w:r>
                    <w:rPr>
                      <w:rFonts w:hint="eastAsia"/>
                      <w:color w:val="auto"/>
                      <w:kern w:val="0"/>
                      <w:lang w:val="en-US" w:eastAsia="zh-CN"/>
                    </w:rPr>
                    <w:t>HW49</w:t>
                  </w:r>
                </w:p>
              </w:tc>
              <w:tc>
                <w:tcPr>
                  <w:tcW w:w="721" w:type="pct"/>
                  <w:vAlign w:val="center"/>
                </w:tcPr>
                <w:p w14:paraId="35012661">
                  <w:pPr>
                    <w:keepNext w:val="0"/>
                    <w:keepLines w:val="0"/>
                    <w:pageBreakBefore w:val="0"/>
                    <w:widowControl w:val="0"/>
                    <w:kinsoku/>
                    <w:wordWrap/>
                    <w:overflowPunct/>
                    <w:topLinePunct w:val="0"/>
                    <w:autoSpaceDE/>
                    <w:autoSpaceDN/>
                    <w:bidi w:val="0"/>
                    <w:adjustRightInd w:val="0"/>
                    <w:snapToGrid w:val="0"/>
                    <w:contextualSpacing/>
                    <w:jc w:val="center"/>
                    <w:textAlignment w:val="auto"/>
                    <w:rPr>
                      <w:color w:val="auto"/>
                      <w:kern w:val="0"/>
                    </w:rPr>
                  </w:pPr>
                  <w:r>
                    <w:rPr>
                      <w:rFonts w:hint="eastAsia"/>
                      <w:color w:val="auto"/>
                      <w:kern w:val="0"/>
                      <w:lang w:val="en-US" w:eastAsia="zh-CN"/>
                    </w:rPr>
                    <w:t>900-041-49</w:t>
                  </w:r>
                </w:p>
              </w:tc>
              <w:tc>
                <w:tcPr>
                  <w:tcW w:w="462" w:type="pct"/>
                  <w:vAlign w:val="center"/>
                </w:tcPr>
                <w:p w14:paraId="2A707665">
                  <w:pPr>
                    <w:pStyle w:val="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olor w:val="auto"/>
                      <w:kern w:val="0"/>
                      <w:szCs w:val="21"/>
                      <w:lang w:val="en-US" w:eastAsia="zh-CN"/>
                    </w:rPr>
                  </w:pPr>
                  <w:r>
                    <w:rPr>
                      <w:rFonts w:hint="eastAsia"/>
                      <w:color w:val="auto"/>
                      <w:kern w:val="0"/>
                      <w:szCs w:val="21"/>
                      <w:lang w:val="en-US" w:eastAsia="zh-CN"/>
                    </w:rPr>
                    <w:t>3</w:t>
                  </w:r>
                </w:p>
              </w:tc>
              <w:tc>
                <w:tcPr>
                  <w:tcW w:w="526" w:type="pct"/>
                  <w:vAlign w:val="center"/>
                </w:tcPr>
                <w:p w14:paraId="7AD6A4E5">
                  <w:pPr>
                    <w:pStyle w:val="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0.75</w:t>
                  </w:r>
                </w:p>
              </w:tc>
              <w:tc>
                <w:tcPr>
                  <w:tcW w:w="524" w:type="pct"/>
                  <w:vAlign w:val="center"/>
                </w:tcPr>
                <w:p w14:paraId="149C0C7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kern w:val="0"/>
                      <w:lang w:val="en-US" w:eastAsia="zh-CN"/>
                    </w:rPr>
                  </w:pPr>
                  <w:r>
                    <w:rPr>
                      <w:rFonts w:hint="eastAsia" w:eastAsia="宋体"/>
                      <w:b w:val="0"/>
                      <w:bCs/>
                      <w:color w:val="auto"/>
                      <w:kern w:val="0"/>
                      <w:lang w:val="en-US" w:eastAsia="zh-CN"/>
                    </w:rPr>
                    <w:t>1</w:t>
                  </w:r>
                </w:p>
              </w:tc>
              <w:tc>
                <w:tcPr>
                  <w:tcW w:w="415" w:type="pct"/>
                  <w:vAlign w:val="center"/>
                </w:tcPr>
                <w:p w14:paraId="0E57743C">
                  <w:pPr>
                    <w:pStyle w:val="696"/>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kern w:val="0"/>
                      <w:lang w:val="en-US" w:eastAsia="zh-CN"/>
                    </w:rPr>
                  </w:pPr>
                  <w:r>
                    <w:rPr>
                      <w:rFonts w:hint="eastAsia"/>
                      <w:color w:val="auto"/>
                      <w:kern w:val="0"/>
                      <w:lang w:val="en-US" w:eastAsia="zh-CN"/>
                    </w:rPr>
                    <w:t>桶装</w:t>
                  </w:r>
                </w:p>
              </w:tc>
              <w:tc>
                <w:tcPr>
                  <w:tcW w:w="444" w:type="pct"/>
                  <w:shd w:val="clear" w:color="auto" w:fill="auto"/>
                  <w:vAlign w:val="center"/>
                </w:tcPr>
                <w:p w14:paraId="547C5A89">
                  <w:pPr>
                    <w:pStyle w:val="698"/>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eastAsia="宋体"/>
                      <w:color w:val="auto"/>
                      <w:kern w:val="0"/>
                      <w:lang w:val="en-US" w:eastAsia="zh-CN"/>
                    </w:rPr>
                    <w:t>0.1</w:t>
                  </w:r>
                </w:p>
              </w:tc>
              <w:tc>
                <w:tcPr>
                  <w:tcW w:w="444" w:type="pct"/>
                  <w:vAlign w:val="center"/>
                </w:tcPr>
                <w:p w14:paraId="2390EDD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kern w:val="0"/>
                    </w:rPr>
                  </w:pPr>
                  <w:r>
                    <w:rPr>
                      <w:rFonts w:hint="eastAsia"/>
                      <w:color w:val="auto"/>
                      <w:kern w:val="0"/>
                    </w:rPr>
                    <w:t>3个月</w:t>
                  </w:r>
                </w:p>
              </w:tc>
            </w:tr>
            <w:tr w14:paraId="1472054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jc w:val="center"/>
              </w:trPr>
              <w:tc>
                <w:tcPr>
                  <w:tcW w:w="684" w:type="pct"/>
                  <w:vAlign w:val="center"/>
                </w:tcPr>
                <w:p w14:paraId="0E56FB76">
                  <w:pPr>
                    <w:pStyle w:val="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bCs/>
                      <w:color w:val="auto"/>
                      <w:kern w:val="0"/>
                      <w:szCs w:val="21"/>
                    </w:rPr>
                  </w:pPr>
                  <w:r>
                    <w:rPr>
                      <w:rFonts w:hint="eastAsia"/>
                      <w:bCs/>
                      <w:color w:val="auto"/>
                      <w:kern w:val="0"/>
                      <w:szCs w:val="21"/>
                      <w:lang w:val="en-US" w:eastAsia="zh-CN"/>
                    </w:rPr>
                    <w:t>喷枪清洗废液</w:t>
                  </w:r>
                </w:p>
              </w:tc>
              <w:tc>
                <w:tcPr>
                  <w:tcW w:w="320" w:type="pct"/>
                  <w:vMerge w:val="continue"/>
                  <w:vAlign w:val="center"/>
                </w:tcPr>
                <w:p w14:paraId="20D53099">
                  <w:pPr>
                    <w:pStyle w:val="696"/>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kern w:val="0"/>
                      <w:lang w:val="en-US" w:eastAsia="zh-CN"/>
                    </w:rPr>
                  </w:pPr>
                </w:p>
              </w:tc>
              <w:tc>
                <w:tcPr>
                  <w:tcW w:w="456" w:type="pct"/>
                  <w:vAlign w:val="center"/>
                </w:tcPr>
                <w:p w14:paraId="0B6BD201">
                  <w:pPr>
                    <w:keepNext w:val="0"/>
                    <w:keepLines w:val="0"/>
                    <w:pageBreakBefore w:val="0"/>
                    <w:widowControl w:val="0"/>
                    <w:kinsoku/>
                    <w:wordWrap/>
                    <w:overflowPunct/>
                    <w:topLinePunct w:val="0"/>
                    <w:autoSpaceDE/>
                    <w:autoSpaceDN/>
                    <w:bidi w:val="0"/>
                    <w:adjustRightInd w:val="0"/>
                    <w:snapToGrid w:val="0"/>
                    <w:contextualSpacing/>
                    <w:jc w:val="center"/>
                    <w:textAlignment w:val="auto"/>
                    <w:rPr>
                      <w:color w:val="auto"/>
                      <w:kern w:val="0"/>
                    </w:rPr>
                  </w:pPr>
                  <w:r>
                    <w:rPr>
                      <w:rFonts w:hint="eastAsia"/>
                      <w:color w:val="auto"/>
                      <w:kern w:val="0"/>
                      <w:lang w:val="en-US" w:eastAsia="zh-CN"/>
                    </w:rPr>
                    <w:t>HW49</w:t>
                  </w:r>
                </w:p>
              </w:tc>
              <w:tc>
                <w:tcPr>
                  <w:tcW w:w="721" w:type="pct"/>
                  <w:vAlign w:val="center"/>
                </w:tcPr>
                <w:p w14:paraId="1E86029F">
                  <w:pPr>
                    <w:keepNext w:val="0"/>
                    <w:keepLines w:val="0"/>
                    <w:pageBreakBefore w:val="0"/>
                    <w:widowControl w:val="0"/>
                    <w:kinsoku/>
                    <w:wordWrap/>
                    <w:overflowPunct/>
                    <w:topLinePunct w:val="0"/>
                    <w:autoSpaceDE/>
                    <w:autoSpaceDN/>
                    <w:bidi w:val="0"/>
                    <w:adjustRightInd w:val="0"/>
                    <w:snapToGrid w:val="0"/>
                    <w:contextualSpacing/>
                    <w:jc w:val="center"/>
                    <w:textAlignment w:val="auto"/>
                    <w:rPr>
                      <w:color w:val="auto"/>
                      <w:kern w:val="0"/>
                    </w:rPr>
                  </w:pPr>
                  <w:r>
                    <w:rPr>
                      <w:rFonts w:hint="eastAsia"/>
                      <w:color w:val="auto"/>
                      <w:kern w:val="0"/>
                      <w:lang w:val="en-US" w:eastAsia="zh-CN"/>
                    </w:rPr>
                    <w:t>900-041-49</w:t>
                  </w:r>
                </w:p>
              </w:tc>
              <w:tc>
                <w:tcPr>
                  <w:tcW w:w="462" w:type="pct"/>
                  <w:vAlign w:val="center"/>
                </w:tcPr>
                <w:p w14:paraId="593A546B">
                  <w:pPr>
                    <w:pStyle w:val="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olor w:val="auto"/>
                      <w:kern w:val="0"/>
                      <w:szCs w:val="21"/>
                      <w:lang w:val="en-US" w:eastAsia="zh-CN"/>
                    </w:rPr>
                  </w:pPr>
                  <w:r>
                    <w:rPr>
                      <w:rFonts w:hint="eastAsia"/>
                      <w:color w:val="auto"/>
                      <w:kern w:val="0"/>
                      <w:szCs w:val="21"/>
                      <w:lang w:val="en-US" w:eastAsia="zh-CN"/>
                    </w:rPr>
                    <w:t>0.05</w:t>
                  </w:r>
                </w:p>
              </w:tc>
              <w:tc>
                <w:tcPr>
                  <w:tcW w:w="526" w:type="pct"/>
                  <w:vAlign w:val="center"/>
                </w:tcPr>
                <w:p w14:paraId="1DEF1395">
                  <w:pPr>
                    <w:pStyle w:val="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0.0125</w:t>
                  </w:r>
                </w:p>
              </w:tc>
              <w:tc>
                <w:tcPr>
                  <w:tcW w:w="524" w:type="pct"/>
                  <w:vAlign w:val="center"/>
                </w:tcPr>
                <w:p w14:paraId="014C4C0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kern w:val="0"/>
                      <w:lang w:val="en-US" w:eastAsia="zh-CN"/>
                    </w:rPr>
                  </w:pPr>
                  <w:r>
                    <w:rPr>
                      <w:rFonts w:hint="eastAsia" w:eastAsia="宋体"/>
                      <w:b w:val="0"/>
                      <w:bCs/>
                      <w:color w:val="auto"/>
                      <w:kern w:val="0"/>
                      <w:lang w:val="en-US" w:eastAsia="zh-CN"/>
                    </w:rPr>
                    <w:t>1</w:t>
                  </w:r>
                </w:p>
              </w:tc>
              <w:tc>
                <w:tcPr>
                  <w:tcW w:w="415" w:type="pct"/>
                  <w:vAlign w:val="center"/>
                </w:tcPr>
                <w:p w14:paraId="02FF00AD">
                  <w:pPr>
                    <w:pStyle w:val="696"/>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kern w:val="0"/>
                      <w:lang w:val="en-US" w:eastAsia="zh-CN"/>
                    </w:rPr>
                  </w:pPr>
                  <w:r>
                    <w:rPr>
                      <w:rFonts w:hint="eastAsia"/>
                      <w:color w:val="auto"/>
                      <w:kern w:val="0"/>
                      <w:lang w:val="en-US" w:eastAsia="zh-CN"/>
                    </w:rPr>
                    <w:t>桶装</w:t>
                  </w:r>
                </w:p>
              </w:tc>
              <w:tc>
                <w:tcPr>
                  <w:tcW w:w="444" w:type="pct"/>
                  <w:shd w:val="clear" w:color="auto" w:fill="auto"/>
                  <w:vAlign w:val="center"/>
                </w:tcPr>
                <w:p w14:paraId="1B78AE9C">
                  <w:pPr>
                    <w:pStyle w:val="698"/>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eastAsia="宋体"/>
                      <w:color w:val="auto"/>
                      <w:kern w:val="0"/>
                      <w:lang w:val="en-US" w:eastAsia="zh-CN"/>
                    </w:rPr>
                    <w:t>0.1</w:t>
                  </w:r>
                </w:p>
              </w:tc>
              <w:tc>
                <w:tcPr>
                  <w:tcW w:w="444" w:type="pct"/>
                  <w:vAlign w:val="center"/>
                </w:tcPr>
                <w:p w14:paraId="05E6D3F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kern w:val="0"/>
                    </w:rPr>
                  </w:pPr>
                  <w:r>
                    <w:rPr>
                      <w:rFonts w:hint="eastAsia"/>
                      <w:color w:val="auto"/>
                      <w:kern w:val="0"/>
                    </w:rPr>
                    <w:t>3个月</w:t>
                  </w:r>
                </w:p>
              </w:tc>
            </w:tr>
            <w:tr w14:paraId="0A1A49F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jc w:val="center"/>
              </w:trPr>
              <w:tc>
                <w:tcPr>
                  <w:tcW w:w="684" w:type="pct"/>
                  <w:vAlign w:val="center"/>
                </w:tcPr>
                <w:p w14:paraId="3E91451B">
                  <w:pPr>
                    <w:pStyle w:val="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bCs/>
                      <w:color w:val="auto"/>
                      <w:kern w:val="0"/>
                      <w:szCs w:val="21"/>
                    </w:rPr>
                  </w:pPr>
                  <w:r>
                    <w:rPr>
                      <w:rFonts w:hint="eastAsia"/>
                      <w:bCs/>
                      <w:color w:val="auto"/>
                      <w:kern w:val="0"/>
                      <w:szCs w:val="21"/>
                      <w:lang w:val="en-US" w:eastAsia="zh-CN"/>
                    </w:rPr>
                    <w:t>废包装桶</w:t>
                  </w:r>
                </w:p>
              </w:tc>
              <w:tc>
                <w:tcPr>
                  <w:tcW w:w="320" w:type="pct"/>
                  <w:vMerge w:val="continue"/>
                  <w:vAlign w:val="center"/>
                </w:tcPr>
                <w:p w14:paraId="2500D3CD">
                  <w:pPr>
                    <w:pStyle w:val="696"/>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kern w:val="0"/>
                      <w:lang w:val="en-US" w:eastAsia="zh-CN"/>
                    </w:rPr>
                  </w:pPr>
                </w:p>
              </w:tc>
              <w:tc>
                <w:tcPr>
                  <w:tcW w:w="456" w:type="pct"/>
                  <w:vAlign w:val="center"/>
                </w:tcPr>
                <w:p w14:paraId="79095C7F">
                  <w:pPr>
                    <w:keepNext w:val="0"/>
                    <w:keepLines w:val="0"/>
                    <w:pageBreakBefore w:val="0"/>
                    <w:widowControl w:val="0"/>
                    <w:kinsoku/>
                    <w:wordWrap/>
                    <w:overflowPunct/>
                    <w:topLinePunct w:val="0"/>
                    <w:autoSpaceDE/>
                    <w:autoSpaceDN/>
                    <w:bidi w:val="0"/>
                    <w:adjustRightInd w:val="0"/>
                    <w:snapToGrid w:val="0"/>
                    <w:contextualSpacing/>
                    <w:jc w:val="center"/>
                    <w:textAlignment w:val="auto"/>
                    <w:rPr>
                      <w:color w:val="auto"/>
                      <w:kern w:val="0"/>
                    </w:rPr>
                  </w:pPr>
                  <w:r>
                    <w:rPr>
                      <w:rFonts w:hint="eastAsia"/>
                      <w:color w:val="auto"/>
                      <w:kern w:val="0"/>
                      <w:lang w:val="en-US" w:eastAsia="zh-CN"/>
                    </w:rPr>
                    <w:t>HW49</w:t>
                  </w:r>
                </w:p>
              </w:tc>
              <w:tc>
                <w:tcPr>
                  <w:tcW w:w="721" w:type="pct"/>
                  <w:vAlign w:val="center"/>
                </w:tcPr>
                <w:p w14:paraId="6BAA6808">
                  <w:pPr>
                    <w:keepNext w:val="0"/>
                    <w:keepLines w:val="0"/>
                    <w:pageBreakBefore w:val="0"/>
                    <w:widowControl w:val="0"/>
                    <w:kinsoku/>
                    <w:wordWrap/>
                    <w:overflowPunct/>
                    <w:topLinePunct w:val="0"/>
                    <w:autoSpaceDE/>
                    <w:autoSpaceDN/>
                    <w:bidi w:val="0"/>
                    <w:adjustRightInd w:val="0"/>
                    <w:snapToGrid w:val="0"/>
                    <w:contextualSpacing/>
                    <w:jc w:val="center"/>
                    <w:textAlignment w:val="auto"/>
                    <w:rPr>
                      <w:color w:val="auto"/>
                      <w:kern w:val="0"/>
                    </w:rPr>
                  </w:pPr>
                  <w:r>
                    <w:rPr>
                      <w:rFonts w:hint="eastAsia"/>
                      <w:color w:val="auto"/>
                      <w:kern w:val="0"/>
                      <w:lang w:val="en-US" w:eastAsia="zh-CN"/>
                    </w:rPr>
                    <w:t>900-041-49</w:t>
                  </w:r>
                </w:p>
              </w:tc>
              <w:tc>
                <w:tcPr>
                  <w:tcW w:w="462" w:type="pct"/>
                  <w:vAlign w:val="center"/>
                </w:tcPr>
                <w:p w14:paraId="2091160C">
                  <w:pPr>
                    <w:pStyle w:val="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olor w:val="auto"/>
                      <w:kern w:val="0"/>
                      <w:szCs w:val="21"/>
                      <w:lang w:val="en-US" w:eastAsia="zh-CN"/>
                    </w:rPr>
                  </w:pPr>
                  <w:r>
                    <w:rPr>
                      <w:rFonts w:hint="eastAsia"/>
                      <w:color w:val="auto"/>
                      <w:kern w:val="0"/>
                      <w:szCs w:val="21"/>
                      <w:lang w:val="en-US" w:eastAsia="zh-CN"/>
                    </w:rPr>
                    <w:t>0.332</w:t>
                  </w:r>
                </w:p>
              </w:tc>
              <w:tc>
                <w:tcPr>
                  <w:tcW w:w="526" w:type="pct"/>
                  <w:vAlign w:val="center"/>
                </w:tcPr>
                <w:p w14:paraId="533AAF02">
                  <w:pPr>
                    <w:pStyle w:val="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0.083</w:t>
                  </w:r>
                </w:p>
              </w:tc>
              <w:tc>
                <w:tcPr>
                  <w:tcW w:w="524" w:type="pct"/>
                  <w:vAlign w:val="center"/>
                </w:tcPr>
                <w:p w14:paraId="39BF5D5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kern w:val="0"/>
                      <w:lang w:val="en-US" w:eastAsia="zh-CN"/>
                    </w:rPr>
                  </w:pPr>
                  <w:r>
                    <w:rPr>
                      <w:rFonts w:hint="eastAsia" w:eastAsia="宋体"/>
                      <w:b w:val="0"/>
                      <w:bCs/>
                      <w:color w:val="auto"/>
                      <w:kern w:val="0"/>
                      <w:lang w:val="en-US" w:eastAsia="zh-CN"/>
                    </w:rPr>
                    <w:t>1</w:t>
                  </w:r>
                </w:p>
              </w:tc>
              <w:tc>
                <w:tcPr>
                  <w:tcW w:w="415" w:type="pct"/>
                  <w:vAlign w:val="center"/>
                </w:tcPr>
                <w:p w14:paraId="1C2A37A7">
                  <w:pPr>
                    <w:pStyle w:val="696"/>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kern w:val="0"/>
                      <w:lang w:val="en-US" w:eastAsia="zh-CN"/>
                    </w:rPr>
                  </w:pPr>
                  <w:r>
                    <w:rPr>
                      <w:rFonts w:hint="eastAsia"/>
                      <w:color w:val="auto"/>
                      <w:kern w:val="0"/>
                      <w:lang w:val="en-US" w:eastAsia="zh-CN"/>
                    </w:rPr>
                    <w:t>袋装</w:t>
                  </w:r>
                </w:p>
              </w:tc>
              <w:tc>
                <w:tcPr>
                  <w:tcW w:w="444" w:type="pct"/>
                  <w:shd w:val="clear" w:color="auto" w:fill="auto"/>
                  <w:vAlign w:val="center"/>
                </w:tcPr>
                <w:p w14:paraId="56A752B7">
                  <w:pPr>
                    <w:pStyle w:val="698"/>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eastAsia="宋体"/>
                      <w:color w:val="auto"/>
                      <w:kern w:val="0"/>
                      <w:lang w:val="en-US" w:eastAsia="zh-CN"/>
                    </w:rPr>
                    <w:t>0.1</w:t>
                  </w:r>
                </w:p>
              </w:tc>
              <w:tc>
                <w:tcPr>
                  <w:tcW w:w="444" w:type="pct"/>
                  <w:vAlign w:val="center"/>
                </w:tcPr>
                <w:p w14:paraId="4A4E580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kern w:val="0"/>
                    </w:rPr>
                  </w:pPr>
                  <w:r>
                    <w:rPr>
                      <w:rFonts w:hint="eastAsia"/>
                      <w:color w:val="auto"/>
                      <w:kern w:val="0"/>
                    </w:rPr>
                    <w:t>3个月</w:t>
                  </w:r>
                </w:p>
              </w:tc>
            </w:tr>
            <w:tr w14:paraId="342E803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jc w:val="center"/>
              </w:trPr>
              <w:tc>
                <w:tcPr>
                  <w:tcW w:w="684" w:type="pct"/>
                  <w:vAlign w:val="center"/>
                </w:tcPr>
                <w:p w14:paraId="65406246">
                  <w:pPr>
                    <w:pStyle w:val="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bCs/>
                      <w:color w:val="auto"/>
                      <w:kern w:val="0"/>
                      <w:szCs w:val="21"/>
                    </w:rPr>
                  </w:pPr>
                  <w:r>
                    <w:rPr>
                      <w:rFonts w:hint="eastAsia"/>
                      <w:bCs/>
                      <w:color w:val="auto"/>
                      <w:kern w:val="0"/>
                      <w:szCs w:val="21"/>
                      <w:lang w:val="en-US" w:eastAsia="zh-CN"/>
                    </w:rPr>
                    <w:t>干式内循环打磨处理器收集尘</w:t>
                  </w:r>
                </w:p>
              </w:tc>
              <w:tc>
                <w:tcPr>
                  <w:tcW w:w="320" w:type="pct"/>
                  <w:vMerge w:val="continue"/>
                  <w:vAlign w:val="center"/>
                </w:tcPr>
                <w:p w14:paraId="3A511AD9">
                  <w:pPr>
                    <w:pStyle w:val="696"/>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kern w:val="0"/>
                      <w:lang w:val="en-US" w:eastAsia="zh-CN"/>
                    </w:rPr>
                  </w:pPr>
                </w:p>
              </w:tc>
              <w:tc>
                <w:tcPr>
                  <w:tcW w:w="456" w:type="pct"/>
                  <w:vAlign w:val="center"/>
                </w:tcPr>
                <w:p w14:paraId="735E9007">
                  <w:pPr>
                    <w:keepNext w:val="0"/>
                    <w:keepLines w:val="0"/>
                    <w:pageBreakBefore w:val="0"/>
                    <w:widowControl w:val="0"/>
                    <w:kinsoku/>
                    <w:wordWrap/>
                    <w:overflowPunct/>
                    <w:topLinePunct w:val="0"/>
                    <w:autoSpaceDE/>
                    <w:autoSpaceDN/>
                    <w:bidi w:val="0"/>
                    <w:adjustRightInd w:val="0"/>
                    <w:snapToGrid w:val="0"/>
                    <w:contextualSpacing/>
                    <w:jc w:val="center"/>
                    <w:textAlignment w:val="auto"/>
                    <w:rPr>
                      <w:color w:val="auto"/>
                      <w:kern w:val="0"/>
                    </w:rPr>
                  </w:pPr>
                  <w:r>
                    <w:rPr>
                      <w:rFonts w:hint="eastAsia"/>
                      <w:color w:val="auto"/>
                      <w:kern w:val="0"/>
                      <w:lang w:val="en-US" w:eastAsia="zh-CN"/>
                    </w:rPr>
                    <w:t>HW12</w:t>
                  </w:r>
                </w:p>
              </w:tc>
              <w:tc>
                <w:tcPr>
                  <w:tcW w:w="721" w:type="pct"/>
                  <w:vAlign w:val="center"/>
                </w:tcPr>
                <w:p w14:paraId="7B8026AE">
                  <w:pPr>
                    <w:keepNext w:val="0"/>
                    <w:keepLines w:val="0"/>
                    <w:pageBreakBefore w:val="0"/>
                    <w:widowControl w:val="0"/>
                    <w:kinsoku/>
                    <w:wordWrap/>
                    <w:overflowPunct/>
                    <w:topLinePunct w:val="0"/>
                    <w:autoSpaceDE/>
                    <w:autoSpaceDN/>
                    <w:bidi w:val="0"/>
                    <w:adjustRightInd w:val="0"/>
                    <w:snapToGrid w:val="0"/>
                    <w:contextualSpacing/>
                    <w:jc w:val="center"/>
                    <w:textAlignment w:val="auto"/>
                    <w:rPr>
                      <w:color w:val="auto"/>
                      <w:kern w:val="0"/>
                    </w:rPr>
                  </w:pPr>
                  <w:r>
                    <w:rPr>
                      <w:rFonts w:hint="eastAsia"/>
                      <w:color w:val="auto"/>
                      <w:kern w:val="0"/>
                      <w:lang w:val="en-US" w:eastAsia="zh-CN"/>
                    </w:rPr>
                    <w:t>900-299-12</w:t>
                  </w:r>
                </w:p>
              </w:tc>
              <w:tc>
                <w:tcPr>
                  <w:tcW w:w="462" w:type="pct"/>
                  <w:vAlign w:val="center"/>
                </w:tcPr>
                <w:p w14:paraId="74BF8A61">
                  <w:pPr>
                    <w:pStyle w:val="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olor w:val="auto"/>
                      <w:kern w:val="0"/>
                      <w:szCs w:val="21"/>
                      <w:lang w:val="en-US" w:eastAsia="zh-CN"/>
                    </w:rPr>
                  </w:pPr>
                  <w:r>
                    <w:rPr>
                      <w:rFonts w:hint="eastAsia"/>
                      <w:color w:val="auto"/>
                      <w:kern w:val="0"/>
                      <w:szCs w:val="21"/>
                      <w:lang w:val="en-US" w:eastAsia="zh-CN"/>
                    </w:rPr>
                    <w:t>0.0172</w:t>
                  </w:r>
                </w:p>
              </w:tc>
              <w:tc>
                <w:tcPr>
                  <w:tcW w:w="526" w:type="pct"/>
                  <w:vAlign w:val="center"/>
                </w:tcPr>
                <w:p w14:paraId="565B05F8">
                  <w:pPr>
                    <w:pStyle w:val="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0.0043</w:t>
                  </w:r>
                </w:p>
              </w:tc>
              <w:tc>
                <w:tcPr>
                  <w:tcW w:w="524" w:type="pct"/>
                  <w:vAlign w:val="center"/>
                </w:tcPr>
                <w:p w14:paraId="0823C6E8">
                  <w:pPr>
                    <w:pStyle w:val="698"/>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kern w:val="0"/>
                      <w:lang w:val="en-US" w:eastAsia="zh-CN"/>
                    </w:rPr>
                  </w:pPr>
                  <w:r>
                    <w:rPr>
                      <w:rFonts w:hint="eastAsia" w:eastAsia="宋体"/>
                      <w:color w:val="auto"/>
                      <w:kern w:val="0"/>
                      <w:lang w:val="en-US" w:eastAsia="zh-CN"/>
                    </w:rPr>
                    <w:t>1</w:t>
                  </w:r>
                </w:p>
              </w:tc>
              <w:tc>
                <w:tcPr>
                  <w:tcW w:w="415" w:type="pct"/>
                  <w:vAlign w:val="center"/>
                </w:tcPr>
                <w:p w14:paraId="7FC8016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kern w:val="0"/>
                      <w:lang w:val="en-US" w:eastAsia="zh-CN"/>
                    </w:rPr>
                  </w:pPr>
                  <w:r>
                    <w:rPr>
                      <w:rFonts w:hint="eastAsia"/>
                      <w:color w:val="auto"/>
                      <w:kern w:val="0"/>
                      <w:lang w:val="en-US" w:eastAsia="zh-CN"/>
                    </w:rPr>
                    <w:t>袋装</w:t>
                  </w:r>
                </w:p>
              </w:tc>
              <w:tc>
                <w:tcPr>
                  <w:tcW w:w="444" w:type="pct"/>
                  <w:shd w:val="clear" w:color="auto" w:fill="auto"/>
                  <w:vAlign w:val="center"/>
                </w:tcPr>
                <w:p w14:paraId="44169934">
                  <w:pPr>
                    <w:pStyle w:val="698"/>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eastAsia="宋体"/>
                      <w:color w:val="auto"/>
                      <w:kern w:val="0"/>
                      <w:lang w:val="en-US" w:eastAsia="zh-CN"/>
                    </w:rPr>
                    <w:t>0.1</w:t>
                  </w:r>
                </w:p>
              </w:tc>
              <w:tc>
                <w:tcPr>
                  <w:tcW w:w="444" w:type="pct"/>
                  <w:vAlign w:val="center"/>
                </w:tcPr>
                <w:p w14:paraId="03CB70D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kern w:val="0"/>
                    </w:rPr>
                  </w:pPr>
                  <w:r>
                    <w:rPr>
                      <w:rFonts w:hint="eastAsia"/>
                      <w:color w:val="auto"/>
                      <w:kern w:val="0"/>
                    </w:rPr>
                    <w:t>3个月</w:t>
                  </w:r>
                </w:p>
              </w:tc>
            </w:tr>
            <w:tr w14:paraId="6DBD528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jc w:val="center"/>
              </w:trPr>
              <w:tc>
                <w:tcPr>
                  <w:tcW w:w="684" w:type="pct"/>
                  <w:vAlign w:val="center"/>
                </w:tcPr>
                <w:p w14:paraId="4E4046FF">
                  <w:pPr>
                    <w:pStyle w:val="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bCs/>
                      <w:color w:val="auto"/>
                      <w:kern w:val="0"/>
                      <w:szCs w:val="21"/>
                    </w:rPr>
                  </w:pPr>
                  <w:r>
                    <w:rPr>
                      <w:rFonts w:hint="eastAsia"/>
                      <w:bCs/>
                      <w:color w:val="auto"/>
                      <w:kern w:val="0"/>
                      <w:szCs w:val="21"/>
                      <w:lang w:val="en-US" w:eastAsia="zh-CN"/>
                    </w:rPr>
                    <w:t>废活性炭</w:t>
                  </w:r>
                </w:p>
              </w:tc>
              <w:tc>
                <w:tcPr>
                  <w:tcW w:w="320" w:type="pct"/>
                  <w:vMerge w:val="continue"/>
                  <w:vAlign w:val="center"/>
                </w:tcPr>
                <w:p w14:paraId="11338EF1">
                  <w:pPr>
                    <w:pStyle w:val="696"/>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kern w:val="0"/>
                      <w:lang w:val="en-US" w:eastAsia="zh-CN"/>
                    </w:rPr>
                  </w:pPr>
                </w:p>
              </w:tc>
              <w:tc>
                <w:tcPr>
                  <w:tcW w:w="456" w:type="pct"/>
                  <w:vAlign w:val="center"/>
                </w:tcPr>
                <w:p w14:paraId="076653D1">
                  <w:pPr>
                    <w:keepNext w:val="0"/>
                    <w:keepLines w:val="0"/>
                    <w:pageBreakBefore w:val="0"/>
                    <w:widowControl w:val="0"/>
                    <w:kinsoku/>
                    <w:wordWrap/>
                    <w:overflowPunct/>
                    <w:topLinePunct w:val="0"/>
                    <w:autoSpaceDE/>
                    <w:autoSpaceDN/>
                    <w:bidi w:val="0"/>
                    <w:adjustRightInd w:val="0"/>
                    <w:snapToGrid w:val="0"/>
                    <w:contextualSpacing/>
                    <w:jc w:val="center"/>
                    <w:textAlignment w:val="auto"/>
                    <w:rPr>
                      <w:color w:val="auto"/>
                      <w:kern w:val="0"/>
                    </w:rPr>
                  </w:pPr>
                  <w:r>
                    <w:rPr>
                      <w:color w:val="auto"/>
                      <w:kern w:val="0"/>
                    </w:rPr>
                    <w:t>HW49</w:t>
                  </w:r>
                </w:p>
              </w:tc>
              <w:tc>
                <w:tcPr>
                  <w:tcW w:w="721" w:type="pct"/>
                  <w:vAlign w:val="center"/>
                </w:tcPr>
                <w:p w14:paraId="50350EFF">
                  <w:pPr>
                    <w:keepNext w:val="0"/>
                    <w:keepLines w:val="0"/>
                    <w:pageBreakBefore w:val="0"/>
                    <w:widowControl w:val="0"/>
                    <w:kinsoku/>
                    <w:wordWrap/>
                    <w:overflowPunct/>
                    <w:topLinePunct w:val="0"/>
                    <w:autoSpaceDE/>
                    <w:autoSpaceDN/>
                    <w:bidi w:val="0"/>
                    <w:adjustRightInd w:val="0"/>
                    <w:snapToGrid w:val="0"/>
                    <w:contextualSpacing/>
                    <w:jc w:val="center"/>
                    <w:textAlignment w:val="auto"/>
                    <w:rPr>
                      <w:color w:val="auto"/>
                      <w:kern w:val="0"/>
                    </w:rPr>
                  </w:pPr>
                  <w:r>
                    <w:rPr>
                      <w:color w:val="auto"/>
                      <w:kern w:val="0"/>
                    </w:rPr>
                    <w:t>900-039-49</w:t>
                  </w:r>
                </w:p>
              </w:tc>
              <w:tc>
                <w:tcPr>
                  <w:tcW w:w="462" w:type="pct"/>
                  <w:vAlign w:val="center"/>
                </w:tcPr>
                <w:p w14:paraId="408C5C37">
                  <w:pPr>
                    <w:pStyle w:val="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olor w:val="auto"/>
                      <w:kern w:val="0"/>
                      <w:szCs w:val="21"/>
                      <w:lang w:val="en-US" w:eastAsia="zh-CN"/>
                    </w:rPr>
                  </w:pPr>
                  <w:r>
                    <w:rPr>
                      <w:rFonts w:hint="eastAsia"/>
                      <w:color w:val="auto"/>
                      <w:kern w:val="0"/>
                      <w:szCs w:val="21"/>
                      <w:lang w:val="en-US" w:eastAsia="zh-CN"/>
                    </w:rPr>
                    <w:t>10.57</w:t>
                  </w:r>
                </w:p>
              </w:tc>
              <w:tc>
                <w:tcPr>
                  <w:tcW w:w="526" w:type="pct"/>
                  <w:vAlign w:val="center"/>
                </w:tcPr>
                <w:p w14:paraId="2B5F47F8">
                  <w:pPr>
                    <w:pStyle w:val="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2.64</w:t>
                  </w:r>
                </w:p>
              </w:tc>
              <w:tc>
                <w:tcPr>
                  <w:tcW w:w="524" w:type="pct"/>
                  <w:vAlign w:val="center"/>
                </w:tcPr>
                <w:p w14:paraId="6011B27F">
                  <w:pPr>
                    <w:pStyle w:val="698"/>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kern w:val="0"/>
                      <w:lang w:val="en-US" w:eastAsia="zh-CN"/>
                    </w:rPr>
                  </w:pPr>
                  <w:r>
                    <w:rPr>
                      <w:rFonts w:hint="eastAsia" w:eastAsia="宋体"/>
                      <w:color w:val="auto"/>
                      <w:kern w:val="0"/>
                      <w:lang w:val="en-US" w:eastAsia="zh-CN"/>
                    </w:rPr>
                    <w:t>5</w:t>
                  </w:r>
                </w:p>
              </w:tc>
              <w:tc>
                <w:tcPr>
                  <w:tcW w:w="415" w:type="pct"/>
                  <w:vAlign w:val="center"/>
                </w:tcPr>
                <w:p w14:paraId="6953B82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auto"/>
                      <w:kern w:val="0"/>
                      <w:lang w:val="en-US" w:eastAsia="zh-CN"/>
                    </w:rPr>
                  </w:pPr>
                  <w:r>
                    <w:rPr>
                      <w:rFonts w:hint="eastAsia"/>
                      <w:color w:val="auto"/>
                      <w:kern w:val="0"/>
                      <w:lang w:val="en-US" w:eastAsia="zh-CN"/>
                    </w:rPr>
                    <w:t>袋装</w:t>
                  </w:r>
                </w:p>
              </w:tc>
              <w:tc>
                <w:tcPr>
                  <w:tcW w:w="444" w:type="pct"/>
                  <w:shd w:val="clear" w:color="auto" w:fill="auto"/>
                  <w:vAlign w:val="center"/>
                </w:tcPr>
                <w:p w14:paraId="76F8D18A">
                  <w:pPr>
                    <w:pStyle w:val="698"/>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auto"/>
                      <w:kern w:val="0"/>
                      <w:sz w:val="21"/>
                      <w:szCs w:val="21"/>
                      <w:lang w:val="en-US" w:eastAsia="zh-CN" w:bidi="ar-SA"/>
                    </w:rPr>
                  </w:pPr>
                  <w:r>
                    <w:rPr>
                      <w:rFonts w:hint="eastAsia" w:eastAsia="宋体"/>
                      <w:color w:val="auto"/>
                      <w:kern w:val="0"/>
                      <w:lang w:val="en-US" w:eastAsia="zh-CN"/>
                    </w:rPr>
                    <w:t>5</w:t>
                  </w:r>
                </w:p>
              </w:tc>
              <w:tc>
                <w:tcPr>
                  <w:tcW w:w="444" w:type="pct"/>
                  <w:vAlign w:val="center"/>
                </w:tcPr>
                <w:p w14:paraId="7EE2D05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kern w:val="0"/>
                    </w:rPr>
                  </w:pPr>
                  <w:r>
                    <w:rPr>
                      <w:rFonts w:hint="eastAsia"/>
                      <w:color w:val="auto"/>
                      <w:kern w:val="0"/>
                    </w:rPr>
                    <w:t>3个月</w:t>
                  </w:r>
                </w:p>
              </w:tc>
            </w:tr>
          </w:tbl>
          <w:p w14:paraId="78827287">
            <w:pPr>
              <w:adjustRightInd w:val="0"/>
              <w:snapToGrid w:val="0"/>
              <w:spacing w:line="360" w:lineRule="auto"/>
              <w:ind w:firstLine="420" w:firstLineChars="200"/>
              <w:rPr>
                <w:color w:val="auto"/>
                <w:kern w:val="0"/>
              </w:rPr>
            </w:pPr>
            <w:r>
              <w:rPr>
                <w:color w:val="auto"/>
                <w:kern w:val="0"/>
              </w:rPr>
              <w:t>本项目危险废物委托处理前，贮存于</w:t>
            </w:r>
            <w:r>
              <w:rPr>
                <w:rFonts w:hint="eastAsia"/>
                <w:color w:val="auto"/>
                <w:kern w:val="0"/>
              </w:rPr>
              <w:t>危废仓库</w:t>
            </w:r>
            <w:r>
              <w:rPr>
                <w:color w:val="auto"/>
                <w:kern w:val="0"/>
              </w:rPr>
              <w:t>，</w:t>
            </w:r>
            <w:r>
              <w:rPr>
                <w:rFonts w:hint="eastAsia"/>
                <w:color w:val="auto"/>
                <w:kern w:val="0"/>
              </w:rPr>
              <w:t>项目</w:t>
            </w:r>
            <w:r>
              <w:rPr>
                <w:rFonts w:hint="eastAsia"/>
                <w:color w:val="auto"/>
                <w:kern w:val="0"/>
                <w:lang w:val="en-US" w:eastAsia="zh-CN"/>
              </w:rPr>
              <w:t>拟新建一座20</w:t>
            </w:r>
            <w:r>
              <w:rPr>
                <w:rFonts w:hint="eastAsia"/>
                <w:color w:val="auto"/>
                <w:kern w:val="0"/>
              </w:rPr>
              <w:t>m</w:t>
            </w:r>
            <w:r>
              <w:rPr>
                <w:rFonts w:hint="eastAsia"/>
                <w:color w:val="auto"/>
                <w:kern w:val="0"/>
                <w:vertAlign w:val="superscript"/>
              </w:rPr>
              <w:t>2</w:t>
            </w:r>
            <w:r>
              <w:rPr>
                <w:rFonts w:hint="eastAsia"/>
                <w:color w:val="auto"/>
                <w:kern w:val="0"/>
              </w:rPr>
              <w:t>危废仓库。本项目危废贮存合计共需暂存面积约为</w:t>
            </w:r>
            <w:r>
              <w:rPr>
                <w:rFonts w:hint="eastAsia"/>
                <w:color w:val="auto"/>
                <w:kern w:val="0"/>
                <w:lang w:val="en-US" w:eastAsia="zh-CN"/>
              </w:rPr>
              <w:t>12</w:t>
            </w:r>
            <w:r>
              <w:rPr>
                <w:color w:val="auto"/>
                <w:kern w:val="0"/>
              </w:rPr>
              <w:t>m</w:t>
            </w:r>
            <w:r>
              <w:rPr>
                <w:color w:val="auto"/>
                <w:kern w:val="0"/>
                <w:vertAlign w:val="superscript"/>
              </w:rPr>
              <w:t>2</w:t>
            </w:r>
            <w:r>
              <w:rPr>
                <w:rFonts w:hint="eastAsia"/>
                <w:color w:val="auto"/>
                <w:kern w:val="0"/>
              </w:rPr>
              <w:t>，因此拟新建</w:t>
            </w:r>
            <w:r>
              <w:rPr>
                <w:rFonts w:hint="eastAsia"/>
                <w:color w:val="auto"/>
                <w:kern w:val="0"/>
                <w:lang w:val="en-US" w:eastAsia="zh-CN"/>
              </w:rPr>
              <w:t>20</w:t>
            </w:r>
            <w:r>
              <w:rPr>
                <w:rFonts w:hint="eastAsia"/>
                <w:color w:val="auto"/>
                <w:kern w:val="0"/>
              </w:rPr>
              <w:t>m</w:t>
            </w:r>
            <w:r>
              <w:rPr>
                <w:rFonts w:hint="eastAsia"/>
                <w:color w:val="auto"/>
                <w:kern w:val="0"/>
                <w:vertAlign w:val="superscript"/>
              </w:rPr>
              <w:t>2</w:t>
            </w:r>
            <w:r>
              <w:rPr>
                <w:rFonts w:hint="eastAsia"/>
                <w:color w:val="auto"/>
                <w:kern w:val="0"/>
              </w:rPr>
              <w:t>危废仓库可以满足本项目危险废物贮存的要求。</w:t>
            </w:r>
            <w:r>
              <w:rPr>
                <w:color w:val="auto"/>
                <w:kern w:val="0"/>
              </w:rPr>
              <w:t>危废仓库已按《危险废物贮存污染控制标准》（GB18597-2023）</w:t>
            </w:r>
            <w:r>
              <w:rPr>
                <w:rFonts w:hint="eastAsia"/>
                <w:color w:val="auto"/>
                <w:kern w:val="0"/>
              </w:rPr>
              <w:t>、</w:t>
            </w:r>
            <w:r>
              <w:rPr>
                <w:rFonts w:hint="eastAsia"/>
                <w:color w:val="auto"/>
              </w:rPr>
              <w:t>省生态环境厅关于印发《江苏省固体废物全过程环境监管工作意见》的通知（苏环办[2024]16号）</w:t>
            </w:r>
            <w:r>
              <w:rPr>
                <w:color w:val="auto"/>
                <w:kern w:val="0"/>
              </w:rPr>
              <w:t>的要求进行设置</w:t>
            </w:r>
            <w:r>
              <w:rPr>
                <w:rFonts w:hint="eastAsia"/>
                <w:color w:val="auto"/>
                <w:kern w:val="0"/>
              </w:rPr>
              <w:t>。</w:t>
            </w:r>
          </w:p>
          <w:p w14:paraId="6D0BEE4A">
            <w:pPr>
              <w:adjustRightInd w:val="0"/>
              <w:snapToGrid w:val="0"/>
              <w:spacing w:line="360" w:lineRule="auto"/>
              <w:ind w:firstLine="420" w:firstLineChars="200"/>
              <w:rPr>
                <w:color w:val="auto"/>
                <w:kern w:val="0"/>
              </w:rPr>
            </w:pPr>
            <w:r>
              <w:rPr>
                <w:rFonts w:hint="eastAsia"/>
                <w:color w:val="auto"/>
                <w:kern w:val="0"/>
              </w:rPr>
              <w:t>危废仓库</w:t>
            </w:r>
            <w:r>
              <w:rPr>
                <w:color w:val="auto"/>
                <w:kern w:val="0"/>
              </w:rPr>
              <w:t>设置相关危险废物识别的标志，建立危废管理档案、台账，合法、安全、规范处置危废。因此本项目所有固体废物均可实现收集贮存，对环境的影响具有可控性。</w:t>
            </w:r>
          </w:p>
          <w:p w14:paraId="3534F9B6">
            <w:pPr>
              <w:adjustRightInd w:val="0"/>
              <w:snapToGrid w:val="0"/>
              <w:spacing w:line="360" w:lineRule="auto"/>
              <w:ind w:firstLine="422" w:firstLineChars="200"/>
              <w:rPr>
                <w:b/>
                <w:bCs/>
                <w:color w:val="auto"/>
                <w:kern w:val="0"/>
              </w:rPr>
            </w:pPr>
            <w:r>
              <w:rPr>
                <w:rFonts w:hint="eastAsia"/>
                <w:b/>
                <w:bCs/>
                <w:color w:val="auto"/>
                <w:kern w:val="0"/>
              </w:rPr>
              <w:t>2）</w:t>
            </w:r>
            <w:r>
              <w:rPr>
                <w:b/>
                <w:bCs/>
                <w:color w:val="auto"/>
                <w:kern w:val="0"/>
              </w:rPr>
              <w:t>危险废物贮存场所设计要求</w:t>
            </w:r>
          </w:p>
          <w:p w14:paraId="7BFC319A">
            <w:pPr>
              <w:adjustRightInd w:val="0"/>
              <w:snapToGrid w:val="0"/>
              <w:spacing w:line="360" w:lineRule="auto"/>
              <w:ind w:firstLine="420" w:firstLineChars="200"/>
              <w:rPr>
                <w:color w:val="auto"/>
                <w:kern w:val="0"/>
              </w:rPr>
            </w:pPr>
            <w:r>
              <w:rPr>
                <w:color w:val="auto"/>
                <w:kern w:val="0"/>
              </w:rPr>
              <w:t>根据《</w:t>
            </w:r>
            <w:r>
              <w:rPr>
                <w:rFonts w:hint="eastAsia"/>
                <w:color w:val="auto"/>
                <w:kern w:val="0"/>
              </w:rPr>
              <w:t>危险废物贮存污染控制标准</w:t>
            </w:r>
            <w:r>
              <w:rPr>
                <w:color w:val="auto"/>
                <w:kern w:val="0"/>
              </w:rPr>
              <w:t>》（</w:t>
            </w:r>
            <w:r>
              <w:rPr>
                <w:rFonts w:hint="eastAsia"/>
                <w:color w:val="auto"/>
                <w:kern w:val="0"/>
              </w:rPr>
              <w:t>GB18597-2023</w:t>
            </w:r>
            <w:r>
              <w:rPr>
                <w:color w:val="auto"/>
                <w:kern w:val="0"/>
              </w:rPr>
              <w:t>），本项目</w:t>
            </w:r>
            <w:r>
              <w:rPr>
                <w:rFonts w:hint="eastAsia"/>
                <w:color w:val="auto"/>
                <w:kern w:val="0"/>
              </w:rPr>
              <w:t>危废仓库已</w:t>
            </w:r>
            <w:r>
              <w:rPr>
                <w:color w:val="auto"/>
                <w:kern w:val="0"/>
              </w:rPr>
              <w:t>做到以下要求：</w:t>
            </w:r>
          </w:p>
          <w:p w14:paraId="51F6CBC2">
            <w:pPr>
              <w:adjustRightInd w:val="0"/>
              <w:snapToGrid w:val="0"/>
              <w:spacing w:line="360" w:lineRule="auto"/>
              <w:ind w:firstLine="420" w:firstLineChars="200"/>
              <w:rPr>
                <w:color w:val="auto"/>
                <w:kern w:val="0"/>
              </w:rPr>
            </w:pPr>
            <w:r>
              <w:rPr>
                <w:rFonts w:hint="eastAsia"/>
                <w:color w:val="auto"/>
                <w:kern w:val="0"/>
              </w:rPr>
              <w:t>A、</w:t>
            </w:r>
            <w:r>
              <w:rPr>
                <w:color w:val="auto"/>
                <w:kern w:val="0"/>
              </w:rPr>
              <w:t>贮存设施</w:t>
            </w:r>
            <w:r>
              <w:rPr>
                <w:rFonts w:hint="eastAsia"/>
                <w:color w:val="auto"/>
                <w:kern w:val="0"/>
              </w:rPr>
              <w:t>已</w:t>
            </w:r>
            <w:r>
              <w:rPr>
                <w:color w:val="auto"/>
                <w:kern w:val="0"/>
              </w:rPr>
              <w:t>根据危险废物的形态、物理化学性质、包装形式和污染物迁移途径，采取必要的防风、防晒、防雨、防漏、防渗、防腐以及其他环境污染防治措施，不露天堆放危险废物。</w:t>
            </w:r>
          </w:p>
          <w:p w14:paraId="27A92218">
            <w:pPr>
              <w:adjustRightInd w:val="0"/>
              <w:snapToGrid w:val="0"/>
              <w:spacing w:line="360" w:lineRule="auto"/>
              <w:ind w:firstLine="420" w:firstLineChars="200"/>
              <w:rPr>
                <w:color w:val="auto"/>
                <w:kern w:val="0"/>
              </w:rPr>
            </w:pPr>
            <w:r>
              <w:rPr>
                <w:rFonts w:hint="eastAsia"/>
                <w:color w:val="auto"/>
                <w:kern w:val="0"/>
              </w:rPr>
              <w:t>B、</w:t>
            </w:r>
            <w:r>
              <w:rPr>
                <w:color w:val="auto"/>
                <w:kern w:val="0"/>
              </w:rPr>
              <w:t>贮存设施</w:t>
            </w:r>
            <w:r>
              <w:rPr>
                <w:rFonts w:hint="eastAsia"/>
                <w:color w:val="auto"/>
                <w:kern w:val="0"/>
              </w:rPr>
              <w:t>已</w:t>
            </w:r>
            <w:r>
              <w:rPr>
                <w:color w:val="auto"/>
                <w:kern w:val="0"/>
              </w:rPr>
              <w:t>根据危险废物的类别、数量、形态、物理化学性质和污染防治等要求设置必要的贮存分区，避免不相容的危险废物接触、混合。</w:t>
            </w:r>
          </w:p>
          <w:p w14:paraId="591121C7">
            <w:pPr>
              <w:adjustRightInd w:val="0"/>
              <w:snapToGrid w:val="0"/>
              <w:spacing w:line="360" w:lineRule="auto"/>
              <w:ind w:firstLine="420" w:firstLineChars="200"/>
              <w:rPr>
                <w:color w:val="auto"/>
                <w:kern w:val="0"/>
              </w:rPr>
            </w:pPr>
            <w:r>
              <w:rPr>
                <w:rFonts w:hint="eastAsia"/>
                <w:color w:val="auto"/>
                <w:kern w:val="0"/>
              </w:rPr>
              <w:t>C、</w:t>
            </w:r>
            <w:r>
              <w:rPr>
                <w:color w:val="auto"/>
                <w:kern w:val="0"/>
              </w:rPr>
              <w:t>贮存设施或贮存分区内地面、墙面裙脚、堵截泄漏的围堰、接触危险废物的隔板和墙体等</w:t>
            </w:r>
            <w:r>
              <w:rPr>
                <w:rFonts w:hint="eastAsia"/>
                <w:color w:val="auto"/>
                <w:kern w:val="0"/>
              </w:rPr>
              <w:t>已</w:t>
            </w:r>
            <w:r>
              <w:rPr>
                <w:color w:val="auto"/>
                <w:kern w:val="0"/>
              </w:rPr>
              <w:t>采用坚固的材料建造，表面无裂缝。</w:t>
            </w:r>
          </w:p>
          <w:p w14:paraId="2426BA00">
            <w:pPr>
              <w:adjustRightInd w:val="0"/>
              <w:snapToGrid w:val="0"/>
              <w:spacing w:line="360" w:lineRule="auto"/>
              <w:ind w:firstLine="420" w:firstLineChars="200"/>
              <w:rPr>
                <w:color w:val="auto"/>
                <w:kern w:val="0"/>
              </w:rPr>
            </w:pPr>
            <w:r>
              <w:rPr>
                <w:rFonts w:hint="eastAsia"/>
                <w:color w:val="auto"/>
                <w:kern w:val="0"/>
              </w:rPr>
              <w:t>D、</w:t>
            </w:r>
            <w:r>
              <w:rPr>
                <w:color w:val="auto"/>
                <w:kern w:val="0"/>
              </w:rPr>
              <w:t>贮存设施地面与裙脚</w:t>
            </w:r>
            <w:r>
              <w:rPr>
                <w:rFonts w:hint="eastAsia"/>
                <w:color w:val="auto"/>
                <w:kern w:val="0"/>
              </w:rPr>
              <w:t>已</w:t>
            </w:r>
            <w:r>
              <w:rPr>
                <w:color w:val="auto"/>
                <w:kern w:val="0"/>
              </w:rPr>
              <w:t>采取表面防渗措施；表面防渗材料与所接触的物料或污染物相容，可采用抗渗混凝土、高密度聚乙烯膜、钠基膨润土防水毯或其他防渗性能等效的材料。贮存的危险废物直接接触地面的，</w:t>
            </w:r>
            <w:r>
              <w:rPr>
                <w:rFonts w:hint="eastAsia"/>
                <w:color w:val="auto"/>
                <w:kern w:val="0"/>
              </w:rPr>
              <w:t>已</w:t>
            </w:r>
            <w:r>
              <w:rPr>
                <w:color w:val="auto"/>
                <w:kern w:val="0"/>
              </w:rPr>
              <w:t>进行基础防渗，防渗层为至少1m厚黏土层（渗透系数不大于10</w:t>
            </w:r>
            <w:r>
              <w:rPr>
                <w:color w:val="auto"/>
                <w:kern w:val="0"/>
                <w:vertAlign w:val="superscript"/>
              </w:rPr>
              <w:t>-7</w:t>
            </w:r>
            <w:r>
              <w:rPr>
                <w:color w:val="auto"/>
                <w:kern w:val="0"/>
              </w:rPr>
              <w:t>cm/s），或至少2mm厚高密度聚乙烯膜等人工防渗材料（渗透系数不大于10</w:t>
            </w:r>
            <w:r>
              <w:rPr>
                <w:color w:val="auto"/>
                <w:kern w:val="0"/>
                <w:vertAlign w:val="superscript"/>
              </w:rPr>
              <w:t>-10</w:t>
            </w:r>
            <w:r>
              <w:rPr>
                <w:color w:val="auto"/>
                <w:kern w:val="0"/>
              </w:rPr>
              <w:t>cm/s），或其他防渗性能等效的材料。</w:t>
            </w:r>
          </w:p>
          <w:p w14:paraId="6A02CFE0">
            <w:pPr>
              <w:adjustRightInd w:val="0"/>
              <w:snapToGrid w:val="0"/>
              <w:spacing w:line="360" w:lineRule="auto"/>
              <w:ind w:firstLine="420" w:firstLineChars="200"/>
              <w:rPr>
                <w:color w:val="auto"/>
                <w:kern w:val="0"/>
              </w:rPr>
            </w:pPr>
            <w:r>
              <w:rPr>
                <w:rFonts w:hint="eastAsia"/>
                <w:color w:val="auto"/>
                <w:kern w:val="0"/>
              </w:rPr>
              <w:t>E、</w:t>
            </w:r>
            <w:r>
              <w:rPr>
                <w:color w:val="auto"/>
                <w:kern w:val="0"/>
              </w:rPr>
              <w:t>同一贮存设施宜采用相同的防渗、防腐工艺（包括防渗、防腐结构或材料），防渗、防腐材料</w:t>
            </w:r>
            <w:r>
              <w:rPr>
                <w:rFonts w:hint="eastAsia"/>
                <w:color w:val="auto"/>
                <w:kern w:val="0"/>
              </w:rPr>
              <w:t>已</w:t>
            </w:r>
            <w:r>
              <w:rPr>
                <w:color w:val="auto"/>
                <w:kern w:val="0"/>
              </w:rPr>
              <w:t>覆盖所有可能与废物及其渗滤液、渗漏液等接触的构筑物表面；采用不同防渗、防腐工艺</w:t>
            </w:r>
            <w:r>
              <w:rPr>
                <w:rFonts w:hint="eastAsia"/>
                <w:color w:val="auto"/>
                <w:kern w:val="0"/>
              </w:rPr>
              <w:t>已</w:t>
            </w:r>
            <w:r>
              <w:rPr>
                <w:color w:val="auto"/>
                <w:kern w:val="0"/>
              </w:rPr>
              <w:t>分别建设贮存分区。</w:t>
            </w:r>
          </w:p>
          <w:p w14:paraId="0D82D5E8">
            <w:pPr>
              <w:adjustRightInd w:val="0"/>
              <w:snapToGrid w:val="0"/>
              <w:spacing w:line="360" w:lineRule="auto"/>
              <w:ind w:firstLine="420" w:firstLineChars="200"/>
              <w:rPr>
                <w:color w:val="auto"/>
                <w:kern w:val="0"/>
              </w:rPr>
            </w:pPr>
            <w:r>
              <w:rPr>
                <w:rFonts w:hint="eastAsia"/>
                <w:color w:val="auto"/>
                <w:kern w:val="0"/>
              </w:rPr>
              <w:t>F、</w:t>
            </w:r>
            <w:r>
              <w:rPr>
                <w:color w:val="auto"/>
                <w:kern w:val="0"/>
              </w:rPr>
              <w:t>贮存设施</w:t>
            </w:r>
            <w:r>
              <w:rPr>
                <w:rFonts w:hint="eastAsia"/>
                <w:color w:val="auto"/>
                <w:kern w:val="0"/>
              </w:rPr>
              <w:t>已</w:t>
            </w:r>
            <w:r>
              <w:rPr>
                <w:color w:val="auto"/>
                <w:kern w:val="0"/>
              </w:rPr>
              <w:t>采取技术和管理措施防止无关人员进入。</w:t>
            </w:r>
          </w:p>
          <w:p w14:paraId="462AE76D">
            <w:pPr>
              <w:adjustRightInd w:val="0"/>
              <w:snapToGrid w:val="0"/>
              <w:spacing w:line="360" w:lineRule="auto"/>
              <w:ind w:firstLine="420" w:firstLineChars="200"/>
              <w:rPr>
                <w:color w:val="auto"/>
                <w:kern w:val="0"/>
              </w:rPr>
            </w:pPr>
            <w:r>
              <w:rPr>
                <w:rFonts w:hint="eastAsia"/>
                <w:color w:val="auto"/>
                <w:kern w:val="0"/>
              </w:rPr>
              <w:t>G、</w:t>
            </w:r>
            <w:r>
              <w:rPr>
                <w:color w:val="auto"/>
                <w:kern w:val="0"/>
              </w:rPr>
              <w:t>贮存设施或场所、容器和包装物</w:t>
            </w:r>
            <w:r>
              <w:rPr>
                <w:rFonts w:hint="eastAsia"/>
                <w:color w:val="auto"/>
                <w:kern w:val="0"/>
              </w:rPr>
              <w:t>已</w:t>
            </w:r>
            <w:r>
              <w:rPr>
                <w:color w:val="auto"/>
                <w:kern w:val="0"/>
              </w:rPr>
              <w:t>按HJ1276要求设置危险废物贮存设施或场所标志、危险废物贮存分区标志和危险废物标签等危险废物识别标志。</w:t>
            </w:r>
          </w:p>
          <w:p w14:paraId="1F305CD1">
            <w:pPr>
              <w:adjustRightInd w:val="0"/>
              <w:snapToGrid w:val="0"/>
              <w:spacing w:line="360" w:lineRule="auto"/>
              <w:ind w:firstLine="422" w:firstLineChars="200"/>
              <w:rPr>
                <w:b/>
                <w:bCs/>
                <w:color w:val="auto"/>
                <w:kern w:val="0"/>
              </w:rPr>
            </w:pPr>
            <w:r>
              <w:rPr>
                <w:rFonts w:hint="eastAsia"/>
                <w:b/>
                <w:bCs/>
                <w:color w:val="auto"/>
                <w:kern w:val="0"/>
              </w:rPr>
              <w:t>3）</w:t>
            </w:r>
            <w:r>
              <w:rPr>
                <w:b/>
                <w:bCs/>
                <w:color w:val="auto"/>
                <w:kern w:val="0"/>
              </w:rPr>
              <w:t>危险废物运输过程污染防治措施</w:t>
            </w:r>
          </w:p>
          <w:p w14:paraId="520F41C9">
            <w:pPr>
              <w:pStyle w:val="226"/>
              <w:snapToGrid w:val="0"/>
              <w:spacing w:before="0" w:beforeLines="0"/>
              <w:ind w:firstLine="480"/>
              <w:rPr>
                <w:color w:val="auto"/>
                <w:kern w:val="0"/>
                <w:sz w:val="21"/>
              </w:rPr>
            </w:pPr>
            <w:r>
              <w:rPr>
                <w:color w:val="auto"/>
                <w:kern w:val="0"/>
                <w:sz w:val="21"/>
              </w:rPr>
              <w:t>危险废物运输过程中如果发生散落、泄漏，容易腐化设备、产生恶臭，污染运输沿途环境，若下渗或泄漏进入土壤或地下水，将会造成局部土壤和地下水的污染，因此在运输过程中应按照相关规范加强管理。项目需按照</w:t>
            </w:r>
            <w:r>
              <w:rPr>
                <w:rFonts w:hint="eastAsia"/>
                <w:color w:val="auto"/>
                <w:kern w:val="0"/>
                <w:sz w:val="21"/>
              </w:rPr>
              <w:t>省生态环境厅关于印发《江苏省固体废物全过程环境监管工作意见》的通知（苏环办[2024]16号）及《危险废物识别标志设置技术规范》（HJ1276-2022）中</w:t>
            </w:r>
            <w:r>
              <w:rPr>
                <w:color w:val="auto"/>
                <w:kern w:val="0"/>
                <w:sz w:val="21"/>
              </w:rPr>
              <w:t>要求规范设置标志，配备通讯设备、照明设施和消防设施；在出入口、设施内部、危险废物运输车辆通道等关键位置按照危险废物贮存设施视频监控布设要求设置视频监控，并与中控室联网。</w:t>
            </w:r>
          </w:p>
          <w:p w14:paraId="2B52BFB2">
            <w:pPr>
              <w:autoSpaceDE w:val="0"/>
              <w:autoSpaceDN w:val="0"/>
              <w:adjustRightInd w:val="0"/>
              <w:snapToGrid w:val="0"/>
              <w:spacing w:line="360" w:lineRule="auto"/>
              <w:ind w:firstLine="420" w:firstLineChars="200"/>
              <w:rPr>
                <w:color w:val="auto"/>
                <w:kern w:val="0"/>
              </w:rPr>
            </w:pPr>
            <w:r>
              <w:rPr>
                <w:color w:val="auto"/>
                <w:kern w:val="0"/>
              </w:rPr>
              <w:t>危险废物运输必须按照《危险废物收集 贮存 运输技术规范》（HJ2025-2012）的要求并做到以下几点：</w:t>
            </w:r>
          </w:p>
          <w:p w14:paraId="138EB8AF">
            <w:pPr>
              <w:autoSpaceDE w:val="0"/>
              <w:autoSpaceDN w:val="0"/>
              <w:adjustRightInd w:val="0"/>
              <w:snapToGrid w:val="0"/>
              <w:spacing w:line="360" w:lineRule="auto"/>
              <w:ind w:firstLine="420" w:firstLineChars="200"/>
              <w:rPr>
                <w:color w:val="auto"/>
                <w:kern w:val="0"/>
              </w:rPr>
            </w:pPr>
            <w:r>
              <w:rPr>
                <w:rFonts w:hint="eastAsia"/>
                <w:color w:val="auto"/>
                <w:kern w:val="0"/>
              </w:rPr>
              <w:t>A、</w:t>
            </w:r>
            <w:r>
              <w:rPr>
                <w:color w:val="auto"/>
                <w:kern w:val="0"/>
              </w:rPr>
              <w:t>危险废物运输应由持有危险废物经营许可证的单位按照其许可证的经营范围组织实施，承担危险废物运输的单位应获得交通运输部门颁发的危险货物运输资质。</w:t>
            </w:r>
          </w:p>
          <w:p w14:paraId="2B5FEC8A">
            <w:pPr>
              <w:autoSpaceDE w:val="0"/>
              <w:autoSpaceDN w:val="0"/>
              <w:adjustRightInd w:val="0"/>
              <w:snapToGrid w:val="0"/>
              <w:spacing w:line="360" w:lineRule="auto"/>
              <w:ind w:firstLine="420" w:firstLineChars="200"/>
              <w:rPr>
                <w:color w:val="auto"/>
                <w:kern w:val="0"/>
              </w:rPr>
            </w:pPr>
            <w:r>
              <w:rPr>
                <w:rFonts w:hint="eastAsia"/>
                <w:color w:val="auto"/>
                <w:kern w:val="0"/>
              </w:rPr>
              <w:t>B、</w:t>
            </w:r>
            <w:r>
              <w:rPr>
                <w:color w:val="auto"/>
                <w:kern w:val="0"/>
              </w:rPr>
              <w:t>危险废物公路运输应按照《道路危险货物运输管理规定》（交通部令[2015年]第9号）、JT617以及JT618执行。</w:t>
            </w:r>
          </w:p>
          <w:p w14:paraId="42562015">
            <w:pPr>
              <w:autoSpaceDE w:val="0"/>
              <w:autoSpaceDN w:val="0"/>
              <w:adjustRightInd w:val="0"/>
              <w:snapToGrid w:val="0"/>
              <w:spacing w:line="360" w:lineRule="auto"/>
              <w:ind w:firstLine="420" w:firstLineChars="200"/>
              <w:rPr>
                <w:color w:val="auto"/>
                <w:kern w:val="0"/>
              </w:rPr>
            </w:pPr>
            <w:r>
              <w:rPr>
                <w:rFonts w:hint="eastAsia"/>
                <w:color w:val="auto"/>
                <w:kern w:val="0"/>
              </w:rPr>
              <w:t>C、</w:t>
            </w:r>
            <w:r>
              <w:rPr>
                <w:color w:val="auto"/>
                <w:kern w:val="0"/>
              </w:rPr>
              <w:t>运输单位在承运危险废物时，应在危险废物包装上按照GB18597附录A设置标志。</w:t>
            </w:r>
          </w:p>
          <w:p w14:paraId="780AB378">
            <w:pPr>
              <w:autoSpaceDE w:val="0"/>
              <w:autoSpaceDN w:val="0"/>
              <w:adjustRightInd w:val="0"/>
              <w:snapToGrid w:val="0"/>
              <w:spacing w:line="360" w:lineRule="auto"/>
              <w:ind w:firstLine="420" w:firstLineChars="200"/>
              <w:rPr>
                <w:color w:val="auto"/>
                <w:kern w:val="0"/>
              </w:rPr>
            </w:pPr>
            <w:r>
              <w:rPr>
                <w:rFonts w:hint="eastAsia"/>
                <w:color w:val="auto"/>
                <w:kern w:val="0"/>
              </w:rPr>
              <w:t>D、</w:t>
            </w:r>
            <w:r>
              <w:rPr>
                <w:color w:val="auto"/>
                <w:kern w:val="0"/>
              </w:rPr>
              <w:t>危险废物公路运输时，运输车辆按GB13392设置车辆标志。铁路运输和水路运输危险废物时应在集装箱外按GB190规定悬挂标志。</w:t>
            </w:r>
          </w:p>
          <w:p w14:paraId="364AE0A0">
            <w:pPr>
              <w:autoSpaceDE w:val="0"/>
              <w:autoSpaceDN w:val="0"/>
              <w:adjustRightInd w:val="0"/>
              <w:snapToGrid w:val="0"/>
              <w:spacing w:line="360" w:lineRule="auto"/>
              <w:ind w:firstLine="420" w:firstLineChars="200"/>
              <w:rPr>
                <w:color w:val="auto"/>
                <w:kern w:val="0"/>
              </w:rPr>
            </w:pPr>
            <w:r>
              <w:rPr>
                <w:rFonts w:hint="eastAsia"/>
                <w:color w:val="auto"/>
                <w:kern w:val="0"/>
              </w:rPr>
              <w:t>E、</w:t>
            </w:r>
            <w:r>
              <w:rPr>
                <w:color w:val="auto"/>
                <w:kern w:val="0"/>
              </w:rPr>
              <w:t>危险废物运输时的中转、装卸过程应遵守如下技术要求：装卸区的工作人员应熟悉废物的危险特性，并配备适当的个人防护装备，装卸剧毒废物应配备特殊的防护装备；装卸区应配备必要的消防设备和设施，并设置明显的指示标志；危险废物装卸区应设置隔离设施，液态废物装卸区应设置收集槽和缓冲罐。</w:t>
            </w:r>
          </w:p>
          <w:p w14:paraId="3FEC037F">
            <w:pPr>
              <w:adjustRightInd w:val="0"/>
              <w:snapToGrid w:val="0"/>
              <w:spacing w:line="360" w:lineRule="auto"/>
              <w:ind w:firstLine="422" w:firstLineChars="200"/>
              <w:rPr>
                <w:b/>
                <w:bCs/>
                <w:color w:val="auto"/>
                <w:kern w:val="0"/>
              </w:rPr>
            </w:pPr>
            <w:r>
              <w:rPr>
                <w:rFonts w:hint="eastAsia"/>
                <w:b/>
                <w:bCs/>
                <w:color w:val="auto"/>
                <w:kern w:val="0"/>
              </w:rPr>
              <w:t>4）</w:t>
            </w:r>
            <w:r>
              <w:rPr>
                <w:b/>
                <w:bCs/>
                <w:color w:val="auto"/>
                <w:kern w:val="0"/>
              </w:rPr>
              <w:t>危险废物管理要求</w:t>
            </w:r>
          </w:p>
          <w:p w14:paraId="6816E956">
            <w:pPr>
              <w:adjustRightInd w:val="0"/>
              <w:snapToGrid w:val="0"/>
              <w:spacing w:line="360" w:lineRule="auto"/>
              <w:ind w:firstLine="420" w:firstLineChars="200"/>
              <w:rPr>
                <w:color w:val="auto"/>
                <w:kern w:val="0"/>
              </w:rPr>
            </w:pPr>
            <w:r>
              <w:rPr>
                <w:rFonts w:hint="eastAsia"/>
                <w:color w:val="auto"/>
                <w:kern w:val="0"/>
              </w:rPr>
              <w:t>A、</w:t>
            </w:r>
            <w:r>
              <w:rPr>
                <w:color w:val="auto"/>
                <w:kern w:val="0"/>
              </w:rPr>
              <w:t>危险废物的管理执行《危险废物贮存污染控制标准》（GB18597-</w:t>
            </w:r>
            <w:r>
              <w:rPr>
                <w:rFonts w:hint="eastAsia"/>
                <w:color w:val="auto"/>
                <w:kern w:val="0"/>
              </w:rPr>
              <w:t>2023</w:t>
            </w:r>
            <w:r>
              <w:rPr>
                <w:color w:val="auto"/>
                <w:kern w:val="0"/>
              </w:rPr>
              <w:t>）</w:t>
            </w:r>
            <w:r>
              <w:rPr>
                <w:rFonts w:hint="eastAsia"/>
                <w:color w:val="auto"/>
                <w:kern w:val="0"/>
              </w:rPr>
              <w:t>、省生态环境厅关于印发《江苏省固体废物全过程环境监管工作意见》的通知（苏环办[2024]16号）</w:t>
            </w:r>
            <w:r>
              <w:rPr>
                <w:color w:val="auto"/>
                <w:kern w:val="0"/>
              </w:rPr>
              <w:t>及《省生态环境厅关于印发江苏省危险废物贮存规范化管理专项整治行动方案的通知》（苏环办[2019]149号）中相关规定</w:t>
            </w:r>
            <w:r>
              <w:rPr>
                <w:rFonts w:hint="eastAsia"/>
                <w:color w:val="auto"/>
                <w:kern w:val="0"/>
              </w:rPr>
              <w:t>。</w:t>
            </w:r>
          </w:p>
          <w:p w14:paraId="7DB0881C">
            <w:pPr>
              <w:adjustRightInd w:val="0"/>
              <w:snapToGrid w:val="0"/>
              <w:spacing w:line="360" w:lineRule="auto"/>
              <w:ind w:firstLine="420" w:firstLineChars="200"/>
              <w:rPr>
                <w:color w:val="auto"/>
                <w:kern w:val="0"/>
              </w:rPr>
            </w:pPr>
            <w:r>
              <w:rPr>
                <w:rFonts w:hint="eastAsia"/>
                <w:color w:val="auto"/>
                <w:kern w:val="0"/>
              </w:rPr>
              <w:t>B、</w:t>
            </w:r>
            <w:r>
              <w:rPr>
                <w:color w:val="auto"/>
                <w:kern w:val="0"/>
              </w:rPr>
              <w:t>危废的暂存防范措施</w:t>
            </w:r>
            <w:r>
              <w:rPr>
                <w:rFonts w:hint="eastAsia"/>
                <w:color w:val="auto"/>
                <w:kern w:val="0"/>
              </w:rPr>
              <w:t>：</w:t>
            </w:r>
          </w:p>
          <w:p w14:paraId="6CC41E4E">
            <w:pPr>
              <w:adjustRightInd w:val="0"/>
              <w:snapToGrid w:val="0"/>
              <w:spacing w:line="360" w:lineRule="auto"/>
              <w:ind w:firstLine="420" w:firstLineChars="200"/>
              <w:rPr>
                <w:color w:val="auto"/>
                <w:kern w:val="0"/>
              </w:rPr>
            </w:pPr>
            <w:r>
              <w:rPr>
                <w:color w:val="auto"/>
                <w:kern w:val="0"/>
              </w:rPr>
              <w:t>a、采取室内贮存方式，设置环境保护图形标志和警示标志；</w:t>
            </w:r>
          </w:p>
          <w:p w14:paraId="4EE4F1EB">
            <w:pPr>
              <w:adjustRightInd w:val="0"/>
              <w:snapToGrid w:val="0"/>
              <w:spacing w:line="360" w:lineRule="auto"/>
              <w:ind w:firstLine="420" w:firstLineChars="200"/>
              <w:rPr>
                <w:color w:val="auto"/>
                <w:kern w:val="0"/>
              </w:rPr>
            </w:pPr>
            <w:r>
              <w:rPr>
                <w:color w:val="auto"/>
                <w:kern w:val="0"/>
              </w:rPr>
              <w:t>b、按类别放入相应的容器内，不同的危险废物分开存放并设有隔离间隔断；</w:t>
            </w:r>
          </w:p>
          <w:p w14:paraId="00EDB060">
            <w:pPr>
              <w:adjustRightInd w:val="0"/>
              <w:snapToGrid w:val="0"/>
              <w:spacing w:line="360" w:lineRule="auto"/>
              <w:ind w:firstLine="420" w:firstLineChars="200"/>
              <w:rPr>
                <w:color w:val="auto"/>
                <w:kern w:val="0"/>
              </w:rPr>
            </w:pPr>
            <w:r>
              <w:rPr>
                <w:color w:val="auto"/>
                <w:kern w:val="0"/>
              </w:rPr>
              <w:t>c、危险废物暂存设施为封闭砖混构筑物，室内四周设置围堰、导流沟，具有防雨、防风、防晒、防渗漏、防腐蚀、防盗措施等。室内地面为水泥地，具有耐腐蚀性，基础设置至少1m厚粘土层（渗透系数≤10</w:t>
            </w:r>
            <w:r>
              <w:rPr>
                <w:color w:val="auto"/>
                <w:kern w:val="0"/>
                <w:vertAlign w:val="superscript"/>
              </w:rPr>
              <w:t>-7</w:t>
            </w:r>
            <w:r>
              <w:rPr>
                <w:color w:val="auto"/>
                <w:kern w:val="0"/>
              </w:rPr>
              <w:t>cm/s），或2mm厚高密度聚乙烯，或至少2mm厚的其他人工材料，渗透系数≤10</w:t>
            </w:r>
            <w:r>
              <w:rPr>
                <w:color w:val="auto"/>
                <w:kern w:val="0"/>
                <w:vertAlign w:val="superscript"/>
              </w:rPr>
              <w:t>-10</w:t>
            </w:r>
            <w:r>
              <w:rPr>
                <w:color w:val="auto"/>
                <w:kern w:val="0"/>
              </w:rPr>
              <w:t>cm/s；</w:t>
            </w:r>
          </w:p>
          <w:p w14:paraId="0D8023F7">
            <w:pPr>
              <w:adjustRightInd w:val="0"/>
              <w:snapToGrid w:val="0"/>
              <w:spacing w:line="360" w:lineRule="auto"/>
              <w:ind w:firstLine="420" w:firstLineChars="200"/>
              <w:rPr>
                <w:color w:val="auto"/>
                <w:kern w:val="0"/>
              </w:rPr>
            </w:pPr>
            <w:r>
              <w:rPr>
                <w:color w:val="auto"/>
                <w:kern w:val="0"/>
              </w:rPr>
              <w:t>d、建立档案制度，对暂存的废物种类、数量、特性、包装容器类别、存放库位、存入日期、运出日期等详细记录在案并长期保存；</w:t>
            </w:r>
          </w:p>
          <w:p w14:paraId="7B7BF101">
            <w:pPr>
              <w:adjustRightInd w:val="0"/>
              <w:snapToGrid w:val="0"/>
              <w:spacing w:line="360" w:lineRule="auto"/>
              <w:ind w:firstLine="420" w:firstLineChars="200"/>
              <w:rPr>
                <w:color w:val="auto"/>
                <w:kern w:val="0"/>
              </w:rPr>
            </w:pPr>
            <w:r>
              <w:rPr>
                <w:color w:val="auto"/>
                <w:kern w:val="0"/>
              </w:rPr>
              <w:t>e、建设单位危废进行暂存的时间不得超过一年；</w:t>
            </w:r>
          </w:p>
          <w:p w14:paraId="0D3349D4">
            <w:pPr>
              <w:adjustRightInd w:val="0"/>
              <w:snapToGrid w:val="0"/>
              <w:spacing w:line="360" w:lineRule="auto"/>
              <w:ind w:firstLine="420" w:firstLineChars="200"/>
              <w:rPr>
                <w:color w:val="auto"/>
                <w:kern w:val="0"/>
              </w:rPr>
            </w:pPr>
            <w:r>
              <w:rPr>
                <w:color w:val="auto"/>
                <w:kern w:val="0"/>
              </w:rPr>
              <w:t>f、建立定期巡查、维护制度。</w:t>
            </w:r>
          </w:p>
          <w:p w14:paraId="1038E0F4">
            <w:pPr>
              <w:adjustRightInd w:val="0"/>
              <w:snapToGrid w:val="0"/>
              <w:spacing w:line="360" w:lineRule="auto"/>
              <w:ind w:firstLine="422" w:firstLineChars="200"/>
              <w:rPr>
                <w:b/>
                <w:bCs/>
                <w:color w:val="auto"/>
                <w:kern w:val="0"/>
              </w:rPr>
            </w:pPr>
            <w:r>
              <w:rPr>
                <w:b/>
                <w:bCs/>
                <w:color w:val="auto"/>
                <w:kern w:val="0"/>
              </w:rPr>
              <w:t>②一般固体废物污染防治措施</w:t>
            </w:r>
          </w:p>
          <w:p w14:paraId="7DAC4B1F">
            <w:pPr>
              <w:adjustRightInd w:val="0"/>
              <w:snapToGrid w:val="0"/>
              <w:spacing w:line="360" w:lineRule="auto"/>
              <w:ind w:firstLine="420" w:firstLineChars="200"/>
              <w:rPr>
                <w:color w:val="auto"/>
                <w:kern w:val="0"/>
              </w:rPr>
            </w:pPr>
            <w:r>
              <w:rPr>
                <w:rFonts w:hint="eastAsia"/>
                <w:color w:val="auto"/>
                <w:kern w:val="0"/>
              </w:rPr>
              <w:t>1）</w:t>
            </w:r>
            <w:r>
              <w:rPr>
                <w:color w:val="auto"/>
                <w:kern w:val="0"/>
              </w:rPr>
              <w:t>严格执行《一般工业固体废物贮存和填埋污染控制标准》（GB18599-2020）、《环境保护图形标志—固体废物贮存（处置场）》（GB15562.2-1995）等规定要求，对固体废物实行分类收集，选择满足要求的容器进行包装贮存；</w:t>
            </w:r>
          </w:p>
          <w:p w14:paraId="59462763">
            <w:pPr>
              <w:adjustRightInd w:val="0"/>
              <w:snapToGrid w:val="0"/>
              <w:spacing w:line="360" w:lineRule="auto"/>
              <w:ind w:firstLine="420" w:firstLineChars="200"/>
              <w:rPr>
                <w:color w:val="auto"/>
                <w:kern w:val="0"/>
              </w:rPr>
            </w:pPr>
            <w:r>
              <w:rPr>
                <w:rFonts w:hint="eastAsia"/>
                <w:color w:val="auto"/>
                <w:kern w:val="0"/>
              </w:rPr>
              <w:t>2）</w:t>
            </w:r>
            <w:r>
              <w:rPr>
                <w:color w:val="auto"/>
                <w:kern w:val="0"/>
              </w:rPr>
              <w:t>对固体废物实行从产生、收集、运输、贮存直至最终处理实行全过程管理，按照有关法律、法规的要求，对固体废弃物全过程管理应报当地环保行政主管部门等批准；</w:t>
            </w:r>
          </w:p>
          <w:p w14:paraId="4651DABF">
            <w:pPr>
              <w:adjustRightInd w:val="0"/>
              <w:snapToGrid w:val="0"/>
              <w:spacing w:line="360" w:lineRule="auto"/>
              <w:ind w:firstLine="420" w:firstLineChars="200"/>
              <w:rPr>
                <w:color w:val="auto"/>
                <w:kern w:val="0"/>
              </w:rPr>
            </w:pPr>
            <w:r>
              <w:rPr>
                <w:rFonts w:hint="eastAsia"/>
                <w:color w:val="auto"/>
                <w:kern w:val="0"/>
              </w:rPr>
              <w:t>3）</w:t>
            </w:r>
            <w:r>
              <w:rPr>
                <w:color w:val="auto"/>
                <w:kern w:val="0"/>
              </w:rPr>
              <w:t>加强固体废物规范化管理，固体废物分类定点堆放，堆放场所远离办公区和周围环境敏感点</w:t>
            </w:r>
            <w:r>
              <w:rPr>
                <w:rFonts w:hint="eastAsia"/>
                <w:color w:val="auto"/>
                <w:kern w:val="0"/>
              </w:rPr>
              <w:t>；</w:t>
            </w:r>
          </w:p>
          <w:p w14:paraId="6BC16A09">
            <w:pPr>
              <w:adjustRightInd w:val="0"/>
              <w:snapToGrid w:val="0"/>
              <w:spacing w:line="360" w:lineRule="auto"/>
              <w:ind w:firstLine="420" w:firstLineChars="200"/>
              <w:rPr>
                <w:color w:val="auto"/>
                <w:kern w:val="0"/>
              </w:rPr>
            </w:pPr>
            <w:r>
              <w:rPr>
                <w:rFonts w:hint="eastAsia"/>
                <w:color w:val="auto"/>
                <w:kern w:val="0"/>
              </w:rPr>
              <w:t>4）</w:t>
            </w:r>
            <w:r>
              <w:rPr>
                <w:color w:val="auto"/>
                <w:kern w:val="0"/>
              </w:rPr>
              <w:t>固体废物及时清运，避免产生二次污染；</w:t>
            </w:r>
          </w:p>
          <w:p w14:paraId="12C2D899">
            <w:pPr>
              <w:adjustRightInd w:val="0"/>
              <w:snapToGrid w:val="0"/>
              <w:spacing w:line="360" w:lineRule="auto"/>
              <w:ind w:firstLine="420" w:firstLineChars="200"/>
              <w:rPr>
                <w:color w:val="auto"/>
                <w:kern w:val="0"/>
              </w:rPr>
            </w:pPr>
            <w:r>
              <w:rPr>
                <w:rFonts w:hint="eastAsia"/>
                <w:color w:val="auto"/>
                <w:kern w:val="0"/>
              </w:rPr>
              <w:t>5）</w:t>
            </w:r>
            <w:r>
              <w:rPr>
                <w:color w:val="auto"/>
                <w:kern w:val="0"/>
              </w:rPr>
              <w:t>固体废物运输过程中应做到密闭运输，防治固废的泄漏，减少污染。</w:t>
            </w:r>
          </w:p>
          <w:p w14:paraId="1D9E5199">
            <w:pPr>
              <w:pStyle w:val="697"/>
              <w:adjustRightInd w:val="0"/>
              <w:snapToGrid w:val="0"/>
              <w:spacing w:line="360" w:lineRule="auto"/>
              <w:ind w:firstLine="422"/>
              <w:rPr>
                <w:rFonts w:eastAsia="宋体"/>
                <w:b/>
                <w:bCs/>
                <w:color w:val="auto"/>
                <w:kern w:val="0"/>
                <w:sz w:val="21"/>
                <w:szCs w:val="21"/>
              </w:rPr>
            </w:pPr>
            <w:r>
              <w:rPr>
                <w:rFonts w:eastAsia="宋体"/>
                <w:b/>
                <w:bCs/>
                <w:color w:val="auto"/>
                <w:kern w:val="0"/>
                <w:sz w:val="21"/>
                <w:szCs w:val="21"/>
              </w:rPr>
              <w:fldChar w:fldCharType="begin"/>
            </w:r>
            <w:r>
              <w:rPr>
                <w:rFonts w:eastAsia="宋体"/>
                <w:b/>
                <w:bCs/>
                <w:color w:val="auto"/>
                <w:kern w:val="0"/>
                <w:sz w:val="21"/>
                <w:szCs w:val="21"/>
              </w:rPr>
              <w:instrText xml:space="preserve"> = 3 \* GB3 \* MERGEFORMAT </w:instrText>
            </w:r>
            <w:r>
              <w:rPr>
                <w:rFonts w:eastAsia="宋体"/>
                <w:b/>
                <w:bCs/>
                <w:color w:val="auto"/>
                <w:kern w:val="0"/>
                <w:sz w:val="21"/>
                <w:szCs w:val="21"/>
              </w:rPr>
              <w:fldChar w:fldCharType="separate"/>
            </w:r>
            <w:r>
              <w:rPr>
                <w:b/>
                <w:bCs/>
                <w:color w:val="auto"/>
                <w:kern w:val="0"/>
                <w:sz w:val="21"/>
                <w:szCs w:val="21"/>
              </w:rPr>
              <w:t>③</w:t>
            </w:r>
            <w:r>
              <w:rPr>
                <w:rFonts w:eastAsia="宋体"/>
                <w:b/>
                <w:bCs/>
                <w:color w:val="auto"/>
                <w:kern w:val="0"/>
                <w:sz w:val="21"/>
                <w:szCs w:val="21"/>
              </w:rPr>
              <w:fldChar w:fldCharType="end"/>
            </w:r>
            <w:r>
              <w:rPr>
                <w:rFonts w:eastAsia="宋体"/>
                <w:b/>
                <w:bCs/>
                <w:color w:val="auto"/>
                <w:kern w:val="0"/>
                <w:sz w:val="21"/>
                <w:szCs w:val="21"/>
              </w:rPr>
              <w:t>生活垃圾污染防治措施</w:t>
            </w:r>
          </w:p>
          <w:p w14:paraId="285B2738">
            <w:pPr>
              <w:adjustRightInd w:val="0"/>
              <w:snapToGrid w:val="0"/>
              <w:spacing w:line="360" w:lineRule="auto"/>
              <w:ind w:firstLine="420" w:firstLineChars="200"/>
              <w:rPr>
                <w:color w:val="auto"/>
                <w:kern w:val="0"/>
              </w:rPr>
            </w:pPr>
            <w:r>
              <w:rPr>
                <w:color w:val="auto"/>
                <w:kern w:val="0"/>
              </w:rPr>
              <w:t>厂内设置垃圾桶若干，员工生活垃圾由环卫部门定期清运，可得到有效处置。</w:t>
            </w:r>
          </w:p>
          <w:p w14:paraId="0CC7CC68">
            <w:pPr>
              <w:pStyle w:val="697"/>
              <w:adjustRightInd w:val="0"/>
              <w:snapToGrid w:val="0"/>
              <w:spacing w:line="360" w:lineRule="auto"/>
              <w:ind w:firstLine="422"/>
              <w:rPr>
                <w:rFonts w:eastAsia="宋体"/>
                <w:b/>
                <w:bCs/>
                <w:color w:val="auto"/>
                <w:kern w:val="0"/>
                <w:sz w:val="21"/>
                <w:szCs w:val="21"/>
              </w:rPr>
            </w:pPr>
            <w:r>
              <w:rPr>
                <w:rFonts w:eastAsia="宋体"/>
                <w:b/>
                <w:bCs/>
                <w:color w:val="auto"/>
                <w:kern w:val="0"/>
                <w:sz w:val="21"/>
                <w:szCs w:val="21"/>
              </w:rPr>
              <w:t>（</w:t>
            </w:r>
            <w:r>
              <w:rPr>
                <w:rFonts w:hint="eastAsia" w:eastAsia="宋体"/>
                <w:b/>
                <w:bCs/>
                <w:color w:val="auto"/>
                <w:kern w:val="0"/>
                <w:sz w:val="21"/>
                <w:szCs w:val="21"/>
              </w:rPr>
              <w:t>5</w:t>
            </w:r>
            <w:r>
              <w:rPr>
                <w:rFonts w:eastAsia="宋体"/>
                <w:b/>
                <w:bCs/>
                <w:color w:val="auto"/>
                <w:kern w:val="0"/>
                <w:sz w:val="21"/>
                <w:szCs w:val="21"/>
              </w:rPr>
              <w:t>）固体废物环境管理要求</w:t>
            </w:r>
          </w:p>
          <w:p w14:paraId="79756840">
            <w:pPr>
              <w:adjustRightInd w:val="0"/>
              <w:snapToGrid w:val="0"/>
              <w:spacing w:line="360" w:lineRule="auto"/>
              <w:ind w:firstLine="420" w:firstLineChars="200"/>
              <w:rPr>
                <w:color w:val="auto"/>
                <w:kern w:val="0"/>
              </w:rPr>
            </w:pPr>
            <w:r>
              <w:rPr>
                <w:color w:val="auto"/>
                <w:kern w:val="0"/>
              </w:rPr>
              <w:t>企业为固体废物污染防治的责任主体，企业应建立有关转移管理的相关规定、人员培训考核制度、档案管理制度、全过程管理制度等。</w:t>
            </w:r>
          </w:p>
          <w:p w14:paraId="7B03F8FC">
            <w:pPr>
              <w:adjustRightInd w:val="0"/>
              <w:snapToGrid w:val="0"/>
              <w:spacing w:line="360" w:lineRule="auto"/>
              <w:ind w:firstLine="420" w:firstLineChars="200"/>
              <w:rPr>
                <w:color w:val="auto"/>
                <w:kern w:val="0"/>
              </w:rPr>
            </w:pPr>
            <w:r>
              <w:rPr>
                <w:color w:val="auto"/>
                <w:kern w:val="0"/>
              </w:rPr>
              <w:t>依据固体废物的种类、产生量及其管理的全过程可能造成的环境影响进行分析：</w:t>
            </w:r>
          </w:p>
          <w:p w14:paraId="7F94F8D1">
            <w:pPr>
              <w:adjustRightInd w:val="0"/>
              <w:snapToGrid w:val="0"/>
              <w:spacing w:line="360" w:lineRule="auto"/>
              <w:ind w:firstLine="420" w:firstLineChars="200"/>
              <w:rPr>
                <w:color w:val="auto"/>
                <w:kern w:val="0"/>
              </w:rPr>
            </w:pPr>
            <w:r>
              <w:rPr>
                <w:color w:val="auto"/>
                <w:kern w:val="0"/>
              </w:rPr>
              <w:t>①全厂固废分类收集与贮存，不混放，固废相互间不影响。</w:t>
            </w:r>
          </w:p>
          <w:p w14:paraId="39C8190D">
            <w:pPr>
              <w:adjustRightInd w:val="0"/>
              <w:snapToGrid w:val="0"/>
              <w:spacing w:line="360" w:lineRule="auto"/>
              <w:ind w:firstLine="420" w:firstLineChars="200"/>
              <w:rPr>
                <w:color w:val="auto"/>
                <w:kern w:val="0"/>
              </w:rPr>
            </w:pPr>
            <w:r>
              <w:rPr>
                <w:color w:val="auto"/>
                <w:kern w:val="0"/>
              </w:rPr>
              <w:t>②全厂固废运输由专业的运输单位负责，在运输过程中采用封闭运输，运输过程中不易散落和泄漏，对环境影响较小。</w:t>
            </w:r>
          </w:p>
          <w:p w14:paraId="5D3345AE">
            <w:pPr>
              <w:adjustRightInd w:val="0"/>
              <w:snapToGrid w:val="0"/>
              <w:spacing w:line="360" w:lineRule="auto"/>
              <w:ind w:firstLine="420" w:firstLineChars="200"/>
              <w:rPr>
                <w:color w:val="auto"/>
                <w:kern w:val="0"/>
              </w:rPr>
            </w:pPr>
            <w:r>
              <w:rPr>
                <w:color w:val="auto"/>
                <w:kern w:val="0"/>
              </w:rPr>
              <w:t>③固废的贮存场所地面采用防渗地面，发生渗漏等事故可能性较小或甚微，对土壤、地下水产生的影响较小。</w:t>
            </w:r>
          </w:p>
          <w:p w14:paraId="25A1A1BB">
            <w:pPr>
              <w:adjustRightInd w:val="0"/>
              <w:snapToGrid w:val="0"/>
              <w:spacing w:line="360" w:lineRule="auto"/>
              <w:ind w:firstLine="420" w:firstLineChars="200"/>
              <w:rPr>
                <w:color w:val="auto"/>
                <w:kern w:val="0"/>
              </w:rPr>
            </w:pPr>
            <w:r>
              <w:rPr>
                <w:color w:val="auto"/>
                <w:kern w:val="0"/>
              </w:rPr>
              <w:t>④全厂的固废通过外售、环卫清运、委托处置等方式处置或利用，均不在厂内自行建设施处理，对大气、水体、土壤环境基本不产生影响。</w:t>
            </w:r>
          </w:p>
          <w:p w14:paraId="2FA45DDE">
            <w:pPr>
              <w:pStyle w:val="2"/>
              <w:widowControl w:val="0"/>
              <w:ind w:firstLine="420" w:firstLineChars="200"/>
              <w:rPr>
                <w:color w:val="auto"/>
                <w:sz w:val="21"/>
                <w:szCs w:val="21"/>
              </w:rPr>
            </w:pPr>
            <w:r>
              <w:rPr>
                <w:color w:val="auto"/>
                <w:sz w:val="21"/>
                <w:szCs w:val="21"/>
              </w:rPr>
              <w:t>因此，项目所产生的固废均得到合理处置，固废零排放，对周围环境影响较小。</w:t>
            </w:r>
          </w:p>
          <w:p w14:paraId="50641F58">
            <w:pPr>
              <w:pStyle w:val="27"/>
              <w:spacing w:line="360" w:lineRule="auto"/>
              <w:ind w:left="0" w:leftChars="0" w:right="0" w:rightChars="0" w:firstLine="0" w:firstLineChars="0"/>
              <w:rPr>
                <w:b/>
                <w:bCs/>
                <w:color w:val="auto"/>
                <w:kern w:val="0"/>
                <w:sz w:val="21"/>
              </w:rPr>
            </w:pPr>
            <w:r>
              <w:rPr>
                <w:rFonts w:hint="eastAsia"/>
                <w:b/>
                <w:bCs/>
                <w:color w:val="auto"/>
                <w:kern w:val="0"/>
                <w:sz w:val="21"/>
              </w:rPr>
              <w:t>5、</w:t>
            </w:r>
            <w:r>
              <w:rPr>
                <w:b/>
                <w:bCs/>
                <w:color w:val="auto"/>
                <w:kern w:val="0"/>
                <w:sz w:val="21"/>
              </w:rPr>
              <w:t>土壤和地下水环境影响分析</w:t>
            </w:r>
          </w:p>
          <w:p w14:paraId="736A0756">
            <w:pPr>
              <w:pStyle w:val="27"/>
              <w:spacing w:line="360" w:lineRule="auto"/>
              <w:ind w:left="0" w:leftChars="0" w:right="0" w:rightChars="0" w:firstLine="422"/>
              <w:rPr>
                <w:color w:val="auto"/>
                <w:kern w:val="0"/>
                <w:sz w:val="21"/>
              </w:rPr>
            </w:pPr>
            <w:r>
              <w:rPr>
                <w:rFonts w:hint="eastAsia"/>
                <w:b/>
                <w:bCs/>
                <w:color w:val="auto"/>
                <w:kern w:val="0"/>
                <w:sz w:val="21"/>
              </w:rPr>
              <w:t>（1）影响途径</w:t>
            </w:r>
          </w:p>
          <w:p w14:paraId="719E7AB3">
            <w:pPr>
              <w:adjustRightInd w:val="0"/>
              <w:snapToGrid w:val="0"/>
              <w:spacing w:line="360" w:lineRule="auto"/>
              <w:ind w:firstLine="420" w:firstLineChars="200"/>
              <w:jc w:val="left"/>
              <w:rPr>
                <w:bCs/>
                <w:color w:val="auto"/>
                <w:kern w:val="0"/>
              </w:rPr>
            </w:pPr>
            <w:r>
              <w:rPr>
                <w:color w:val="auto"/>
                <w:kern w:val="0"/>
              </w:rPr>
              <w:t>本项目可能造成地下水和土壤污染影响的区域有：</w:t>
            </w:r>
            <w:r>
              <w:rPr>
                <w:rFonts w:hint="eastAsia"/>
                <w:color w:val="auto"/>
                <w:kern w:val="0"/>
                <w:lang w:val="en-US" w:eastAsia="zh-CN"/>
              </w:rPr>
              <w:t>仓库、</w:t>
            </w:r>
            <w:r>
              <w:rPr>
                <w:rFonts w:hint="eastAsia"/>
                <w:color w:val="auto"/>
                <w:kern w:val="0"/>
              </w:rPr>
              <w:t>危废仓库</w:t>
            </w:r>
            <w:r>
              <w:rPr>
                <w:color w:val="auto"/>
                <w:kern w:val="0"/>
              </w:rPr>
              <w:t>。可能的污染途径为：</w:t>
            </w:r>
            <w:r>
              <w:rPr>
                <w:rFonts w:hint="eastAsia"/>
                <w:color w:val="auto"/>
                <w:kern w:val="0"/>
              </w:rPr>
              <w:t>危险品和液态危险废物</w:t>
            </w:r>
            <w:r>
              <w:rPr>
                <w:color w:val="auto"/>
                <w:kern w:val="0"/>
              </w:rPr>
              <w:t>在装卸、贮存、使用、输送过程中发生倾覆或者包装容器破损，由此导致危险物质发生泄漏，泄漏后渗入到泄漏区附近的土壤和地下水中，从而发生污染事故。</w:t>
            </w:r>
            <w:r>
              <w:rPr>
                <w:bCs/>
                <w:color w:val="auto"/>
                <w:kern w:val="0"/>
              </w:rPr>
              <w:t>若不加强本项目</w:t>
            </w:r>
            <w:r>
              <w:rPr>
                <w:rFonts w:hint="eastAsia"/>
                <w:bCs/>
                <w:color w:val="auto"/>
                <w:kern w:val="0"/>
              </w:rPr>
              <w:t>仓库、危废仓库等</w:t>
            </w:r>
            <w:r>
              <w:rPr>
                <w:bCs/>
                <w:color w:val="auto"/>
                <w:kern w:val="0"/>
              </w:rPr>
              <w:t>区域的防渗处理和及时处置，存在污染土壤、地下水的可能。</w:t>
            </w:r>
          </w:p>
          <w:p w14:paraId="744F6181">
            <w:pPr>
              <w:pStyle w:val="27"/>
              <w:spacing w:line="360" w:lineRule="auto"/>
              <w:ind w:left="0" w:leftChars="0" w:right="0" w:rightChars="0" w:firstLine="422"/>
              <w:rPr>
                <w:b/>
                <w:bCs/>
                <w:color w:val="auto"/>
                <w:kern w:val="0"/>
                <w:sz w:val="21"/>
              </w:rPr>
            </w:pPr>
            <w:r>
              <w:rPr>
                <w:rFonts w:hint="eastAsia"/>
                <w:b/>
                <w:bCs/>
                <w:color w:val="auto"/>
                <w:kern w:val="0"/>
                <w:sz w:val="21"/>
              </w:rPr>
              <w:t>（</w:t>
            </w:r>
            <w:r>
              <w:rPr>
                <w:b/>
                <w:bCs/>
                <w:color w:val="auto"/>
                <w:kern w:val="0"/>
                <w:sz w:val="21"/>
              </w:rPr>
              <w:t>2）防渗</w:t>
            </w:r>
            <w:r>
              <w:rPr>
                <w:rFonts w:hint="eastAsia"/>
                <w:b/>
                <w:bCs/>
                <w:color w:val="auto"/>
                <w:kern w:val="0"/>
                <w:sz w:val="21"/>
              </w:rPr>
              <w:t>要求</w:t>
            </w:r>
          </w:p>
          <w:p w14:paraId="6C0FCAE2">
            <w:pPr>
              <w:adjustRightInd w:val="0"/>
              <w:snapToGrid w:val="0"/>
              <w:spacing w:line="360" w:lineRule="auto"/>
              <w:ind w:firstLine="420" w:firstLineChars="200"/>
              <w:jc w:val="left"/>
              <w:rPr>
                <w:bCs/>
                <w:color w:val="auto"/>
                <w:kern w:val="0"/>
              </w:rPr>
            </w:pPr>
            <w:r>
              <w:rPr>
                <w:bCs/>
                <w:color w:val="auto"/>
                <w:kern w:val="0"/>
              </w:rPr>
              <w:t>针对本项目可能发生的土壤和地下水污染，土壤及地下水污染防治措施按照</w:t>
            </w:r>
            <w:r>
              <w:rPr>
                <w:rFonts w:hint="eastAsia"/>
                <w:bCs/>
                <w:color w:val="auto"/>
                <w:kern w:val="0"/>
              </w:rPr>
              <w:t>“</w:t>
            </w:r>
            <w:r>
              <w:rPr>
                <w:bCs/>
                <w:color w:val="auto"/>
                <w:kern w:val="0"/>
              </w:rPr>
              <w:t>源头控制、末端防治、分区管理和控制</w:t>
            </w:r>
            <w:r>
              <w:rPr>
                <w:rFonts w:hint="eastAsia"/>
                <w:bCs/>
                <w:color w:val="auto"/>
                <w:kern w:val="0"/>
              </w:rPr>
              <w:t>”</w:t>
            </w:r>
            <w:r>
              <w:rPr>
                <w:bCs/>
                <w:color w:val="auto"/>
                <w:kern w:val="0"/>
              </w:rPr>
              <w:t>相结合的原则，</w:t>
            </w:r>
            <w:r>
              <w:rPr>
                <w:color w:val="auto"/>
                <w:kern w:val="0"/>
              </w:rPr>
              <w:t>建设单位</w:t>
            </w:r>
            <w:r>
              <w:rPr>
                <w:rFonts w:hint="eastAsia"/>
                <w:bCs/>
                <w:color w:val="auto"/>
                <w:kern w:val="0"/>
              </w:rPr>
              <w:t>仓库、危废仓库</w:t>
            </w:r>
            <w:r>
              <w:rPr>
                <w:bCs/>
                <w:color w:val="auto"/>
                <w:kern w:val="0"/>
              </w:rPr>
              <w:t>等处均需要进行防腐、防渗设计。为减少对土壤及地下水的影响，本项目应从污染物的产生、入渗、扩散、应急响应全阶段进行控制。</w:t>
            </w:r>
          </w:p>
          <w:p w14:paraId="7850718E">
            <w:pPr>
              <w:adjustRightInd w:val="0"/>
              <w:snapToGrid w:val="0"/>
              <w:spacing w:line="360" w:lineRule="auto"/>
              <w:ind w:firstLine="420" w:firstLineChars="200"/>
              <w:jc w:val="left"/>
              <w:rPr>
                <w:bCs/>
                <w:color w:val="auto"/>
                <w:kern w:val="0"/>
              </w:rPr>
            </w:pPr>
            <w:r>
              <w:rPr>
                <w:rFonts w:hint="eastAsia"/>
                <w:bCs/>
                <w:color w:val="auto"/>
                <w:kern w:val="0"/>
              </w:rPr>
              <w:t>①</w:t>
            </w:r>
            <w:r>
              <w:rPr>
                <w:bCs/>
                <w:color w:val="auto"/>
                <w:kern w:val="0"/>
              </w:rPr>
              <w:t>源头控制</w:t>
            </w:r>
            <w:r>
              <w:rPr>
                <w:rFonts w:hint="eastAsia"/>
                <w:bCs/>
                <w:color w:val="auto"/>
                <w:kern w:val="0"/>
              </w:rPr>
              <w:t>措施</w:t>
            </w:r>
          </w:p>
          <w:p w14:paraId="19647A29">
            <w:pPr>
              <w:adjustRightInd w:val="0"/>
              <w:snapToGrid w:val="0"/>
              <w:spacing w:line="360" w:lineRule="auto"/>
              <w:ind w:firstLine="420" w:firstLineChars="200"/>
              <w:jc w:val="left"/>
              <w:rPr>
                <w:bCs/>
                <w:color w:val="auto"/>
                <w:kern w:val="0"/>
              </w:rPr>
            </w:pPr>
            <w:r>
              <w:rPr>
                <w:bCs/>
                <w:color w:val="auto"/>
                <w:kern w:val="0"/>
              </w:rPr>
              <w:t>源头控制主要包括在工艺、管理、设备、污水储存及处理构筑物采取相应措施，防止和降低污染物跑、冒、滴、漏，将污染物泄漏的环境风险事故降到最低程度。</w:t>
            </w:r>
          </w:p>
          <w:p w14:paraId="132926D6">
            <w:pPr>
              <w:adjustRightInd w:val="0"/>
              <w:snapToGrid w:val="0"/>
              <w:spacing w:line="360" w:lineRule="auto"/>
              <w:ind w:firstLine="420" w:firstLineChars="200"/>
              <w:jc w:val="left"/>
              <w:rPr>
                <w:bCs/>
                <w:color w:val="auto"/>
                <w:kern w:val="0"/>
              </w:rPr>
            </w:pPr>
            <w:r>
              <w:rPr>
                <w:rFonts w:hint="eastAsia"/>
                <w:bCs/>
                <w:color w:val="auto"/>
                <w:kern w:val="0"/>
              </w:rPr>
              <w:t>②</w:t>
            </w:r>
            <w:r>
              <w:rPr>
                <w:bCs/>
                <w:color w:val="auto"/>
                <w:kern w:val="0"/>
              </w:rPr>
              <w:t>末端控制措施</w:t>
            </w:r>
          </w:p>
          <w:p w14:paraId="13CC143C">
            <w:pPr>
              <w:adjustRightInd w:val="0"/>
              <w:snapToGrid w:val="0"/>
              <w:spacing w:line="360" w:lineRule="auto"/>
              <w:ind w:firstLine="420" w:firstLineChars="200"/>
              <w:jc w:val="left"/>
              <w:rPr>
                <w:bCs/>
                <w:color w:val="auto"/>
                <w:kern w:val="0"/>
              </w:rPr>
            </w:pPr>
            <w:r>
              <w:rPr>
                <w:bCs/>
                <w:color w:val="auto"/>
                <w:kern w:val="0"/>
              </w:rPr>
              <w:t>末端控制措施主要包括厂内污染区地面的防渗措施和泄漏、渗漏污染物收集措施，即在污染区地面进行防渗处理，防止洒落地面的污染物渗入地下。</w:t>
            </w:r>
          </w:p>
          <w:p w14:paraId="01486C2E">
            <w:pPr>
              <w:adjustRightInd w:val="0"/>
              <w:snapToGrid w:val="0"/>
              <w:spacing w:line="360" w:lineRule="auto"/>
              <w:ind w:firstLine="420" w:firstLineChars="200"/>
              <w:jc w:val="left"/>
              <w:rPr>
                <w:bCs/>
                <w:color w:val="auto"/>
                <w:kern w:val="0"/>
              </w:rPr>
            </w:pPr>
            <w:r>
              <w:rPr>
                <w:rFonts w:hint="eastAsia"/>
                <w:bCs/>
                <w:color w:val="auto"/>
                <w:kern w:val="0"/>
              </w:rPr>
              <w:t>③</w:t>
            </w:r>
            <w:r>
              <w:rPr>
                <w:bCs/>
                <w:color w:val="auto"/>
                <w:kern w:val="0"/>
              </w:rPr>
              <w:t>分区管理和控制</w:t>
            </w:r>
            <w:r>
              <w:rPr>
                <w:rFonts w:hint="eastAsia"/>
                <w:bCs/>
                <w:color w:val="auto"/>
                <w:kern w:val="0"/>
              </w:rPr>
              <w:t>措施</w:t>
            </w:r>
          </w:p>
          <w:p w14:paraId="3E5E4D53">
            <w:pPr>
              <w:adjustRightInd w:val="0"/>
              <w:snapToGrid w:val="0"/>
              <w:spacing w:line="360" w:lineRule="auto"/>
              <w:ind w:firstLine="420" w:firstLineChars="200"/>
              <w:jc w:val="left"/>
              <w:rPr>
                <w:bCs/>
                <w:color w:val="auto"/>
                <w:kern w:val="0"/>
              </w:rPr>
            </w:pPr>
            <w:r>
              <w:rPr>
                <w:bCs/>
                <w:color w:val="auto"/>
                <w:kern w:val="0"/>
              </w:rPr>
              <w:t>分区管理和控制原则，即根据场址所在地的工程地质、水文地质条件和全厂可能发生泄漏的物料性质、排放量并参照相应标准要求有针对性的分区，并分别设计地面防渗层结构。</w:t>
            </w:r>
          </w:p>
          <w:p w14:paraId="705E6F30">
            <w:pPr>
              <w:adjustRightInd w:val="0"/>
              <w:snapToGrid w:val="0"/>
              <w:spacing w:line="360" w:lineRule="auto"/>
              <w:ind w:firstLine="420" w:firstLineChars="200"/>
              <w:jc w:val="left"/>
              <w:rPr>
                <w:bCs/>
                <w:color w:val="auto"/>
                <w:kern w:val="0"/>
              </w:rPr>
            </w:pPr>
            <w:r>
              <w:rPr>
                <w:color w:val="auto"/>
                <w:kern w:val="0"/>
              </w:rPr>
              <w:t>为了预防对地下水及土壤的污染，</w:t>
            </w:r>
            <w:r>
              <w:rPr>
                <w:rFonts w:hint="eastAsia"/>
                <w:color w:val="auto"/>
                <w:kern w:val="0"/>
              </w:rPr>
              <w:t>本项目</w:t>
            </w:r>
            <w:r>
              <w:rPr>
                <w:color w:val="auto"/>
                <w:kern w:val="0"/>
              </w:rPr>
              <w:t>按物料或者污染物泄漏的途径和生产功能单元所处的位置划分为重点污染防治区、一般污染防治区和简单防渗区三类污染防治区域：重点防渗区（</w:t>
            </w:r>
            <w:r>
              <w:rPr>
                <w:rFonts w:hint="eastAsia"/>
                <w:color w:val="auto"/>
                <w:kern w:val="0"/>
              </w:rPr>
              <w:t>危废仓库、</w:t>
            </w:r>
            <w:r>
              <w:rPr>
                <w:rStyle w:val="71"/>
                <w:rFonts w:hint="eastAsia"/>
                <w:color w:val="auto"/>
                <w:kern w:val="0"/>
              </w:rPr>
              <w:t>仓库</w:t>
            </w:r>
            <w:r>
              <w:rPr>
                <w:color w:val="auto"/>
                <w:kern w:val="0"/>
              </w:rPr>
              <w:t>）、一般防渗区（</w:t>
            </w:r>
            <w:r>
              <w:rPr>
                <w:rFonts w:hint="eastAsia"/>
                <w:color w:val="auto"/>
                <w:kern w:val="0"/>
              </w:rPr>
              <w:t>生产车间内其余生产区域</w:t>
            </w:r>
            <w:r>
              <w:rPr>
                <w:color w:val="auto"/>
                <w:kern w:val="0"/>
              </w:rPr>
              <w:t>）、简单防渗区（</w:t>
            </w:r>
            <w:r>
              <w:rPr>
                <w:rFonts w:hint="eastAsia"/>
                <w:color w:val="auto"/>
                <w:kern w:val="0"/>
              </w:rPr>
              <w:t>除重点防渗区和一般防渗区外的其他区域</w:t>
            </w:r>
            <w:r>
              <w:rPr>
                <w:color w:val="auto"/>
                <w:kern w:val="0"/>
              </w:rPr>
              <w:t>）。各防治区域的装置名录及其防渗要求见下表</w:t>
            </w:r>
            <w:r>
              <w:rPr>
                <w:rFonts w:hint="eastAsia"/>
                <w:color w:val="auto"/>
                <w:kern w:val="0"/>
              </w:rPr>
              <w:t>：</w:t>
            </w:r>
          </w:p>
          <w:p w14:paraId="60E2B3E5">
            <w:pPr>
              <w:adjustRightInd w:val="0"/>
              <w:snapToGrid w:val="0"/>
              <w:jc w:val="center"/>
              <w:rPr>
                <w:b/>
                <w:color w:val="auto"/>
                <w:kern w:val="0"/>
              </w:rPr>
            </w:pPr>
            <w:r>
              <w:rPr>
                <w:b/>
                <w:color w:val="auto"/>
                <w:kern w:val="0"/>
              </w:rPr>
              <w:t>表4-</w:t>
            </w:r>
            <w:r>
              <w:rPr>
                <w:rFonts w:hint="eastAsia"/>
                <w:b/>
                <w:color w:val="auto"/>
                <w:kern w:val="0"/>
                <w:lang w:val="en-US" w:eastAsia="zh-CN"/>
              </w:rPr>
              <w:t>25</w:t>
            </w:r>
            <w:r>
              <w:rPr>
                <w:rFonts w:hint="eastAsia"/>
                <w:b/>
                <w:color w:val="auto"/>
                <w:kern w:val="0"/>
              </w:rPr>
              <w:t xml:space="preserve">   </w:t>
            </w:r>
            <w:r>
              <w:rPr>
                <w:b/>
                <w:color w:val="auto"/>
                <w:kern w:val="0"/>
              </w:rPr>
              <w:t>项目污染防治分区划分及防渗要求</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2362"/>
              <w:gridCol w:w="1378"/>
              <w:gridCol w:w="5121"/>
            </w:tblGrid>
            <w:tr w14:paraId="565A4C5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443" w:type="dxa"/>
                  <w:tcBorders>
                    <w:tl2br w:val="nil"/>
                    <w:tr2bl w:val="nil"/>
                  </w:tcBorders>
                  <w:vAlign w:val="center"/>
                </w:tcPr>
                <w:p w14:paraId="01C600CD">
                  <w:pPr>
                    <w:keepNext w:val="0"/>
                    <w:keepLines w:val="0"/>
                    <w:pageBreakBefore w:val="0"/>
                    <w:widowControl w:val="0"/>
                    <w:kinsoku/>
                    <w:wordWrap/>
                    <w:overflowPunct/>
                    <w:topLinePunct w:val="0"/>
                    <w:autoSpaceDE/>
                    <w:autoSpaceDN/>
                    <w:bidi w:val="0"/>
                    <w:adjustRightInd w:val="0"/>
                    <w:snapToGrid w:val="0"/>
                    <w:jc w:val="center"/>
                    <w:textAlignment w:val="auto"/>
                    <w:rPr>
                      <w:rStyle w:val="71"/>
                      <w:b/>
                      <w:bCs/>
                      <w:color w:val="auto"/>
                      <w:kern w:val="0"/>
                      <w:sz w:val="21"/>
                      <w:szCs w:val="21"/>
                    </w:rPr>
                  </w:pPr>
                  <w:r>
                    <w:rPr>
                      <w:rStyle w:val="71"/>
                      <w:b/>
                      <w:bCs/>
                      <w:color w:val="auto"/>
                      <w:kern w:val="0"/>
                      <w:sz w:val="21"/>
                      <w:szCs w:val="21"/>
                    </w:rPr>
                    <w:t>防渗区域</w:t>
                  </w:r>
                </w:p>
              </w:tc>
              <w:tc>
                <w:tcPr>
                  <w:tcW w:w="1425" w:type="dxa"/>
                  <w:tcBorders>
                    <w:tl2br w:val="nil"/>
                    <w:tr2bl w:val="nil"/>
                  </w:tcBorders>
                  <w:vAlign w:val="center"/>
                </w:tcPr>
                <w:p w14:paraId="7586FFD3">
                  <w:pPr>
                    <w:keepNext w:val="0"/>
                    <w:keepLines w:val="0"/>
                    <w:pageBreakBefore w:val="0"/>
                    <w:widowControl w:val="0"/>
                    <w:kinsoku/>
                    <w:wordWrap/>
                    <w:overflowPunct/>
                    <w:topLinePunct w:val="0"/>
                    <w:autoSpaceDE/>
                    <w:autoSpaceDN/>
                    <w:bidi w:val="0"/>
                    <w:adjustRightInd w:val="0"/>
                    <w:snapToGrid w:val="0"/>
                    <w:jc w:val="center"/>
                    <w:textAlignment w:val="auto"/>
                    <w:rPr>
                      <w:rStyle w:val="71"/>
                      <w:b/>
                      <w:bCs/>
                      <w:color w:val="auto"/>
                      <w:kern w:val="0"/>
                      <w:sz w:val="21"/>
                      <w:szCs w:val="21"/>
                    </w:rPr>
                  </w:pPr>
                  <w:r>
                    <w:rPr>
                      <w:rStyle w:val="71"/>
                      <w:b/>
                      <w:bCs/>
                      <w:color w:val="auto"/>
                      <w:kern w:val="0"/>
                      <w:sz w:val="21"/>
                      <w:szCs w:val="21"/>
                    </w:rPr>
                    <w:t>防渗类别</w:t>
                  </w:r>
                </w:p>
              </w:tc>
              <w:tc>
                <w:tcPr>
                  <w:tcW w:w="5296" w:type="dxa"/>
                  <w:tcBorders>
                    <w:tl2br w:val="nil"/>
                    <w:tr2bl w:val="nil"/>
                  </w:tcBorders>
                  <w:vAlign w:val="center"/>
                </w:tcPr>
                <w:p w14:paraId="187A2318">
                  <w:pPr>
                    <w:keepNext w:val="0"/>
                    <w:keepLines w:val="0"/>
                    <w:pageBreakBefore w:val="0"/>
                    <w:widowControl w:val="0"/>
                    <w:kinsoku/>
                    <w:wordWrap/>
                    <w:overflowPunct/>
                    <w:topLinePunct w:val="0"/>
                    <w:autoSpaceDE/>
                    <w:autoSpaceDN/>
                    <w:bidi w:val="0"/>
                    <w:adjustRightInd w:val="0"/>
                    <w:snapToGrid w:val="0"/>
                    <w:jc w:val="center"/>
                    <w:textAlignment w:val="auto"/>
                    <w:rPr>
                      <w:rStyle w:val="71"/>
                      <w:b/>
                      <w:bCs/>
                      <w:color w:val="auto"/>
                      <w:kern w:val="0"/>
                      <w:sz w:val="21"/>
                      <w:szCs w:val="21"/>
                    </w:rPr>
                  </w:pPr>
                  <w:r>
                    <w:rPr>
                      <w:rStyle w:val="71"/>
                      <w:b/>
                      <w:bCs/>
                      <w:color w:val="auto"/>
                      <w:kern w:val="0"/>
                      <w:sz w:val="21"/>
                      <w:szCs w:val="21"/>
                    </w:rPr>
                    <w:t>防渗要求</w:t>
                  </w:r>
                </w:p>
              </w:tc>
            </w:tr>
            <w:tr w14:paraId="681980B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2443" w:type="dxa"/>
                  <w:tcBorders>
                    <w:tl2br w:val="nil"/>
                    <w:tr2bl w:val="nil"/>
                  </w:tcBorders>
                  <w:vAlign w:val="center"/>
                </w:tcPr>
                <w:p w14:paraId="5BE7AA8C">
                  <w:pPr>
                    <w:keepNext w:val="0"/>
                    <w:keepLines w:val="0"/>
                    <w:pageBreakBefore w:val="0"/>
                    <w:widowControl w:val="0"/>
                    <w:kinsoku/>
                    <w:wordWrap/>
                    <w:overflowPunct/>
                    <w:topLinePunct w:val="0"/>
                    <w:autoSpaceDE/>
                    <w:autoSpaceDN/>
                    <w:bidi w:val="0"/>
                    <w:adjustRightInd w:val="0"/>
                    <w:snapToGrid w:val="0"/>
                    <w:jc w:val="center"/>
                    <w:textAlignment w:val="auto"/>
                    <w:rPr>
                      <w:rStyle w:val="71"/>
                      <w:color w:val="auto"/>
                      <w:kern w:val="0"/>
                      <w:sz w:val="21"/>
                      <w:szCs w:val="21"/>
                    </w:rPr>
                  </w:pPr>
                  <w:r>
                    <w:rPr>
                      <w:rFonts w:hint="eastAsia"/>
                      <w:color w:val="auto"/>
                      <w:kern w:val="0"/>
                      <w:sz w:val="21"/>
                      <w:szCs w:val="21"/>
                    </w:rPr>
                    <w:t>危废仓库、</w:t>
                  </w:r>
                  <w:r>
                    <w:rPr>
                      <w:rStyle w:val="71"/>
                      <w:rFonts w:hint="eastAsia"/>
                      <w:color w:val="auto"/>
                      <w:kern w:val="0"/>
                      <w:sz w:val="21"/>
                      <w:szCs w:val="21"/>
                    </w:rPr>
                    <w:t>仓库</w:t>
                  </w:r>
                </w:p>
              </w:tc>
              <w:tc>
                <w:tcPr>
                  <w:tcW w:w="1425" w:type="dxa"/>
                  <w:tcBorders>
                    <w:tl2br w:val="nil"/>
                    <w:tr2bl w:val="nil"/>
                  </w:tcBorders>
                  <w:vAlign w:val="center"/>
                </w:tcPr>
                <w:p w14:paraId="2162D786">
                  <w:pPr>
                    <w:keepNext w:val="0"/>
                    <w:keepLines w:val="0"/>
                    <w:pageBreakBefore w:val="0"/>
                    <w:widowControl w:val="0"/>
                    <w:kinsoku/>
                    <w:wordWrap/>
                    <w:overflowPunct/>
                    <w:topLinePunct w:val="0"/>
                    <w:autoSpaceDE/>
                    <w:autoSpaceDN/>
                    <w:bidi w:val="0"/>
                    <w:adjustRightInd w:val="0"/>
                    <w:snapToGrid w:val="0"/>
                    <w:jc w:val="center"/>
                    <w:textAlignment w:val="auto"/>
                    <w:rPr>
                      <w:rStyle w:val="71"/>
                      <w:color w:val="auto"/>
                      <w:kern w:val="0"/>
                      <w:sz w:val="21"/>
                      <w:szCs w:val="21"/>
                    </w:rPr>
                  </w:pPr>
                  <w:r>
                    <w:rPr>
                      <w:rStyle w:val="71"/>
                      <w:color w:val="auto"/>
                      <w:kern w:val="0"/>
                      <w:sz w:val="21"/>
                      <w:szCs w:val="21"/>
                    </w:rPr>
                    <w:t>重点防渗</w:t>
                  </w:r>
                </w:p>
              </w:tc>
              <w:tc>
                <w:tcPr>
                  <w:tcW w:w="5296" w:type="dxa"/>
                  <w:tcBorders>
                    <w:tl2br w:val="nil"/>
                    <w:tr2bl w:val="nil"/>
                  </w:tcBorders>
                  <w:vAlign w:val="center"/>
                </w:tcPr>
                <w:p w14:paraId="11469F89">
                  <w:pPr>
                    <w:keepNext w:val="0"/>
                    <w:keepLines w:val="0"/>
                    <w:pageBreakBefore w:val="0"/>
                    <w:widowControl w:val="0"/>
                    <w:kinsoku/>
                    <w:wordWrap/>
                    <w:overflowPunct/>
                    <w:topLinePunct w:val="0"/>
                    <w:autoSpaceDE/>
                    <w:autoSpaceDN/>
                    <w:bidi w:val="0"/>
                    <w:adjustRightInd w:val="0"/>
                    <w:snapToGrid w:val="0"/>
                    <w:jc w:val="center"/>
                    <w:textAlignment w:val="auto"/>
                    <w:rPr>
                      <w:rStyle w:val="71"/>
                      <w:color w:val="auto"/>
                      <w:kern w:val="0"/>
                      <w:sz w:val="21"/>
                      <w:szCs w:val="21"/>
                    </w:rPr>
                  </w:pPr>
                  <w:r>
                    <w:rPr>
                      <w:rStyle w:val="71"/>
                      <w:color w:val="auto"/>
                      <w:kern w:val="0"/>
                      <w:sz w:val="21"/>
                      <w:szCs w:val="21"/>
                    </w:rPr>
                    <w:t>地面应铺设抗渗混凝土及耐腐蚀硬化材料，防渗层为2mm厚高密度聚乙烯，或至少2mm厚的其它耐腐蚀材料，渗透系数≤10</w:t>
                  </w:r>
                  <w:r>
                    <w:rPr>
                      <w:rStyle w:val="71"/>
                      <w:color w:val="auto"/>
                      <w:kern w:val="0"/>
                      <w:sz w:val="21"/>
                      <w:szCs w:val="21"/>
                      <w:vertAlign w:val="superscript"/>
                    </w:rPr>
                    <w:t>-10</w:t>
                  </w:r>
                  <w:r>
                    <w:rPr>
                      <w:rStyle w:val="71"/>
                      <w:color w:val="auto"/>
                      <w:kern w:val="0"/>
                      <w:sz w:val="21"/>
                      <w:szCs w:val="21"/>
                    </w:rPr>
                    <w:t>cm/s，且地面无裂缝；衬里要能够覆盖废物或其溶出物可能涉及到的范围；衬里材料与堆放的废物相容。</w:t>
                  </w:r>
                </w:p>
              </w:tc>
            </w:tr>
            <w:tr w14:paraId="609A370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443" w:type="dxa"/>
                  <w:tcBorders>
                    <w:tl2br w:val="nil"/>
                    <w:tr2bl w:val="nil"/>
                  </w:tcBorders>
                  <w:vAlign w:val="center"/>
                </w:tcPr>
                <w:p w14:paraId="1FE8EC6B">
                  <w:pPr>
                    <w:keepNext w:val="0"/>
                    <w:keepLines w:val="0"/>
                    <w:pageBreakBefore w:val="0"/>
                    <w:widowControl w:val="0"/>
                    <w:kinsoku/>
                    <w:wordWrap/>
                    <w:overflowPunct/>
                    <w:topLinePunct w:val="0"/>
                    <w:autoSpaceDE/>
                    <w:autoSpaceDN/>
                    <w:bidi w:val="0"/>
                    <w:adjustRightInd w:val="0"/>
                    <w:snapToGrid w:val="0"/>
                    <w:jc w:val="center"/>
                    <w:textAlignment w:val="auto"/>
                    <w:rPr>
                      <w:rStyle w:val="71"/>
                      <w:color w:val="auto"/>
                      <w:kern w:val="0"/>
                      <w:sz w:val="21"/>
                      <w:szCs w:val="21"/>
                    </w:rPr>
                  </w:pPr>
                  <w:r>
                    <w:rPr>
                      <w:rFonts w:hint="eastAsia"/>
                      <w:color w:val="auto"/>
                      <w:kern w:val="0"/>
                      <w:sz w:val="21"/>
                      <w:szCs w:val="21"/>
                    </w:rPr>
                    <w:t>生产车间、其余生产区域</w:t>
                  </w:r>
                </w:p>
              </w:tc>
              <w:tc>
                <w:tcPr>
                  <w:tcW w:w="1425" w:type="dxa"/>
                  <w:tcBorders>
                    <w:tl2br w:val="nil"/>
                    <w:tr2bl w:val="nil"/>
                  </w:tcBorders>
                  <w:vAlign w:val="center"/>
                </w:tcPr>
                <w:p w14:paraId="7CDB1B66">
                  <w:pPr>
                    <w:keepNext w:val="0"/>
                    <w:keepLines w:val="0"/>
                    <w:pageBreakBefore w:val="0"/>
                    <w:widowControl w:val="0"/>
                    <w:kinsoku/>
                    <w:wordWrap/>
                    <w:overflowPunct/>
                    <w:topLinePunct w:val="0"/>
                    <w:autoSpaceDE/>
                    <w:autoSpaceDN/>
                    <w:bidi w:val="0"/>
                    <w:adjustRightInd w:val="0"/>
                    <w:snapToGrid w:val="0"/>
                    <w:jc w:val="center"/>
                    <w:textAlignment w:val="auto"/>
                    <w:rPr>
                      <w:rStyle w:val="71"/>
                      <w:color w:val="auto"/>
                      <w:kern w:val="0"/>
                      <w:sz w:val="21"/>
                      <w:szCs w:val="21"/>
                    </w:rPr>
                  </w:pPr>
                  <w:r>
                    <w:rPr>
                      <w:rStyle w:val="71"/>
                      <w:color w:val="auto"/>
                      <w:kern w:val="0"/>
                      <w:sz w:val="21"/>
                      <w:szCs w:val="21"/>
                    </w:rPr>
                    <w:t>一般防渗</w:t>
                  </w:r>
                </w:p>
              </w:tc>
              <w:tc>
                <w:tcPr>
                  <w:tcW w:w="5296" w:type="dxa"/>
                  <w:tcBorders>
                    <w:tl2br w:val="nil"/>
                    <w:tr2bl w:val="nil"/>
                  </w:tcBorders>
                  <w:vAlign w:val="center"/>
                </w:tcPr>
                <w:p w14:paraId="03CEA453">
                  <w:pPr>
                    <w:keepNext w:val="0"/>
                    <w:keepLines w:val="0"/>
                    <w:pageBreakBefore w:val="0"/>
                    <w:widowControl w:val="0"/>
                    <w:kinsoku/>
                    <w:wordWrap/>
                    <w:overflowPunct/>
                    <w:topLinePunct w:val="0"/>
                    <w:autoSpaceDE/>
                    <w:autoSpaceDN/>
                    <w:bidi w:val="0"/>
                    <w:adjustRightInd w:val="0"/>
                    <w:snapToGrid w:val="0"/>
                    <w:jc w:val="center"/>
                    <w:textAlignment w:val="auto"/>
                    <w:rPr>
                      <w:rStyle w:val="71"/>
                      <w:color w:val="auto"/>
                      <w:kern w:val="0"/>
                      <w:sz w:val="21"/>
                      <w:szCs w:val="21"/>
                    </w:rPr>
                  </w:pPr>
                  <w:r>
                    <w:rPr>
                      <w:color w:val="auto"/>
                      <w:kern w:val="0"/>
                      <w:sz w:val="21"/>
                      <w:szCs w:val="21"/>
                    </w:rPr>
                    <w:t>包括除重点防渗区外的其余部分地面，包括原料区、成品区等，采用抗渗等级不低于P1级的抗渗混凝土（渗透系数约0.4×10</w:t>
                  </w:r>
                  <w:r>
                    <w:rPr>
                      <w:color w:val="auto"/>
                      <w:kern w:val="0"/>
                      <w:sz w:val="21"/>
                      <w:szCs w:val="21"/>
                      <w:vertAlign w:val="superscript"/>
                    </w:rPr>
                    <w:t>-7</w:t>
                  </w:r>
                  <w:r>
                    <w:rPr>
                      <w:color w:val="auto"/>
                      <w:kern w:val="0"/>
                      <w:sz w:val="21"/>
                      <w:szCs w:val="21"/>
                    </w:rPr>
                    <w:t>cm/s，厚度不低于20cm）硬化地面。</w:t>
                  </w:r>
                </w:p>
              </w:tc>
            </w:tr>
            <w:tr w14:paraId="4FB235D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443" w:type="dxa"/>
                  <w:tcBorders>
                    <w:tl2br w:val="nil"/>
                    <w:tr2bl w:val="nil"/>
                  </w:tcBorders>
                  <w:vAlign w:val="center"/>
                </w:tcPr>
                <w:p w14:paraId="7A9DE16D">
                  <w:pPr>
                    <w:keepNext w:val="0"/>
                    <w:keepLines w:val="0"/>
                    <w:pageBreakBefore w:val="0"/>
                    <w:widowControl w:val="0"/>
                    <w:kinsoku/>
                    <w:wordWrap/>
                    <w:overflowPunct/>
                    <w:topLinePunct w:val="0"/>
                    <w:autoSpaceDE/>
                    <w:autoSpaceDN/>
                    <w:bidi w:val="0"/>
                    <w:adjustRightInd w:val="0"/>
                    <w:snapToGrid w:val="0"/>
                    <w:jc w:val="center"/>
                    <w:textAlignment w:val="auto"/>
                    <w:rPr>
                      <w:rStyle w:val="71"/>
                      <w:color w:val="auto"/>
                      <w:kern w:val="0"/>
                      <w:sz w:val="21"/>
                      <w:szCs w:val="21"/>
                    </w:rPr>
                  </w:pPr>
                  <w:r>
                    <w:rPr>
                      <w:rFonts w:hint="eastAsia"/>
                      <w:color w:val="auto"/>
                      <w:kern w:val="0"/>
                      <w:sz w:val="21"/>
                      <w:szCs w:val="21"/>
                    </w:rPr>
                    <w:t>除重点防渗区和一般防渗区外的其他区域</w:t>
                  </w:r>
                </w:p>
              </w:tc>
              <w:tc>
                <w:tcPr>
                  <w:tcW w:w="1425" w:type="dxa"/>
                  <w:tcBorders>
                    <w:tl2br w:val="nil"/>
                    <w:tr2bl w:val="nil"/>
                  </w:tcBorders>
                  <w:vAlign w:val="center"/>
                </w:tcPr>
                <w:p w14:paraId="0D2DA74B">
                  <w:pPr>
                    <w:keepNext w:val="0"/>
                    <w:keepLines w:val="0"/>
                    <w:pageBreakBefore w:val="0"/>
                    <w:widowControl w:val="0"/>
                    <w:kinsoku/>
                    <w:wordWrap/>
                    <w:overflowPunct/>
                    <w:topLinePunct w:val="0"/>
                    <w:autoSpaceDE/>
                    <w:autoSpaceDN/>
                    <w:bidi w:val="0"/>
                    <w:adjustRightInd w:val="0"/>
                    <w:snapToGrid w:val="0"/>
                    <w:jc w:val="center"/>
                    <w:textAlignment w:val="auto"/>
                    <w:rPr>
                      <w:rStyle w:val="71"/>
                      <w:color w:val="auto"/>
                      <w:kern w:val="0"/>
                      <w:sz w:val="21"/>
                      <w:szCs w:val="21"/>
                    </w:rPr>
                  </w:pPr>
                  <w:r>
                    <w:rPr>
                      <w:rStyle w:val="71"/>
                      <w:color w:val="auto"/>
                      <w:kern w:val="0"/>
                      <w:sz w:val="21"/>
                      <w:szCs w:val="21"/>
                    </w:rPr>
                    <w:t>简单防渗区</w:t>
                  </w:r>
                </w:p>
              </w:tc>
              <w:tc>
                <w:tcPr>
                  <w:tcW w:w="5296" w:type="dxa"/>
                  <w:tcBorders>
                    <w:tl2br w:val="nil"/>
                    <w:tr2bl w:val="nil"/>
                  </w:tcBorders>
                  <w:vAlign w:val="center"/>
                </w:tcPr>
                <w:p w14:paraId="4A24FC2C">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sz w:val="21"/>
                      <w:szCs w:val="21"/>
                    </w:rPr>
                  </w:pPr>
                  <w:r>
                    <w:rPr>
                      <w:color w:val="auto"/>
                      <w:kern w:val="0"/>
                      <w:sz w:val="21"/>
                      <w:szCs w:val="21"/>
                    </w:rPr>
                    <w:t>一般地面硬化</w:t>
                  </w:r>
                </w:p>
              </w:tc>
            </w:tr>
          </w:tbl>
          <w:p w14:paraId="50FE920B">
            <w:pPr>
              <w:pStyle w:val="697"/>
              <w:adjustRightInd w:val="0"/>
              <w:snapToGrid w:val="0"/>
              <w:spacing w:line="360" w:lineRule="auto"/>
              <w:ind w:firstLine="422"/>
              <w:rPr>
                <w:rFonts w:eastAsia="宋体"/>
                <w:b/>
                <w:bCs/>
                <w:color w:val="auto"/>
                <w:kern w:val="0"/>
                <w:sz w:val="21"/>
                <w:szCs w:val="21"/>
              </w:rPr>
            </w:pPr>
            <w:r>
              <w:rPr>
                <w:rFonts w:hint="eastAsia" w:eastAsia="宋体"/>
                <w:b/>
                <w:bCs/>
                <w:color w:val="auto"/>
                <w:kern w:val="0"/>
                <w:sz w:val="21"/>
                <w:szCs w:val="21"/>
              </w:rPr>
              <w:t>（</w:t>
            </w:r>
            <w:r>
              <w:rPr>
                <w:rFonts w:eastAsia="宋体"/>
                <w:b/>
                <w:bCs/>
                <w:color w:val="auto"/>
                <w:kern w:val="0"/>
                <w:sz w:val="21"/>
                <w:szCs w:val="21"/>
              </w:rPr>
              <w:t>3）</w:t>
            </w:r>
            <w:r>
              <w:rPr>
                <w:rFonts w:hint="eastAsia" w:eastAsia="宋体"/>
                <w:b/>
                <w:bCs/>
                <w:color w:val="auto"/>
                <w:kern w:val="0"/>
                <w:sz w:val="21"/>
                <w:szCs w:val="21"/>
              </w:rPr>
              <w:t>预防措施</w:t>
            </w:r>
          </w:p>
          <w:p w14:paraId="7A89A618">
            <w:pPr>
              <w:adjustRightInd w:val="0"/>
              <w:snapToGrid w:val="0"/>
              <w:spacing w:line="360" w:lineRule="auto"/>
              <w:ind w:firstLine="420" w:firstLineChars="200"/>
              <w:rPr>
                <w:color w:val="auto"/>
                <w:kern w:val="0"/>
              </w:rPr>
            </w:pPr>
            <w:r>
              <w:rPr>
                <w:color w:val="auto"/>
                <w:kern w:val="0"/>
              </w:rPr>
              <w:t>为防止</w:t>
            </w:r>
            <w:r>
              <w:rPr>
                <w:rFonts w:hint="eastAsia"/>
                <w:color w:val="auto"/>
                <w:kern w:val="0"/>
              </w:rPr>
              <w:t>土壤及</w:t>
            </w:r>
            <w:r>
              <w:rPr>
                <w:color w:val="auto"/>
                <w:kern w:val="0"/>
              </w:rPr>
              <w:t>地下水污染</w:t>
            </w:r>
            <w:r>
              <w:rPr>
                <w:rFonts w:hint="eastAsia"/>
                <w:color w:val="auto"/>
                <w:kern w:val="0"/>
              </w:rPr>
              <w:t>，企业应设置专人</w:t>
            </w:r>
            <w:r>
              <w:rPr>
                <w:color w:val="auto"/>
                <w:kern w:val="0"/>
              </w:rPr>
              <w:t>了解全厂生产是否出现异常情况，出现异常情况的装置、原因</w:t>
            </w:r>
            <w:r>
              <w:rPr>
                <w:rFonts w:hint="eastAsia"/>
                <w:color w:val="auto"/>
                <w:kern w:val="0"/>
              </w:rPr>
              <w:t>，</w:t>
            </w:r>
            <w:r>
              <w:rPr>
                <w:color w:val="auto"/>
                <w:kern w:val="0"/>
              </w:rPr>
              <w:t>定期对污染区的生产装置、法兰、阀门、管道等进行检查。</w:t>
            </w:r>
          </w:p>
          <w:p w14:paraId="0EAC2D4E">
            <w:pPr>
              <w:adjustRightInd w:val="0"/>
              <w:snapToGrid w:val="0"/>
              <w:spacing w:line="360" w:lineRule="auto"/>
              <w:ind w:firstLine="420" w:firstLineChars="200"/>
              <w:rPr>
                <w:color w:val="auto"/>
                <w:kern w:val="0"/>
              </w:rPr>
            </w:pPr>
            <w:r>
              <w:rPr>
                <w:color w:val="auto"/>
                <w:kern w:val="0"/>
              </w:rPr>
              <w:t>本项目将建设场地划分为重点污染防治区、一般污染防治区和简单污染防治区，防渗设计应根据污染防治分区采取相应的防渗方案。通过加强管理，跟踪监测，项目对地下水及土壤基本不会造成影响。</w:t>
            </w:r>
          </w:p>
          <w:p w14:paraId="1AD4C0AB">
            <w:pPr>
              <w:spacing w:line="360" w:lineRule="auto"/>
              <w:rPr>
                <w:b/>
                <w:bCs/>
                <w:color w:val="auto"/>
                <w:kern w:val="0"/>
              </w:rPr>
            </w:pPr>
            <w:r>
              <w:rPr>
                <w:rFonts w:hint="eastAsia"/>
                <w:b/>
                <w:bCs/>
                <w:color w:val="auto"/>
                <w:kern w:val="0"/>
              </w:rPr>
              <w:t>6、环境风险影响分析</w:t>
            </w:r>
          </w:p>
          <w:p w14:paraId="5DF2A7DE">
            <w:pPr>
              <w:adjustRightInd w:val="0"/>
              <w:snapToGrid w:val="0"/>
              <w:spacing w:line="360" w:lineRule="auto"/>
              <w:ind w:firstLine="422" w:firstLineChars="200"/>
              <w:jc w:val="left"/>
              <w:rPr>
                <w:b/>
                <w:color w:val="auto"/>
                <w:kern w:val="0"/>
              </w:rPr>
            </w:pPr>
            <w:r>
              <w:rPr>
                <w:b/>
                <w:color w:val="auto"/>
                <w:kern w:val="0"/>
              </w:rPr>
              <w:t>1</w:t>
            </w:r>
            <w:r>
              <w:rPr>
                <w:rFonts w:hint="eastAsia"/>
                <w:b/>
                <w:color w:val="auto"/>
                <w:kern w:val="0"/>
              </w:rPr>
              <w:t>）</w:t>
            </w:r>
            <w:r>
              <w:rPr>
                <w:b/>
                <w:color w:val="auto"/>
                <w:kern w:val="0"/>
              </w:rPr>
              <w:t>风险源调查及识别</w:t>
            </w:r>
          </w:p>
          <w:p w14:paraId="41AD4187">
            <w:pPr>
              <w:pStyle w:val="24"/>
              <w:adjustRightInd w:val="0"/>
              <w:snapToGrid w:val="0"/>
              <w:spacing w:after="0" w:line="360" w:lineRule="auto"/>
              <w:ind w:left="0" w:leftChars="0" w:firstLine="420" w:firstLineChars="200"/>
              <w:rPr>
                <w:color w:val="auto"/>
                <w:sz w:val="21"/>
                <w:szCs w:val="21"/>
              </w:rPr>
            </w:pPr>
            <w:r>
              <w:rPr>
                <w:color w:val="auto"/>
                <w:sz w:val="21"/>
                <w:szCs w:val="21"/>
              </w:rPr>
              <w:fldChar w:fldCharType="begin"/>
            </w:r>
            <w:r>
              <w:rPr>
                <w:color w:val="auto"/>
                <w:sz w:val="21"/>
                <w:szCs w:val="21"/>
              </w:rPr>
              <w:instrText xml:space="preserve"> = 1 \* GB3 \* MERGEFORMAT </w:instrText>
            </w:r>
            <w:r>
              <w:rPr>
                <w:color w:val="auto"/>
                <w:sz w:val="21"/>
                <w:szCs w:val="21"/>
              </w:rPr>
              <w:fldChar w:fldCharType="separate"/>
            </w:r>
            <w:r>
              <w:rPr>
                <w:color w:val="auto"/>
                <w:sz w:val="21"/>
                <w:szCs w:val="21"/>
              </w:rPr>
              <w:t>①</w:t>
            </w:r>
            <w:r>
              <w:rPr>
                <w:color w:val="auto"/>
                <w:sz w:val="21"/>
                <w:szCs w:val="21"/>
              </w:rPr>
              <w:fldChar w:fldCharType="end"/>
            </w:r>
            <w:r>
              <w:rPr>
                <w:color w:val="auto"/>
                <w:sz w:val="21"/>
                <w:szCs w:val="21"/>
              </w:rPr>
              <w:t>物质危险性识别</w:t>
            </w:r>
          </w:p>
          <w:p w14:paraId="0DAF33B4">
            <w:pPr>
              <w:pStyle w:val="24"/>
              <w:adjustRightInd w:val="0"/>
              <w:snapToGrid w:val="0"/>
              <w:spacing w:after="0" w:line="360" w:lineRule="auto"/>
              <w:ind w:left="0" w:leftChars="0" w:firstLine="420" w:firstLineChars="200"/>
              <w:rPr>
                <w:b/>
                <w:bCs/>
                <w:color w:val="auto"/>
                <w:sz w:val="21"/>
                <w:szCs w:val="21"/>
              </w:rPr>
            </w:pPr>
            <w:r>
              <w:rPr>
                <w:color w:val="auto"/>
                <w:sz w:val="21"/>
                <w:szCs w:val="21"/>
              </w:rPr>
              <w:t>根据《建设项目环境风险评价技术导则》（HJ/T169-2018）附录B，全厂涉及的危险物质数量及分布情况见下表。</w:t>
            </w:r>
          </w:p>
          <w:p w14:paraId="23B2E9D1">
            <w:pPr>
              <w:jc w:val="center"/>
              <w:rPr>
                <w:color w:val="auto"/>
                <w:kern w:val="0"/>
                <w:lang w:val="zh-CN"/>
              </w:rPr>
            </w:pPr>
            <w:r>
              <w:rPr>
                <w:b/>
                <w:bCs/>
                <w:color w:val="auto"/>
                <w:kern w:val="0"/>
              </w:rPr>
              <w:t>表4-</w:t>
            </w:r>
            <w:r>
              <w:rPr>
                <w:rFonts w:hint="eastAsia"/>
                <w:b/>
                <w:bCs/>
                <w:color w:val="auto"/>
                <w:kern w:val="0"/>
                <w:lang w:val="en-US" w:eastAsia="zh-CN"/>
              </w:rPr>
              <w:t>26</w:t>
            </w:r>
            <w:r>
              <w:rPr>
                <w:rFonts w:hint="eastAsia"/>
                <w:b/>
                <w:bCs/>
                <w:color w:val="auto"/>
                <w:kern w:val="0"/>
              </w:rPr>
              <w:t xml:space="preserve">   </w:t>
            </w:r>
            <w:r>
              <w:rPr>
                <w:b/>
                <w:bCs/>
                <w:color w:val="auto"/>
                <w:kern w:val="0"/>
              </w:rPr>
              <w:t>全厂涉及的危险物质数量及分布情况表</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2406"/>
              <w:gridCol w:w="2248"/>
              <w:gridCol w:w="2200"/>
              <w:gridCol w:w="2007"/>
            </w:tblGrid>
            <w:tr w14:paraId="0909F82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1357" w:type="pct"/>
                  <w:vAlign w:val="center"/>
                </w:tcPr>
                <w:p w14:paraId="63315662">
                  <w:pPr>
                    <w:tabs>
                      <w:tab w:val="left" w:pos="960"/>
                    </w:tabs>
                    <w:snapToGrid w:val="0"/>
                    <w:jc w:val="center"/>
                    <w:rPr>
                      <w:b/>
                      <w:bCs/>
                      <w:color w:val="auto"/>
                      <w:kern w:val="0"/>
                    </w:rPr>
                  </w:pPr>
                  <w:r>
                    <w:rPr>
                      <w:b/>
                      <w:bCs/>
                      <w:color w:val="auto"/>
                      <w:kern w:val="0"/>
                    </w:rPr>
                    <w:t>名称</w:t>
                  </w:r>
                </w:p>
              </w:tc>
              <w:tc>
                <w:tcPr>
                  <w:tcW w:w="1268" w:type="pct"/>
                  <w:vAlign w:val="center"/>
                </w:tcPr>
                <w:p w14:paraId="710D0D83">
                  <w:pPr>
                    <w:tabs>
                      <w:tab w:val="left" w:pos="960"/>
                    </w:tabs>
                    <w:snapToGrid w:val="0"/>
                    <w:jc w:val="center"/>
                    <w:rPr>
                      <w:b/>
                      <w:bCs/>
                      <w:color w:val="auto"/>
                      <w:kern w:val="0"/>
                    </w:rPr>
                  </w:pPr>
                  <w:r>
                    <w:rPr>
                      <w:b/>
                      <w:bCs/>
                      <w:color w:val="auto"/>
                      <w:kern w:val="0"/>
                    </w:rPr>
                    <w:t>最大存储量/t</w:t>
                  </w:r>
                </w:p>
              </w:tc>
              <w:tc>
                <w:tcPr>
                  <w:tcW w:w="1241" w:type="pct"/>
                  <w:vAlign w:val="center"/>
                </w:tcPr>
                <w:p w14:paraId="76F30892">
                  <w:pPr>
                    <w:tabs>
                      <w:tab w:val="left" w:pos="960"/>
                    </w:tabs>
                    <w:snapToGrid w:val="0"/>
                    <w:jc w:val="center"/>
                    <w:rPr>
                      <w:b/>
                      <w:bCs/>
                      <w:color w:val="auto"/>
                      <w:kern w:val="0"/>
                    </w:rPr>
                  </w:pPr>
                  <w:r>
                    <w:rPr>
                      <w:b/>
                      <w:bCs/>
                      <w:color w:val="auto"/>
                      <w:kern w:val="0"/>
                    </w:rPr>
                    <w:t>储存方式</w:t>
                  </w:r>
                </w:p>
              </w:tc>
              <w:tc>
                <w:tcPr>
                  <w:tcW w:w="1132" w:type="pct"/>
                  <w:vAlign w:val="center"/>
                </w:tcPr>
                <w:p w14:paraId="5DD7A6DF">
                  <w:pPr>
                    <w:tabs>
                      <w:tab w:val="left" w:pos="960"/>
                    </w:tabs>
                    <w:snapToGrid w:val="0"/>
                    <w:jc w:val="center"/>
                    <w:rPr>
                      <w:b/>
                      <w:bCs/>
                      <w:color w:val="auto"/>
                      <w:kern w:val="0"/>
                    </w:rPr>
                  </w:pPr>
                  <w:r>
                    <w:rPr>
                      <w:b/>
                      <w:bCs/>
                      <w:color w:val="auto"/>
                      <w:kern w:val="0"/>
                    </w:rPr>
                    <w:t>储存位置</w:t>
                  </w:r>
                </w:p>
              </w:tc>
            </w:tr>
            <w:tr w14:paraId="0AD9517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357" w:type="pct"/>
                  <w:vAlign w:val="center"/>
                </w:tcPr>
                <w:p w14:paraId="3641CF73">
                  <w:pPr>
                    <w:adjustRightInd w:val="0"/>
                    <w:snapToGrid w:val="0"/>
                    <w:jc w:val="center"/>
                    <w:rPr>
                      <w:rFonts w:hint="default"/>
                      <w:color w:val="auto"/>
                      <w:kern w:val="0"/>
                      <w:lang w:val="en-US" w:eastAsia="zh-CN"/>
                    </w:rPr>
                  </w:pPr>
                  <w:r>
                    <w:rPr>
                      <w:rFonts w:hint="eastAsia"/>
                      <w:color w:val="auto"/>
                      <w:kern w:val="0"/>
                      <w:lang w:val="en-US" w:eastAsia="zh-CN"/>
                    </w:rPr>
                    <w:t>涂料</w:t>
                  </w:r>
                </w:p>
              </w:tc>
              <w:tc>
                <w:tcPr>
                  <w:tcW w:w="1268" w:type="pct"/>
                  <w:vAlign w:val="center"/>
                </w:tcPr>
                <w:p w14:paraId="0CA033A0">
                  <w:pPr>
                    <w:widowControl/>
                    <w:jc w:val="center"/>
                    <w:textAlignment w:val="center"/>
                    <w:rPr>
                      <w:rFonts w:hint="default"/>
                      <w:color w:val="auto"/>
                      <w:kern w:val="0"/>
                      <w:lang w:val="en-US" w:eastAsia="zh-CN"/>
                    </w:rPr>
                  </w:pPr>
                  <w:r>
                    <w:rPr>
                      <w:rFonts w:hint="eastAsia"/>
                      <w:color w:val="auto"/>
                      <w:kern w:val="0"/>
                      <w:lang w:val="en-US" w:eastAsia="zh-CN"/>
                    </w:rPr>
                    <w:t>0.85</w:t>
                  </w:r>
                </w:p>
              </w:tc>
              <w:tc>
                <w:tcPr>
                  <w:tcW w:w="1241" w:type="pct"/>
                  <w:vAlign w:val="center"/>
                </w:tcPr>
                <w:p w14:paraId="67B061B3">
                  <w:pPr>
                    <w:jc w:val="center"/>
                    <w:rPr>
                      <w:rFonts w:hint="eastAsia" w:eastAsia="宋体"/>
                      <w:color w:val="auto"/>
                      <w:kern w:val="0"/>
                      <w:lang w:val="en-US" w:eastAsia="zh-CN"/>
                    </w:rPr>
                  </w:pPr>
                  <w:r>
                    <w:rPr>
                      <w:rFonts w:hint="eastAsia"/>
                      <w:color w:val="auto"/>
                      <w:kern w:val="0"/>
                      <w:lang w:val="en-US" w:eastAsia="zh-CN"/>
                    </w:rPr>
                    <w:t>桶装</w:t>
                  </w:r>
                </w:p>
              </w:tc>
              <w:tc>
                <w:tcPr>
                  <w:tcW w:w="1132" w:type="pct"/>
                  <w:vAlign w:val="center"/>
                </w:tcPr>
                <w:p w14:paraId="7C500B55">
                  <w:pPr>
                    <w:tabs>
                      <w:tab w:val="left" w:pos="960"/>
                    </w:tabs>
                    <w:snapToGrid w:val="0"/>
                    <w:jc w:val="center"/>
                    <w:rPr>
                      <w:rFonts w:hint="eastAsia" w:eastAsia="宋体"/>
                      <w:color w:val="auto"/>
                      <w:kern w:val="0"/>
                      <w:lang w:val="en-US" w:eastAsia="zh-CN"/>
                    </w:rPr>
                  </w:pPr>
                  <w:r>
                    <w:rPr>
                      <w:rFonts w:hint="eastAsia"/>
                      <w:color w:val="auto"/>
                      <w:kern w:val="0"/>
                      <w:lang w:val="en-US" w:eastAsia="zh-CN"/>
                    </w:rPr>
                    <w:t>仓库</w:t>
                  </w:r>
                </w:p>
              </w:tc>
            </w:tr>
            <w:tr w14:paraId="6365166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357" w:type="pct"/>
                  <w:vAlign w:val="center"/>
                </w:tcPr>
                <w:p w14:paraId="749124C1">
                  <w:pPr>
                    <w:adjustRightInd w:val="0"/>
                    <w:snapToGrid w:val="0"/>
                    <w:jc w:val="center"/>
                    <w:rPr>
                      <w:rFonts w:hint="eastAsia" w:eastAsia="宋体"/>
                      <w:color w:val="auto"/>
                      <w:kern w:val="0"/>
                      <w:lang w:eastAsia="zh-CN"/>
                    </w:rPr>
                  </w:pPr>
                  <w:r>
                    <w:rPr>
                      <w:rFonts w:hint="eastAsia"/>
                      <w:color w:val="auto"/>
                      <w:kern w:val="0"/>
                      <w:lang w:val="en-US" w:eastAsia="zh-CN"/>
                    </w:rPr>
                    <w:t>固化剂</w:t>
                  </w:r>
                </w:p>
              </w:tc>
              <w:tc>
                <w:tcPr>
                  <w:tcW w:w="1268" w:type="pct"/>
                  <w:vAlign w:val="center"/>
                </w:tcPr>
                <w:p w14:paraId="5FB9B386">
                  <w:pPr>
                    <w:widowControl/>
                    <w:jc w:val="center"/>
                    <w:textAlignment w:val="center"/>
                    <w:rPr>
                      <w:rFonts w:hint="default" w:eastAsia="宋体"/>
                      <w:color w:val="auto"/>
                      <w:kern w:val="0"/>
                      <w:lang w:val="en-US" w:eastAsia="zh-CN"/>
                    </w:rPr>
                  </w:pPr>
                  <w:r>
                    <w:rPr>
                      <w:rFonts w:hint="eastAsia"/>
                      <w:color w:val="auto"/>
                      <w:kern w:val="0"/>
                      <w:lang w:val="en-US" w:eastAsia="zh-CN"/>
                    </w:rPr>
                    <w:t>0.3</w:t>
                  </w:r>
                </w:p>
              </w:tc>
              <w:tc>
                <w:tcPr>
                  <w:tcW w:w="1241" w:type="pct"/>
                  <w:vAlign w:val="center"/>
                </w:tcPr>
                <w:p w14:paraId="66B19A94">
                  <w:pPr>
                    <w:jc w:val="center"/>
                    <w:rPr>
                      <w:color w:val="auto"/>
                      <w:kern w:val="0"/>
                    </w:rPr>
                  </w:pPr>
                  <w:r>
                    <w:rPr>
                      <w:rFonts w:hint="eastAsia"/>
                      <w:color w:val="auto"/>
                      <w:kern w:val="0"/>
                    </w:rPr>
                    <w:t>桶装</w:t>
                  </w:r>
                </w:p>
              </w:tc>
              <w:tc>
                <w:tcPr>
                  <w:tcW w:w="1132" w:type="pct"/>
                  <w:vAlign w:val="center"/>
                </w:tcPr>
                <w:p w14:paraId="4180EF7C">
                  <w:pPr>
                    <w:tabs>
                      <w:tab w:val="left" w:pos="960"/>
                    </w:tabs>
                    <w:snapToGrid w:val="0"/>
                    <w:jc w:val="center"/>
                    <w:rPr>
                      <w:color w:val="auto"/>
                      <w:kern w:val="0"/>
                    </w:rPr>
                  </w:pPr>
                  <w:r>
                    <w:rPr>
                      <w:color w:val="auto"/>
                      <w:kern w:val="0"/>
                    </w:rPr>
                    <w:t>仓库</w:t>
                  </w:r>
                </w:p>
              </w:tc>
            </w:tr>
            <w:tr w14:paraId="09C51FE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357" w:type="pct"/>
                  <w:vAlign w:val="center"/>
                </w:tcPr>
                <w:p w14:paraId="3818B955">
                  <w:pPr>
                    <w:adjustRightInd w:val="0"/>
                    <w:snapToGrid w:val="0"/>
                    <w:jc w:val="center"/>
                    <w:rPr>
                      <w:rFonts w:hint="default"/>
                      <w:color w:val="auto"/>
                      <w:kern w:val="0"/>
                      <w:lang w:val="en-US" w:eastAsia="zh-CN"/>
                    </w:rPr>
                  </w:pPr>
                  <w:r>
                    <w:rPr>
                      <w:rFonts w:hint="eastAsia"/>
                      <w:color w:val="auto"/>
                      <w:kern w:val="0"/>
                      <w:lang w:val="en-US" w:eastAsia="zh-CN"/>
                    </w:rPr>
                    <w:t>稀释剂</w:t>
                  </w:r>
                </w:p>
              </w:tc>
              <w:tc>
                <w:tcPr>
                  <w:tcW w:w="1268" w:type="pct"/>
                  <w:vAlign w:val="center"/>
                </w:tcPr>
                <w:p w14:paraId="785180BA">
                  <w:pPr>
                    <w:widowControl/>
                    <w:jc w:val="center"/>
                    <w:textAlignment w:val="center"/>
                    <w:rPr>
                      <w:rFonts w:hint="default"/>
                      <w:color w:val="auto"/>
                      <w:kern w:val="0"/>
                      <w:lang w:val="en-US" w:eastAsia="zh-CN"/>
                    </w:rPr>
                  </w:pPr>
                  <w:r>
                    <w:rPr>
                      <w:rFonts w:hint="eastAsia"/>
                      <w:color w:val="auto"/>
                      <w:kern w:val="0"/>
                      <w:lang w:val="en-US" w:eastAsia="zh-CN"/>
                    </w:rPr>
                    <w:t>0.1</w:t>
                  </w:r>
                </w:p>
              </w:tc>
              <w:tc>
                <w:tcPr>
                  <w:tcW w:w="1241" w:type="pct"/>
                  <w:vAlign w:val="center"/>
                </w:tcPr>
                <w:p w14:paraId="0A558932">
                  <w:pPr>
                    <w:jc w:val="center"/>
                    <w:rPr>
                      <w:rFonts w:hint="eastAsia" w:eastAsia="宋体"/>
                      <w:color w:val="auto"/>
                      <w:kern w:val="0"/>
                      <w:lang w:val="en-US" w:eastAsia="zh-CN"/>
                    </w:rPr>
                  </w:pPr>
                  <w:r>
                    <w:rPr>
                      <w:rFonts w:hint="eastAsia"/>
                      <w:color w:val="auto"/>
                      <w:kern w:val="0"/>
                      <w:lang w:val="en-US" w:eastAsia="zh-CN"/>
                    </w:rPr>
                    <w:t>桶装</w:t>
                  </w:r>
                </w:p>
              </w:tc>
              <w:tc>
                <w:tcPr>
                  <w:tcW w:w="1132" w:type="pct"/>
                  <w:vAlign w:val="center"/>
                </w:tcPr>
                <w:p w14:paraId="0FA39992">
                  <w:pPr>
                    <w:tabs>
                      <w:tab w:val="left" w:pos="960"/>
                    </w:tabs>
                    <w:snapToGrid w:val="0"/>
                    <w:jc w:val="center"/>
                    <w:rPr>
                      <w:rFonts w:hint="eastAsia" w:eastAsia="宋体"/>
                      <w:color w:val="auto"/>
                      <w:kern w:val="0"/>
                      <w:lang w:val="en-US" w:eastAsia="zh-CN"/>
                    </w:rPr>
                  </w:pPr>
                  <w:r>
                    <w:rPr>
                      <w:rFonts w:hint="eastAsia"/>
                      <w:color w:val="auto"/>
                      <w:kern w:val="0"/>
                      <w:lang w:val="en-US" w:eastAsia="zh-CN"/>
                    </w:rPr>
                    <w:t>仓库</w:t>
                  </w:r>
                </w:p>
              </w:tc>
            </w:tr>
            <w:tr w14:paraId="1C305C9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357" w:type="pct"/>
                  <w:vAlign w:val="center"/>
                </w:tcPr>
                <w:p w14:paraId="0B65DD75">
                  <w:pPr>
                    <w:adjustRightInd w:val="0"/>
                    <w:snapToGrid w:val="0"/>
                    <w:jc w:val="center"/>
                    <w:rPr>
                      <w:rFonts w:hint="default"/>
                      <w:color w:val="auto"/>
                      <w:kern w:val="0"/>
                      <w:lang w:val="en-US" w:eastAsia="zh-CN"/>
                    </w:rPr>
                  </w:pPr>
                  <w:r>
                    <w:rPr>
                      <w:rFonts w:hint="eastAsia"/>
                      <w:color w:val="auto"/>
                      <w:kern w:val="0"/>
                      <w:lang w:val="en-US" w:eastAsia="zh-CN"/>
                    </w:rPr>
                    <w:t>白乳胶</w:t>
                  </w:r>
                </w:p>
              </w:tc>
              <w:tc>
                <w:tcPr>
                  <w:tcW w:w="1268" w:type="pct"/>
                  <w:vAlign w:val="center"/>
                </w:tcPr>
                <w:p w14:paraId="77900963">
                  <w:pPr>
                    <w:widowControl/>
                    <w:jc w:val="center"/>
                    <w:textAlignment w:val="center"/>
                    <w:rPr>
                      <w:rFonts w:hint="default"/>
                      <w:color w:val="auto"/>
                      <w:kern w:val="0"/>
                      <w:lang w:val="en-US" w:eastAsia="zh-CN"/>
                    </w:rPr>
                  </w:pPr>
                  <w:r>
                    <w:rPr>
                      <w:rFonts w:hint="eastAsia"/>
                      <w:color w:val="auto"/>
                      <w:kern w:val="0"/>
                      <w:lang w:val="en-US" w:eastAsia="zh-CN"/>
                    </w:rPr>
                    <w:t>0.2</w:t>
                  </w:r>
                </w:p>
              </w:tc>
              <w:tc>
                <w:tcPr>
                  <w:tcW w:w="1241" w:type="pct"/>
                  <w:vAlign w:val="center"/>
                </w:tcPr>
                <w:p w14:paraId="68373816">
                  <w:pPr>
                    <w:jc w:val="center"/>
                    <w:rPr>
                      <w:rFonts w:hint="default"/>
                      <w:color w:val="auto"/>
                      <w:kern w:val="0"/>
                      <w:lang w:val="en-US" w:eastAsia="zh-CN"/>
                    </w:rPr>
                  </w:pPr>
                  <w:r>
                    <w:rPr>
                      <w:rFonts w:hint="eastAsia"/>
                      <w:color w:val="auto"/>
                      <w:kern w:val="0"/>
                      <w:lang w:val="en-US" w:eastAsia="zh-CN"/>
                    </w:rPr>
                    <w:t>桶装</w:t>
                  </w:r>
                </w:p>
              </w:tc>
              <w:tc>
                <w:tcPr>
                  <w:tcW w:w="1132" w:type="pct"/>
                  <w:vAlign w:val="center"/>
                </w:tcPr>
                <w:p w14:paraId="1CC41307">
                  <w:pPr>
                    <w:tabs>
                      <w:tab w:val="left" w:pos="960"/>
                    </w:tabs>
                    <w:snapToGrid w:val="0"/>
                    <w:jc w:val="center"/>
                    <w:rPr>
                      <w:rFonts w:hint="default"/>
                      <w:color w:val="auto"/>
                      <w:kern w:val="0"/>
                      <w:lang w:val="en-US" w:eastAsia="zh-CN"/>
                    </w:rPr>
                  </w:pPr>
                  <w:r>
                    <w:rPr>
                      <w:rFonts w:hint="eastAsia"/>
                      <w:color w:val="auto"/>
                      <w:kern w:val="0"/>
                      <w:lang w:val="en-US" w:eastAsia="zh-CN"/>
                    </w:rPr>
                    <w:t>仓库</w:t>
                  </w:r>
                </w:p>
              </w:tc>
            </w:tr>
            <w:tr w14:paraId="2C1980F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357" w:type="pct"/>
                  <w:vAlign w:val="center"/>
                </w:tcPr>
                <w:p w14:paraId="451FCA9C">
                  <w:pPr>
                    <w:adjustRightInd w:val="0"/>
                    <w:snapToGrid w:val="0"/>
                    <w:jc w:val="center"/>
                    <w:rPr>
                      <w:rFonts w:hint="default"/>
                      <w:color w:val="auto"/>
                      <w:kern w:val="0"/>
                      <w:lang w:val="en-US" w:eastAsia="zh-CN"/>
                    </w:rPr>
                  </w:pPr>
                  <w:r>
                    <w:rPr>
                      <w:rFonts w:hint="eastAsia"/>
                      <w:color w:val="auto"/>
                      <w:kern w:val="0"/>
                      <w:lang w:val="en-US" w:eastAsia="zh-CN"/>
                    </w:rPr>
                    <w:t>格丽斯擦色剂</w:t>
                  </w:r>
                </w:p>
              </w:tc>
              <w:tc>
                <w:tcPr>
                  <w:tcW w:w="1268" w:type="pct"/>
                  <w:vAlign w:val="center"/>
                </w:tcPr>
                <w:p w14:paraId="650B240E">
                  <w:pPr>
                    <w:widowControl/>
                    <w:jc w:val="center"/>
                    <w:textAlignment w:val="center"/>
                    <w:rPr>
                      <w:rFonts w:hint="default"/>
                      <w:color w:val="auto"/>
                      <w:kern w:val="0"/>
                      <w:lang w:val="en-US" w:eastAsia="zh-CN"/>
                    </w:rPr>
                  </w:pPr>
                  <w:r>
                    <w:rPr>
                      <w:rFonts w:hint="eastAsia"/>
                      <w:color w:val="auto"/>
                      <w:kern w:val="0"/>
                      <w:lang w:val="en-US" w:eastAsia="zh-CN"/>
                    </w:rPr>
                    <w:t>0.1</w:t>
                  </w:r>
                </w:p>
              </w:tc>
              <w:tc>
                <w:tcPr>
                  <w:tcW w:w="1241" w:type="pct"/>
                  <w:vAlign w:val="center"/>
                </w:tcPr>
                <w:p w14:paraId="3555959D">
                  <w:pPr>
                    <w:jc w:val="center"/>
                    <w:rPr>
                      <w:rFonts w:hint="default"/>
                      <w:color w:val="auto"/>
                      <w:kern w:val="0"/>
                      <w:lang w:val="en-US" w:eastAsia="zh-CN"/>
                    </w:rPr>
                  </w:pPr>
                  <w:r>
                    <w:rPr>
                      <w:rFonts w:hint="eastAsia"/>
                      <w:color w:val="auto"/>
                      <w:kern w:val="0"/>
                      <w:lang w:val="en-US" w:eastAsia="zh-CN"/>
                    </w:rPr>
                    <w:t>桶装</w:t>
                  </w:r>
                </w:p>
              </w:tc>
              <w:tc>
                <w:tcPr>
                  <w:tcW w:w="1132" w:type="pct"/>
                  <w:vAlign w:val="center"/>
                </w:tcPr>
                <w:p w14:paraId="1AAD0878">
                  <w:pPr>
                    <w:tabs>
                      <w:tab w:val="left" w:pos="960"/>
                    </w:tabs>
                    <w:snapToGrid w:val="0"/>
                    <w:jc w:val="center"/>
                    <w:rPr>
                      <w:rFonts w:hint="default"/>
                      <w:color w:val="auto"/>
                      <w:kern w:val="0"/>
                      <w:lang w:val="en-US" w:eastAsia="zh-CN"/>
                    </w:rPr>
                  </w:pPr>
                  <w:r>
                    <w:rPr>
                      <w:rFonts w:hint="eastAsia"/>
                      <w:color w:val="auto"/>
                      <w:kern w:val="0"/>
                      <w:lang w:val="en-US" w:eastAsia="zh-CN"/>
                    </w:rPr>
                    <w:t>仓库</w:t>
                  </w:r>
                </w:p>
              </w:tc>
            </w:tr>
            <w:tr w14:paraId="5003D7A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357" w:type="pct"/>
                  <w:vAlign w:val="center"/>
                </w:tcPr>
                <w:p w14:paraId="6D0C6D46">
                  <w:pPr>
                    <w:pStyle w:val="698"/>
                    <w:rPr>
                      <w:rFonts w:eastAsia="宋体"/>
                      <w:bCs/>
                      <w:color w:val="auto"/>
                      <w:kern w:val="0"/>
                    </w:rPr>
                  </w:pPr>
                  <w:r>
                    <w:rPr>
                      <w:rFonts w:eastAsia="宋体"/>
                      <w:bCs/>
                      <w:color w:val="auto"/>
                      <w:kern w:val="0"/>
                    </w:rPr>
                    <w:t>危险废物</w:t>
                  </w:r>
                </w:p>
              </w:tc>
              <w:tc>
                <w:tcPr>
                  <w:tcW w:w="1268" w:type="pct"/>
                  <w:vAlign w:val="center"/>
                </w:tcPr>
                <w:p w14:paraId="11F8EB41">
                  <w:pPr>
                    <w:widowControl/>
                    <w:jc w:val="center"/>
                    <w:textAlignment w:val="center"/>
                    <w:rPr>
                      <w:rFonts w:hint="default" w:eastAsia="宋体"/>
                      <w:color w:val="auto"/>
                      <w:kern w:val="0"/>
                      <w:lang w:val="en-US" w:eastAsia="zh-CN"/>
                    </w:rPr>
                  </w:pPr>
                  <w:r>
                    <w:rPr>
                      <w:rFonts w:hint="eastAsia"/>
                      <w:color w:val="auto"/>
                      <w:kern w:val="0"/>
                      <w:lang w:val="en-US" w:eastAsia="zh-CN"/>
                    </w:rPr>
                    <w:t>3.7</w:t>
                  </w:r>
                </w:p>
              </w:tc>
              <w:tc>
                <w:tcPr>
                  <w:tcW w:w="1241" w:type="pct"/>
                  <w:vAlign w:val="center"/>
                </w:tcPr>
                <w:p w14:paraId="1606CDE7">
                  <w:pPr>
                    <w:jc w:val="center"/>
                    <w:rPr>
                      <w:rFonts w:hint="default" w:eastAsia="宋体"/>
                      <w:color w:val="auto"/>
                      <w:kern w:val="0"/>
                      <w:lang w:val="en-US" w:eastAsia="zh-CN"/>
                    </w:rPr>
                  </w:pPr>
                  <w:r>
                    <w:rPr>
                      <w:rFonts w:hint="eastAsia"/>
                      <w:color w:val="auto"/>
                      <w:kern w:val="0"/>
                    </w:rPr>
                    <w:t>袋装</w:t>
                  </w:r>
                  <w:r>
                    <w:rPr>
                      <w:rFonts w:hint="eastAsia"/>
                      <w:color w:val="auto"/>
                      <w:kern w:val="0"/>
                      <w:lang w:eastAsia="zh-CN"/>
                    </w:rPr>
                    <w:t>、</w:t>
                  </w:r>
                  <w:r>
                    <w:rPr>
                      <w:rFonts w:hint="eastAsia"/>
                      <w:color w:val="auto"/>
                      <w:kern w:val="0"/>
                      <w:lang w:val="en-US" w:eastAsia="zh-CN"/>
                    </w:rPr>
                    <w:t>桶装</w:t>
                  </w:r>
                </w:p>
              </w:tc>
              <w:tc>
                <w:tcPr>
                  <w:tcW w:w="1132" w:type="pct"/>
                  <w:vAlign w:val="center"/>
                </w:tcPr>
                <w:p w14:paraId="4F541AD6">
                  <w:pPr>
                    <w:tabs>
                      <w:tab w:val="left" w:pos="960"/>
                    </w:tabs>
                    <w:snapToGrid w:val="0"/>
                    <w:jc w:val="center"/>
                    <w:rPr>
                      <w:bCs/>
                      <w:color w:val="auto"/>
                      <w:kern w:val="0"/>
                    </w:rPr>
                  </w:pPr>
                  <w:r>
                    <w:rPr>
                      <w:rFonts w:hint="eastAsia"/>
                      <w:bCs/>
                      <w:color w:val="auto"/>
                      <w:kern w:val="0"/>
                    </w:rPr>
                    <w:t>危废仓库</w:t>
                  </w:r>
                </w:p>
              </w:tc>
            </w:tr>
          </w:tbl>
          <w:p w14:paraId="56781EF7">
            <w:pPr>
              <w:pStyle w:val="24"/>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20" w:firstLineChars="200"/>
              <w:textAlignment w:val="auto"/>
              <w:rPr>
                <w:color w:val="auto"/>
                <w:sz w:val="21"/>
                <w:szCs w:val="21"/>
              </w:rPr>
            </w:pPr>
            <w:r>
              <w:rPr>
                <w:color w:val="auto"/>
                <w:sz w:val="21"/>
                <w:szCs w:val="21"/>
              </w:rPr>
              <w:fldChar w:fldCharType="begin"/>
            </w:r>
            <w:r>
              <w:rPr>
                <w:color w:val="auto"/>
                <w:sz w:val="21"/>
                <w:szCs w:val="21"/>
              </w:rPr>
              <w:instrText xml:space="preserve"> = 2 \* GB3 \* MERGEFORMAT </w:instrText>
            </w:r>
            <w:r>
              <w:rPr>
                <w:color w:val="auto"/>
                <w:sz w:val="21"/>
                <w:szCs w:val="21"/>
              </w:rPr>
              <w:fldChar w:fldCharType="separate"/>
            </w:r>
            <w:r>
              <w:rPr>
                <w:color w:val="auto"/>
                <w:sz w:val="21"/>
                <w:szCs w:val="21"/>
              </w:rPr>
              <w:t>②</w:t>
            </w:r>
            <w:r>
              <w:rPr>
                <w:color w:val="auto"/>
                <w:sz w:val="21"/>
                <w:szCs w:val="21"/>
              </w:rPr>
              <w:fldChar w:fldCharType="end"/>
            </w:r>
            <w:r>
              <w:rPr>
                <w:color w:val="auto"/>
                <w:sz w:val="21"/>
                <w:szCs w:val="21"/>
              </w:rPr>
              <w:t>生产系统危险性识别</w:t>
            </w:r>
          </w:p>
          <w:p w14:paraId="0D235092">
            <w:pPr>
              <w:pStyle w:val="24"/>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20" w:firstLineChars="200"/>
              <w:textAlignment w:val="auto"/>
              <w:rPr>
                <w:color w:val="auto"/>
                <w:sz w:val="21"/>
                <w:szCs w:val="21"/>
              </w:rPr>
            </w:pPr>
            <w:r>
              <w:rPr>
                <w:rFonts w:hint="eastAsia"/>
                <w:color w:val="auto"/>
                <w:sz w:val="21"/>
                <w:szCs w:val="21"/>
              </w:rPr>
              <w:t>项目生产工艺为</w:t>
            </w:r>
            <w:r>
              <w:rPr>
                <w:rFonts w:hint="eastAsia"/>
                <w:color w:val="auto"/>
                <w:sz w:val="21"/>
                <w:szCs w:val="21"/>
                <w:lang w:val="en-US" w:eastAsia="zh-CN"/>
              </w:rPr>
              <w:t>开料、刨平、铣型、砂磨、粘贴冷压、齐边精裁、封边、钻孔、预埋、擦色、刷/喷底漆晾干、磨光修色、喷面漆晾干</w:t>
            </w:r>
            <w:r>
              <w:rPr>
                <w:rFonts w:hint="eastAsia"/>
                <w:color w:val="auto"/>
                <w:sz w:val="21"/>
                <w:szCs w:val="21"/>
              </w:rPr>
              <w:t>等。</w:t>
            </w:r>
          </w:p>
          <w:p w14:paraId="0F7C8365">
            <w:pPr>
              <w:pStyle w:val="24"/>
              <w:spacing w:after="0"/>
              <w:ind w:left="0" w:leftChars="0"/>
              <w:jc w:val="center"/>
              <w:rPr>
                <w:color w:val="auto"/>
                <w:sz w:val="21"/>
                <w:szCs w:val="21"/>
              </w:rPr>
            </w:pPr>
            <w:r>
              <w:rPr>
                <w:b/>
                <w:color w:val="auto"/>
                <w:sz w:val="21"/>
                <w:szCs w:val="21"/>
              </w:rPr>
              <w:t>表4-</w:t>
            </w:r>
            <w:r>
              <w:rPr>
                <w:rFonts w:hint="eastAsia"/>
                <w:b/>
                <w:color w:val="auto"/>
                <w:sz w:val="21"/>
                <w:szCs w:val="21"/>
                <w:lang w:val="en-US" w:eastAsia="zh-CN"/>
              </w:rPr>
              <w:t>27</w:t>
            </w:r>
            <w:r>
              <w:rPr>
                <w:rFonts w:hint="eastAsia"/>
                <w:b/>
                <w:color w:val="auto"/>
                <w:sz w:val="21"/>
                <w:szCs w:val="21"/>
              </w:rPr>
              <w:t xml:space="preserve">   </w:t>
            </w:r>
            <w:r>
              <w:rPr>
                <w:b/>
                <w:color w:val="auto"/>
                <w:sz w:val="21"/>
                <w:szCs w:val="21"/>
              </w:rPr>
              <w:t>生产系统危险性识别</w:t>
            </w:r>
          </w:p>
          <w:tbl>
            <w:tblPr>
              <w:tblStyle w:val="5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694"/>
              <w:gridCol w:w="3167"/>
            </w:tblGrid>
            <w:tr w14:paraId="4896D2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3213" w:type="pct"/>
                  <w:tcBorders>
                    <w:bottom w:val="single" w:color="auto" w:sz="8" w:space="0"/>
                    <w:right w:val="single" w:color="auto" w:sz="8" w:space="0"/>
                  </w:tcBorders>
                  <w:vAlign w:val="center"/>
                </w:tcPr>
                <w:p w14:paraId="41B1EB1F">
                  <w:pPr>
                    <w:adjustRightInd w:val="0"/>
                    <w:snapToGrid w:val="0"/>
                    <w:jc w:val="center"/>
                    <w:rPr>
                      <w:b/>
                      <w:color w:val="auto"/>
                      <w:kern w:val="0"/>
                    </w:rPr>
                  </w:pPr>
                  <w:r>
                    <w:rPr>
                      <w:b/>
                      <w:color w:val="auto"/>
                      <w:kern w:val="0"/>
                    </w:rPr>
                    <w:t>评估依据</w:t>
                  </w:r>
                </w:p>
              </w:tc>
              <w:tc>
                <w:tcPr>
                  <w:tcW w:w="1786" w:type="pct"/>
                  <w:tcBorders>
                    <w:left w:val="single" w:color="auto" w:sz="8" w:space="0"/>
                    <w:bottom w:val="single" w:color="auto" w:sz="8" w:space="0"/>
                  </w:tcBorders>
                  <w:vAlign w:val="center"/>
                </w:tcPr>
                <w:p w14:paraId="31BD6AC8">
                  <w:pPr>
                    <w:adjustRightInd w:val="0"/>
                    <w:snapToGrid w:val="0"/>
                    <w:jc w:val="center"/>
                    <w:rPr>
                      <w:b/>
                      <w:color w:val="auto"/>
                      <w:kern w:val="0"/>
                    </w:rPr>
                  </w:pPr>
                  <w:r>
                    <w:rPr>
                      <w:b/>
                      <w:color w:val="auto"/>
                      <w:kern w:val="0"/>
                    </w:rPr>
                    <w:t>本企业情况</w:t>
                  </w:r>
                </w:p>
              </w:tc>
            </w:tr>
            <w:tr w14:paraId="13CCBC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213" w:type="pct"/>
                  <w:tcBorders>
                    <w:top w:val="single" w:color="auto" w:sz="8" w:space="0"/>
                    <w:bottom w:val="single" w:color="auto" w:sz="8" w:space="0"/>
                    <w:right w:val="single" w:color="auto" w:sz="8" w:space="0"/>
                  </w:tcBorders>
                  <w:vAlign w:val="center"/>
                </w:tcPr>
                <w:p w14:paraId="29681454">
                  <w:pPr>
                    <w:adjustRightInd w:val="0"/>
                    <w:snapToGrid w:val="0"/>
                    <w:jc w:val="center"/>
                    <w:rPr>
                      <w:color w:val="auto"/>
                      <w:kern w:val="0"/>
                    </w:rPr>
                  </w:pPr>
                  <w:r>
                    <w:rPr>
                      <w:color w:val="auto"/>
                      <w:kern w:val="0"/>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1786" w:type="pct"/>
                  <w:tcBorders>
                    <w:top w:val="single" w:color="auto" w:sz="8" w:space="0"/>
                    <w:left w:val="single" w:color="auto" w:sz="8" w:space="0"/>
                    <w:bottom w:val="single" w:color="auto" w:sz="8" w:space="0"/>
                  </w:tcBorders>
                  <w:vAlign w:val="center"/>
                </w:tcPr>
                <w:p w14:paraId="3DABA781">
                  <w:pPr>
                    <w:adjustRightInd w:val="0"/>
                    <w:snapToGrid w:val="0"/>
                    <w:jc w:val="center"/>
                    <w:rPr>
                      <w:color w:val="auto"/>
                      <w:kern w:val="0"/>
                    </w:rPr>
                  </w:pPr>
                  <w:r>
                    <w:rPr>
                      <w:color w:val="auto"/>
                      <w:kern w:val="0"/>
                    </w:rPr>
                    <w:t>不涉及上述工艺</w:t>
                  </w:r>
                </w:p>
              </w:tc>
            </w:tr>
            <w:tr w14:paraId="4F8339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213" w:type="pct"/>
                  <w:tcBorders>
                    <w:top w:val="single" w:color="auto" w:sz="8" w:space="0"/>
                    <w:bottom w:val="single" w:color="auto" w:sz="8" w:space="0"/>
                    <w:right w:val="single" w:color="auto" w:sz="8" w:space="0"/>
                  </w:tcBorders>
                  <w:vAlign w:val="center"/>
                </w:tcPr>
                <w:p w14:paraId="7A8BB42B">
                  <w:pPr>
                    <w:adjustRightInd w:val="0"/>
                    <w:snapToGrid w:val="0"/>
                    <w:jc w:val="center"/>
                    <w:rPr>
                      <w:color w:val="auto"/>
                      <w:kern w:val="0"/>
                    </w:rPr>
                  </w:pPr>
                  <w:r>
                    <w:rPr>
                      <w:color w:val="auto"/>
                      <w:kern w:val="0"/>
                    </w:rPr>
                    <w:t>其他高温或高压、涉及易燃易爆等物质的工艺过程</w:t>
                  </w:r>
                  <w:r>
                    <w:rPr>
                      <w:color w:val="auto"/>
                      <w:kern w:val="0"/>
                      <w:vertAlign w:val="superscript"/>
                    </w:rPr>
                    <w:t>a</w:t>
                  </w:r>
                </w:p>
              </w:tc>
              <w:tc>
                <w:tcPr>
                  <w:tcW w:w="1786" w:type="pct"/>
                  <w:tcBorders>
                    <w:top w:val="single" w:color="auto" w:sz="8" w:space="0"/>
                    <w:left w:val="single" w:color="auto" w:sz="8" w:space="0"/>
                    <w:bottom w:val="single" w:color="auto" w:sz="8" w:space="0"/>
                  </w:tcBorders>
                  <w:vAlign w:val="center"/>
                </w:tcPr>
                <w:p w14:paraId="4050A815">
                  <w:pPr>
                    <w:adjustRightInd w:val="0"/>
                    <w:snapToGrid w:val="0"/>
                    <w:jc w:val="center"/>
                    <w:rPr>
                      <w:color w:val="auto"/>
                      <w:kern w:val="0"/>
                    </w:rPr>
                  </w:pPr>
                  <w:r>
                    <w:rPr>
                      <w:color w:val="auto"/>
                      <w:kern w:val="0"/>
                    </w:rPr>
                    <w:t>不涉及上述工艺</w:t>
                  </w:r>
                </w:p>
              </w:tc>
            </w:tr>
            <w:tr w14:paraId="1B604F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213" w:type="pct"/>
                  <w:tcBorders>
                    <w:top w:val="single" w:color="auto" w:sz="8" w:space="0"/>
                    <w:bottom w:val="single" w:color="auto" w:sz="8" w:space="0"/>
                    <w:right w:val="single" w:color="auto" w:sz="8" w:space="0"/>
                  </w:tcBorders>
                  <w:vAlign w:val="center"/>
                </w:tcPr>
                <w:p w14:paraId="55320B16">
                  <w:pPr>
                    <w:adjustRightInd w:val="0"/>
                    <w:snapToGrid w:val="0"/>
                    <w:jc w:val="center"/>
                    <w:rPr>
                      <w:color w:val="auto"/>
                      <w:kern w:val="0"/>
                    </w:rPr>
                  </w:pPr>
                  <w:r>
                    <w:rPr>
                      <w:color w:val="auto"/>
                      <w:kern w:val="0"/>
                    </w:rPr>
                    <w:t>具有国家规定限期淘汰的工艺名录和设备</w:t>
                  </w:r>
                  <w:r>
                    <w:rPr>
                      <w:color w:val="auto"/>
                      <w:kern w:val="0"/>
                      <w:vertAlign w:val="superscript"/>
                    </w:rPr>
                    <w:t>b</w:t>
                  </w:r>
                </w:p>
              </w:tc>
              <w:tc>
                <w:tcPr>
                  <w:tcW w:w="1786" w:type="pct"/>
                  <w:tcBorders>
                    <w:top w:val="single" w:color="auto" w:sz="8" w:space="0"/>
                    <w:left w:val="single" w:color="auto" w:sz="8" w:space="0"/>
                    <w:bottom w:val="single" w:color="auto" w:sz="8" w:space="0"/>
                  </w:tcBorders>
                  <w:vAlign w:val="center"/>
                </w:tcPr>
                <w:p w14:paraId="51FF0B9D">
                  <w:pPr>
                    <w:adjustRightInd w:val="0"/>
                    <w:snapToGrid w:val="0"/>
                    <w:jc w:val="center"/>
                    <w:rPr>
                      <w:color w:val="auto"/>
                      <w:kern w:val="0"/>
                    </w:rPr>
                  </w:pPr>
                  <w:r>
                    <w:rPr>
                      <w:color w:val="auto"/>
                      <w:kern w:val="0"/>
                    </w:rPr>
                    <w:t>不属于淘汰行业，无淘汰设备</w:t>
                  </w:r>
                </w:p>
              </w:tc>
            </w:tr>
            <w:tr w14:paraId="21B429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213" w:type="pct"/>
                  <w:tcBorders>
                    <w:top w:val="single" w:color="auto" w:sz="8" w:space="0"/>
                    <w:bottom w:val="single" w:color="auto" w:sz="8" w:space="0"/>
                    <w:right w:val="single" w:color="auto" w:sz="8" w:space="0"/>
                  </w:tcBorders>
                  <w:vAlign w:val="center"/>
                </w:tcPr>
                <w:p w14:paraId="58EE927C">
                  <w:pPr>
                    <w:adjustRightInd w:val="0"/>
                    <w:snapToGrid w:val="0"/>
                    <w:jc w:val="center"/>
                    <w:rPr>
                      <w:color w:val="auto"/>
                      <w:kern w:val="0"/>
                    </w:rPr>
                  </w:pPr>
                  <w:r>
                    <w:rPr>
                      <w:color w:val="auto"/>
                      <w:kern w:val="0"/>
                    </w:rPr>
                    <w:t>不涉及以上危险工艺过程或国家规定的禁用工艺/设备</w:t>
                  </w:r>
                </w:p>
              </w:tc>
              <w:tc>
                <w:tcPr>
                  <w:tcW w:w="1786" w:type="pct"/>
                  <w:tcBorders>
                    <w:top w:val="single" w:color="auto" w:sz="8" w:space="0"/>
                    <w:left w:val="single" w:color="auto" w:sz="8" w:space="0"/>
                    <w:bottom w:val="single" w:color="auto" w:sz="8" w:space="0"/>
                  </w:tcBorders>
                  <w:vAlign w:val="center"/>
                </w:tcPr>
                <w:p w14:paraId="2819500E">
                  <w:pPr>
                    <w:adjustRightInd w:val="0"/>
                    <w:snapToGrid w:val="0"/>
                    <w:jc w:val="center"/>
                    <w:rPr>
                      <w:color w:val="auto"/>
                      <w:kern w:val="0"/>
                    </w:rPr>
                  </w:pPr>
                  <w:r>
                    <w:rPr>
                      <w:rFonts w:hint="eastAsia"/>
                      <w:color w:val="auto"/>
                      <w:kern w:val="0"/>
                    </w:rPr>
                    <w:t>/</w:t>
                  </w:r>
                </w:p>
              </w:tc>
            </w:tr>
            <w:tr w14:paraId="572FB1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2"/>
                  <w:tcBorders>
                    <w:top w:val="single" w:color="auto" w:sz="8" w:space="0"/>
                  </w:tcBorders>
                  <w:vAlign w:val="center"/>
                </w:tcPr>
                <w:p w14:paraId="7115BDC6">
                  <w:pPr>
                    <w:adjustRightInd w:val="0"/>
                    <w:snapToGrid w:val="0"/>
                    <w:rPr>
                      <w:color w:val="auto"/>
                      <w:kern w:val="0"/>
                    </w:rPr>
                  </w:pPr>
                  <w:r>
                    <w:rPr>
                      <w:b/>
                      <w:color w:val="auto"/>
                      <w:kern w:val="0"/>
                      <w:lang w:val="zh-CN"/>
                    </w:rPr>
                    <w:t>注：a高温指工艺温度≥300℃，高压指压力容器的设计压力（p）≥10.0MPa，易燃易爆等物质是指按照GB30000.2至GB30000.13所确定的化学物质；b指《产业结构调整指导目录》（最新年本）中有淘汰期限的淘汰类落后生产工艺装备。</w:t>
                  </w:r>
                </w:p>
              </w:tc>
            </w:tr>
          </w:tbl>
          <w:p w14:paraId="276C075E">
            <w:pPr>
              <w:adjustRightInd w:val="0"/>
              <w:snapToGrid w:val="0"/>
              <w:spacing w:line="360" w:lineRule="auto"/>
              <w:ind w:firstLine="420" w:firstLineChars="200"/>
              <w:rPr>
                <w:color w:val="auto"/>
                <w:kern w:val="0"/>
              </w:rPr>
            </w:pPr>
            <w:r>
              <w:rPr>
                <w:rFonts w:hint="eastAsia"/>
                <w:color w:val="auto"/>
                <w:kern w:val="0"/>
              </w:rPr>
              <w:t>③风险潜势初判</w:t>
            </w:r>
          </w:p>
          <w:p w14:paraId="1F977980">
            <w:pPr>
              <w:spacing w:line="360" w:lineRule="auto"/>
              <w:ind w:firstLine="420" w:firstLineChars="200"/>
              <w:rPr>
                <w:color w:val="auto"/>
                <w:kern w:val="0"/>
              </w:rPr>
            </w:pPr>
            <w:r>
              <w:rPr>
                <w:rFonts w:hint="eastAsia"/>
                <w:color w:val="auto"/>
                <w:kern w:val="0"/>
              </w:rPr>
              <w:t>根据《建设项目环境风险评价技术导则》（HJ 169-2018）附表C.1.1，计算所涉及的每种危险物质在厂界内的最大存在总量与其在附录B中对应临界量的比值Q。当只涉及一种危险物质时，计算该物质的总量与其临界量比值，即为Q；当存在多种危险物质时，则按式（C.1）计算物质总量与其临界量比值（Q）：</w:t>
            </w:r>
          </w:p>
          <w:p w14:paraId="3CCD38F8">
            <w:pPr>
              <w:adjustRightInd w:val="0"/>
              <w:snapToGrid w:val="0"/>
              <w:spacing w:line="360" w:lineRule="auto"/>
              <w:jc w:val="center"/>
              <w:rPr>
                <w:color w:val="auto"/>
                <w:kern w:val="0"/>
              </w:rPr>
            </w:pPr>
            <w:r>
              <w:rPr>
                <w:color w:val="auto"/>
                <w:kern w:val="0"/>
              </w:rPr>
              <w:drawing>
                <wp:inline distT="0" distB="0" distL="114300" distR="114300">
                  <wp:extent cx="3476625" cy="533400"/>
                  <wp:effectExtent l="0" t="0" r="9525" b="0"/>
                  <wp:docPr id="1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0"/>
                          <pic:cNvPicPr>
                            <a:picLocks noChangeAspect="1"/>
                          </pic:cNvPicPr>
                        </pic:nvPicPr>
                        <pic:blipFill>
                          <a:blip r:embed="rId51"/>
                          <a:stretch>
                            <a:fillRect/>
                          </a:stretch>
                        </pic:blipFill>
                        <pic:spPr>
                          <a:xfrm>
                            <a:off x="0" y="0"/>
                            <a:ext cx="3476625" cy="533400"/>
                          </a:xfrm>
                          <a:prstGeom prst="rect">
                            <a:avLst/>
                          </a:prstGeom>
                          <a:noFill/>
                          <a:ln>
                            <a:noFill/>
                          </a:ln>
                        </pic:spPr>
                      </pic:pic>
                    </a:graphicData>
                  </a:graphic>
                </wp:inline>
              </w:drawing>
            </w:r>
          </w:p>
          <w:p w14:paraId="4252ED13">
            <w:pPr>
              <w:spacing w:line="360" w:lineRule="auto"/>
              <w:ind w:firstLine="420" w:firstLineChars="200"/>
              <w:rPr>
                <w:color w:val="auto"/>
                <w:kern w:val="0"/>
              </w:rPr>
            </w:pPr>
            <w:r>
              <w:rPr>
                <w:color w:val="auto"/>
                <w:kern w:val="0"/>
              </w:rPr>
              <w:t>式中：q1，q2，...，qn——每种危险物质的最大存在总量，t；</w:t>
            </w:r>
          </w:p>
          <w:p w14:paraId="59F2365D">
            <w:pPr>
              <w:spacing w:line="360" w:lineRule="auto"/>
              <w:ind w:firstLine="420" w:firstLineChars="200"/>
              <w:rPr>
                <w:color w:val="auto"/>
                <w:kern w:val="0"/>
              </w:rPr>
            </w:pPr>
            <w:r>
              <w:rPr>
                <w:color w:val="auto"/>
                <w:kern w:val="0"/>
              </w:rPr>
              <w:t>Q1，Q2，...，Qn——每种危险物质的临界量，t。</w:t>
            </w:r>
          </w:p>
          <w:p w14:paraId="6A08CFDE">
            <w:pPr>
              <w:spacing w:line="360" w:lineRule="auto"/>
              <w:ind w:firstLine="420" w:firstLineChars="200"/>
              <w:rPr>
                <w:color w:val="auto"/>
                <w:kern w:val="0"/>
              </w:rPr>
            </w:pPr>
            <w:r>
              <w:rPr>
                <w:color w:val="auto"/>
                <w:kern w:val="0"/>
              </w:rPr>
              <w:t>当Q＜1时，该项目环境风险潜势为I。</w:t>
            </w:r>
          </w:p>
          <w:p w14:paraId="0AA25AAC">
            <w:pPr>
              <w:spacing w:line="360" w:lineRule="auto"/>
              <w:ind w:firstLine="420" w:firstLineChars="200"/>
              <w:rPr>
                <w:color w:val="auto"/>
                <w:kern w:val="0"/>
              </w:rPr>
            </w:pPr>
            <w:r>
              <w:rPr>
                <w:color w:val="auto"/>
                <w:kern w:val="0"/>
              </w:rPr>
              <w:t>当Q≥1时，将Q值划分为：（1）1≤Q＜10；（2）10≤Q＜100；（3）Q≥100。</w:t>
            </w:r>
          </w:p>
          <w:p w14:paraId="6246789E">
            <w:pPr>
              <w:pStyle w:val="663"/>
              <w:spacing w:line="360" w:lineRule="auto"/>
              <w:ind w:firstLine="420" w:firstLineChars="200"/>
              <w:jc w:val="left"/>
              <w:rPr>
                <w:b w:val="0"/>
                <w:bCs w:val="0"/>
                <w:color w:val="auto"/>
                <w:kern w:val="0"/>
              </w:rPr>
            </w:pPr>
            <w:r>
              <w:rPr>
                <w:rFonts w:hint="eastAsia"/>
                <w:b w:val="0"/>
                <w:bCs w:val="0"/>
                <w:color w:val="auto"/>
                <w:kern w:val="0"/>
              </w:rPr>
              <w:t>根据HJ 169-2018附表B，项目涉及的主要危险物质数量与临界量比值（Q）见下表。</w:t>
            </w:r>
          </w:p>
          <w:p w14:paraId="5673ED2B">
            <w:pPr>
              <w:adjustRightInd w:val="0"/>
              <w:snapToGrid w:val="0"/>
              <w:jc w:val="center"/>
              <w:rPr>
                <w:b/>
                <w:color w:val="auto"/>
                <w:kern w:val="0"/>
              </w:rPr>
            </w:pPr>
            <w:r>
              <w:rPr>
                <w:b/>
                <w:color w:val="auto"/>
                <w:kern w:val="0"/>
              </w:rPr>
              <w:t>表4-</w:t>
            </w:r>
            <w:r>
              <w:rPr>
                <w:rFonts w:hint="eastAsia"/>
                <w:b/>
                <w:color w:val="auto"/>
                <w:kern w:val="0"/>
                <w:lang w:val="en-US" w:eastAsia="zh-CN"/>
              </w:rPr>
              <w:t>28</w:t>
            </w:r>
            <w:r>
              <w:rPr>
                <w:b/>
                <w:color w:val="auto"/>
                <w:kern w:val="0"/>
              </w:rPr>
              <w:t xml:space="preserve">   涉及危险物质Q值计算</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1560"/>
              <w:gridCol w:w="1656"/>
              <w:gridCol w:w="1072"/>
              <w:gridCol w:w="1312"/>
              <w:gridCol w:w="1558"/>
              <w:gridCol w:w="1703"/>
            </w:tblGrid>
            <w:tr w14:paraId="5BCF007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880" w:type="pct"/>
                  <w:tcBorders>
                    <w:tl2br w:val="nil"/>
                    <w:tr2bl w:val="nil"/>
                  </w:tcBorders>
                  <w:vAlign w:val="center"/>
                </w:tcPr>
                <w:p w14:paraId="77620639">
                  <w:pPr>
                    <w:keepNext w:val="0"/>
                    <w:keepLines w:val="0"/>
                    <w:pageBreakBefore w:val="0"/>
                    <w:tabs>
                      <w:tab w:val="left" w:pos="960"/>
                    </w:tabs>
                    <w:kinsoku/>
                    <w:wordWrap/>
                    <w:overflowPunct/>
                    <w:topLinePunct w:val="0"/>
                    <w:autoSpaceDE/>
                    <w:autoSpaceDN/>
                    <w:bidi w:val="0"/>
                    <w:adjustRightInd w:val="0"/>
                    <w:snapToGrid w:val="0"/>
                    <w:jc w:val="center"/>
                    <w:rPr>
                      <w:b/>
                      <w:bCs/>
                      <w:color w:val="auto"/>
                      <w:kern w:val="0"/>
                    </w:rPr>
                  </w:pPr>
                  <w:r>
                    <w:rPr>
                      <w:b/>
                      <w:bCs/>
                      <w:color w:val="auto"/>
                      <w:kern w:val="0"/>
                    </w:rPr>
                    <w:t>名称</w:t>
                  </w:r>
                </w:p>
              </w:tc>
              <w:tc>
                <w:tcPr>
                  <w:tcW w:w="934" w:type="pct"/>
                  <w:tcBorders>
                    <w:tl2br w:val="nil"/>
                    <w:tr2bl w:val="nil"/>
                  </w:tcBorders>
                  <w:vAlign w:val="center"/>
                </w:tcPr>
                <w:p w14:paraId="55683FE7">
                  <w:pPr>
                    <w:keepNext w:val="0"/>
                    <w:keepLines w:val="0"/>
                    <w:pageBreakBefore w:val="0"/>
                    <w:tabs>
                      <w:tab w:val="left" w:pos="960"/>
                    </w:tabs>
                    <w:kinsoku/>
                    <w:wordWrap/>
                    <w:overflowPunct/>
                    <w:topLinePunct w:val="0"/>
                    <w:autoSpaceDE/>
                    <w:autoSpaceDN/>
                    <w:bidi w:val="0"/>
                    <w:adjustRightInd w:val="0"/>
                    <w:snapToGrid w:val="0"/>
                    <w:jc w:val="center"/>
                    <w:rPr>
                      <w:b/>
                      <w:bCs/>
                      <w:color w:val="auto"/>
                      <w:kern w:val="0"/>
                    </w:rPr>
                  </w:pPr>
                  <w:r>
                    <w:rPr>
                      <w:b/>
                      <w:bCs/>
                      <w:color w:val="auto"/>
                      <w:kern w:val="0"/>
                    </w:rPr>
                    <w:t>最大存储量/t</w:t>
                  </w:r>
                </w:p>
              </w:tc>
              <w:tc>
                <w:tcPr>
                  <w:tcW w:w="604" w:type="pct"/>
                  <w:tcBorders>
                    <w:tl2br w:val="nil"/>
                    <w:tr2bl w:val="nil"/>
                  </w:tcBorders>
                  <w:vAlign w:val="center"/>
                </w:tcPr>
                <w:p w14:paraId="3A9D92CE">
                  <w:pPr>
                    <w:keepNext w:val="0"/>
                    <w:keepLines w:val="0"/>
                    <w:pageBreakBefore w:val="0"/>
                    <w:tabs>
                      <w:tab w:val="left" w:pos="960"/>
                    </w:tabs>
                    <w:kinsoku/>
                    <w:wordWrap/>
                    <w:overflowPunct/>
                    <w:topLinePunct w:val="0"/>
                    <w:autoSpaceDE/>
                    <w:autoSpaceDN/>
                    <w:bidi w:val="0"/>
                    <w:adjustRightInd w:val="0"/>
                    <w:snapToGrid w:val="0"/>
                    <w:jc w:val="center"/>
                    <w:rPr>
                      <w:b/>
                      <w:bCs/>
                      <w:color w:val="auto"/>
                      <w:kern w:val="0"/>
                    </w:rPr>
                  </w:pPr>
                  <w:r>
                    <w:rPr>
                      <w:b/>
                      <w:bCs/>
                      <w:color w:val="auto"/>
                      <w:kern w:val="0"/>
                    </w:rPr>
                    <w:t>临界量/t</w:t>
                  </w:r>
                </w:p>
              </w:tc>
              <w:tc>
                <w:tcPr>
                  <w:tcW w:w="740" w:type="pct"/>
                  <w:tcBorders>
                    <w:tl2br w:val="nil"/>
                    <w:tr2bl w:val="nil"/>
                  </w:tcBorders>
                  <w:vAlign w:val="center"/>
                </w:tcPr>
                <w:p w14:paraId="39F88A5B">
                  <w:pPr>
                    <w:keepNext w:val="0"/>
                    <w:keepLines w:val="0"/>
                    <w:pageBreakBefore w:val="0"/>
                    <w:tabs>
                      <w:tab w:val="left" w:pos="960"/>
                    </w:tabs>
                    <w:kinsoku/>
                    <w:wordWrap/>
                    <w:overflowPunct/>
                    <w:topLinePunct w:val="0"/>
                    <w:autoSpaceDE/>
                    <w:autoSpaceDN/>
                    <w:bidi w:val="0"/>
                    <w:adjustRightInd w:val="0"/>
                    <w:snapToGrid w:val="0"/>
                    <w:jc w:val="center"/>
                    <w:rPr>
                      <w:b/>
                      <w:bCs/>
                      <w:color w:val="auto"/>
                      <w:kern w:val="0"/>
                    </w:rPr>
                  </w:pPr>
                  <w:r>
                    <w:rPr>
                      <w:b/>
                      <w:bCs/>
                      <w:color w:val="auto"/>
                      <w:kern w:val="0"/>
                    </w:rPr>
                    <w:t>Q值</w:t>
                  </w:r>
                </w:p>
              </w:tc>
              <w:tc>
                <w:tcPr>
                  <w:tcW w:w="879" w:type="pct"/>
                  <w:tcBorders>
                    <w:tl2br w:val="nil"/>
                    <w:tr2bl w:val="nil"/>
                  </w:tcBorders>
                  <w:vAlign w:val="center"/>
                </w:tcPr>
                <w:p w14:paraId="0D866406">
                  <w:pPr>
                    <w:keepNext w:val="0"/>
                    <w:keepLines w:val="0"/>
                    <w:pageBreakBefore w:val="0"/>
                    <w:tabs>
                      <w:tab w:val="left" w:pos="960"/>
                    </w:tabs>
                    <w:kinsoku/>
                    <w:wordWrap/>
                    <w:overflowPunct/>
                    <w:topLinePunct w:val="0"/>
                    <w:autoSpaceDE/>
                    <w:autoSpaceDN/>
                    <w:bidi w:val="0"/>
                    <w:adjustRightInd w:val="0"/>
                    <w:snapToGrid w:val="0"/>
                    <w:jc w:val="center"/>
                    <w:rPr>
                      <w:b/>
                      <w:bCs/>
                      <w:color w:val="auto"/>
                      <w:kern w:val="0"/>
                    </w:rPr>
                  </w:pPr>
                  <w:r>
                    <w:rPr>
                      <w:b/>
                      <w:bCs/>
                      <w:color w:val="auto"/>
                      <w:kern w:val="0"/>
                    </w:rPr>
                    <w:t>储存方式</w:t>
                  </w:r>
                </w:p>
              </w:tc>
              <w:tc>
                <w:tcPr>
                  <w:tcW w:w="960" w:type="pct"/>
                  <w:tcBorders>
                    <w:tl2br w:val="nil"/>
                    <w:tr2bl w:val="nil"/>
                  </w:tcBorders>
                  <w:vAlign w:val="center"/>
                </w:tcPr>
                <w:p w14:paraId="1C3269CD">
                  <w:pPr>
                    <w:keepNext w:val="0"/>
                    <w:keepLines w:val="0"/>
                    <w:pageBreakBefore w:val="0"/>
                    <w:tabs>
                      <w:tab w:val="left" w:pos="960"/>
                    </w:tabs>
                    <w:kinsoku/>
                    <w:wordWrap/>
                    <w:overflowPunct/>
                    <w:topLinePunct w:val="0"/>
                    <w:autoSpaceDE/>
                    <w:autoSpaceDN/>
                    <w:bidi w:val="0"/>
                    <w:adjustRightInd w:val="0"/>
                    <w:snapToGrid w:val="0"/>
                    <w:jc w:val="center"/>
                    <w:rPr>
                      <w:b/>
                      <w:bCs/>
                      <w:color w:val="auto"/>
                      <w:kern w:val="0"/>
                    </w:rPr>
                  </w:pPr>
                  <w:r>
                    <w:rPr>
                      <w:b/>
                      <w:bCs/>
                      <w:color w:val="auto"/>
                      <w:kern w:val="0"/>
                    </w:rPr>
                    <w:t>储存位置</w:t>
                  </w:r>
                </w:p>
              </w:tc>
            </w:tr>
            <w:tr w14:paraId="614DD77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80" w:type="pct"/>
                  <w:tcBorders>
                    <w:tl2br w:val="nil"/>
                    <w:tr2bl w:val="nil"/>
                  </w:tcBorders>
                  <w:vAlign w:val="center"/>
                </w:tcPr>
                <w:p w14:paraId="17F93A52">
                  <w:pPr>
                    <w:adjustRightInd w:val="0"/>
                    <w:snapToGrid w:val="0"/>
                    <w:jc w:val="center"/>
                    <w:rPr>
                      <w:color w:val="auto"/>
                      <w:kern w:val="0"/>
                    </w:rPr>
                  </w:pPr>
                  <w:r>
                    <w:rPr>
                      <w:rFonts w:hint="eastAsia"/>
                      <w:color w:val="auto"/>
                      <w:kern w:val="0"/>
                      <w:lang w:val="en-US" w:eastAsia="zh-CN"/>
                    </w:rPr>
                    <w:t>涂料</w:t>
                  </w:r>
                </w:p>
              </w:tc>
              <w:tc>
                <w:tcPr>
                  <w:tcW w:w="1656" w:type="dxa"/>
                  <w:tcBorders>
                    <w:tl2br w:val="nil"/>
                    <w:tr2bl w:val="nil"/>
                  </w:tcBorders>
                  <w:vAlign w:val="center"/>
                </w:tcPr>
                <w:p w14:paraId="2AADE7C0">
                  <w:pPr>
                    <w:widowControl/>
                    <w:jc w:val="center"/>
                    <w:textAlignment w:val="center"/>
                    <w:rPr>
                      <w:color w:val="auto"/>
                      <w:kern w:val="0"/>
                    </w:rPr>
                  </w:pPr>
                  <w:r>
                    <w:rPr>
                      <w:rFonts w:hint="eastAsia"/>
                      <w:color w:val="auto"/>
                      <w:kern w:val="0"/>
                      <w:lang w:val="en-US" w:eastAsia="zh-CN"/>
                    </w:rPr>
                    <w:t>0.85</w:t>
                  </w:r>
                </w:p>
              </w:tc>
              <w:tc>
                <w:tcPr>
                  <w:tcW w:w="604" w:type="pct"/>
                  <w:tcBorders>
                    <w:tl2br w:val="nil"/>
                    <w:tr2bl w:val="nil"/>
                  </w:tcBorders>
                  <w:vAlign w:val="center"/>
                </w:tcPr>
                <w:p w14:paraId="492B4050">
                  <w:pPr>
                    <w:keepNext w:val="0"/>
                    <w:keepLines w:val="0"/>
                    <w:pageBreakBefore w:val="0"/>
                    <w:widowControl/>
                    <w:kinsoku/>
                    <w:wordWrap/>
                    <w:overflowPunct/>
                    <w:topLinePunct w:val="0"/>
                    <w:autoSpaceDE/>
                    <w:autoSpaceDN/>
                    <w:bidi w:val="0"/>
                    <w:adjustRightInd w:val="0"/>
                    <w:snapToGrid w:val="0"/>
                    <w:jc w:val="center"/>
                    <w:textAlignment w:val="center"/>
                    <w:rPr>
                      <w:rFonts w:hint="default" w:eastAsia="宋体"/>
                      <w:color w:val="auto"/>
                      <w:kern w:val="0"/>
                      <w:lang w:val="en-US" w:eastAsia="zh-CN" w:bidi="ar"/>
                    </w:rPr>
                  </w:pPr>
                  <w:r>
                    <w:rPr>
                      <w:rFonts w:hint="eastAsia"/>
                      <w:color w:val="auto"/>
                      <w:kern w:val="0"/>
                      <w:lang w:val="en-US" w:eastAsia="zh-CN" w:bidi="ar"/>
                    </w:rPr>
                    <w:t>10</w:t>
                  </w:r>
                </w:p>
              </w:tc>
              <w:tc>
                <w:tcPr>
                  <w:tcW w:w="1312" w:type="dxa"/>
                  <w:tcBorders>
                    <w:tl2br w:val="nil"/>
                    <w:tr2bl w:val="nil"/>
                  </w:tcBorders>
                  <w:vAlign w:val="center"/>
                </w:tcPr>
                <w:p w14:paraId="0C8F1B61">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auto"/>
                      <w:kern w:val="0"/>
                      <w:lang w:val="en-US" w:eastAsia="zh-CN" w:bidi="ar"/>
                    </w:rPr>
                  </w:pPr>
                  <w:r>
                    <w:rPr>
                      <w:rFonts w:hint="eastAsia" w:ascii="Times New Roman" w:hAnsi="Times New Roman" w:eastAsia="宋体" w:cs="Times New Roman"/>
                      <w:color w:val="auto"/>
                      <w:kern w:val="0"/>
                      <w:lang w:val="en-US" w:eastAsia="zh-CN" w:bidi="ar"/>
                    </w:rPr>
                    <w:t>0.085</w:t>
                  </w:r>
                </w:p>
              </w:tc>
              <w:tc>
                <w:tcPr>
                  <w:tcW w:w="1558" w:type="dxa"/>
                  <w:tcBorders>
                    <w:tl2br w:val="nil"/>
                    <w:tr2bl w:val="nil"/>
                  </w:tcBorders>
                  <w:vAlign w:val="center"/>
                </w:tcPr>
                <w:p w14:paraId="2F578612">
                  <w:pPr>
                    <w:jc w:val="center"/>
                    <w:rPr>
                      <w:color w:val="auto"/>
                      <w:kern w:val="0"/>
                    </w:rPr>
                  </w:pPr>
                  <w:r>
                    <w:rPr>
                      <w:rFonts w:hint="eastAsia"/>
                      <w:color w:val="auto"/>
                      <w:kern w:val="0"/>
                      <w:lang w:val="en-US" w:eastAsia="zh-CN"/>
                    </w:rPr>
                    <w:t>桶装</w:t>
                  </w:r>
                </w:p>
              </w:tc>
              <w:tc>
                <w:tcPr>
                  <w:tcW w:w="1703" w:type="dxa"/>
                  <w:tcBorders>
                    <w:tl2br w:val="nil"/>
                    <w:tr2bl w:val="nil"/>
                  </w:tcBorders>
                  <w:vAlign w:val="center"/>
                </w:tcPr>
                <w:p w14:paraId="52DCAF86">
                  <w:pPr>
                    <w:tabs>
                      <w:tab w:val="left" w:pos="960"/>
                    </w:tabs>
                    <w:snapToGrid w:val="0"/>
                    <w:jc w:val="center"/>
                    <w:rPr>
                      <w:color w:val="auto"/>
                      <w:kern w:val="0"/>
                    </w:rPr>
                  </w:pPr>
                  <w:r>
                    <w:rPr>
                      <w:rFonts w:hint="eastAsia"/>
                      <w:color w:val="auto"/>
                      <w:kern w:val="0"/>
                      <w:lang w:val="en-US" w:eastAsia="zh-CN"/>
                    </w:rPr>
                    <w:t>仓库</w:t>
                  </w:r>
                </w:p>
              </w:tc>
            </w:tr>
            <w:tr w14:paraId="385949F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80" w:type="pct"/>
                  <w:tcBorders>
                    <w:tl2br w:val="nil"/>
                    <w:tr2bl w:val="nil"/>
                  </w:tcBorders>
                  <w:vAlign w:val="center"/>
                </w:tcPr>
                <w:p w14:paraId="19D885EB">
                  <w:pPr>
                    <w:adjustRightInd w:val="0"/>
                    <w:snapToGrid w:val="0"/>
                    <w:jc w:val="center"/>
                    <w:rPr>
                      <w:rFonts w:hint="default"/>
                      <w:color w:val="auto"/>
                      <w:kern w:val="0"/>
                      <w:lang w:val="en-US" w:eastAsia="zh-CN"/>
                    </w:rPr>
                  </w:pPr>
                  <w:r>
                    <w:rPr>
                      <w:rFonts w:hint="eastAsia"/>
                      <w:color w:val="auto"/>
                      <w:kern w:val="0"/>
                      <w:lang w:val="en-US" w:eastAsia="zh-CN"/>
                    </w:rPr>
                    <w:t>固化剂</w:t>
                  </w:r>
                </w:p>
              </w:tc>
              <w:tc>
                <w:tcPr>
                  <w:tcW w:w="1656" w:type="dxa"/>
                  <w:tcBorders>
                    <w:tl2br w:val="nil"/>
                    <w:tr2bl w:val="nil"/>
                  </w:tcBorders>
                  <w:vAlign w:val="center"/>
                </w:tcPr>
                <w:p w14:paraId="6963CB1D">
                  <w:pPr>
                    <w:widowControl/>
                    <w:jc w:val="center"/>
                    <w:textAlignment w:val="center"/>
                    <w:rPr>
                      <w:rFonts w:hint="eastAsia"/>
                      <w:color w:val="auto"/>
                      <w:kern w:val="0"/>
                      <w:lang w:val="en-US" w:eastAsia="zh-CN"/>
                    </w:rPr>
                  </w:pPr>
                  <w:r>
                    <w:rPr>
                      <w:rFonts w:hint="eastAsia"/>
                      <w:color w:val="auto"/>
                      <w:kern w:val="0"/>
                      <w:lang w:val="en-US" w:eastAsia="zh-CN"/>
                    </w:rPr>
                    <w:t>0.3</w:t>
                  </w:r>
                </w:p>
              </w:tc>
              <w:tc>
                <w:tcPr>
                  <w:tcW w:w="604" w:type="pct"/>
                  <w:tcBorders>
                    <w:tl2br w:val="nil"/>
                    <w:tr2bl w:val="nil"/>
                  </w:tcBorders>
                  <w:vAlign w:val="center"/>
                </w:tcPr>
                <w:p w14:paraId="0359053A">
                  <w:pPr>
                    <w:keepNext w:val="0"/>
                    <w:keepLines w:val="0"/>
                    <w:pageBreakBefore w:val="0"/>
                    <w:widowControl/>
                    <w:kinsoku/>
                    <w:wordWrap/>
                    <w:overflowPunct/>
                    <w:topLinePunct w:val="0"/>
                    <w:autoSpaceDE/>
                    <w:autoSpaceDN/>
                    <w:bidi w:val="0"/>
                    <w:adjustRightInd w:val="0"/>
                    <w:snapToGrid w:val="0"/>
                    <w:jc w:val="center"/>
                    <w:textAlignment w:val="center"/>
                    <w:rPr>
                      <w:rFonts w:hint="default"/>
                      <w:color w:val="auto"/>
                      <w:kern w:val="0"/>
                      <w:lang w:val="en-US" w:eastAsia="zh-CN" w:bidi="ar"/>
                    </w:rPr>
                  </w:pPr>
                  <w:r>
                    <w:rPr>
                      <w:rFonts w:hint="eastAsia"/>
                      <w:color w:val="auto"/>
                      <w:kern w:val="0"/>
                      <w:lang w:val="en-US" w:eastAsia="zh-CN" w:bidi="ar"/>
                    </w:rPr>
                    <w:t>10</w:t>
                  </w:r>
                </w:p>
              </w:tc>
              <w:tc>
                <w:tcPr>
                  <w:tcW w:w="1312" w:type="dxa"/>
                  <w:tcBorders>
                    <w:tl2br w:val="nil"/>
                    <w:tr2bl w:val="nil"/>
                  </w:tcBorders>
                  <w:vAlign w:val="center"/>
                </w:tcPr>
                <w:p w14:paraId="0BF7DB34">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auto"/>
                      <w:kern w:val="0"/>
                      <w:lang w:val="en-US" w:eastAsia="zh-CN" w:bidi="ar"/>
                    </w:rPr>
                  </w:pPr>
                  <w:r>
                    <w:rPr>
                      <w:rFonts w:hint="eastAsia" w:ascii="Times New Roman" w:hAnsi="Times New Roman" w:eastAsia="宋体" w:cs="Times New Roman"/>
                      <w:color w:val="auto"/>
                      <w:kern w:val="0"/>
                      <w:lang w:val="en-US" w:eastAsia="zh-CN" w:bidi="ar"/>
                    </w:rPr>
                    <w:t>0.03</w:t>
                  </w:r>
                </w:p>
              </w:tc>
              <w:tc>
                <w:tcPr>
                  <w:tcW w:w="1558" w:type="dxa"/>
                  <w:tcBorders>
                    <w:tl2br w:val="nil"/>
                    <w:tr2bl w:val="nil"/>
                  </w:tcBorders>
                  <w:vAlign w:val="center"/>
                </w:tcPr>
                <w:p w14:paraId="2CD65AC0">
                  <w:pPr>
                    <w:jc w:val="center"/>
                    <w:rPr>
                      <w:rFonts w:hint="eastAsia"/>
                      <w:color w:val="auto"/>
                      <w:kern w:val="0"/>
                    </w:rPr>
                  </w:pPr>
                  <w:r>
                    <w:rPr>
                      <w:rFonts w:hint="eastAsia"/>
                      <w:color w:val="auto"/>
                      <w:kern w:val="0"/>
                    </w:rPr>
                    <w:t>桶装</w:t>
                  </w:r>
                </w:p>
              </w:tc>
              <w:tc>
                <w:tcPr>
                  <w:tcW w:w="1703" w:type="dxa"/>
                  <w:tcBorders>
                    <w:tl2br w:val="nil"/>
                    <w:tr2bl w:val="nil"/>
                  </w:tcBorders>
                  <w:vAlign w:val="center"/>
                </w:tcPr>
                <w:p w14:paraId="57509A54">
                  <w:pPr>
                    <w:tabs>
                      <w:tab w:val="left" w:pos="960"/>
                    </w:tabs>
                    <w:snapToGrid w:val="0"/>
                    <w:jc w:val="center"/>
                    <w:rPr>
                      <w:rFonts w:hint="eastAsia"/>
                      <w:color w:val="auto"/>
                      <w:kern w:val="0"/>
                      <w:lang w:val="en-US" w:eastAsia="zh-CN"/>
                    </w:rPr>
                  </w:pPr>
                  <w:r>
                    <w:rPr>
                      <w:color w:val="auto"/>
                      <w:kern w:val="0"/>
                    </w:rPr>
                    <w:t>仓库</w:t>
                  </w:r>
                </w:p>
              </w:tc>
            </w:tr>
            <w:tr w14:paraId="527D557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80" w:type="pct"/>
                  <w:tcBorders>
                    <w:tl2br w:val="nil"/>
                    <w:tr2bl w:val="nil"/>
                  </w:tcBorders>
                  <w:vAlign w:val="center"/>
                </w:tcPr>
                <w:p w14:paraId="2EFFA652">
                  <w:pPr>
                    <w:adjustRightInd w:val="0"/>
                    <w:snapToGrid w:val="0"/>
                    <w:jc w:val="center"/>
                    <w:rPr>
                      <w:rFonts w:hint="eastAsia" w:eastAsia="宋体"/>
                      <w:color w:val="auto"/>
                      <w:kern w:val="0"/>
                      <w:lang w:val="en-US" w:eastAsia="zh-CN"/>
                    </w:rPr>
                  </w:pPr>
                  <w:r>
                    <w:rPr>
                      <w:rFonts w:hint="eastAsia"/>
                      <w:color w:val="auto"/>
                      <w:kern w:val="0"/>
                      <w:lang w:val="en-US" w:eastAsia="zh-CN"/>
                    </w:rPr>
                    <w:t>稀释剂</w:t>
                  </w:r>
                </w:p>
              </w:tc>
              <w:tc>
                <w:tcPr>
                  <w:tcW w:w="1656" w:type="dxa"/>
                  <w:tcBorders>
                    <w:tl2br w:val="nil"/>
                    <w:tr2bl w:val="nil"/>
                  </w:tcBorders>
                  <w:vAlign w:val="center"/>
                </w:tcPr>
                <w:p w14:paraId="344DEBE6">
                  <w:pPr>
                    <w:widowControl/>
                    <w:jc w:val="center"/>
                    <w:textAlignment w:val="center"/>
                    <w:rPr>
                      <w:rFonts w:hint="eastAsia" w:eastAsia="宋体"/>
                      <w:color w:val="auto"/>
                      <w:kern w:val="0"/>
                      <w:lang w:val="en-US" w:eastAsia="zh-CN"/>
                    </w:rPr>
                  </w:pPr>
                  <w:r>
                    <w:rPr>
                      <w:rFonts w:hint="eastAsia"/>
                      <w:color w:val="auto"/>
                      <w:kern w:val="0"/>
                      <w:lang w:val="en-US" w:eastAsia="zh-CN"/>
                    </w:rPr>
                    <w:t>0.1</w:t>
                  </w:r>
                </w:p>
              </w:tc>
              <w:tc>
                <w:tcPr>
                  <w:tcW w:w="604" w:type="pct"/>
                  <w:tcBorders>
                    <w:tl2br w:val="nil"/>
                    <w:tr2bl w:val="nil"/>
                  </w:tcBorders>
                  <w:vAlign w:val="center"/>
                </w:tcPr>
                <w:p w14:paraId="1DA3FFAF">
                  <w:pPr>
                    <w:keepNext w:val="0"/>
                    <w:keepLines w:val="0"/>
                    <w:pageBreakBefore w:val="0"/>
                    <w:widowControl/>
                    <w:kinsoku/>
                    <w:wordWrap/>
                    <w:overflowPunct/>
                    <w:topLinePunct w:val="0"/>
                    <w:autoSpaceDE/>
                    <w:autoSpaceDN/>
                    <w:bidi w:val="0"/>
                    <w:adjustRightInd w:val="0"/>
                    <w:snapToGrid w:val="0"/>
                    <w:jc w:val="center"/>
                    <w:textAlignment w:val="center"/>
                    <w:rPr>
                      <w:rFonts w:hint="default" w:eastAsia="宋体"/>
                      <w:color w:val="auto"/>
                      <w:kern w:val="0"/>
                      <w:lang w:val="en-US" w:eastAsia="zh-CN" w:bidi="ar"/>
                    </w:rPr>
                  </w:pPr>
                  <w:r>
                    <w:rPr>
                      <w:rFonts w:hint="eastAsia"/>
                      <w:color w:val="auto"/>
                      <w:kern w:val="0"/>
                      <w:lang w:val="en-US" w:eastAsia="zh-CN" w:bidi="ar"/>
                    </w:rPr>
                    <w:t>10</w:t>
                  </w:r>
                </w:p>
              </w:tc>
              <w:tc>
                <w:tcPr>
                  <w:tcW w:w="1312" w:type="dxa"/>
                  <w:tcBorders>
                    <w:tl2br w:val="nil"/>
                    <w:tr2bl w:val="nil"/>
                  </w:tcBorders>
                  <w:vAlign w:val="center"/>
                </w:tcPr>
                <w:p w14:paraId="3051147F">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auto"/>
                      <w:kern w:val="0"/>
                      <w:lang w:val="en-US" w:eastAsia="zh-CN" w:bidi="ar"/>
                    </w:rPr>
                  </w:pPr>
                  <w:r>
                    <w:rPr>
                      <w:rFonts w:hint="eastAsia" w:ascii="Times New Roman" w:hAnsi="Times New Roman" w:eastAsia="宋体" w:cs="Times New Roman"/>
                      <w:color w:val="auto"/>
                      <w:kern w:val="0"/>
                      <w:lang w:val="en-US" w:eastAsia="zh-CN" w:bidi="ar"/>
                    </w:rPr>
                    <w:t>0.01</w:t>
                  </w:r>
                </w:p>
              </w:tc>
              <w:tc>
                <w:tcPr>
                  <w:tcW w:w="1558" w:type="dxa"/>
                  <w:tcBorders>
                    <w:tl2br w:val="nil"/>
                    <w:tr2bl w:val="nil"/>
                  </w:tcBorders>
                  <w:vAlign w:val="center"/>
                </w:tcPr>
                <w:p w14:paraId="3CE2AF2B">
                  <w:pPr>
                    <w:jc w:val="center"/>
                    <w:rPr>
                      <w:rFonts w:hint="eastAsia" w:eastAsia="宋体"/>
                      <w:color w:val="auto"/>
                      <w:kern w:val="0"/>
                      <w:lang w:val="en-US" w:eastAsia="zh-CN"/>
                    </w:rPr>
                  </w:pPr>
                  <w:r>
                    <w:rPr>
                      <w:rFonts w:hint="eastAsia"/>
                      <w:color w:val="auto"/>
                      <w:kern w:val="0"/>
                      <w:lang w:val="en-US" w:eastAsia="zh-CN"/>
                    </w:rPr>
                    <w:t>桶装</w:t>
                  </w:r>
                </w:p>
              </w:tc>
              <w:tc>
                <w:tcPr>
                  <w:tcW w:w="1703" w:type="dxa"/>
                  <w:tcBorders>
                    <w:tl2br w:val="nil"/>
                    <w:tr2bl w:val="nil"/>
                  </w:tcBorders>
                  <w:vAlign w:val="center"/>
                </w:tcPr>
                <w:p w14:paraId="55A91356">
                  <w:pPr>
                    <w:tabs>
                      <w:tab w:val="left" w:pos="960"/>
                    </w:tabs>
                    <w:snapToGrid w:val="0"/>
                    <w:jc w:val="center"/>
                    <w:rPr>
                      <w:rFonts w:hint="default" w:eastAsia="宋体"/>
                      <w:color w:val="auto"/>
                      <w:kern w:val="0"/>
                      <w:lang w:val="en-US" w:eastAsia="zh-CN"/>
                    </w:rPr>
                  </w:pPr>
                  <w:r>
                    <w:rPr>
                      <w:rFonts w:hint="eastAsia"/>
                      <w:color w:val="auto"/>
                      <w:kern w:val="0"/>
                      <w:lang w:val="en-US" w:eastAsia="zh-CN"/>
                    </w:rPr>
                    <w:t>仓库</w:t>
                  </w:r>
                </w:p>
              </w:tc>
            </w:tr>
            <w:tr w14:paraId="1DA7A4A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80" w:type="pct"/>
                  <w:tcBorders>
                    <w:tl2br w:val="nil"/>
                    <w:tr2bl w:val="nil"/>
                  </w:tcBorders>
                  <w:vAlign w:val="center"/>
                </w:tcPr>
                <w:p w14:paraId="5B330452">
                  <w:pPr>
                    <w:adjustRightInd w:val="0"/>
                    <w:snapToGrid w:val="0"/>
                    <w:jc w:val="center"/>
                    <w:rPr>
                      <w:rFonts w:hint="eastAsia"/>
                      <w:color w:val="auto"/>
                      <w:kern w:val="0"/>
                      <w:lang w:val="en-US" w:eastAsia="zh-CN"/>
                    </w:rPr>
                  </w:pPr>
                  <w:r>
                    <w:rPr>
                      <w:rFonts w:hint="eastAsia"/>
                      <w:color w:val="auto"/>
                      <w:kern w:val="0"/>
                      <w:lang w:val="en-US" w:eastAsia="zh-CN"/>
                    </w:rPr>
                    <w:t>白乳胶</w:t>
                  </w:r>
                </w:p>
              </w:tc>
              <w:tc>
                <w:tcPr>
                  <w:tcW w:w="1656" w:type="dxa"/>
                  <w:tcBorders>
                    <w:tl2br w:val="nil"/>
                    <w:tr2bl w:val="nil"/>
                  </w:tcBorders>
                  <w:vAlign w:val="center"/>
                </w:tcPr>
                <w:p w14:paraId="60A70A78">
                  <w:pPr>
                    <w:widowControl/>
                    <w:jc w:val="center"/>
                    <w:textAlignment w:val="center"/>
                    <w:rPr>
                      <w:rFonts w:hint="eastAsia"/>
                      <w:color w:val="auto"/>
                      <w:kern w:val="0"/>
                      <w:lang w:val="en-US" w:eastAsia="zh-CN"/>
                    </w:rPr>
                  </w:pPr>
                  <w:r>
                    <w:rPr>
                      <w:rFonts w:hint="eastAsia"/>
                      <w:color w:val="auto"/>
                      <w:kern w:val="0"/>
                      <w:lang w:val="en-US" w:eastAsia="zh-CN"/>
                    </w:rPr>
                    <w:t>0.2</w:t>
                  </w:r>
                </w:p>
              </w:tc>
              <w:tc>
                <w:tcPr>
                  <w:tcW w:w="604" w:type="pct"/>
                  <w:tcBorders>
                    <w:tl2br w:val="nil"/>
                    <w:tr2bl w:val="nil"/>
                  </w:tcBorders>
                  <w:vAlign w:val="center"/>
                </w:tcPr>
                <w:p w14:paraId="35DCC6F9">
                  <w:pPr>
                    <w:keepNext w:val="0"/>
                    <w:keepLines w:val="0"/>
                    <w:pageBreakBefore w:val="0"/>
                    <w:widowControl/>
                    <w:kinsoku/>
                    <w:wordWrap/>
                    <w:overflowPunct/>
                    <w:topLinePunct w:val="0"/>
                    <w:autoSpaceDE/>
                    <w:autoSpaceDN/>
                    <w:bidi w:val="0"/>
                    <w:adjustRightInd w:val="0"/>
                    <w:snapToGrid w:val="0"/>
                    <w:jc w:val="center"/>
                    <w:textAlignment w:val="center"/>
                    <w:rPr>
                      <w:rFonts w:hint="default"/>
                      <w:color w:val="auto"/>
                      <w:kern w:val="0"/>
                      <w:lang w:val="en-US" w:eastAsia="zh-CN" w:bidi="ar"/>
                    </w:rPr>
                  </w:pPr>
                  <w:r>
                    <w:rPr>
                      <w:rFonts w:hint="eastAsia"/>
                      <w:color w:val="auto"/>
                      <w:kern w:val="0"/>
                      <w:lang w:val="en-US" w:eastAsia="zh-CN" w:bidi="ar"/>
                    </w:rPr>
                    <w:t>10</w:t>
                  </w:r>
                </w:p>
              </w:tc>
              <w:tc>
                <w:tcPr>
                  <w:tcW w:w="1312" w:type="dxa"/>
                  <w:tcBorders>
                    <w:tl2br w:val="nil"/>
                    <w:tr2bl w:val="nil"/>
                  </w:tcBorders>
                  <w:vAlign w:val="center"/>
                </w:tcPr>
                <w:p w14:paraId="0B0B79DF">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auto"/>
                      <w:kern w:val="0"/>
                      <w:lang w:val="en-US" w:eastAsia="zh-CN" w:bidi="ar"/>
                    </w:rPr>
                  </w:pPr>
                  <w:r>
                    <w:rPr>
                      <w:rFonts w:hint="eastAsia" w:ascii="Times New Roman" w:hAnsi="Times New Roman" w:eastAsia="宋体" w:cs="Times New Roman"/>
                      <w:color w:val="auto"/>
                      <w:kern w:val="0"/>
                      <w:lang w:val="en-US" w:eastAsia="zh-CN" w:bidi="ar"/>
                    </w:rPr>
                    <w:t>0.02</w:t>
                  </w:r>
                </w:p>
              </w:tc>
              <w:tc>
                <w:tcPr>
                  <w:tcW w:w="1558" w:type="dxa"/>
                  <w:tcBorders>
                    <w:tl2br w:val="nil"/>
                    <w:tr2bl w:val="nil"/>
                  </w:tcBorders>
                  <w:vAlign w:val="center"/>
                </w:tcPr>
                <w:p w14:paraId="27C2C1D7">
                  <w:pPr>
                    <w:jc w:val="center"/>
                    <w:rPr>
                      <w:rFonts w:hint="eastAsia"/>
                      <w:color w:val="auto"/>
                      <w:kern w:val="0"/>
                      <w:lang w:val="en-US" w:eastAsia="zh-CN"/>
                    </w:rPr>
                  </w:pPr>
                  <w:r>
                    <w:rPr>
                      <w:rFonts w:hint="eastAsia"/>
                      <w:color w:val="auto"/>
                      <w:kern w:val="0"/>
                      <w:lang w:val="en-US" w:eastAsia="zh-CN"/>
                    </w:rPr>
                    <w:t>桶装</w:t>
                  </w:r>
                </w:p>
              </w:tc>
              <w:tc>
                <w:tcPr>
                  <w:tcW w:w="1703" w:type="dxa"/>
                  <w:tcBorders>
                    <w:tl2br w:val="nil"/>
                    <w:tr2bl w:val="nil"/>
                  </w:tcBorders>
                  <w:vAlign w:val="center"/>
                </w:tcPr>
                <w:p w14:paraId="5DC8F030">
                  <w:pPr>
                    <w:tabs>
                      <w:tab w:val="left" w:pos="960"/>
                    </w:tabs>
                    <w:snapToGrid w:val="0"/>
                    <w:jc w:val="center"/>
                    <w:rPr>
                      <w:rFonts w:hint="eastAsia"/>
                      <w:color w:val="auto"/>
                      <w:kern w:val="0"/>
                      <w:lang w:val="en-US" w:eastAsia="zh-CN"/>
                    </w:rPr>
                  </w:pPr>
                  <w:r>
                    <w:rPr>
                      <w:rFonts w:hint="eastAsia"/>
                      <w:color w:val="auto"/>
                      <w:kern w:val="0"/>
                      <w:lang w:val="en-US" w:eastAsia="zh-CN"/>
                    </w:rPr>
                    <w:t>仓库</w:t>
                  </w:r>
                </w:p>
              </w:tc>
            </w:tr>
            <w:tr w14:paraId="6B66411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80" w:type="pct"/>
                  <w:tcBorders>
                    <w:tl2br w:val="nil"/>
                    <w:tr2bl w:val="nil"/>
                  </w:tcBorders>
                  <w:vAlign w:val="center"/>
                </w:tcPr>
                <w:p w14:paraId="3EB73E78">
                  <w:pPr>
                    <w:adjustRightInd w:val="0"/>
                    <w:snapToGrid w:val="0"/>
                    <w:jc w:val="center"/>
                    <w:rPr>
                      <w:rFonts w:hint="eastAsia"/>
                      <w:color w:val="auto"/>
                      <w:kern w:val="0"/>
                      <w:lang w:val="en-US" w:eastAsia="zh-CN"/>
                    </w:rPr>
                  </w:pPr>
                  <w:r>
                    <w:rPr>
                      <w:rFonts w:hint="eastAsia"/>
                      <w:color w:val="auto"/>
                      <w:lang w:val="en-US" w:eastAsia="zh-CN"/>
                    </w:rPr>
                    <w:t>格丽斯擦色剂</w:t>
                  </w:r>
                </w:p>
              </w:tc>
              <w:tc>
                <w:tcPr>
                  <w:tcW w:w="1656" w:type="dxa"/>
                  <w:tcBorders>
                    <w:tl2br w:val="nil"/>
                    <w:tr2bl w:val="nil"/>
                  </w:tcBorders>
                  <w:vAlign w:val="center"/>
                </w:tcPr>
                <w:p w14:paraId="52215A6C">
                  <w:pPr>
                    <w:widowControl/>
                    <w:jc w:val="center"/>
                    <w:textAlignment w:val="center"/>
                    <w:rPr>
                      <w:rFonts w:hint="eastAsia"/>
                      <w:color w:val="auto"/>
                      <w:kern w:val="0"/>
                      <w:lang w:val="en-US" w:eastAsia="zh-CN"/>
                    </w:rPr>
                  </w:pPr>
                  <w:r>
                    <w:rPr>
                      <w:rFonts w:hint="eastAsia"/>
                      <w:color w:val="auto"/>
                      <w:kern w:val="0"/>
                      <w:lang w:val="en-US" w:eastAsia="zh-CN"/>
                    </w:rPr>
                    <w:t>0.1</w:t>
                  </w:r>
                </w:p>
              </w:tc>
              <w:tc>
                <w:tcPr>
                  <w:tcW w:w="604" w:type="pct"/>
                  <w:tcBorders>
                    <w:tl2br w:val="nil"/>
                    <w:tr2bl w:val="nil"/>
                  </w:tcBorders>
                  <w:vAlign w:val="center"/>
                </w:tcPr>
                <w:p w14:paraId="7D41668C">
                  <w:pPr>
                    <w:keepNext w:val="0"/>
                    <w:keepLines w:val="0"/>
                    <w:pageBreakBefore w:val="0"/>
                    <w:widowControl/>
                    <w:kinsoku/>
                    <w:wordWrap/>
                    <w:overflowPunct/>
                    <w:topLinePunct w:val="0"/>
                    <w:autoSpaceDE/>
                    <w:autoSpaceDN/>
                    <w:bidi w:val="0"/>
                    <w:adjustRightInd w:val="0"/>
                    <w:snapToGrid w:val="0"/>
                    <w:jc w:val="center"/>
                    <w:textAlignment w:val="center"/>
                    <w:rPr>
                      <w:rFonts w:hint="eastAsia"/>
                      <w:color w:val="auto"/>
                      <w:kern w:val="0"/>
                      <w:lang w:val="en-US" w:eastAsia="zh-CN" w:bidi="ar"/>
                    </w:rPr>
                  </w:pPr>
                  <w:r>
                    <w:rPr>
                      <w:rFonts w:hint="eastAsia"/>
                      <w:color w:val="auto"/>
                      <w:kern w:val="0"/>
                      <w:lang w:val="en-US" w:eastAsia="zh-CN" w:bidi="ar"/>
                    </w:rPr>
                    <w:t>10</w:t>
                  </w:r>
                </w:p>
              </w:tc>
              <w:tc>
                <w:tcPr>
                  <w:tcW w:w="1312" w:type="dxa"/>
                  <w:tcBorders>
                    <w:tl2br w:val="nil"/>
                    <w:tr2bl w:val="nil"/>
                  </w:tcBorders>
                  <w:vAlign w:val="center"/>
                </w:tcPr>
                <w:p w14:paraId="5E4F0B5D">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auto"/>
                      <w:kern w:val="0"/>
                      <w:lang w:val="en-US" w:eastAsia="zh-CN" w:bidi="ar"/>
                    </w:rPr>
                  </w:pPr>
                  <w:r>
                    <w:rPr>
                      <w:rFonts w:hint="eastAsia" w:ascii="Times New Roman" w:hAnsi="Times New Roman" w:eastAsia="宋体" w:cs="Times New Roman"/>
                      <w:color w:val="auto"/>
                      <w:kern w:val="0"/>
                      <w:lang w:val="en-US" w:eastAsia="zh-CN" w:bidi="ar"/>
                    </w:rPr>
                    <w:t>0.01</w:t>
                  </w:r>
                </w:p>
              </w:tc>
              <w:tc>
                <w:tcPr>
                  <w:tcW w:w="1558" w:type="dxa"/>
                  <w:tcBorders>
                    <w:tl2br w:val="nil"/>
                    <w:tr2bl w:val="nil"/>
                  </w:tcBorders>
                  <w:vAlign w:val="center"/>
                </w:tcPr>
                <w:p w14:paraId="08A2B94A">
                  <w:pPr>
                    <w:jc w:val="center"/>
                    <w:rPr>
                      <w:rFonts w:hint="eastAsia"/>
                      <w:color w:val="auto"/>
                      <w:kern w:val="0"/>
                      <w:lang w:val="en-US" w:eastAsia="zh-CN"/>
                    </w:rPr>
                  </w:pPr>
                  <w:r>
                    <w:rPr>
                      <w:rFonts w:hint="eastAsia"/>
                      <w:color w:val="auto"/>
                      <w:kern w:val="0"/>
                      <w:lang w:val="en-US" w:eastAsia="zh-CN"/>
                    </w:rPr>
                    <w:t>桶装</w:t>
                  </w:r>
                </w:p>
              </w:tc>
              <w:tc>
                <w:tcPr>
                  <w:tcW w:w="1703" w:type="dxa"/>
                  <w:tcBorders>
                    <w:tl2br w:val="nil"/>
                    <w:tr2bl w:val="nil"/>
                  </w:tcBorders>
                  <w:vAlign w:val="center"/>
                </w:tcPr>
                <w:p w14:paraId="58D1B804">
                  <w:pPr>
                    <w:tabs>
                      <w:tab w:val="left" w:pos="960"/>
                    </w:tabs>
                    <w:snapToGrid w:val="0"/>
                    <w:jc w:val="center"/>
                    <w:rPr>
                      <w:rFonts w:hint="eastAsia"/>
                      <w:color w:val="auto"/>
                      <w:kern w:val="0"/>
                      <w:lang w:val="en-US" w:eastAsia="zh-CN"/>
                    </w:rPr>
                  </w:pPr>
                  <w:r>
                    <w:rPr>
                      <w:rFonts w:hint="eastAsia"/>
                      <w:color w:val="auto"/>
                      <w:kern w:val="0"/>
                      <w:lang w:val="en-US" w:eastAsia="zh-CN"/>
                    </w:rPr>
                    <w:t>仓库</w:t>
                  </w:r>
                </w:p>
              </w:tc>
            </w:tr>
            <w:tr w14:paraId="18D79EC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80" w:type="pct"/>
                  <w:tcBorders>
                    <w:tl2br w:val="nil"/>
                    <w:tr2bl w:val="nil"/>
                  </w:tcBorders>
                  <w:vAlign w:val="center"/>
                </w:tcPr>
                <w:p w14:paraId="5DF637F8">
                  <w:pPr>
                    <w:pStyle w:val="698"/>
                    <w:rPr>
                      <w:rFonts w:eastAsia="宋体"/>
                      <w:color w:val="auto"/>
                      <w:kern w:val="0"/>
                    </w:rPr>
                  </w:pPr>
                  <w:r>
                    <w:rPr>
                      <w:rFonts w:eastAsia="宋体"/>
                      <w:bCs/>
                      <w:color w:val="auto"/>
                      <w:kern w:val="0"/>
                    </w:rPr>
                    <w:t>危险废物</w:t>
                  </w:r>
                </w:p>
              </w:tc>
              <w:tc>
                <w:tcPr>
                  <w:tcW w:w="1656" w:type="dxa"/>
                  <w:tcBorders>
                    <w:tl2br w:val="nil"/>
                    <w:tr2bl w:val="nil"/>
                  </w:tcBorders>
                  <w:vAlign w:val="center"/>
                </w:tcPr>
                <w:p w14:paraId="70FC90BB">
                  <w:pPr>
                    <w:widowControl/>
                    <w:jc w:val="center"/>
                    <w:textAlignment w:val="center"/>
                    <w:rPr>
                      <w:rFonts w:hint="default" w:eastAsia="宋体"/>
                      <w:color w:val="auto"/>
                      <w:kern w:val="0"/>
                      <w:lang w:val="en-US" w:eastAsia="zh-CN"/>
                    </w:rPr>
                  </w:pPr>
                  <w:r>
                    <w:rPr>
                      <w:rFonts w:hint="eastAsia"/>
                      <w:color w:val="auto"/>
                      <w:kern w:val="0"/>
                      <w:lang w:val="en-US" w:eastAsia="zh-CN"/>
                    </w:rPr>
                    <w:t>3.7</w:t>
                  </w:r>
                </w:p>
              </w:tc>
              <w:tc>
                <w:tcPr>
                  <w:tcW w:w="604" w:type="pct"/>
                  <w:tcBorders>
                    <w:tl2br w:val="nil"/>
                    <w:tr2bl w:val="nil"/>
                  </w:tcBorders>
                  <w:vAlign w:val="center"/>
                </w:tcPr>
                <w:p w14:paraId="54F56615">
                  <w:pPr>
                    <w:keepNext w:val="0"/>
                    <w:keepLines w:val="0"/>
                    <w:pageBreakBefore w:val="0"/>
                    <w:widowControl/>
                    <w:kinsoku/>
                    <w:wordWrap/>
                    <w:overflowPunct/>
                    <w:topLinePunct w:val="0"/>
                    <w:autoSpaceDE/>
                    <w:autoSpaceDN/>
                    <w:bidi w:val="0"/>
                    <w:adjustRightInd w:val="0"/>
                    <w:snapToGrid w:val="0"/>
                    <w:jc w:val="center"/>
                    <w:textAlignment w:val="center"/>
                    <w:rPr>
                      <w:color w:val="auto"/>
                      <w:kern w:val="0"/>
                      <w:lang w:bidi="ar"/>
                    </w:rPr>
                  </w:pPr>
                  <w:r>
                    <w:rPr>
                      <w:rFonts w:hint="eastAsia"/>
                      <w:color w:val="auto"/>
                      <w:kern w:val="0"/>
                      <w:lang w:bidi="ar"/>
                    </w:rPr>
                    <w:t>50</w:t>
                  </w:r>
                </w:p>
              </w:tc>
              <w:tc>
                <w:tcPr>
                  <w:tcW w:w="1312" w:type="dxa"/>
                  <w:tcBorders>
                    <w:tl2br w:val="nil"/>
                    <w:tr2bl w:val="nil"/>
                  </w:tcBorders>
                  <w:vAlign w:val="center"/>
                </w:tcPr>
                <w:p w14:paraId="1E4F056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kern w:val="0"/>
                      <w:lang w:val="en-US" w:eastAsia="zh-CN" w:bidi="ar"/>
                    </w:rPr>
                  </w:pPr>
                  <w:r>
                    <w:rPr>
                      <w:rFonts w:hint="eastAsia" w:cs="Times New Roman"/>
                      <w:color w:val="auto"/>
                      <w:kern w:val="0"/>
                      <w:lang w:val="en-US" w:eastAsia="zh-CN" w:bidi="ar"/>
                    </w:rPr>
                    <w:t>0.074</w:t>
                  </w:r>
                </w:p>
              </w:tc>
              <w:tc>
                <w:tcPr>
                  <w:tcW w:w="1558" w:type="dxa"/>
                  <w:tcBorders>
                    <w:tl2br w:val="nil"/>
                    <w:tr2bl w:val="nil"/>
                  </w:tcBorders>
                  <w:vAlign w:val="center"/>
                </w:tcPr>
                <w:p w14:paraId="65E979EA">
                  <w:pPr>
                    <w:jc w:val="center"/>
                    <w:rPr>
                      <w:color w:val="auto"/>
                      <w:kern w:val="0"/>
                    </w:rPr>
                  </w:pPr>
                  <w:r>
                    <w:rPr>
                      <w:rFonts w:hint="eastAsia"/>
                      <w:color w:val="auto"/>
                      <w:kern w:val="0"/>
                    </w:rPr>
                    <w:t>袋装</w:t>
                  </w:r>
                  <w:r>
                    <w:rPr>
                      <w:rFonts w:hint="eastAsia"/>
                      <w:color w:val="auto"/>
                      <w:kern w:val="0"/>
                      <w:lang w:eastAsia="zh-CN"/>
                    </w:rPr>
                    <w:t>、</w:t>
                  </w:r>
                  <w:r>
                    <w:rPr>
                      <w:rFonts w:hint="eastAsia"/>
                      <w:color w:val="auto"/>
                      <w:kern w:val="0"/>
                      <w:lang w:val="en-US" w:eastAsia="zh-CN"/>
                    </w:rPr>
                    <w:t>桶装</w:t>
                  </w:r>
                </w:p>
              </w:tc>
              <w:tc>
                <w:tcPr>
                  <w:tcW w:w="1703" w:type="dxa"/>
                  <w:tcBorders>
                    <w:tl2br w:val="nil"/>
                    <w:tr2bl w:val="nil"/>
                  </w:tcBorders>
                  <w:vAlign w:val="center"/>
                </w:tcPr>
                <w:p w14:paraId="18596E5E">
                  <w:pPr>
                    <w:tabs>
                      <w:tab w:val="left" w:pos="960"/>
                    </w:tabs>
                    <w:snapToGrid w:val="0"/>
                    <w:jc w:val="center"/>
                    <w:rPr>
                      <w:bCs/>
                      <w:color w:val="auto"/>
                      <w:kern w:val="0"/>
                    </w:rPr>
                  </w:pPr>
                  <w:r>
                    <w:rPr>
                      <w:rFonts w:hint="eastAsia"/>
                      <w:bCs/>
                      <w:color w:val="auto"/>
                      <w:kern w:val="0"/>
                    </w:rPr>
                    <w:t>危废仓库</w:t>
                  </w:r>
                </w:p>
              </w:tc>
            </w:tr>
            <w:tr w14:paraId="3A6A3EC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419" w:type="pct"/>
                  <w:gridSpan w:val="3"/>
                  <w:tcBorders>
                    <w:tl2br w:val="nil"/>
                    <w:tr2bl w:val="nil"/>
                  </w:tcBorders>
                  <w:vAlign w:val="center"/>
                </w:tcPr>
                <w:p w14:paraId="2BD8278E">
                  <w:pPr>
                    <w:keepNext w:val="0"/>
                    <w:keepLines w:val="0"/>
                    <w:pageBreakBefore w:val="0"/>
                    <w:kinsoku/>
                    <w:wordWrap/>
                    <w:overflowPunct/>
                    <w:topLinePunct w:val="0"/>
                    <w:autoSpaceDE/>
                    <w:autoSpaceDN/>
                    <w:bidi w:val="0"/>
                    <w:adjustRightInd w:val="0"/>
                    <w:snapToGrid w:val="0"/>
                    <w:jc w:val="center"/>
                    <w:rPr>
                      <w:bCs/>
                      <w:color w:val="auto"/>
                      <w:kern w:val="0"/>
                    </w:rPr>
                  </w:pPr>
                  <w:r>
                    <w:rPr>
                      <w:b/>
                      <w:bCs/>
                      <w:color w:val="auto"/>
                      <w:kern w:val="0"/>
                    </w:rPr>
                    <w:t>∑Q值</w:t>
                  </w:r>
                </w:p>
              </w:tc>
              <w:tc>
                <w:tcPr>
                  <w:tcW w:w="740" w:type="pct"/>
                  <w:tcBorders>
                    <w:tl2br w:val="nil"/>
                    <w:tr2bl w:val="nil"/>
                  </w:tcBorders>
                  <w:vAlign w:val="center"/>
                </w:tcPr>
                <w:p w14:paraId="1A784051">
                  <w:pPr>
                    <w:keepNext w:val="0"/>
                    <w:keepLines w:val="0"/>
                    <w:pageBreakBefore w:val="0"/>
                    <w:widowControl/>
                    <w:kinsoku/>
                    <w:wordWrap/>
                    <w:overflowPunct/>
                    <w:topLinePunct w:val="0"/>
                    <w:autoSpaceDE/>
                    <w:autoSpaceDN/>
                    <w:bidi w:val="0"/>
                    <w:adjustRightInd w:val="0"/>
                    <w:snapToGrid w:val="0"/>
                    <w:jc w:val="center"/>
                    <w:textAlignment w:val="center"/>
                    <w:rPr>
                      <w:rFonts w:hint="default" w:eastAsia="宋体"/>
                      <w:color w:val="auto"/>
                      <w:kern w:val="0"/>
                      <w:lang w:val="en-US" w:eastAsia="zh-CN"/>
                    </w:rPr>
                  </w:pPr>
                  <w:r>
                    <w:rPr>
                      <w:rFonts w:hint="eastAsia"/>
                      <w:color w:val="auto"/>
                      <w:kern w:val="0"/>
                      <w:lang w:val="en-US" w:eastAsia="zh-CN"/>
                    </w:rPr>
                    <w:t>0.229</w:t>
                  </w:r>
                </w:p>
              </w:tc>
              <w:tc>
                <w:tcPr>
                  <w:tcW w:w="1840" w:type="pct"/>
                  <w:gridSpan w:val="2"/>
                  <w:tcBorders>
                    <w:tl2br w:val="nil"/>
                    <w:tr2bl w:val="nil"/>
                  </w:tcBorders>
                  <w:vAlign w:val="center"/>
                </w:tcPr>
                <w:p w14:paraId="2FC68206">
                  <w:pPr>
                    <w:keepNext w:val="0"/>
                    <w:keepLines w:val="0"/>
                    <w:pageBreakBefore w:val="0"/>
                    <w:tabs>
                      <w:tab w:val="left" w:pos="960"/>
                    </w:tabs>
                    <w:kinsoku/>
                    <w:wordWrap/>
                    <w:overflowPunct/>
                    <w:topLinePunct w:val="0"/>
                    <w:autoSpaceDE/>
                    <w:autoSpaceDN/>
                    <w:bidi w:val="0"/>
                    <w:adjustRightInd w:val="0"/>
                    <w:snapToGrid w:val="0"/>
                    <w:jc w:val="center"/>
                    <w:rPr>
                      <w:bCs/>
                      <w:color w:val="auto"/>
                      <w:kern w:val="0"/>
                    </w:rPr>
                  </w:pPr>
                  <w:r>
                    <w:rPr>
                      <w:bCs/>
                      <w:color w:val="auto"/>
                      <w:kern w:val="0"/>
                    </w:rPr>
                    <w:t>/</w:t>
                  </w:r>
                </w:p>
              </w:tc>
            </w:tr>
          </w:tbl>
          <w:p w14:paraId="38EEBB7F">
            <w:pPr>
              <w:pStyle w:val="24"/>
              <w:adjustRightInd w:val="0"/>
              <w:snapToGrid w:val="0"/>
              <w:spacing w:after="0" w:line="360" w:lineRule="auto"/>
              <w:ind w:left="0" w:leftChars="0" w:firstLine="420" w:firstLineChars="200"/>
              <w:rPr>
                <w:color w:val="auto"/>
                <w:sz w:val="21"/>
                <w:szCs w:val="21"/>
              </w:rPr>
            </w:pPr>
            <w:r>
              <w:rPr>
                <w:color w:val="auto"/>
                <w:sz w:val="21"/>
                <w:szCs w:val="21"/>
              </w:rPr>
              <w:t>由上表可知</w:t>
            </w:r>
            <w:r>
              <w:rPr>
                <w:bCs/>
                <w:color w:val="auto"/>
                <w:sz w:val="21"/>
                <w:szCs w:val="21"/>
              </w:rPr>
              <w:t>Q＜1，本项目建成后全厂环境风险潜势为Ⅰ</w:t>
            </w:r>
            <w:r>
              <w:rPr>
                <w:color w:val="auto"/>
                <w:sz w:val="21"/>
                <w:szCs w:val="21"/>
              </w:rPr>
              <w:t>。</w:t>
            </w:r>
          </w:p>
          <w:p w14:paraId="186ECA73">
            <w:pPr>
              <w:pStyle w:val="24"/>
              <w:adjustRightInd w:val="0"/>
              <w:snapToGrid w:val="0"/>
              <w:spacing w:after="0" w:line="360" w:lineRule="auto"/>
              <w:ind w:left="0" w:leftChars="0" w:firstLine="420" w:firstLineChars="200"/>
              <w:rPr>
                <w:color w:val="auto"/>
                <w:sz w:val="21"/>
                <w:szCs w:val="21"/>
              </w:rPr>
            </w:pPr>
            <w:r>
              <w:rPr>
                <w:rFonts w:hint="eastAsia"/>
                <w:color w:val="auto"/>
                <w:sz w:val="21"/>
                <w:szCs w:val="21"/>
              </w:rPr>
              <w:fldChar w:fldCharType="begin"/>
            </w:r>
            <w:r>
              <w:rPr>
                <w:rFonts w:hint="eastAsia"/>
                <w:color w:val="auto"/>
                <w:sz w:val="21"/>
                <w:szCs w:val="21"/>
              </w:rPr>
              <w:instrText xml:space="preserve"> = 4 \* GB3 \* MERGEFORMAT </w:instrText>
            </w:r>
            <w:r>
              <w:rPr>
                <w:rFonts w:hint="eastAsia"/>
                <w:color w:val="auto"/>
                <w:sz w:val="21"/>
                <w:szCs w:val="21"/>
              </w:rPr>
              <w:fldChar w:fldCharType="separate"/>
            </w:r>
            <w:r>
              <w:rPr>
                <w:color w:val="auto"/>
                <w:sz w:val="21"/>
                <w:szCs w:val="21"/>
              </w:rPr>
              <w:t>④</w:t>
            </w:r>
            <w:r>
              <w:rPr>
                <w:rFonts w:hint="eastAsia"/>
                <w:color w:val="auto"/>
                <w:sz w:val="21"/>
                <w:szCs w:val="21"/>
              </w:rPr>
              <w:fldChar w:fldCharType="end"/>
            </w:r>
            <w:r>
              <w:rPr>
                <w:color w:val="auto"/>
                <w:sz w:val="21"/>
                <w:szCs w:val="21"/>
              </w:rPr>
              <w:t>评价等级判定</w:t>
            </w:r>
          </w:p>
          <w:p w14:paraId="46D8AD4C">
            <w:pPr>
              <w:adjustRightInd w:val="0"/>
              <w:snapToGrid w:val="0"/>
              <w:spacing w:line="360" w:lineRule="auto"/>
              <w:ind w:firstLine="420" w:firstLineChars="200"/>
              <w:rPr>
                <w:color w:val="auto"/>
                <w:kern w:val="0"/>
              </w:rPr>
            </w:pPr>
            <w:r>
              <w:rPr>
                <w:color w:val="auto"/>
                <w:kern w:val="0"/>
              </w:rPr>
              <w:t>根据</w:t>
            </w:r>
            <w:r>
              <w:rPr>
                <w:bCs/>
                <w:color w:val="auto"/>
                <w:kern w:val="0"/>
              </w:rPr>
              <w:t>《建设项目环境风险评价技术导则》（HJ/T169-2018），全厂环境风险潜势为Ⅰ，</w:t>
            </w:r>
            <w:r>
              <w:rPr>
                <w:color w:val="auto"/>
                <w:kern w:val="0"/>
              </w:rPr>
              <w:t>评价等级为简单分析。</w:t>
            </w:r>
          </w:p>
          <w:p w14:paraId="1B2637AC">
            <w:pPr>
              <w:jc w:val="center"/>
              <w:rPr>
                <w:b/>
                <w:color w:val="auto"/>
                <w:kern w:val="0"/>
              </w:rPr>
            </w:pPr>
            <w:r>
              <w:rPr>
                <w:b/>
                <w:color w:val="auto"/>
                <w:kern w:val="0"/>
              </w:rPr>
              <w:t>表4</w:t>
            </w:r>
            <w:r>
              <w:rPr>
                <w:rFonts w:hint="eastAsia"/>
                <w:b/>
                <w:color w:val="auto"/>
                <w:kern w:val="0"/>
              </w:rPr>
              <w:t>-</w:t>
            </w:r>
            <w:r>
              <w:rPr>
                <w:rFonts w:hint="eastAsia"/>
                <w:b/>
                <w:color w:val="auto"/>
                <w:kern w:val="0"/>
                <w:lang w:val="en-US" w:eastAsia="zh-CN"/>
              </w:rPr>
              <w:t>29</w:t>
            </w:r>
            <w:r>
              <w:rPr>
                <w:rFonts w:hint="eastAsia"/>
                <w:b/>
                <w:color w:val="auto"/>
                <w:kern w:val="0"/>
              </w:rPr>
              <w:t xml:space="preserve">   </w:t>
            </w:r>
            <w:r>
              <w:rPr>
                <w:b/>
                <w:color w:val="auto"/>
                <w:kern w:val="0"/>
              </w:rPr>
              <w:t>风险评价工作等级划分</w:t>
            </w:r>
          </w:p>
          <w:tbl>
            <w:tblPr>
              <w:tblStyle w:val="59"/>
              <w:tblW w:w="5000" w:type="pct"/>
              <w:tblInd w:w="0"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
            <w:tblGrid>
              <w:gridCol w:w="2937"/>
              <w:gridCol w:w="1446"/>
              <w:gridCol w:w="1361"/>
              <w:gridCol w:w="1474"/>
              <w:gridCol w:w="1643"/>
            </w:tblGrid>
            <w:tr w14:paraId="5E62721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112" w:hRule="atLeast"/>
              </w:trPr>
              <w:tc>
                <w:tcPr>
                  <w:tcW w:w="1657" w:type="pct"/>
                  <w:vAlign w:val="center"/>
                </w:tcPr>
                <w:p w14:paraId="642690A6">
                  <w:pPr>
                    <w:jc w:val="center"/>
                    <w:rPr>
                      <w:b/>
                      <w:color w:val="auto"/>
                      <w:kern w:val="0"/>
                    </w:rPr>
                  </w:pPr>
                  <w:r>
                    <w:rPr>
                      <w:b/>
                      <w:color w:val="auto"/>
                      <w:kern w:val="0"/>
                    </w:rPr>
                    <w:t>环境风险潜势</w:t>
                  </w:r>
                </w:p>
              </w:tc>
              <w:tc>
                <w:tcPr>
                  <w:tcW w:w="816" w:type="pct"/>
                  <w:vAlign w:val="center"/>
                </w:tcPr>
                <w:p w14:paraId="2DEAFE93">
                  <w:pPr>
                    <w:jc w:val="center"/>
                    <w:rPr>
                      <w:b/>
                      <w:color w:val="auto"/>
                      <w:kern w:val="0"/>
                    </w:rPr>
                  </w:pPr>
                  <w:r>
                    <w:rPr>
                      <w:b/>
                      <w:color w:val="auto"/>
                      <w:kern w:val="0"/>
                    </w:rPr>
                    <w:t>Ⅳ、Ⅳ</w:t>
                  </w:r>
                  <w:r>
                    <w:rPr>
                      <w:b/>
                      <w:color w:val="auto"/>
                      <w:kern w:val="0"/>
                      <w:vertAlign w:val="superscript"/>
                    </w:rPr>
                    <w:t>+</w:t>
                  </w:r>
                </w:p>
              </w:tc>
              <w:tc>
                <w:tcPr>
                  <w:tcW w:w="768" w:type="pct"/>
                  <w:vAlign w:val="center"/>
                </w:tcPr>
                <w:p w14:paraId="431997DE">
                  <w:pPr>
                    <w:jc w:val="center"/>
                    <w:rPr>
                      <w:b/>
                      <w:color w:val="auto"/>
                      <w:kern w:val="0"/>
                    </w:rPr>
                  </w:pPr>
                  <w:r>
                    <w:rPr>
                      <w:b/>
                      <w:color w:val="auto"/>
                      <w:kern w:val="0"/>
                    </w:rPr>
                    <w:t>Ⅲ</w:t>
                  </w:r>
                </w:p>
              </w:tc>
              <w:tc>
                <w:tcPr>
                  <w:tcW w:w="832" w:type="pct"/>
                  <w:vAlign w:val="center"/>
                </w:tcPr>
                <w:p w14:paraId="0EDEE990">
                  <w:pPr>
                    <w:jc w:val="center"/>
                    <w:rPr>
                      <w:b/>
                      <w:color w:val="auto"/>
                      <w:kern w:val="0"/>
                    </w:rPr>
                  </w:pPr>
                  <w:r>
                    <w:rPr>
                      <w:b/>
                      <w:color w:val="auto"/>
                      <w:kern w:val="0"/>
                    </w:rPr>
                    <w:t>Ⅱ</w:t>
                  </w:r>
                </w:p>
              </w:tc>
              <w:tc>
                <w:tcPr>
                  <w:tcW w:w="927" w:type="pct"/>
                  <w:vAlign w:val="center"/>
                </w:tcPr>
                <w:p w14:paraId="6A00E486">
                  <w:pPr>
                    <w:jc w:val="center"/>
                    <w:rPr>
                      <w:b/>
                      <w:color w:val="auto"/>
                      <w:kern w:val="0"/>
                    </w:rPr>
                  </w:pPr>
                  <w:r>
                    <w:rPr>
                      <w:b/>
                      <w:color w:val="auto"/>
                      <w:kern w:val="0"/>
                    </w:rPr>
                    <w:t>Ⅰ</w:t>
                  </w:r>
                </w:p>
              </w:tc>
            </w:tr>
            <w:tr w14:paraId="567FD9F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c>
                <w:tcPr>
                  <w:tcW w:w="1657" w:type="pct"/>
                  <w:shd w:val="clear" w:color="auto" w:fill="auto"/>
                  <w:vAlign w:val="center"/>
                </w:tcPr>
                <w:p w14:paraId="02C0F6D7">
                  <w:pPr>
                    <w:jc w:val="center"/>
                    <w:rPr>
                      <w:color w:val="auto"/>
                      <w:kern w:val="0"/>
                    </w:rPr>
                  </w:pPr>
                  <w:r>
                    <w:rPr>
                      <w:color w:val="auto"/>
                      <w:kern w:val="0"/>
                    </w:rPr>
                    <w:t>评价工作等级</w:t>
                  </w:r>
                </w:p>
              </w:tc>
              <w:tc>
                <w:tcPr>
                  <w:tcW w:w="816" w:type="pct"/>
                  <w:shd w:val="clear" w:color="auto" w:fill="auto"/>
                  <w:vAlign w:val="center"/>
                </w:tcPr>
                <w:p w14:paraId="28E00F3D">
                  <w:pPr>
                    <w:jc w:val="center"/>
                    <w:rPr>
                      <w:color w:val="auto"/>
                      <w:kern w:val="0"/>
                    </w:rPr>
                  </w:pPr>
                  <w:r>
                    <w:rPr>
                      <w:color w:val="auto"/>
                      <w:kern w:val="0"/>
                    </w:rPr>
                    <w:t>一</w:t>
                  </w:r>
                </w:p>
              </w:tc>
              <w:tc>
                <w:tcPr>
                  <w:tcW w:w="768" w:type="pct"/>
                  <w:shd w:val="clear" w:color="auto" w:fill="auto"/>
                  <w:vAlign w:val="center"/>
                </w:tcPr>
                <w:p w14:paraId="25ED367B">
                  <w:pPr>
                    <w:jc w:val="center"/>
                    <w:rPr>
                      <w:color w:val="auto"/>
                      <w:kern w:val="0"/>
                    </w:rPr>
                  </w:pPr>
                  <w:r>
                    <w:rPr>
                      <w:color w:val="auto"/>
                      <w:kern w:val="0"/>
                    </w:rPr>
                    <w:t>二</w:t>
                  </w:r>
                </w:p>
              </w:tc>
              <w:tc>
                <w:tcPr>
                  <w:tcW w:w="832" w:type="pct"/>
                  <w:shd w:val="clear" w:color="auto" w:fill="auto"/>
                  <w:vAlign w:val="center"/>
                </w:tcPr>
                <w:p w14:paraId="11ED7633">
                  <w:pPr>
                    <w:jc w:val="center"/>
                    <w:rPr>
                      <w:color w:val="auto"/>
                      <w:kern w:val="0"/>
                    </w:rPr>
                  </w:pPr>
                  <w:r>
                    <w:rPr>
                      <w:color w:val="auto"/>
                      <w:kern w:val="0"/>
                    </w:rPr>
                    <w:t>三</w:t>
                  </w:r>
                </w:p>
              </w:tc>
              <w:tc>
                <w:tcPr>
                  <w:tcW w:w="927" w:type="pct"/>
                  <w:shd w:val="clear" w:color="auto" w:fill="FFC000"/>
                  <w:vAlign w:val="center"/>
                </w:tcPr>
                <w:p w14:paraId="1D838CA9">
                  <w:pPr>
                    <w:jc w:val="center"/>
                    <w:rPr>
                      <w:color w:val="auto"/>
                      <w:kern w:val="0"/>
                    </w:rPr>
                  </w:pPr>
                  <w:r>
                    <w:rPr>
                      <w:color w:val="auto"/>
                      <w:kern w:val="0"/>
                    </w:rPr>
                    <w:t>简单分析</w:t>
                  </w:r>
                  <w:r>
                    <w:rPr>
                      <w:color w:val="auto"/>
                      <w:kern w:val="0"/>
                      <w:vertAlign w:val="superscript"/>
                    </w:rPr>
                    <w:t>a</w:t>
                  </w:r>
                </w:p>
              </w:tc>
            </w:tr>
            <w:tr w14:paraId="28DFA924">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c>
                <w:tcPr>
                  <w:tcW w:w="5000" w:type="pct"/>
                  <w:gridSpan w:val="5"/>
                  <w:vAlign w:val="center"/>
                </w:tcPr>
                <w:p w14:paraId="75D5A541">
                  <w:pPr>
                    <w:rPr>
                      <w:color w:val="auto"/>
                      <w:kern w:val="0"/>
                    </w:rPr>
                  </w:pPr>
                  <w:r>
                    <w:rPr>
                      <w:color w:val="auto"/>
                      <w:kern w:val="0"/>
                    </w:rPr>
                    <w:t>a是对于详细评价工作内容而言，在描述危险物质、环境影响途径、环境危害后果、风险防范措施等方面给出定性的说明。见附录A。</w:t>
                  </w:r>
                </w:p>
              </w:tc>
            </w:tr>
          </w:tbl>
          <w:p w14:paraId="45D51D60">
            <w:pPr>
              <w:adjustRightInd w:val="0"/>
              <w:snapToGrid w:val="0"/>
              <w:spacing w:line="360" w:lineRule="auto"/>
              <w:ind w:firstLine="420" w:firstLineChars="200"/>
              <w:rPr>
                <w:bCs/>
                <w:color w:val="auto"/>
                <w:kern w:val="0"/>
              </w:rPr>
            </w:pPr>
            <w:r>
              <w:rPr>
                <w:rFonts w:hint="eastAsia"/>
                <w:bCs/>
                <w:color w:val="auto"/>
                <w:kern w:val="0"/>
              </w:rPr>
              <w:fldChar w:fldCharType="begin"/>
            </w:r>
            <w:r>
              <w:rPr>
                <w:rFonts w:hint="eastAsia"/>
                <w:bCs/>
                <w:color w:val="auto"/>
                <w:kern w:val="0"/>
              </w:rPr>
              <w:instrText xml:space="preserve"> = 5 \* GB3 \* MERGEFORMAT </w:instrText>
            </w:r>
            <w:r>
              <w:rPr>
                <w:rFonts w:hint="eastAsia"/>
                <w:bCs/>
                <w:color w:val="auto"/>
                <w:kern w:val="0"/>
              </w:rPr>
              <w:fldChar w:fldCharType="separate"/>
            </w:r>
            <w:r>
              <w:rPr>
                <w:color w:val="auto"/>
                <w:kern w:val="0"/>
              </w:rPr>
              <w:t>⑤</w:t>
            </w:r>
            <w:r>
              <w:rPr>
                <w:rFonts w:hint="eastAsia"/>
                <w:bCs/>
                <w:color w:val="auto"/>
                <w:kern w:val="0"/>
              </w:rPr>
              <w:fldChar w:fldCharType="end"/>
            </w:r>
            <w:r>
              <w:rPr>
                <w:rFonts w:hint="eastAsia"/>
                <w:bCs/>
                <w:color w:val="auto"/>
                <w:kern w:val="0"/>
              </w:rPr>
              <w:t>突发环境事件情景源强分析</w:t>
            </w:r>
          </w:p>
          <w:p w14:paraId="6A9C3C10">
            <w:pPr>
              <w:pStyle w:val="2"/>
              <w:widowControl w:val="0"/>
              <w:autoSpaceDE w:val="0"/>
              <w:autoSpaceDN w:val="0"/>
              <w:ind w:firstLine="420" w:firstLineChars="200"/>
              <w:rPr>
                <w:color w:val="auto"/>
                <w:sz w:val="21"/>
                <w:szCs w:val="21"/>
              </w:rPr>
            </w:pPr>
            <w:r>
              <w:rPr>
                <w:rFonts w:hint="eastAsia"/>
                <w:color w:val="auto"/>
                <w:sz w:val="21"/>
                <w:szCs w:val="21"/>
              </w:rPr>
              <w:t>1）</w:t>
            </w:r>
            <w:r>
              <w:rPr>
                <w:color w:val="auto"/>
                <w:sz w:val="21"/>
                <w:szCs w:val="21"/>
              </w:rPr>
              <w:t>物料泄漏事故源强</w:t>
            </w:r>
          </w:p>
          <w:p w14:paraId="4BA41B34">
            <w:pPr>
              <w:pStyle w:val="2"/>
              <w:widowControl w:val="0"/>
              <w:ind w:firstLine="420" w:firstLineChars="200"/>
              <w:rPr>
                <w:color w:val="auto"/>
                <w:sz w:val="21"/>
                <w:szCs w:val="21"/>
              </w:rPr>
            </w:pPr>
            <w:r>
              <w:rPr>
                <w:color w:val="auto"/>
                <w:sz w:val="21"/>
                <w:szCs w:val="21"/>
              </w:rPr>
              <w:t>生产过程中涉及到的</w:t>
            </w:r>
            <w:r>
              <w:rPr>
                <w:rFonts w:hint="eastAsia"/>
                <w:color w:val="auto"/>
                <w:sz w:val="21"/>
                <w:szCs w:val="21"/>
                <w:lang w:val="en-US" w:eastAsia="zh-CN"/>
              </w:rPr>
              <w:t>涂料、固化剂、稀释剂、白乳胶、格丽斯擦色剂</w:t>
            </w:r>
            <w:r>
              <w:rPr>
                <w:rFonts w:hint="eastAsia"/>
                <w:color w:val="auto"/>
                <w:sz w:val="21"/>
                <w:szCs w:val="21"/>
              </w:rPr>
              <w:t>等</w:t>
            </w:r>
            <w:r>
              <w:rPr>
                <w:color w:val="auto"/>
                <w:sz w:val="21"/>
                <w:szCs w:val="21"/>
              </w:rPr>
              <w:t>发生泄漏对附近地表水环境有一定的影响</w:t>
            </w:r>
            <w:r>
              <w:rPr>
                <w:rFonts w:hint="eastAsia"/>
                <w:color w:val="auto"/>
                <w:sz w:val="21"/>
                <w:szCs w:val="21"/>
              </w:rPr>
              <w:t>。</w:t>
            </w:r>
          </w:p>
          <w:p w14:paraId="7D9337CD">
            <w:pPr>
              <w:pStyle w:val="2"/>
              <w:widowControl w:val="0"/>
              <w:autoSpaceDE w:val="0"/>
              <w:autoSpaceDN w:val="0"/>
              <w:ind w:firstLine="420" w:firstLineChars="200"/>
              <w:rPr>
                <w:color w:val="auto"/>
                <w:sz w:val="21"/>
                <w:szCs w:val="21"/>
              </w:rPr>
            </w:pPr>
            <w:r>
              <w:rPr>
                <w:rFonts w:hint="eastAsia"/>
                <w:color w:val="auto"/>
                <w:sz w:val="21"/>
                <w:szCs w:val="21"/>
              </w:rPr>
              <w:t>本项目</w:t>
            </w:r>
            <w:r>
              <w:rPr>
                <w:rFonts w:hint="eastAsia"/>
                <w:color w:val="auto"/>
                <w:sz w:val="21"/>
                <w:szCs w:val="21"/>
                <w:lang w:val="en-US" w:eastAsia="zh-CN"/>
              </w:rPr>
              <w:t>涂料、固化剂、稀释剂、白乳胶、格丽斯擦色剂</w:t>
            </w:r>
            <w:r>
              <w:rPr>
                <w:rFonts w:hint="eastAsia"/>
                <w:color w:val="auto"/>
                <w:sz w:val="21"/>
                <w:szCs w:val="21"/>
              </w:rPr>
              <w:t>暂存于车间仓库，桶底部设有托盘，</w:t>
            </w:r>
            <w:r>
              <w:rPr>
                <w:rFonts w:hint="eastAsia"/>
                <w:color w:val="auto"/>
                <w:sz w:val="21"/>
                <w:szCs w:val="21"/>
                <w:lang w:val="en-US" w:eastAsia="zh-CN"/>
              </w:rPr>
              <w:t>涂料、固化剂、稀释剂、白乳胶、格丽斯擦色剂</w:t>
            </w:r>
            <w:r>
              <w:rPr>
                <w:rFonts w:hint="eastAsia"/>
                <w:color w:val="auto"/>
                <w:sz w:val="21"/>
                <w:szCs w:val="21"/>
              </w:rPr>
              <w:t>包装规格为</w:t>
            </w:r>
            <w:r>
              <w:rPr>
                <w:rFonts w:hint="eastAsia"/>
                <w:color w:val="auto"/>
                <w:sz w:val="21"/>
                <w:szCs w:val="21"/>
                <w:lang w:val="en-US" w:eastAsia="zh-CN"/>
              </w:rPr>
              <w:t>25</w:t>
            </w:r>
            <w:r>
              <w:rPr>
                <w:rFonts w:hint="eastAsia"/>
                <w:color w:val="auto"/>
                <w:sz w:val="21"/>
                <w:szCs w:val="21"/>
              </w:rPr>
              <w:t>kg/桶、</w:t>
            </w:r>
            <w:r>
              <w:rPr>
                <w:rFonts w:hint="eastAsia"/>
                <w:color w:val="auto"/>
                <w:sz w:val="21"/>
                <w:szCs w:val="21"/>
                <w:lang w:val="en-US" w:eastAsia="zh-CN"/>
              </w:rPr>
              <w:t>15kg/桶</w:t>
            </w:r>
            <w:r>
              <w:rPr>
                <w:rFonts w:hint="eastAsia"/>
                <w:color w:val="auto"/>
                <w:sz w:val="21"/>
                <w:szCs w:val="21"/>
              </w:rPr>
              <w:t>，暂存量较小，且仓库地面作防渗处理，因此即便发生泄漏，也可全部收集于托盘中，</w:t>
            </w:r>
            <w:r>
              <w:rPr>
                <w:color w:val="auto"/>
                <w:sz w:val="21"/>
                <w:szCs w:val="21"/>
              </w:rPr>
              <w:t>不会扩散至厂区或厂外环境。</w:t>
            </w:r>
          </w:p>
          <w:p w14:paraId="3AA138BF">
            <w:pPr>
              <w:pStyle w:val="2"/>
              <w:widowControl w:val="0"/>
              <w:autoSpaceDE w:val="0"/>
              <w:autoSpaceDN w:val="0"/>
              <w:ind w:firstLine="420" w:firstLineChars="200"/>
              <w:rPr>
                <w:color w:val="auto"/>
                <w:sz w:val="21"/>
                <w:szCs w:val="21"/>
              </w:rPr>
            </w:pPr>
            <w:r>
              <w:rPr>
                <w:rFonts w:hint="eastAsia"/>
                <w:color w:val="auto"/>
                <w:sz w:val="21"/>
                <w:szCs w:val="21"/>
              </w:rPr>
              <w:t>2）</w:t>
            </w:r>
            <w:r>
              <w:rPr>
                <w:color w:val="auto"/>
                <w:sz w:val="21"/>
                <w:szCs w:val="21"/>
              </w:rPr>
              <w:t>火灾爆炸事故源强</w:t>
            </w:r>
          </w:p>
          <w:p w14:paraId="215AB6CE">
            <w:pPr>
              <w:adjustRightInd w:val="0"/>
              <w:snapToGrid w:val="0"/>
              <w:spacing w:line="360" w:lineRule="auto"/>
              <w:ind w:firstLine="420" w:firstLineChars="200"/>
              <w:rPr>
                <w:color w:val="auto"/>
                <w:kern w:val="0"/>
              </w:rPr>
            </w:pPr>
            <w:r>
              <w:rPr>
                <w:color w:val="auto"/>
                <w:kern w:val="0"/>
              </w:rPr>
              <w:t>火灾、爆炸会产生次生或次生灾害，本次评估主要考虑火灾爆炸后衍生的废气污染物及消防尾水的环境影响。</w:t>
            </w:r>
          </w:p>
          <w:p w14:paraId="2C140414">
            <w:pPr>
              <w:pStyle w:val="2"/>
              <w:widowControl w:val="0"/>
              <w:autoSpaceDE w:val="0"/>
              <w:autoSpaceDN w:val="0"/>
              <w:ind w:firstLine="420" w:firstLineChars="200"/>
              <w:rPr>
                <w:color w:val="auto"/>
                <w:sz w:val="21"/>
                <w:szCs w:val="21"/>
              </w:rPr>
            </w:pPr>
            <w:r>
              <w:rPr>
                <w:rFonts w:hint="eastAsia"/>
                <w:color w:val="auto"/>
                <w:sz w:val="21"/>
                <w:szCs w:val="21"/>
              </w:rPr>
              <w:t>A、</w:t>
            </w:r>
            <w:r>
              <w:rPr>
                <w:color w:val="auto"/>
                <w:sz w:val="21"/>
                <w:szCs w:val="21"/>
              </w:rPr>
              <w:t>火灾爆炸伴生/次生的废气污染物</w:t>
            </w:r>
          </w:p>
          <w:p w14:paraId="0695C1C9">
            <w:pPr>
              <w:pStyle w:val="2"/>
              <w:widowControl w:val="0"/>
              <w:ind w:firstLine="420" w:firstLineChars="200"/>
              <w:rPr>
                <w:color w:val="auto"/>
                <w:sz w:val="21"/>
                <w:szCs w:val="21"/>
              </w:rPr>
            </w:pPr>
            <w:r>
              <w:rPr>
                <w:color w:val="auto"/>
                <w:sz w:val="21"/>
                <w:szCs w:val="21"/>
              </w:rPr>
              <w:t>建设单位可能发生的火灾爆炸环境事件主要是</w:t>
            </w:r>
            <w:r>
              <w:rPr>
                <w:rFonts w:hint="eastAsia"/>
                <w:color w:val="auto"/>
                <w:sz w:val="21"/>
                <w:szCs w:val="21"/>
                <w:lang w:val="en-US" w:eastAsia="zh-CN"/>
              </w:rPr>
              <w:t>涂料、固化剂、稀释剂、白乳胶、格丽斯擦色剂</w:t>
            </w:r>
            <w:r>
              <w:rPr>
                <w:color w:val="auto"/>
                <w:sz w:val="21"/>
                <w:szCs w:val="21"/>
              </w:rPr>
              <w:t>遇到明火或者高温后引发的火灾事故及次生的大气污染。</w:t>
            </w:r>
            <w:r>
              <w:rPr>
                <w:rFonts w:hint="eastAsia"/>
                <w:color w:val="auto"/>
                <w:sz w:val="21"/>
                <w:szCs w:val="21"/>
              </w:rPr>
              <w:t>项目</w:t>
            </w:r>
            <w:r>
              <w:rPr>
                <w:rFonts w:hint="eastAsia"/>
                <w:color w:val="auto"/>
                <w:sz w:val="21"/>
                <w:szCs w:val="21"/>
                <w:lang w:val="en-US" w:eastAsia="zh-CN"/>
              </w:rPr>
              <w:t>涂料、固化剂、稀释剂、白乳胶、格丽斯擦色剂</w:t>
            </w:r>
            <w:r>
              <w:rPr>
                <w:rFonts w:hint="eastAsia"/>
                <w:color w:val="auto"/>
                <w:sz w:val="21"/>
                <w:szCs w:val="21"/>
              </w:rPr>
              <w:t>暂存于仓库中，</w:t>
            </w:r>
            <w:r>
              <w:rPr>
                <w:color w:val="auto"/>
                <w:sz w:val="21"/>
                <w:szCs w:val="21"/>
              </w:rPr>
              <w:t>与其他功能区隔断，并严禁烟火，加强日常监控及管理，因此发生火灾爆炸的概率较低。</w:t>
            </w:r>
          </w:p>
          <w:p w14:paraId="2FA2D08E">
            <w:pPr>
              <w:pStyle w:val="27"/>
              <w:spacing w:line="360" w:lineRule="auto"/>
              <w:ind w:left="0" w:leftChars="0" w:right="0" w:rightChars="0" w:firstLine="422"/>
              <w:rPr>
                <w:b/>
                <w:bCs/>
                <w:color w:val="auto"/>
                <w:kern w:val="0"/>
                <w:sz w:val="21"/>
              </w:rPr>
            </w:pPr>
            <w:r>
              <w:rPr>
                <w:b/>
                <w:bCs/>
                <w:color w:val="auto"/>
                <w:kern w:val="0"/>
                <w:sz w:val="21"/>
              </w:rPr>
              <w:t>（2）环境风险防范措施及应急要求</w:t>
            </w:r>
          </w:p>
          <w:p w14:paraId="4971F006">
            <w:pPr>
              <w:pStyle w:val="27"/>
              <w:spacing w:line="360" w:lineRule="auto"/>
              <w:ind w:left="0" w:leftChars="0" w:right="0" w:rightChars="0" w:firstLine="422"/>
              <w:jc w:val="left"/>
              <w:rPr>
                <w:b/>
                <w:bCs/>
                <w:color w:val="auto"/>
                <w:kern w:val="0"/>
                <w:sz w:val="21"/>
              </w:rPr>
            </w:pPr>
            <w:r>
              <w:rPr>
                <w:rFonts w:hint="eastAsia"/>
                <w:b/>
                <w:bCs/>
                <w:color w:val="auto"/>
                <w:kern w:val="0"/>
                <w:sz w:val="21"/>
              </w:rPr>
              <w:fldChar w:fldCharType="begin"/>
            </w:r>
            <w:r>
              <w:rPr>
                <w:rFonts w:hint="eastAsia"/>
                <w:b/>
                <w:bCs/>
                <w:color w:val="auto"/>
                <w:kern w:val="0"/>
                <w:sz w:val="21"/>
              </w:rPr>
              <w:instrText xml:space="preserve"> = 1 \* GB3 \* MERGEFORMAT </w:instrText>
            </w:r>
            <w:r>
              <w:rPr>
                <w:rFonts w:hint="eastAsia"/>
                <w:b/>
                <w:bCs/>
                <w:color w:val="auto"/>
                <w:kern w:val="0"/>
                <w:sz w:val="21"/>
              </w:rPr>
              <w:fldChar w:fldCharType="separate"/>
            </w:r>
            <w:r>
              <w:rPr>
                <w:b/>
                <w:bCs/>
                <w:color w:val="auto"/>
                <w:kern w:val="0"/>
                <w:sz w:val="21"/>
              </w:rPr>
              <w:t>①</w:t>
            </w:r>
            <w:r>
              <w:rPr>
                <w:rFonts w:hint="eastAsia"/>
                <w:b/>
                <w:bCs/>
                <w:color w:val="auto"/>
                <w:kern w:val="0"/>
                <w:sz w:val="21"/>
              </w:rPr>
              <w:fldChar w:fldCharType="end"/>
            </w:r>
            <w:r>
              <w:rPr>
                <w:b/>
                <w:bCs/>
                <w:color w:val="auto"/>
                <w:kern w:val="0"/>
                <w:sz w:val="21"/>
              </w:rPr>
              <w:t>环境风险防范措施</w:t>
            </w:r>
          </w:p>
          <w:p w14:paraId="3E080CA0">
            <w:pPr>
              <w:adjustRightInd w:val="0"/>
              <w:snapToGrid w:val="0"/>
              <w:spacing w:line="360" w:lineRule="auto"/>
              <w:ind w:firstLine="422" w:firstLineChars="200"/>
              <w:rPr>
                <w:color w:val="auto"/>
                <w:kern w:val="0"/>
              </w:rPr>
            </w:pPr>
            <w:r>
              <w:rPr>
                <w:rFonts w:hint="eastAsia"/>
                <w:b/>
                <w:bCs/>
                <w:color w:val="auto"/>
                <w:kern w:val="0"/>
              </w:rPr>
              <w:t>1）</w:t>
            </w:r>
            <w:r>
              <w:rPr>
                <w:b/>
                <w:bCs/>
                <w:color w:val="auto"/>
                <w:kern w:val="0"/>
              </w:rPr>
              <w:t>泄漏事故风险防范措施</w:t>
            </w:r>
          </w:p>
          <w:p w14:paraId="5E33DFC3">
            <w:pPr>
              <w:adjustRightInd w:val="0"/>
              <w:snapToGrid w:val="0"/>
              <w:spacing w:line="360" w:lineRule="auto"/>
              <w:ind w:firstLine="420" w:firstLineChars="200"/>
              <w:rPr>
                <w:color w:val="auto"/>
                <w:kern w:val="0"/>
              </w:rPr>
            </w:pPr>
            <w:r>
              <w:rPr>
                <w:rFonts w:hint="eastAsia"/>
                <w:color w:val="auto"/>
                <w:kern w:val="0"/>
              </w:rPr>
              <w:t>本项目</w:t>
            </w:r>
            <w:r>
              <w:rPr>
                <w:rFonts w:hint="eastAsia"/>
                <w:color w:val="auto"/>
                <w:sz w:val="21"/>
                <w:szCs w:val="21"/>
                <w:lang w:val="en-US" w:eastAsia="zh-CN"/>
              </w:rPr>
              <w:t>涂料、固化剂、稀释剂、白乳胶、格丽斯擦色剂</w:t>
            </w:r>
            <w:r>
              <w:rPr>
                <w:rFonts w:hint="eastAsia"/>
                <w:color w:val="auto"/>
                <w:sz w:val="21"/>
                <w:szCs w:val="21"/>
              </w:rPr>
              <w:t>暂存于车间仓库</w:t>
            </w:r>
            <w:r>
              <w:rPr>
                <w:rFonts w:hint="eastAsia"/>
                <w:color w:val="auto"/>
                <w:kern w:val="0"/>
              </w:rPr>
              <w:t>，桶底部设有托盘，桶底部设有托盘，且仓库地面作防渗处理，同时加强车间巡检，关注各包装桶破损泄漏情况，及时更换破损包装桶，减少泄漏事故的发生</w:t>
            </w:r>
            <w:r>
              <w:rPr>
                <w:color w:val="auto"/>
                <w:kern w:val="0"/>
              </w:rPr>
              <w:t>。</w:t>
            </w:r>
          </w:p>
          <w:p w14:paraId="599942F7">
            <w:pPr>
              <w:widowControl/>
              <w:adjustRightInd w:val="0"/>
              <w:snapToGrid w:val="0"/>
              <w:spacing w:line="360" w:lineRule="auto"/>
              <w:ind w:firstLine="422" w:firstLineChars="200"/>
              <w:rPr>
                <w:b/>
                <w:bCs/>
                <w:color w:val="auto"/>
                <w:kern w:val="0"/>
              </w:rPr>
            </w:pPr>
            <w:r>
              <w:rPr>
                <w:rFonts w:hint="eastAsia"/>
                <w:b/>
                <w:bCs/>
                <w:color w:val="auto"/>
                <w:kern w:val="0"/>
              </w:rPr>
              <w:t>2）</w:t>
            </w:r>
            <w:r>
              <w:rPr>
                <w:b/>
                <w:bCs/>
                <w:color w:val="auto"/>
                <w:kern w:val="0"/>
              </w:rPr>
              <w:t>火灾爆炸事故风险防范措施</w:t>
            </w:r>
          </w:p>
          <w:p w14:paraId="0CABD5F6">
            <w:pPr>
              <w:pStyle w:val="2"/>
              <w:widowControl w:val="0"/>
              <w:ind w:firstLine="420" w:firstLineChars="200"/>
              <w:rPr>
                <w:color w:val="auto"/>
                <w:sz w:val="21"/>
                <w:szCs w:val="21"/>
              </w:rPr>
            </w:pPr>
            <w:r>
              <w:rPr>
                <w:color w:val="auto"/>
                <w:sz w:val="21"/>
                <w:szCs w:val="21"/>
              </w:rPr>
              <w:t>本项目</w:t>
            </w:r>
            <w:r>
              <w:rPr>
                <w:rFonts w:hint="eastAsia"/>
                <w:color w:val="auto"/>
                <w:sz w:val="21"/>
                <w:szCs w:val="21"/>
                <w:lang w:val="en-US" w:eastAsia="zh-CN"/>
              </w:rPr>
              <w:t>涂料、固化剂、稀释剂、白乳胶、格丽斯擦色剂</w:t>
            </w:r>
            <w:r>
              <w:rPr>
                <w:color w:val="auto"/>
                <w:sz w:val="21"/>
                <w:szCs w:val="21"/>
              </w:rPr>
              <w:t>具备可燃性。因此建设单位应当做好防范措施。为减少事故的发生和影响建设单位应采取以下措施。</w:t>
            </w:r>
          </w:p>
          <w:p w14:paraId="5926480D">
            <w:pPr>
              <w:pStyle w:val="2"/>
              <w:widowControl w:val="0"/>
              <w:ind w:firstLine="420" w:firstLineChars="200"/>
              <w:rPr>
                <w:color w:val="auto"/>
                <w:sz w:val="21"/>
                <w:szCs w:val="21"/>
              </w:rPr>
            </w:pPr>
            <w:r>
              <w:rPr>
                <w:color w:val="auto"/>
                <w:sz w:val="21"/>
                <w:szCs w:val="21"/>
              </w:rPr>
              <w:t>建设单位需建立健全安全操作规程及值勤制度，设置通讯、报警装置，并确保其处于完好状态；厂区配置合格的消防器材，并确保其处于完好状态。</w:t>
            </w:r>
          </w:p>
          <w:p w14:paraId="796112F9">
            <w:pPr>
              <w:pStyle w:val="2"/>
              <w:widowControl w:val="0"/>
              <w:ind w:firstLine="420" w:firstLineChars="200"/>
              <w:rPr>
                <w:color w:val="auto"/>
                <w:sz w:val="21"/>
                <w:szCs w:val="21"/>
              </w:rPr>
            </w:pPr>
            <w:r>
              <w:rPr>
                <w:color w:val="auto"/>
                <w:sz w:val="21"/>
                <w:szCs w:val="21"/>
              </w:rPr>
              <w:t>加强火源的管理，严禁烟火带入，对设备需进行维修焊接，应经安全部门确认、准许，并有记录。机动车在厂内行驶，须安装阻火器，必要设备安装防火、防爆装置。</w:t>
            </w:r>
          </w:p>
          <w:p w14:paraId="49C8687E">
            <w:pPr>
              <w:pStyle w:val="2"/>
              <w:widowControl w:val="0"/>
              <w:ind w:firstLine="420" w:firstLineChars="200"/>
              <w:rPr>
                <w:color w:val="auto"/>
                <w:sz w:val="21"/>
                <w:szCs w:val="21"/>
              </w:rPr>
            </w:pPr>
            <w:r>
              <w:rPr>
                <w:color w:val="auto"/>
                <w:sz w:val="21"/>
                <w:szCs w:val="21"/>
              </w:rPr>
              <w:t>设备的安全管理：定期对设备进行安全检测，检测内容、时间、人员应有记录保存。安全检测应根据设备的安全性、危险性设定检测频次。</w:t>
            </w:r>
          </w:p>
          <w:p w14:paraId="7A8A518A">
            <w:pPr>
              <w:adjustRightInd w:val="0"/>
              <w:snapToGrid w:val="0"/>
              <w:spacing w:line="360" w:lineRule="auto"/>
              <w:ind w:firstLine="422" w:firstLineChars="200"/>
              <w:rPr>
                <w:color w:val="auto"/>
                <w:kern w:val="0"/>
              </w:rPr>
            </w:pPr>
            <w:r>
              <w:rPr>
                <w:rFonts w:hint="eastAsia"/>
                <w:b/>
                <w:bCs/>
                <w:color w:val="auto"/>
                <w:kern w:val="0"/>
              </w:rPr>
              <w:t>3）</w:t>
            </w:r>
            <w:r>
              <w:rPr>
                <w:b/>
                <w:bCs/>
                <w:color w:val="auto"/>
                <w:kern w:val="0"/>
              </w:rPr>
              <w:t>危废仓库风险防范措施</w:t>
            </w:r>
          </w:p>
          <w:p w14:paraId="52508A95">
            <w:pPr>
              <w:adjustRightInd w:val="0"/>
              <w:snapToGrid w:val="0"/>
              <w:spacing w:line="360" w:lineRule="auto"/>
              <w:ind w:firstLine="420" w:firstLineChars="200"/>
              <w:rPr>
                <w:color w:val="auto"/>
                <w:kern w:val="0"/>
              </w:rPr>
            </w:pPr>
            <w:r>
              <w:rPr>
                <w:color w:val="auto"/>
                <w:kern w:val="0"/>
              </w:rPr>
              <w:t>危废暂存场地必须按《危险废物贮存污染控制标准》（GB18597-2023）的要求进行设置。危险废物分类存放到危废仓库，做好进出库管理，及时登记，账物相符，并做好贮存场所和危废包装的标识工作。危废堆场要</w:t>
            </w:r>
            <w:r>
              <w:rPr>
                <w:rFonts w:hint="eastAsia"/>
                <w:color w:val="auto"/>
                <w:kern w:val="0"/>
              </w:rPr>
              <w:t>采取必要的防风、防晒、防雨、防漏、防渗、防腐以及其他环境污染防治措施</w:t>
            </w:r>
            <w:r>
              <w:rPr>
                <w:color w:val="auto"/>
                <w:kern w:val="0"/>
              </w:rPr>
              <w:t>；地面与裙脚要用坚固、防渗的材料建造，建筑材料必须与危险废物相容。通道、出入口和通向消防设施的道路保持畅通，同时配置合格的消防器材，并确保其处于完好状态。</w:t>
            </w:r>
          </w:p>
          <w:p w14:paraId="475F3CFB">
            <w:pPr>
              <w:adjustRightInd w:val="0"/>
              <w:snapToGrid w:val="0"/>
              <w:spacing w:line="360" w:lineRule="auto"/>
              <w:ind w:firstLine="422" w:firstLineChars="200"/>
              <w:rPr>
                <w:color w:val="auto"/>
                <w:kern w:val="0"/>
              </w:rPr>
            </w:pPr>
            <w:r>
              <w:rPr>
                <w:rFonts w:hint="eastAsia"/>
                <w:b/>
                <w:bCs/>
                <w:color w:val="auto"/>
                <w:kern w:val="0"/>
              </w:rPr>
              <w:t>4）</w:t>
            </w:r>
            <w:r>
              <w:rPr>
                <w:b/>
                <w:bCs/>
                <w:color w:val="auto"/>
                <w:kern w:val="0"/>
              </w:rPr>
              <w:t>废气处理装置设备事故风险防范措施</w:t>
            </w:r>
          </w:p>
          <w:p w14:paraId="03AA8B3A">
            <w:pPr>
              <w:pStyle w:val="5"/>
              <w:adjustRightInd w:val="0"/>
              <w:snapToGrid w:val="0"/>
              <w:spacing w:line="360" w:lineRule="auto"/>
              <w:ind w:firstLineChars="200"/>
              <w:rPr>
                <w:bCs/>
                <w:color w:val="auto"/>
                <w:kern w:val="0"/>
                <w:szCs w:val="21"/>
              </w:rPr>
            </w:pPr>
            <w:r>
              <w:rPr>
                <w:bCs/>
                <w:color w:val="auto"/>
                <w:kern w:val="0"/>
                <w:szCs w:val="21"/>
              </w:rPr>
              <w:t>为减少事故的发生和影响建设单位应采取以下措施。</w:t>
            </w:r>
          </w:p>
          <w:p w14:paraId="48C80A08">
            <w:pPr>
              <w:pStyle w:val="5"/>
              <w:adjustRightInd w:val="0"/>
              <w:snapToGrid w:val="0"/>
              <w:spacing w:line="360" w:lineRule="auto"/>
              <w:ind w:firstLineChars="200"/>
              <w:rPr>
                <w:bCs/>
                <w:color w:val="auto"/>
                <w:kern w:val="0"/>
                <w:szCs w:val="21"/>
              </w:rPr>
            </w:pPr>
            <w:r>
              <w:rPr>
                <w:rFonts w:hint="eastAsia"/>
                <w:bCs/>
                <w:color w:val="auto"/>
                <w:kern w:val="0"/>
                <w:szCs w:val="21"/>
              </w:rPr>
              <w:t>A、</w:t>
            </w:r>
            <w:r>
              <w:rPr>
                <w:bCs/>
                <w:color w:val="auto"/>
                <w:kern w:val="0"/>
                <w:szCs w:val="21"/>
              </w:rPr>
              <w:t>建立严格的操作规程，实行目标责任制，保证环境保护设施的正常运行。</w:t>
            </w:r>
          </w:p>
          <w:p w14:paraId="07701B1F">
            <w:pPr>
              <w:pStyle w:val="5"/>
              <w:adjustRightInd w:val="0"/>
              <w:snapToGrid w:val="0"/>
              <w:spacing w:line="360" w:lineRule="auto"/>
              <w:ind w:firstLineChars="200"/>
              <w:rPr>
                <w:bCs/>
                <w:color w:val="auto"/>
                <w:kern w:val="0"/>
                <w:szCs w:val="21"/>
              </w:rPr>
            </w:pPr>
            <w:r>
              <w:rPr>
                <w:rFonts w:hint="eastAsia"/>
                <w:bCs/>
                <w:color w:val="auto"/>
                <w:kern w:val="0"/>
                <w:szCs w:val="21"/>
              </w:rPr>
              <w:t>B、</w:t>
            </w:r>
            <w:r>
              <w:rPr>
                <w:bCs/>
                <w:color w:val="auto"/>
                <w:kern w:val="0"/>
                <w:szCs w:val="21"/>
              </w:rPr>
              <w:t>对废气处理系统进行定期的监测和检修，如发生腐蚀、设备运行不稳定的情况，需对设备进行更换和修理，确保废气处理装置的正常运行。</w:t>
            </w:r>
          </w:p>
          <w:p w14:paraId="06FA3D43">
            <w:pPr>
              <w:pStyle w:val="5"/>
              <w:adjustRightInd w:val="0"/>
              <w:snapToGrid w:val="0"/>
              <w:spacing w:line="360" w:lineRule="auto"/>
              <w:ind w:firstLineChars="200"/>
              <w:rPr>
                <w:bCs/>
                <w:color w:val="auto"/>
                <w:kern w:val="0"/>
                <w:szCs w:val="21"/>
              </w:rPr>
            </w:pPr>
            <w:r>
              <w:rPr>
                <w:rFonts w:hint="eastAsia"/>
                <w:bCs/>
                <w:color w:val="auto"/>
                <w:kern w:val="0"/>
                <w:szCs w:val="21"/>
              </w:rPr>
              <w:t>C、</w:t>
            </w:r>
            <w:r>
              <w:rPr>
                <w:bCs/>
                <w:color w:val="auto"/>
                <w:kern w:val="0"/>
                <w:szCs w:val="21"/>
              </w:rPr>
              <w:t>二级活性炭吸附装置对废气进行处理后，应定期对二级活性炭进行更换，以便于废气的有效处理。</w:t>
            </w:r>
          </w:p>
          <w:p w14:paraId="019C9436">
            <w:pPr>
              <w:pStyle w:val="5"/>
              <w:adjustRightInd w:val="0"/>
              <w:snapToGrid w:val="0"/>
              <w:spacing w:line="360" w:lineRule="auto"/>
              <w:ind w:firstLineChars="200"/>
              <w:rPr>
                <w:bCs/>
                <w:color w:val="auto"/>
                <w:kern w:val="0"/>
                <w:szCs w:val="21"/>
              </w:rPr>
            </w:pPr>
            <w:r>
              <w:rPr>
                <w:rFonts w:hint="eastAsia"/>
                <w:bCs/>
                <w:color w:val="auto"/>
                <w:kern w:val="0"/>
                <w:szCs w:val="21"/>
              </w:rPr>
              <w:t>D、</w:t>
            </w:r>
            <w:r>
              <w:rPr>
                <w:bCs/>
                <w:color w:val="auto"/>
                <w:kern w:val="0"/>
                <w:szCs w:val="21"/>
              </w:rPr>
              <w:t>废气处理装置一旦出现故障，应立即关闭生产设备，避免废气未经处理进入大气环境。</w:t>
            </w:r>
          </w:p>
          <w:p w14:paraId="3AEA6C28">
            <w:pPr>
              <w:pStyle w:val="5"/>
              <w:adjustRightInd w:val="0"/>
              <w:snapToGrid w:val="0"/>
              <w:spacing w:line="360" w:lineRule="auto"/>
              <w:ind w:firstLineChars="200"/>
              <w:rPr>
                <w:bCs/>
                <w:color w:val="auto"/>
                <w:kern w:val="0"/>
                <w:szCs w:val="21"/>
              </w:rPr>
            </w:pPr>
            <w:r>
              <w:rPr>
                <w:rFonts w:hint="eastAsia"/>
                <w:bCs/>
                <w:color w:val="auto"/>
                <w:kern w:val="0"/>
                <w:szCs w:val="21"/>
              </w:rPr>
              <w:t>E、</w:t>
            </w:r>
            <w:r>
              <w:rPr>
                <w:bCs/>
                <w:color w:val="auto"/>
                <w:kern w:val="0"/>
                <w:szCs w:val="21"/>
              </w:rPr>
              <w:t>二级活性炭吸附装置产生的废活性炭应妥善保存，避免过滤介质、二级活性炭接触明火和高温设备而引发的火灾及其次伴生环境风险事故。</w:t>
            </w:r>
          </w:p>
          <w:p w14:paraId="0A5AFCBF">
            <w:pPr>
              <w:adjustRightInd w:val="0"/>
              <w:snapToGrid w:val="0"/>
              <w:spacing w:line="360" w:lineRule="auto"/>
              <w:ind w:firstLine="420" w:firstLineChars="200"/>
              <w:rPr>
                <w:bCs/>
                <w:color w:val="auto"/>
                <w:kern w:val="0"/>
              </w:rPr>
            </w:pPr>
            <w:r>
              <w:rPr>
                <w:rFonts w:hint="eastAsia"/>
                <w:color w:val="auto"/>
                <w:kern w:val="0"/>
              </w:rPr>
              <w:t>F、</w:t>
            </w:r>
            <w:r>
              <w:rPr>
                <w:bCs/>
                <w:color w:val="auto"/>
                <w:kern w:val="0"/>
              </w:rPr>
              <w:t>每年定期组织一次污染治理设施意外事故的应急措施落实情况和应急设备（备用设备）完好情况的检查。</w:t>
            </w:r>
          </w:p>
          <w:p w14:paraId="55612D37">
            <w:pPr>
              <w:pStyle w:val="2"/>
              <w:ind w:firstLine="422" w:firstLineChars="200"/>
              <w:rPr>
                <w:b/>
                <w:bCs/>
                <w:color w:val="auto"/>
                <w:sz w:val="21"/>
                <w:szCs w:val="21"/>
              </w:rPr>
            </w:pPr>
            <w:r>
              <w:rPr>
                <w:b/>
                <w:bCs/>
                <w:color w:val="auto"/>
                <w:sz w:val="21"/>
                <w:szCs w:val="21"/>
              </w:rPr>
              <w:fldChar w:fldCharType="begin"/>
            </w:r>
            <w:r>
              <w:rPr>
                <w:b/>
                <w:bCs/>
                <w:color w:val="auto"/>
                <w:sz w:val="21"/>
                <w:szCs w:val="21"/>
              </w:rPr>
              <w:instrText xml:space="preserve"> = 2 \* GB3 \* MERGEFORMAT </w:instrText>
            </w:r>
            <w:r>
              <w:rPr>
                <w:b/>
                <w:bCs/>
                <w:color w:val="auto"/>
                <w:sz w:val="21"/>
                <w:szCs w:val="21"/>
              </w:rPr>
              <w:fldChar w:fldCharType="separate"/>
            </w:r>
            <w:r>
              <w:rPr>
                <w:b/>
                <w:bCs/>
                <w:color w:val="auto"/>
                <w:sz w:val="21"/>
                <w:szCs w:val="21"/>
              </w:rPr>
              <w:t>②</w:t>
            </w:r>
            <w:r>
              <w:rPr>
                <w:b/>
                <w:bCs/>
                <w:color w:val="auto"/>
                <w:sz w:val="21"/>
                <w:szCs w:val="21"/>
              </w:rPr>
              <w:fldChar w:fldCharType="end"/>
            </w:r>
            <w:r>
              <w:rPr>
                <w:b/>
                <w:bCs/>
                <w:color w:val="auto"/>
                <w:sz w:val="21"/>
                <w:szCs w:val="21"/>
              </w:rPr>
              <w:t>环境风</w:t>
            </w:r>
            <w:r>
              <w:rPr>
                <w:rFonts w:hint="eastAsia"/>
                <w:b/>
                <w:bCs/>
                <w:color w:val="auto"/>
                <w:sz w:val="21"/>
                <w:szCs w:val="21"/>
              </w:rPr>
              <w:t>险应急措施</w:t>
            </w:r>
          </w:p>
          <w:p w14:paraId="26A14EB2">
            <w:pPr>
              <w:pStyle w:val="2"/>
              <w:ind w:firstLine="422" w:firstLineChars="200"/>
              <w:rPr>
                <w:b/>
                <w:bCs/>
                <w:color w:val="auto"/>
                <w:sz w:val="21"/>
                <w:szCs w:val="21"/>
              </w:rPr>
            </w:pPr>
            <w:r>
              <w:rPr>
                <w:rFonts w:hint="eastAsia"/>
                <w:b/>
                <w:bCs/>
                <w:color w:val="auto"/>
                <w:sz w:val="21"/>
                <w:szCs w:val="21"/>
              </w:rPr>
              <w:t>1）火灾和爆炸事故应急措施</w:t>
            </w:r>
          </w:p>
          <w:p w14:paraId="30C48FF3">
            <w:pPr>
              <w:pStyle w:val="2"/>
              <w:ind w:firstLine="420" w:firstLineChars="200"/>
              <w:rPr>
                <w:color w:val="auto"/>
                <w:sz w:val="21"/>
                <w:szCs w:val="21"/>
              </w:rPr>
            </w:pPr>
            <w:r>
              <w:rPr>
                <w:rFonts w:hint="eastAsia"/>
                <w:color w:val="auto"/>
                <w:sz w:val="21"/>
                <w:szCs w:val="21"/>
              </w:rPr>
              <w:t>现场人员一旦发现火灾爆炸事故，应立即逐级报告，汇报时应明确发生的时间、地点、简要经过、人员伤亡情况等，并运用各种应急设施和器具急救，防止事故扩大。配电室或电器设备着火，应立即切断电源，采用二氧化碳或干粉灭火器进行灭火，不得使用水灭火。如火势较大影响自身安全时，应迅速组织人员疏散，发现火情人迅速向应急救援总指挥报告，请求支援。全警戒通讯组在引导人员紧急疏散时，要用湿毛巾或用其他棉织物捂住嘴、鼻逃离，要求人员低首俯身，贴近地面，以避开处于空气上方的毒烟，疏散到空旷的安全地带。</w:t>
            </w:r>
          </w:p>
          <w:p w14:paraId="00C351B2">
            <w:pPr>
              <w:pStyle w:val="2"/>
              <w:ind w:firstLine="420" w:firstLineChars="200"/>
              <w:rPr>
                <w:b/>
                <w:bCs/>
                <w:color w:val="auto"/>
                <w:sz w:val="21"/>
                <w:szCs w:val="21"/>
              </w:rPr>
            </w:pPr>
            <w:r>
              <w:rPr>
                <w:color w:val="auto"/>
                <w:sz w:val="21"/>
                <w:szCs w:val="21"/>
              </w:rPr>
              <w:t>火灾爆炸衍生的消防尾水</w:t>
            </w:r>
            <w:r>
              <w:rPr>
                <w:rFonts w:hint="eastAsia"/>
                <w:color w:val="auto"/>
                <w:sz w:val="21"/>
                <w:szCs w:val="21"/>
              </w:rPr>
              <w:t>：</w:t>
            </w:r>
          </w:p>
          <w:p w14:paraId="1B86A902">
            <w:pPr>
              <w:adjustRightInd w:val="0"/>
              <w:snapToGrid w:val="0"/>
              <w:spacing w:line="360" w:lineRule="auto"/>
              <w:ind w:firstLine="420" w:firstLineChars="200"/>
              <w:rPr>
                <w:color w:val="auto"/>
                <w:kern w:val="0"/>
              </w:rPr>
            </w:pPr>
            <w:r>
              <w:rPr>
                <w:color w:val="auto"/>
                <w:kern w:val="0"/>
              </w:rPr>
              <w:t>本次评估依据《事故状态下水体污染的预防与控制规范》（Q/SY08190-2019）计算事故排水量，包括事故时最大泄漏量、消防水量、生产废水量。事故水池容积确定拟参照Q/SY08190-2019确定，计算公式如下：</w:t>
            </w:r>
          </w:p>
          <w:p w14:paraId="1F95F392">
            <w:pPr>
              <w:snapToGrid w:val="0"/>
              <w:spacing w:line="360" w:lineRule="auto"/>
              <w:jc w:val="center"/>
              <w:rPr>
                <w:color w:val="auto"/>
                <w:kern w:val="0"/>
                <w:vertAlign w:val="subscript"/>
              </w:rPr>
            </w:pPr>
            <w:r>
              <w:rPr>
                <w:color w:val="auto"/>
                <w:kern w:val="0"/>
              </w:rPr>
              <w:t>V</w:t>
            </w:r>
            <w:r>
              <w:rPr>
                <w:color w:val="auto"/>
                <w:kern w:val="0"/>
                <w:vertAlign w:val="subscript"/>
              </w:rPr>
              <w:t>总</w:t>
            </w:r>
            <w:r>
              <w:rPr>
                <w:color w:val="auto"/>
                <w:kern w:val="0"/>
              </w:rPr>
              <w:t>=（V</w:t>
            </w:r>
            <w:r>
              <w:rPr>
                <w:color w:val="auto"/>
                <w:kern w:val="0"/>
                <w:vertAlign w:val="subscript"/>
              </w:rPr>
              <w:t>1</w:t>
            </w:r>
            <w:r>
              <w:rPr>
                <w:color w:val="auto"/>
                <w:kern w:val="0"/>
              </w:rPr>
              <w:t>+V</w:t>
            </w:r>
            <w:r>
              <w:rPr>
                <w:color w:val="auto"/>
                <w:kern w:val="0"/>
                <w:vertAlign w:val="subscript"/>
              </w:rPr>
              <w:t>2</w:t>
            </w:r>
            <w:r>
              <w:rPr>
                <w:color w:val="auto"/>
                <w:kern w:val="0"/>
              </w:rPr>
              <w:t>-V</w:t>
            </w:r>
            <w:r>
              <w:rPr>
                <w:color w:val="auto"/>
                <w:kern w:val="0"/>
                <w:vertAlign w:val="subscript"/>
              </w:rPr>
              <w:t>3</w:t>
            </w:r>
            <w:r>
              <w:rPr>
                <w:color w:val="auto"/>
                <w:kern w:val="0"/>
              </w:rPr>
              <w:t>）</w:t>
            </w:r>
            <w:r>
              <w:rPr>
                <w:color w:val="auto"/>
                <w:kern w:val="0"/>
                <w:vertAlign w:val="subscript"/>
              </w:rPr>
              <w:t>max</w:t>
            </w:r>
            <w:r>
              <w:rPr>
                <w:color w:val="auto"/>
                <w:kern w:val="0"/>
              </w:rPr>
              <w:t>+V</w:t>
            </w:r>
            <w:r>
              <w:rPr>
                <w:color w:val="auto"/>
                <w:kern w:val="0"/>
                <w:vertAlign w:val="subscript"/>
              </w:rPr>
              <w:t>4</w:t>
            </w:r>
            <w:r>
              <w:rPr>
                <w:color w:val="auto"/>
                <w:kern w:val="0"/>
              </w:rPr>
              <w:t>+V</w:t>
            </w:r>
            <w:r>
              <w:rPr>
                <w:color w:val="auto"/>
                <w:kern w:val="0"/>
                <w:vertAlign w:val="subscript"/>
              </w:rPr>
              <w:t>5</w:t>
            </w:r>
          </w:p>
          <w:p w14:paraId="798CE432">
            <w:pPr>
              <w:snapToGrid w:val="0"/>
              <w:spacing w:line="360" w:lineRule="auto"/>
              <w:jc w:val="center"/>
              <w:rPr>
                <w:color w:val="auto"/>
                <w:kern w:val="0"/>
                <w:vertAlign w:val="subscript"/>
              </w:rPr>
            </w:pPr>
            <w:r>
              <w:rPr>
                <w:color w:val="auto"/>
                <w:kern w:val="0"/>
              </w:rPr>
              <w:t>V</w:t>
            </w:r>
            <w:r>
              <w:rPr>
                <w:color w:val="auto"/>
                <w:kern w:val="0"/>
                <w:vertAlign w:val="subscript"/>
              </w:rPr>
              <w:t>2</w:t>
            </w:r>
            <w:r>
              <w:rPr>
                <w:color w:val="auto"/>
                <w:kern w:val="0"/>
              </w:rPr>
              <w:t>=∑Q</w:t>
            </w:r>
            <w:r>
              <w:rPr>
                <w:color w:val="auto"/>
                <w:kern w:val="0"/>
                <w:vertAlign w:val="subscript"/>
              </w:rPr>
              <w:t>消</w:t>
            </w:r>
            <w:r>
              <w:rPr>
                <w:color w:val="auto"/>
                <w:kern w:val="0"/>
              </w:rPr>
              <w:t>×t</w:t>
            </w:r>
            <w:r>
              <w:rPr>
                <w:color w:val="auto"/>
                <w:kern w:val="0"/>
                <w:vertAlign w:val="subscript"/>
              </w:rPr>
              <w:t>消</w:t>
            </w:r>
          </w:p>
          <w:p w14:paraId="0D3C1366">
            <w:pPr>
              <w:snapToGrid w:val="0"/>
              <w:spacing w:line="360" w:lineRule="auto"/>
              <w:jc w:val="center"/>
              <w:rPr>
                <w:color w:val="auto"/>
                <w:kern w:val="0"/>
              </w:rPr>
            </w:pPr>
            <w:r>
              <w:rPr>
                <w:color w:val="auto"/>
                <w:kern w:val="0"/>
              </w:rPr>
              <w:t>V</w:t>
            </w:r>
            <w:r>
              <w:rPr>
                <w:color w:val="auto"/>
                <w:kern w:val="0"/>
                <w:vertAlign w:val="subscript"/>
              </w:rPr>
              <w:t>5</w:t>
            </w:r>
            <w:r>
              <w:rPr>
                <w:color w:val="auto"/>
                <w:kern w:val="0"/>
              </w:rPr>
              <w:t>=10qf</w:t>
            </w:r>
          </w:p>
          <w:p w14:paraId="516694E2">
            <w:pPr>
              <w:pStyle w:val="701"/>
              <w:spacing w:line="360" w:lineRule="auto"/>
              <w:jc w:val="center"/>
              <w:rPr>
                <w:rFonts w:hint="default"/>
                <w:color w:val="auto"/>
                <w:kern w:val="0"/>
                <w:sz w:val="21"/>
              </w:rPr>
            </w:pPr>
            <w:r>
              <w:rPr>
                <w:rFonts w:hint="default"/>
                <w:color w:val="auto"/>
                <w:kern w:val="0"/>
                <w:sz w:val="21"/>
              </w:rPr>
              <w:t>q=q</w:t>
            </w:r>
            <w:r>
              <w:rPr>
                <w:rFonts w:hint="default"/>
                <w:color w:val="auto"/>
                <w:kern w:val="0"/>
                <w:sz w:val="21"/>
                <w:vertAlign w:val="subscript"/>
              </w:rPr>
              <w:t>a</w:t>
            </w:r>
            <w:r>
              <w:rPr>
                <w:rFonts w:hint="default"/>
                <w:color w:val="auto"/>
                <w:kern w:val="0"/>
                <w:sz w:val="21"/>
              </w:rPr>
              <w:t>/n</w:t>
            </w:r>
          </w:p>
          <w:p w14:paraId="353FB9F8">
            <w:pPr>
              <w:adjustRightInd w:val="0"/>
              <w:snapToGrid w:val="0"/>
              <w:spacing w:line="360" w:lineRule="auto"/>
              <w:ind w:firstLine="420" w:firstLineChars="200"/>
              <w:rPr>
                <w:color w:val="auto"/>
                <w:kern w:val="0"/>
              </w:rPr>
            </w:pPr>
            <w:r>
              <w:rPr>
                <w:color w:val="auto"/>
                <w:kern w:val="0"/>
              </w:rPr>
              <w:t>式中V</w:t>
            </w:r>
            <w:r>
              <w:rPr>
                <w:color w:val="auto"/>
                <w:kern w:val="0"/>
                <w:vertAlign w:val="subscript"/>
              </w:rPr>
              <w:t>总</w:t>
            </w:r>
            <w:r>
              <w:rPr>
                <w:color w:val="auto"/>
                <w:kern w:val="0"/>
              </w:rPr>
              <w:t>—事故缓冲设施总有效容积，单位为立方米（m</w:t>
            </w:r>
            <w:r>
              <w:rPr>
                <w:color w:val="auto"/>
                <w:kern w:val="0"/>
                <w:vertAlign w:val="superscript"/>
              </w:rPr>
              <w:t>3</w:t>
            </w:r>
            <w:r>
              <w:rPr>
                <w:color w:val="auto"/>
                <w:kern w:val="0"/>
              </w:rPr>
              <w:t>）；</w:t>
            </w:r>
          </w:p>
          <w:p w14:paraId="53893ABF">
            <w:pPr>
              <w:pStyle w:val="702"/>
              <w:autoSpaceDE w:val="0"/>
              <w:autoSpaceDN w:val="0"/>
              <w:spacing w:line="360" w:lineRule="auto"/>
              <w:ind w:firstLine="420" w:firstLineChars="200"/>
              <w:rPr>
                <w:rFonts w:eastAsia="宋体"/>
                <w:color w:val="auto"/>
                <w:kern w:val="0"/>
                <w:sz w:val="21"/>
                <w:szCs w:val="21"/>
              </w:rPr>
            </w:pPr>
            <w:r>
              <w:rPr>
                <w:rStyle w:val="218"/>
                <w:rFonts w:eastAsia="宋体"/>
                <w:b w:val="0"/>
                <w:color w:val="auto"/>
                <w:kern w:val="0"/>
                <w:sz w:val="21"/>
                <w:szCs w:val="21"/>
              </w:rPr>
              <w:t>V</w:t>
            </w:r>
            <w:r>
              <w:rPr>
                <w:rStyle w:val="218"/>
                <w:rFonts w:eastAsia="宋体"/>
                <w:b w:val="0"/>
                <w:color w:val="auto"/>
                <w:kern w:val="0"/>
                <w:sz w:val="21"/>
                <w:szCs w:val="21"/>
                <w:vertAlign w:val="subscript"/>
              </w:rPr>
              <w:t>1</w:t>
            </w:r>
            <w:r>
              <w:rPr>
                <w:rStyle w:val="218"/>
                <w:rFonts w:eastAsia="宋体"/>
                <w:b w:val="0"/>
                <w:color w:val="auto"/>
                <w:kern w:val="0"/>
                <w:sz w:val="21"/>
                <w:szCs w:val="21"/>
              </w:rPr>
              <w:t>—收集系统范围内发生事故的一个罐组或一套装置的物料量，项目无储罐或装置，</w:t>
            </w:r>
            <w:r>
              <w:rPr>
                <w:rFonts w:eastAsia="宋体"/>
                <w:b w:val="0"/>
                <w:bCs/>
                <w:color w:val="auto"/>
                <w:kern w:val="0"/>
                <w:sz w:val="21"/>
                <w:szCs w:val="21"/>
              </w:rPr>
              <w:t>因此</w:t>
            </w:r>
            <w:r>
              <w:rPr>
                <w:rFonts w:eastAsia="宋体"/>
                <w:bCs/>
                <w:color w:val="auto"/>
                <w:kern w:val="0"/>
                <w:sz w:val="21"/>
                <w:szCs w:val="21"/>
              </w:rPr>
              <w:t>V</w:t>
            </w:r>
            <w:r>
              <w:rPr>
                <w:rFonts w:eastAsia="宋体"/>
                <w:bCs/>
                <w:color w:val="auto"/>
                <w:kern w:val="0"/>
                <w:sz w:val="21"/>
                <w:szCs w:val="21"/>
                <w:vertAlign w:val="subscript"/>
              </w:rPr>
              <w:t>1</w:t>
            </w:r>
            <w:r>
              <w:rPr>
                <w:rFonts w:eastAsia="宋体"/>
                <w:bCs/>
                <w:color w:val="auto"/>
                <w:kern w:val="0"/>
                <w:sz w:val="21"/>
                <w:szCs w:val="21"/>
              </w:rPr>
              <w:t>=0m</w:t>
            </w:r>
            <w:r>
              <w:rPr>
                <w:rFonts w:eastAsia="宋体"/>
                <w:bCs/>
                <w:color w:val="auto"/>
                <w:kern w:val="0"/>
                <w:sz w:val="21"/>
                <w:szCs w:val="21"/>
                <w:vertAlign w:val="superscript"/>
              </w:rPr>
              <w:t>3</w:t>
            </w:r>
            <w:r>
              <w:rPr>
                <w:rFonts w:eastAsia="宋体"/>
                <w:color w:val="auto"/>
                <w:kern w:val="0"/>
                <w:sz w:val="21"/>
                <w:szCs w:val="21"/>
              </w:rPr>
              <w:t>；</w:t>
            </w:r>
          </w:p>
          <w:p w14:paraId="5EBFDF94">
            <w:pPr>
              <w:snapToGrid w:val="0"/>
              <w:spacing w:line="360" w:lineRule="auto"/>
              <w:ind w:firstLine="420" w:firstLineChars="200"/>
              <w:rPr>
                <w:color w:val="auto"/>
                <w:kern w:val="0"/>
              </w:rPr>
            </w:pPr>
            <w:r>
              <w:rPr>
                <w:color w:val="auto"/>
                <w:kern w:val="0"/>
              </w:rPr>
              <w:t>V</w:t>
            </w:r>
            <w:r>
              <w:rPr>
                <w:color w:val="auto"/>
                <w:kern w:val="0"/>
                <w:vertAlign w:val="subscript"/>
              </w:rPr>
              <w:t>2</w:t>
            </w:r>
            <w:r>
              <w:rPr>
                <w:color w:val="auto"/>
                <w:kern w:val="0"/>
              </w:rPr>
              <w:t>—发生事故的储罐、装置或铁路、汽车装卸区的消防水量，单位为立方米（m</w:t>
            </w:r>
            <w:r>
              <w:rPr>
                <w:color w:val="auto"/>
                <w:kern w:val="0"/>
                <w:vertAlign w:val="superscript"/>
              </w:rPr>
              <w:t>3</w:t>
            </w:r>
            <w:r>
              <w:rPr>
                <w:color w:val="auto"/>
                <w:kern w:val="0"/>
              </w:rPr>
              <w:t>）；</w:t>
            </w:r>
          </w:p>
          <w:p w14:paraId="6B639AD8">
            <w:pPr>
              <w:snapToGrid w:val="0"/>
              <w:spacing w:line="360" w:lineRule="auto"/>
              <w:ind w:firstLine="420" w:firstLineChars="200"/>
              <w:rPr>
                <w:color w:val="auto"/>
                <w:kern w:val="0"/>
              </w:rPr>
            </w:pPr>
            <w:r>
              <w:rPr>
                <w:color w:val="auto"/>
                <w:kern w:val="0"/>
              </w:rPr>
              <w:t>Q</w:t>
            </w:r>
            <w:r>
              <w:rPr>
                <w:color w:val="auto"/>
                <w:kern w:val="0"/>
                <w:vertAlign w:val="subscript"/>
              </w:rPr>
              <w:t>消</w:t>
            </w:r>
            <w:r>
              <w:rPr>
                <w:color w:val="auto"/>
                <w:kern w:val="0"/>
              </w:rPr>
              <w:t>—发生事故的储罐、装置或铁路、汽车装卸区同时使用的消防设施给水流量，单位为立方米每小时（m</w:t>
            </w:r>
            <w:r>
              <w:rPr>
                <w:color w:val="auto"/>
                <w:kern w:val="0"/>
                <w:vertAlign w:val="superscript"/>
              </w:rPr>
              <w:t>3</w:t>
            </w:r>
            <w:r>
              <w:rPr>
                <w:color w:val="auto"/>
                <w:kern w:val="0"/>
              </w:rPr>
              <w:t>/h）；</w:t>
            </w:r>
          </w:p>
          <w:p w14:paraId="4FA3CCD0">
            <w:pPr>
              <w:snapToGrid w:val="0"/>
              <w:spacing w:line="360" w:lineRule="auto"/>
              <w:ind w:firstLine="420" w:firstLineChars="200"/>
              <w:rPr>
                <w:color w:val="auto"/>
                <w:kern w:val="0"/>
              </w:rPr>
            </w:pPr>
            <w:r>
              <w:rPr>
                <w:color w:val="auto"/>
                <w:kern w:val="0"/>
              </w:rPr>
              <w:t>t</w:t>
            </w:r>
            <w:r>
              <w:rPr>
                <w:color w:val="auto"/>
                <w:kern w:val="0"/>
                <w:vertAlign w:val="subscript"/>
              </w:rPr>
              <w:t>消</w:t>
            </w:r>
            <w:r>
              <w:rPr>
                <w:color w:val="auto"/>
                <w:kern w:val="0"/>
              </w:rPr>
              <w:t>—消防设施对应的设计消防历时，单位为小时（h）；</w:t>
            </w:r>
          </w:p>
          <w:p w14:paraId="68649332">
            <w:pPr>
              <w:snapToGrid w:val="0"/>
              <w:spacing w:line="360" w:lineRule="auto"/>
              <w:ind w:firstLine="420" w:firstLineChars="200"/>
              <w:rPr>
                <w:color w:val="auto"/>
                <w:kern w:val="0"/>
              </w:rPr>
            </w:pPr>
            <w:r>
              <w:rPr>
                <w:color w:val="auto"/>
                <w:kern w:val="0"/>
              </w:rPr>
              <w:t>企业消防水量按</w:t>
            </w:r>
            <w:r>
              <w:rPr>
                <w:rFonts w:hint="eastAsia"/>
                <w:color w:val="auto"/>
                <w:kern w:val="0"/>
              </w:rPr>
              <w:t>20</w:t>
            </w:r>
            <w:r>
              <w:rPr>
                <w:color w:val="auto"/>
                <w:kern w:val="0"/>
              </w:rPr>
              <w:t>L/s考虑，</w:t>
            </w:r>
            <w:r>
              <w:rPr>
                <w:rFonts w:hint="eastAsia"/>
                <w:color w:val="auto"/>
                <w:kern w:val="0"/>
                <w:lang w:val="en-US" w:eastAsia="zh-CN"/>
              </w:rPr>
              <w:t>火灾持续时间按0.5h计</w:t>
            </w:r>
            <w:r>
              <w:rPr>
                <w:color w:val="auto"/>
                <w:kern w:val="0"/>
              </w:rPr>
              <w:t>，则最大消防用水量为</w:t>
            </w:r>
            <w:r>
              <w:rPr>
                <w:rFonts w:hint="eastAsia"/>
                <w:color w:val="auto"/>
                <w:kern w:val="0"/>
              </w:rPr>
              <w:t>36</w:t>
            </w:r>
            <w:r>
              <w:rPr>
                <w:color w:val="auto"/>
                <w:kern w:val="0"/>
              </w:rPr>
              <w:t>m</w:t>
            </w:r>
            <w:r>
              <w:rPr>
                <w:color w:val="auto"/>
                <w:kern w:val="0"/>
                <w:vertAlign w:val="superscript"/>
              </w:rPr>
              <w:t>3</w:t>
            </w:r>
            <w:r>
              <w:rPr>
                <w:color w:val="auto"/>
                <w:kern w:val="0"/>
              </w:rPr>
              <w:t>，因此</w:t>
            </w:r>
            <w:r>
              <w:rPr>
                <w:b/>
                <w:bCs/>
                <w:color w:val="auto"/>
                <w:kern w:val="0"/>
              </w:rPr>
              <w:t>V</w:t>
            </w:r>
            <w:r>
              <w:rPr>
                <w:b/>
                <w:bCs/>
                <w:color w:val="auto"/>
                <w:kern w:val="0"/>
                <w:vertAlign w:val="subscript"/>
              </w:rPr>
              <w:t>2</w:t>
            </w:r>
            <w:r>
              <w:rPr>
                <w:b/>
                <w:bCs/>
                <w:color w:val="auto"/>
                <w:kern w:val="0"/>
              </w:rPr>
              <w:t>=</w:t>
            </w:r>
            <w:r>
              <w:rPr>
                <w:rFonts w:hint="eastAsia"/>
                <w:b/>
                <w:bCs/>
                <w:color w:val="auto"/>
                <w:kern w:val="0"/>
              </w:rPr>
              <w:t>36</w:t>
            </w:r>
            <w:r>
              <w:rPr>
                <w:b/>
                <w:bCs/>
                <w:color w:val="auto"/>
                <w:kern w:val="0"/>
              </w:rPr>
              <w:t>m</w:t>
            </w:r>
            <w:r>
              <w:rPr>
                <w:b/>
                <w:bCs/>
                <w:color w:val="auto"/>
                <w:kern w:val="0"/>
                <w:vertAlign w:val="superscript"/>
              </w:rPr>
              <w:t>3</w:t>
            </w:r>
            <w:r>
              <w:rPr>
                <w:color w:val="auto"/>
                <w:kern w:val="0"/>
              </w:rPr>
              <w:t>；</w:t>
            </w:r>
          </w:p>
          <w:p w14:paraId="77652028">
            <w:pPr>
              <w:snapToGrid w:val="0"/>
              <w:spacing w:line="360" w:lineRule="auto"/>
              <w:ind w:firstLine="420" w:firstLineChars="200"/>
              <w:rPr>
                <w:color w:val="auto"/>
                <w:kern w:val="0"/>
              </w:rPr>
            </w:pPr>
            <w:r>
              <w:rPr>
                <w:color w:val="auto"/>
                <w:kern w:val="0"/>
              </w:rPr>
              <w:t>V</w:t>
            </w:r>
            <w:r>
              <w:rPr>
                <w:color w:val="auto"/>
                <w:kern w:val="0"/>
                <w:vertAlign w:val="subscript"/>
              </w:rPr>
              <w:t>3</w:t>
            </w:r>
            <w:r>
              <w:rPr>
                <w:color w:val="auto"/>
                <w:kern w:val="0"/>
              </w:rPr>
              <w:t>—发生事故时可以转输到其他储存或处理设施的物料量，单位为立方米（m</w:t>
            </w:r>
            <w:r>
              <w:rPr>
                <w:color w:val="auto"/>
                <w:kern w:val="0"/>
                <w:vertAlign w:val="superscript"/>
              </w:rPr>
              <w:t>3</w:t>
            </w:r>
            <w:r>
              <w:rPr>
                <w:color w:val="auto"/>
                <w:kern w:val="0"/>
              </w:rPr>
              <w:t>）；</w:t>
            </w:r>
          </w:p>
          <w:p w14:paraId="11F168B8">
            <w:pPr>
              <w:pStyle w:val="702"/>
              <w:adjustRightInd/>
              <w:snapToGrid/>
              <w:spacing w:line="360" w:lineRule="auto"/>
              <w:ind w:left="31" w:leftChars="15" w:right="31" w:rightChars="15" w:firstLine="420" w:firstLineChars="200"/>
              <w:rPr>
                <w:rStyle w:val="218"/>
                <w:rFonts w:eastAsia="宋体"/>
                <w:b w:val="0"/>
                <w:color w:val="auto"/>
                <w:kern w:val="0"/>
                <w:sz w:val="21"/>
                <w:szCs w:val="21"/>
              </w:rPr>
            </w:pPr>
            <w:r>
              <w:rPr>
                <w:rStyle w:val="218"/>
                <w:rFonts w:hint="eastAsia" w:eastAsia="宋体"/>
                <w:b w:val="0"/>
                <w:color w:val="auto"/>
                <w:kern w:val="0"/>
                <w:sz w:val="21"/>
                <w:szCs w:val="21"/>
              </w:rPr>
              <w:t>企业无</w:t>
            </w:r>
            <w:r>
              <w:rPr>
                <w:rFonts w:eastAsia="宋体"/>
                <w:b w:val="0"/>
                <w:bCs/>
                <w:color w:val="auto"/>
                <w:kern w:val="0"/>
                <w:sz w:val="21"/>
                <w:szCs w:val="21"/>
              </w:rPr>
              <w:t>其他储存或处理设施</w:t>
            </w:r>
            <w:r>
              <w:rPr>
                <w:rFonts w:hint="eastAsia" w:eastAsia="宋体"/>
                <w:b w:val="0"/>
                <w:bCs/>
                <w:color w:val="auto"/>
                <w:kern w:val="0"/>
                <w:sz w:val="21"/>
                <w:szCs w:val="21"/>
              </w:rPr>
              <w:t>，</w:t>
            </w:r>
            <w:r>
              <w:rPr>
                <w:rStyle w:val="218"/>
                <w:rFonts w:hint="eastAsia" w:eastAsia="宋体"/>
                <w:b w:val="0"/>
                <w:color w:val="auto"/>
                <w:kern w:val="0"/>
                <w:sz w:val="21"/>
                <w:szCs w:val="21"/>
              </w:rPr>
              <w:t>故</w:t>
            </w:r>
            <w:r>
              <w:rPr>
                <w:rStyle w:val="218"/>
                <w:rFonts w:hint="eastAsia" w:eastAsia="宋体"/>
                <w:bCs/>
                <w:color w:val="auto"/>
                <w:kern w:val="0"/>
                <w:sz w:val="21"/>
                <w:szCs w:val="21"/>
              </w:rPr>
              <w:t>V</w:t>
            </w:r>
            <w:r>
              <w:rPr>
                <w:rStyle w:val="218"/>
                <w:rFonts w:hint="eastAsia" w:eastAsia="宋体"/>
                <w:bCs/>
                <w:color w:val="auto"/>
                <w:kern w:val="0"/>
                <w:sz w:val="21"/>
                <w:szCs w:val="21"/>
                <w:vertAlign w:val="subscript"/>
              </w:rPr>
              <w:t>3</w:t>
            </w:r>
            <w:r>
              <w:rPr>
                <w:rStyle w:val="218"/>
                <w:rFonts w:hint="eastAsia" w:eastAsia="宋体"/>
                <w:bCs/>
                <w:color w:val="auto"/>
                <w:kern w:val="0"/>
                <w:sz w:val="21"/>
                <w:szCs w:val="21"/>
              </w:rPr>
              <w:t>=0m</w:t>
            </w:r>
            <w:r>
              <w:rPr>
                <w:rStyle w:val="218"/>
                <w:rFonts w:hint="eastAsia" w:eastAsia="宋体"/>
                <w:bCs/>
                <w:color w:val="auto"/>
                <w:kern w:val="0"/>
                <w:sz w:val="21"/>
                <w:szCs w:val="21"/>
                <w:vertAlign w:val="superscript"/>
              </w:rPr>
              <w:t>3</w:t>
            </w:r>
            <w:r>
              <w:rPr>
                <w:rStyle w:val="218"/>
                <w:rFonts w:hint="eastAsia" w:eastAsia="宋体"/>
                <w:b w:val="0"/>
                <w:color w:val="auto"/>
                <w:kern w:val="0"/>
                <w:sz w:val="21"/>
                <w:szCs w:val="21"/>
              </w:rPr>
              <w:t>。</w:t>
            </w:r>
          </w:p>
          <w:p w14:paraId="4CE550D7">
            <w:pPr>
              <w:snapToGrid w:val="0"/>
              <w:spacing w:line="360" w:lineRule="auto"/>
              <w:ind w:left="479" w:leftChars="228"/>
              <w:rPr>
                <w:color w:val="auto"/>
                <w:kern w:val="0"/>
              </w:rPr>
            </w:pPr>
            <w:r>
              <w:rPr>
                <w:color w:val="auto"/>
                <w:kern w:val="0"/>
              </w:rPr>
              <w:t>V</w:t>
            </w:r>
            <w:r>
              <w:rPr>
                <w:color w:val="auto"/>
                <w:kern w:val="0"/>
                <w:vertAlign w:val="subscript"/>
              </w:rPr>
              <w:t>4</w:t>
            </w:r>
            <w:r>
              <w:rPr>
                <w:color w:val="auto"/>
                <w:kern w:val="0"/>
              </w:rPr>
              <w:t>—发生事故时仍必须进入该收集系统的生产废水量，单位为立方（m</w:t>
            </w:r>
            <w:r>
              <w:rPr>
                <w:color w:val="auto"/>
                <w:kern w:val="0"/>
                <w:vertAlign w:val="superscript"/>
              </w:rPr>
              <w:t>3</w:t>
            </w:r>
            <w:r>
              <w:rPr>
                <w:color w:val="auto"/>
                <w:kern w:val="0"/>
              </w:rPr>
              <w:t>）；</w:t>
            </w:r>
          </w:p>
          <w:p w14:paraId="7B5F5E36">
            <w:pPr>
              <w:snapToGrid w:val="0"/>
              <w:spacing w:line="360" w:lineRule="auto"/>
              <w:ind w:firstLine="420" w:firstLineChars="200"/>
              <w:rPr>
                <w:color w:val="auto"/>
                <w:kern w:val="0"/>
              </w:rPr>
            </w:pPr>
            <w:r>
              <w:rPr>
                <w:rFonts w:hint="eastAsia"/>
                <w:color w:val="auto"/>
                <w:kern w:val="0"/>
              </w:rPr>
              <w:t>全厂</w:t>
            </w:r>
            <w:r>
              <w:rPr>
                <w:color w:val="auto"/>
                <w:kern w:val="0"/>
              </w:rPr>
              <w:t>无生产废水外排，</w:t>
            </w:r>
            <w:r>
              <w:rPr>
                <w:b/>
                <w:bCs/>
                <w:color w:val="auto"/>
                <w:kern w:val="0"/>
              </w:rPr>
              <w:t>V</w:t>
            </w:r>
            <w:r>
              <w:rPr>
                <w:b/>
                <w:bCs/>
                <w:color w:val="auto"/>
                <w:kern w:val="0"/>
                <w:vertAlign w:val="subscript"/>
              </w:rPr>
              <w:t>4</w:t>
            </w:r>
            <w:r>
              <w:rPr>
                <w:b/>
                <w:bCs/>
                <w:color w:val="auto"/>
                <w:kern w:val="0"/>
              </w:rPr>
              <w:t>=0m</w:t>
            </w:r>
            <w:r>
              <w:rPr>
                <w:b/>
                <w:bCs/>
                <w:color w:val="auto"/>
                <w:kern w:val="0"/>
                <w:vertAlign w:val="superscript"/>
              </w:rPr>
              <w:t>3</w:t>
            </w:r>
            <w:r>
              <w:rPr>
                <w:color w:val="auto"/>
                <w:kern w:val="0"/>
              </w:rPr>
              <w:t>；</w:t>
            </w:r>
          </w:p>
          <w:p w14:paraId="7DEC5884">
            <w:pPr>
              <w:snapToGrid w:val="0"/>
              <w:spacing w:line="360" w:lineRule="auto"/>
              <w:ind w:left="479" w:leftChars="228"/>
              <w:rPr>
                <w:color w:val="auto"/>
                <w:kern w:val="0"/>
              </w:rPr>
            </w:pPr>
            <w:r>
              <w:rPr>
                <w:color w:val="auto"/>
                <w:kern w:val="0"/>
              </w:rPr>
              <w:t>V</w:t>
            </w:r>
            <w:r>
              <w:rPr>
                <w:color w:val="auto"/>
                <w:kern w:val="0"/>
                <w:vertAlign w:val="subscript"/>
              </w:rPr>
              <w:t>5</w:t>
            </w:r>
            <w:r>
              <w:rPr>
                <w:color w:val="auto"/>
                <w:kern w:val="0"/>
              </w:rPr>
              <w:t>—发生事故时可能进入该收集系统的降雨量，单位为立方米（m</w:t>
            </w:r>
            <w:r>
              <w:rPr>
                <w:color w:val="auto"/>
                <w:kern w:val="0"/>
                <w:vertAlign w:val="superscript"/>
              </w:rPr>
              <w:t>3</w:t>
            </w:r>
            <w:r>
              <w:rPr>
                <w:color w:val="auto"/>
                <w:kern w:val="0"/>
              </w:rPr>
              <w:t>）；</w:t>
            </w:r>
          </w:p>
          <w:p w14:paraId="5B5D99A6">
            <w:pPr>
              <w:snapToGrid w:val="0"/>
              <w:spacing w:line="360" w:lineRule="auto"/>
              <w:ind w:firstLine="420" w:firstLineChars="200"/>
              <w:rPr>
                <w:color w:val="auto"/>
                <w:kern w:val="0"/>
              </w:rPr>
            </w:pPr>
            <w:r>
              <w:rPr>
                <w:color w:val="auto"/>
                <w:kern w:val="0"/>
              </w:rPr>
              <w:t>q—降雨强度，按平均日降雨量，单位为毫米（mm）；</w:t>
            </w:r>
          </w:p>
          <w:p w14:paraId="3377D1B9">
            <w:pPr>
              <w:snapToGrid w:val="0"/>
              <w:spacing w:line="360" w:lineRule="auto"/>
              <w:ind w:firstLine="420" w:firstLineChars="200"/>
              <w:rPr>
                <w:color w:val="auto"/>
                <w:kern w:val="0"/>
              </w:rPr>
            </w:pPr>
            <w:r>
              <w:rPr>
                <w:color w:val="auto"/>
                <w:kern w:val="0"/>
              </w:rPr>
              <w:t>q</w:t>
            </w:r>
            <w:r>
              <w:rPr>
                <w:color w:val="auto"/>
                <w:kern w:val="0"/>
                <w:vertAlign w:val="subscript"/>
              </w:rPr>
              <w:t>a</w:t>
            </w:r>
            <w:r>
              <w:rPr>
                <w:color w:val="auto"/>
                <w:kern w:val="0"/>
              </w:rPr>
              <w:t>—年平均降雨量，单位为毫米（mm）；</w:t>
            </w:r>
          </w:p>
          <w:p w14:paraId="2BF87F21">
            <w:pPr>
              <w:snapToGrid w:val="0"/>
              <w:spacing w:line="360" w:lineRule="auto"/>
              <w:ind w:firstLine="420" w:firstLineChars="200"/>
              <w:rPr>
                <w:color w:val="auto"/>
                <w:kern w:val="0"/>
              </w:rPr>
            </w:pPr>
            <w:r>
              <w:rPr>
                <w:color w:val="auto"/>
                <w:kern w:val="0"/>
              </w:rPr>
              <w:t>n—年平均降雨日数，单位为天（d）；</w:t>
            </w:r>
          </w:p>
          <w:p w14:paraId="61CD064A">
            <w:pPr>
              <w:snapToGrid w:val="0"/>
              <w:spacing w:line="360" w:lineRule="auto"/>
              <w:ind w:firstLine="420" w:firstLineChars="200"/>
              <w:rPr>
                <w:color w:val="auto"/>
                <w:kern w:val="0"/>
              </w:rPr>
            </w:pPr>
            <w:r>
              <w:rPr>
                <w:color w:val="auto"/>
                <w:kern w:val="0"/>
              </w:rPr>
              <w:t>f—必须进入事故废水收集系统的雨水汇水面积，单位为公顷（ha）；</w:t>
            </w:r>
          </w:p>
          <w:p w14:paraId="0EFBBF02">
            <w:pPr>
              <w:snapToGrid w:val="0"/>
              <w:spacing w:line="360" w:lineRule="auto"/>
              <w:ind w:firstLine="420" w:firstLineChars="200"/>
              <w:rPr>
                <w:color w:val="auto"/>
                <w:kern w:val="0"/>
              </w:rPr>
            </w:pPr>
            <w:r>
              <w:rPr>
                <w:color w:val="auto"/>
                <w:kern w:val="0"/>
              </w:rPr>
              <w:t>企业无露天生产装置，无露天储罐，故初期雨水不需要收集进入事故池。</w:t>
            </w:r>
            <w:r>
              <w:rPr>
                <w:b/>
                <w:bCs/>
                <w:color w:val="auto"/>
                <w:kern w:val="0"/>
              </w:rPr>
              <w:t>V5=0m</w:t>
            </w:r>
            <w:r>
              <w:rPr>
                <w:b/>
                <w:bCs/>
                <w:color w:val="auto"/>
                <w:kern w:val="0"/>
                <w:vertAlign w:val="superscript"/>
              </w:rPr>
              <w:t>3</w:t>
            </w:r>
            <w:r>
              <w:rPr>
                <w:color w:val="auto"/>
                <w:kern w:val="0"/>
              </w:rPr>
              <w:t>。</w:t>
            </w:r>
          </w:p>
          <w:p w14:paraId="0A7482CC">
            <w:pPr>
              <w:adjustRightInd w:val="0"/>
              <w:snapToGrid w:val="0"/>
              <w:spacing w:line="360" w:lineRule="auto"/>
              <w:ind w:firstLine="420" w:firstLineChars="200"/>
              <w:rPr>
                <w:color w:val="auto"/>
                <w:kern w:val="0"/>
              </w:rPr>
            </w:pPr>
            <w:r>
              <w:rPr>
                <w:color w:val="auto"/>
                <w:kern w:val="0"/>
              </w:rPr>
              <w:t>计算过程：</w:t>
            </w:r>
          </w:p>
          <w:p w14:paraId="28640EAA">
            <w:pPr>
              <w:spacing w:line="360" w:lineRule="auto"/>
              <w:ind w:firstLine="420" w:firstLineChars="200"/>
              <w:rPr>
                <w:color w:val="auto"/>
                <w:kern w:val="0"/>
              </w:rPr>
            </w:pPr>
            <w:r>
              <w:rPr>
                <w:color w:val="auto"/>
                <w:kern w:val="0"/>
              </w:rPr>
              <w:t>V</w:t>
            </w:r>
            <w:r>
              <w:rPr>
                <w:color w:val="auto"/>
                <w:kern w:val="0"/>
                <w:vertAlign w:val="subscript"/>
              </w:rPr>
              <w:t>总</w:t>
            </w:r>
            <w:r>
              <w:rPr>
                <w:color w:val="auto"/>
                <w:kern w:val="0"/>
              </w:rPr>
              <w:t>=（V</w:t>
            </w:r>
            <w:r>
              <w:rPr>
                <w:color w:val="auto"/>
                <w:kern w:val="0"/>
                <w:vertAlign w:val="subscript"/>
              </w:rPr>
              <w:t>1</w:t>
            </w:r>
            <w:r>
              <w:rPr>
                <w:color w:val="auto"/>
                <w:kern w:val="0"/>
              </w:rPr>
              <w:t>+V</w:t>
            </w:r>
            <w:r>
              <w:rPr>
                <w:color w:val="auto"/>
                <w:kern w:val="0"/>
                <w:vertAlign w:val="subscript"/>
              </w:rPr>
              <w:t>2</w:t>
            </w:r>
            <w:r>
              <w:rPr>
                <w:color w:val="auto"/>
                <w:kern w:val="0"/>
              </w:rPr>
              <w:t>-V</w:t>
            </w:r>
            <w:r>
              <w:rPr>
                <w:color w:val="auto"/>
                <w:kern w:val="0"/>
                <w:vertAlign w:val="subscript"/>
              </w:rPr>
              <w:t>3</w:t>
            </w:r>
            <w:r>
              <w:rPr>
                <w:color w:val="auto"/>
                <w:kern w:val="0"/>
              </w:rPr>
              <w:t>）</w:t>
            </w:r>
            <w:r>
              <w:rPr>
                <w:color w:val="auto"/>
                <w:kern w:val="0"/>
                <w:vertAlign w:val="subscript"/>
              </w:rPr>
              <w:t>max</w:t>
            </w:r>
            <w:r>
              <w:rPr>
                <w:color w:val="auto"/>
                <w:kern w:val="0"/>
              </w:rPr>
              <w:t>+V</w:t>
            </w:r>
            <w:r>
              <w:rPr>
                <w:color w:val="auto"/>
                <w:kern w:val="0"/>
                <w:vertAlign w:val="subscript"/>
              </w:rPr>
              <w:t>4</w:t>
            </w:r>
            <w:r>
              <w:rPr>
                <w:color w:val="auto"/>
                <w:kern w:val="0"/>
              </w:rPr>
              <w:t>+V</w:t>
            </w:r>
            <w:r>
              <w:rPr>
                <w:color w:val="auto"/>
                <w:kern w:val="0"/>
                <w:vertAlign w:val="subscript"/>
              </w:rPr>
              <w:t>5</w:t>
            </w:r>
            <w:r>
              <w:rPr>
                <w:color w:val="auto"/>
                <w:kern w:val="0"/>
              </w:rPr>
              <w:t>=（0＋</w:t>
            </w:r>
            <w:r>
              <w:rPr>
                <w:rFonts w:hint="eastAsia"/>
                <w:color w:val="auto"/>
                <w:kern w:val="0"/>
              </w:rPr>
              <w:t>36</w:t>
            </w:r>
            <w:r>
              <w:rPr>
                <w:color w:val="auto"/>
                <w:kern w:val="0"/>
              </w:rPr>
              <w:t>－</w:t>
            </w:r>
            <w:r>
              <w:rPr>
                <w:rFonts w:hint="eastAsia"/>
                <w:color w:val="auto"/>
                <w:kern w:val="0"/>
              </w:rPr>
              <w:t>0</w:t>
            </w:r>
            <w:r>
              <w:rPr>
                <w:color w:val="auto"/>
                <w:kern w:val="0"/>
              </w:rPr>
              <w:t>）＋0＋0=</w:t>
            </w:r>
            <w:r>
              <w:rPr>
                <w:rFonts w:hint="eastAsia"/>
                <w:color w:val="auto"/>
                <w:kern w:val="0"/>
              </w:rPr>
              <w:t>36</w:t>
            </w:r>
            <w:r>
              <w:rPr>
                <w:color w:val="auto"/>
                <w:kern w:val="0"/>
              </w:rPr>
              <w:t>m</w:t>
            </w:r>
            <w:r>
              <w:rPr>
                <w:color w:val="auto"/>
                <w:kern w:val="0"/>
                <w:vertAlign w:val="superscript"/>
              </w:rPr>
              <w:t>3</w:t>
            </w:r>
          </w:p>
          <w:p w14:paraId="624BA070">
            <w:pPr>
              <w:pStyle w:val="702"/>
              <w:adjustRightInd/>
              <w:snapToGrid/>
              <w:spacing w:line="360" w:lineRule="auto"/>
              <w:ind w:right="31" w:rightChars="15" w:firstLine="420" w:firstLineChars="200"/>
              <w:rPr>
                <w:rFonts w:eastAsia="宋体"/>
                <w:color w:val="auto"/>
                <w:kern w:val="0"/>
                <w:sz w:val="21"/>
                <w:szCs w:val="21"/>
              </w:rPr>
            </w:pPr>
            <w:r>
              <w:rPr>
                <w:rFonts w:eastAsia="宋体"/>
                <w:b w:val="0"/>
                <w:color w:val="auto"/>
                <w:kern w:val="0"/>
                <w:sz w:val="21"/>
                <w:szCs w:val="21"/>
              </w:rPr>
              <w:t>经计算，</w:t>
            </w:r>
            <w:r>
              <w:rPr>
                <w:rFonts w:hint="eastAsia" w:eastAsia="宋体"/>
                <w:b w:val="0"/>
                <w:color w:val="auto"/>
                <w:kern w:val="0"/>
                <w:sz w:val="21"/>
                <w:szCs w:val="21"/>
              </w:rPr>
              <w:t>企业应急事故废水最大量为36m</w:t>
            </w:r>
            <w:r>
              <w:rPr>
                <w:rFonts w:hint="eastAsia" w:eastAsia="宋体"/>
                <w:b w:val="0"/>
                <w:color w:val="auto"/>
                <w:kern w:val="0"/>
                <w:sz w:val="21"/>
                <w:szCs w:val="21"/>
                <w:vertAlign w:val="superscript"/>
              </w:rPr>
              <w:t>3</w:t>
            </w:r>
            <w:r>
              <w:rPr>
                <w:rFonts w:hint="eastAsia" w:eastAsia="宋体"/>
                <w:b w:val="0"/>
                <w:color w:val="auto"/>
                <w:kern w:val="0"/>
                <w:sz w:val="21"/>
                <w:szCs w:val="21"/>
              </w:rPr>
              <w:t>，企业需设置40m</w:t>
            </w:r>
            <w:r>
              <w:rPr>
                <w:rFonts w:hint="eastAsia" w:eastAsia="宋体"/>
                <w:b w:val="0"/>
                <w:color w:val="auto"/>
                <w:kern w:val="0"/>
                <w:sz w:val="21"/>
                <w:szCs w:val="21"/>
                <w:vertAlign w:val="superscript"/>
              </w:rPr>
              <w:t>3</w:t>
            </w:r>
            <w:r>
              <w:rPr>
                <w:rFonts w:eastAsia="宋体"/>
                <w:b w:val="0"/>
                <w:color w:val="auto"/>
                <w:kern w:val="0"/>
                <w:sz w:val="21"/>
                <w:szCs w:val="21"/>
              </w:rPr>
              <w:t>事故</w:t>
            </w:r>
            <w:r>
              <w:rPr>
                <w:rFonts w:hint="eastAsia" w:eastAsia="宋体"/>
                <w:b w:val="0"/>
                <w:color w:val="auto"/>
                <w:kern w:val="0"/>
                <w:sz w:val="21"/>
                <w:szCs w:val="21"/>
              </w:rPr>
              <w:t>应急池，</w:t>
            </w:r>
            <w:r>
              <w:rPr>
                <w:rFonts w:hint="eastAsia" w:ascii="Times New Roman" w:hAnsi="Times New Roman" w:eastAsia="宋体" w:cs="Times New Roman"/>
                <w:b w:val="0"/>
                <w:bCs w:val="0"/>
                <w:color w:val="auto"/>
                <w:sz w:val="21"/>
                <w:szCs w:val="21"/>
                <w:highlight w:val="none"/>
                <w:lang w:val="en-US" w:eastAsia="zh-CN"/>
              </w:rPr>
              <w:t>近期企业设置应急储罐及切换阀门用于暂存事故废水，远期将按照要求建设40</w:t>
            </w:r>
            <w:r>
              <w:rPr>
                <w:rFonts w:hint="eastAsia" w:ascii="Times New Roman" w:hAnsi="Times New Roman" w:eastAsia="宋体" w:cs="Times New Roman"/>
                <w:b w:val="0"/>
                <w:bCs w:val="0"/>
                <w:color w:val="auto"/>
                <w:sz w:val="21"/>
                <w:szCs w:val="21"/>
                <w:highlight w:val="none"/>
              </w:rPr>
              <w:t>m</w:t>
            </w:r>
            <w:r>
              <w:rPr>
                <w:rFonts w:hint="eastAsia" w:ascii="Times New Roman" w:hAnsi="Times New Roman" w:eastAsia="宋体" w:cs="Times New Roman"/>
                <w:b w:val="0"/>
                <w:bCs w:val="0"/>
                <w:color w:val="auto"/>
                <w:sz w:val="21"/>
                <w:szCs w:val="21"/>
                <w:highlight w:val="none"/>
                <w:vertAlign w:val="superscript"/>
              </w:rPr>
              <w:t>3</w:t>
            </w:r>
            <w:r>
              <w:rPr>
                <w:rFonts w:hint="eastAsia" w:ascii="Times New Roman" w:hAnsi="Times New Roman" w:eastAsia="宋体" w:cs="Times New Roman"/>
                <w:b w:val="0"/>
                <w:bCs w:val="0"/>
                <w:color w:val="auto"/>
                <w:sz w:val="21"/>
                <w:szCs w:val="21"/>
                <w:highlight w:val="none"/>
                <w:lang w:val="en-US" w:eastAsia="zh-CN"/>
              </w:rPr>
              <w:t>事故应急池和切换阀门</w:t>
            </w:r>
            <w:r>
              <w:rPr>
                <w:rFonts w:hint="eastAsia" w:ascii="Times New Roman" w:hAnsi="Times New Roman" w:eastAsia="宋体" w:cs="Times New Roman"/>
                <w:b w:val="0"/>
                <w:color w:val="auto"/>
                <w:sz w:val="21"/>
                <w:szCs w:val="21"/>
                <w:highlight w:val="none"/>
                <w:lang w:val="en-US" w:eastAsia="zh-CN"/>
              </w:rPr>
              <w:t>用于事故状态下事故废水的收集，紧急情况下手动关闭雨水切换阀门，开启通往事故池阀门，将事故废水收集于事故池暂存</w:t>
            </w:r>
            <w:r>
              <w:rPr>
                <w:rFonts w:ascii="Times New Roman" w:hAnsi="Times New Roman" w:eastAsia="宋体" w:cs="Times New Roman"/>
                <w:b w:val="0"/>
                <w:color w:val="auto"/>
                <w:sz w:val="21"/>
                <w:szCs w:val="21"/>
                <w:highlight w:val="none"/>
              </w:rPr>
              <w:t>。</w:t>
            </w:r>
            <w:r>
              <w:rPr>
                <w:rFonts w:eastAsia="宋体"/>
                <w:b w:val="0"/>
                <w:color w:val="auto"/>
                <w:kern w:val="0"/>
                <w:sz w:val="21"/>
                <w:szCs w:val="21"/>
              </w:rPr>
              <w:t>通过完善消防废水收集、处理、排放系统，保证</w:t>
            </w:r>
            <w:r>
              <w:rPr>
                <w:rFonts w:hint="eastAsia" w:eastAsia="宋体"/>
                <w:b w:val="0"/>
                <w:color w:val="auto"/>
                <w:kern w:val="0"/>
                <w:sz w:val="21"/>
                <w:szCs w:val="21"/>
              </w:rPr>
              <w:t>生产车间、仓库以及危废仓库</w:t>
            </w:r>
            <w:r>
              <w:rPr>
                <w:rFonts w:eastAsia="宋体"/>
                <w:b w:val="0"/>
                <w:color w:val="auto"/>
                <w:kern w:val="0"/>
                <w:sz w:val="21"/>
                <w:szCs w:val="21"/>
              </w:rPr>
              <w:t>发生火灾事故时，消防废水等能迅速、安全地集中到事故应急池，然后针对水质实际情况进行必要的处理，避免对评价范围内的周围农田和河流造成影响。</w:t>
            </w:r>
          </w:p>
          <w:p w14:paraId="0200D39C">
            <w:pPr>
              <w:pStyle w:val="2"/>
              <w:ind w:firstLine="422" w:firstLineChars="200"/>
              <w:rPr>
                <w:color w:val="auto"/>
                <w:sz w:val="21"/>
                <w:szCs w:val="21"/>
              </w:rPr>
            </w:pPr>
            <w:r>
              <w:rPr>
                <w:rFonts w:hint="eastAsia"/>
                <w:b/>
                <w:bCs/>
                <w:color w:val="auto"/>
                <w:sz w:val="21"/>
                <w:szCs w:val="21"/>
              </w:rPr>
              <w:t>2）泄漏事故应急措施</w:t>
            </w:r>
          </w:p>
          <w:p w14:paraId="6753ED37">
            <w:pPr>
              <w:adjustRightInd w:val="0"/>
              <w:snapToGrid w:val="0"/>
              <w:spacing w:line="360" w:lineRule="auto"/>
              <w:ind w:firstLine="420" w:firstLineChars="200"/>
              <w:rPr>
                <w:color w:val="auto"/>
                <w:kern w:val="0"/>
              </w:rPr>
            </w:pPr>
            <w:r>
              <w:rPr>
                <w:rFonts w:hint="eastAsia"/>
                <w:color w:val="auto"/>
                <w:kern w:val="0"/>
              </w:rPr>
              <w:t>本项目</w:t>
            </w:r>
            <w:r>
              <w:rPr>
                <w:rFonts w:hint="eastAsia"/>
                <w:color w:val="auto"/>
                <w:sz w:val="21"/>
                <w:szCs w:val="21"/>
                <w:lang w:val="en-US" w:eastAsia="zh-CN"/>
              </w:rPr>
              <w:t>涂料、固化剂、稀释剂、白乳胶、格丽斯擦色剂</w:t>
            </w:r>
            <w:r>
              <w:rPr>
                <w:rFonts w:hint="eastAsia"/>
                <w:color w:val="auto"/>
                <w:sz w:val="21"/>
                <w:szCs w:val="21"/>
              </w:rPr>
              <w:t>暂存于车间仓库</w:t>
            </w:r>
            <w:r>
              <w:rPr>
                <w:rFonts w:hint="eastAsia"/>
                <w:color w:val="auto"/>
                <w:kern w:val="0"/>
              </w:rPr>
              <w:t>，采用桶装，桶底部设有托盘，且仓库地面作防渗处理，即便发生泄漏，也可全部收集于托盘中，</w:t>
            </w:r>
            <w:r>
              <w:rPr>
                <w:color w:val="auto"/>
                <w:kern w:val="0"/>
              </w:rPr>
              <w:t>不会扩散至厂区或厂外环境。</w:t>
            </w:r>
          </w:p>
          <w:p w14:paraId="07BEECC2">
            <w:pPr>
              <w:pStyle w:val="2"/>
              <w:ind w:firstLine="422" w:firstLineChars="200"/>
              <w:rPr>
                <w:b/>
                <w:bCs/>
                <w:color w:val="auto"/>
                <w:sz w:val="21"/>
                <w:szCs w:val="21"/>
              </w:rPr>
            </w:pPr>
            <w:r>
              <w:rPr>
                <w:rFonts w:hint="eastAsia"/>
                <w:b/>
                <w:bCs/>
                <w:color w:val="auto"/>
                <w:sz w:val="21"/>
                <w:szCs w:val="21"/>
              </w:rPr>
              <w:t>3）废气处理装置事故应急措施</w:t>
            </w:r>
          </w:p>
          <w:p w14:paraId="349C4244">
            <w:pPr>
              <w:pStyle w:val="2"/>
              <w:ind w:firstLine="420" w:firstLineChars="200"/>
              <w:rPr>
                <w:b/>
                <w:bCs/>
                <w:color w:val="auto"/>
                <w:sz w:val="21"/>
                <w:szCs w:val="21"/>
              </w:rPr>
            </w:pPr>
            <w:r>
              <w:rPr>
                <w:rFonts w:hint="eastAsia"/>
                <w:color w:val="auto"/>
                <w:sz w:val="21"/>
                <w:szCs w:val="21"/>
              </w:rPr>
              <w:t>现场操作人员发现废气处理装置发生故障后，应立即停止生产，相关人员对废气处理装置进行故障排除，待故障解决、装置运行正常后再进行生产。</w:t>
            </w:r>
          </w:p>
          <w:p w14:paraId="4D0CEF93">
            <w:pPr>
              <w:pStyle w:val="2"/>
              <w:ind w:firstLine="422" w:firstLineChars="200"/>
              <w:rPr>
                <w:b/>
                <w:bCs/>
                <w:color w:val="auto"/>
                <w:sz w:val="21"/>
                <w:szCs w:val="21"/>
              </w:rPr>
            </w:pPr>
            <w:r>
              <w:rPr>
                <w:b/>
                <w:bCs/>
                <w:color w:val="auto"/>
                <w:sz w:val="21"/>
                <w:szCs w:val="21"/>
              </w:rPr>
              <w:t>③突发事故对策和应急预案</w:t>
            </w:r>
          </w:p>
          <w:p w14:paraId="1B546180">
            <w:pPr>
              <w:pStyle w:val="106"/>
              <w:snapToGrid w:val="0"/>
              <w:spacing w:line="360" w:lineRule="auto"/>
              <w:ind w:firstLine="420" w:firstLineChars="200"/>
              <w:jc w:val="both"/>
              <w:outlineLvl w:val="9"/>
              <w:rPr>
                <w:rFonts w:ascii="Times New Roman" w:eastAsia="宋体"/>
                <w:color w:val="auto"/>
                <w:kern w:val="0"/>
                <w:sz w:val="21"/>
                <w:szCs w:val="21"/>
              </w:rPr>
            </w:pPr>
            <w:r>
              <w:rPr>
                <w:rFonts w:ascii="Times New Roman" w:eastAsia="宋体" w:cs="Times New Roman"/>
                <w:b w:val="0"/>
                <w:bCs/>
                <w:color w:val="auto"/>
                <w:kern w:val="0"/>
                <w:sz w:val="21"/>
                <w:szCs w:val="21"/>
              </w:rPr>
              <w:t>参照《国家突发环境事件应急预案》《突发环境事件信息报告办法》《江苏省突发环境事件应急预案》，根据</w:t>
            </w:r>
            <w:r>
              <w:rPr>
                <w:rFonts w:hint="eastAsia" w:ascii="Times New Roman" w:eastAsia="宋体" w:cs="Times New Roman"/>
                <w:b w:val="0"/>
                <w:bCs/>
                <w:color w:val="auto"/>
                <w:kern w:val="0"/>
                <w:sz w:val="21"/>
                <w:szCs w:val="21"/>
              </w:rPr>
              <w:t>企业</w:t>
            </w:r>
            <w:r>
              <w:rPr>
                <w:rFonts w:ascii="Times New Roman" w:eastAsia="宋体" w:cs="Times New Roman"/>
                <w:b w:val="0"/>
                <w:bCs/>
                <w:color w:val="auto"/>
                <w:kern w:val="0"/>
                <w:sz w:val="21"/>
                <w:szCs w:val="21"/>
              </w:rPr>
              <w:t>可能发生的突发环境事件的性质、严重程度、可控性、影响范围等因素，</w:t>
            </w:r>
            <w:r>
              <w:rPr>
                <w:rFonts w:ascii="Times New Roman" w:eastAsia="宋体"/>
                <w:b w:val="0"/>
                <w:bCs/>
                <w:color w:val="auto"/>
                <w:kern w:val="0"/>
                <w:sz w:val="21"/>
                <w:szCs w:val="21"/>
              </w:rPr>
              <w:t>公司应根据下表的详细要求制定突发事故对策和应急预案，一旦出现突发事故，必须按事先拟定的方案进行紧急处理。应急对策和预案的内容及要求如下表：</w:t>
            </w:r>
          </w:p>
          <w:p w14:paraId="05D90A01">
            <w:pPr>
              <w:jc w:val="center"/>
              <w:rPr>
                <w:b/>
                <w:color w:val="auto"/>
                <w:kern w:val="0"/>
              </w:rPr>
            </w:pPr>
            <w:r>
              <w:rPr>
                <w:b/>
                <w:color w:val="auto"/>
                <w:kern w:val="0"/>
              </w:rPr>
              <w:t>表4-</w:t>
            </w:r>
            <w:r>
              <w:rPr>
                <w:rFonts w:hint="eastAsia"/>
                <w:b/>
                <w:color w:val="auto"/>
                <w:kern w:val="0"/>
                <w:lang w:val="en-US" w:eastAsia="zh-CN"/>
              </w:rPr>
              <w:t>30</w:t>
            </w:r>
            <w:r>
              <w:rPr>
                <w:b/>
                <w:color w:val="auto"/>
                <w:kern w:val="0"/>
              </w:rPr>
              <w:t xml:space="preserve"> </w:t>
            </w:r>
            <w:r>
              <w:rPr>
                <w:rFonts w:hint="eastAsia"/>
                <w:b/>
                <w:color w:val="auto"/>
                <w:kern w:val="0"/>
              </w:rPr>
              <w:t xml:space="preserve">  </w:t>
            </w:r>
            <w:r>
              <w:rPr>
                <w:b/>
                <w:color w:val="auto"/>
                <w:kern w:val="0"/>
              </w:rPr>
              <w:t>应急预案内容</w:t>
            </w:r>
          </w:p>
          <w:tbl>
            <w:tblPr>
              <w:tblStyle w:val="59"/>
              <w:tblW w:w="4999"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831"/>
              <w:gridCol w:w="3114"/>
              <w:gridCol w:w="4914"/>
            </w:tblGrid>
            <w:tr w14:paraId="598DBD4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469" w:type="pct"/>
                  <w:vAlign w:val="center"/>
                </w:tcPr>
                <w:p w14:paraId="34525717">
                  <w:pPr>
                    <w:adjustRightInd w:val="0"/>
                    <w:snapToGrid w:val="0"/>
                    <w:ind w:left="63" w:leftChars="30" w:right="63" w:rightChars="30"/>
                    <w:jc w:val="center"/>
                    <w:rPr>
                      <w:b/>
                      <w:bCs/>
                      <w:color w:val="auto"/>
                      <w:kern w:val="0"/>
                    </w:rPr>
                  </w:pPr>
                  <w:r>
                    <w:rPr>
                      <w:b/>
                      <w:bCs/>
                      <w:color w:val="auto"/>
                      <w:kern w:val="0"/>
                    </w:rPr>
                    <w:t>序号</w:t>
                  </w:r>
                </w:p>
              </w:tc>
              <w:tc>
                <w:tcPr>
                  <w:tcW w:w="1757" w:type="pct"/>
                  <w:vAlign w:val="center"/>
                </w:tcPr>
                <w:p w14:paraId="2C614CE0">
                  <w:pPr>
                    <w:adjustRightInd w:val="0"/>
                    <w:snapToGrid w:val="0"/>
                    <w:ind w:left="63" w:leftChars="30" w:right="63" w:rightChars="30"/>
                    <w:jc w:val="center"/>
                    <w:rPr>
                      <w:b/>
                      <w:bCs/>
                      <w:color w:val="auto"/>
                      <w:kern w:val="0"/>
                    </w:rPr>
                  </w:pPr>
                  <w:r>
                    <w:rPr>
                      <w:b/>
                      <w:bCs/>
                      <w:color w:val="auto"/>
                      <w:kern w:val="0"/>
                    </w:rPr>
                    <w:t>项目</w:t>
                  </w:r>
                </w:p>
              </w:tc>
              <w:tc>
                <w:tcPr>
                  <w:tcW w:w="2772" w:type="pct"/>
                  <w:vAlign w:val="center"/>
                </w:tcPr>
                <w:p w14:paraId="2E85C0D6">
                  <w:pPr>
                    <w:adjustRightInd w:val="0"/>
                    <w:snapToGrid w:val="0"/>
                    <w:ind w:left="63" w:leftChars="30" w:right="63" w:rightChars="30"/>
                    <w:jc w:val="center"/>
                    <w:rPr>
                      <w:b/>
                      <w:bCs/>
                      <w:color w:val="auto"/>
                      <w:kern w:val="0"/>
                    </w:rPr>
                  </w:pPr>
                  <w:r>
                    <w:rPr>
                      <w:b/>
                      <w:bCs/>
                      <w:color w:val="auto"/>
                      <w:kern w:val="0"/>
                    </w:rPr>
                    <w:t>内容及要求</w:t>
                  </w:r>
                </w:p>
              </w:tc>
            </w:tr>
            <w:tr w14:paraId="3DC8413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469" w:type="pct"/>
                  <w:vAlign w:val="center"/>
                </w:tcPr>
                <w:p w14:paraId="514AD393">
                  <w:pPr>
                    <w:adjustRightInd w:val="0"/>
                    <w:snapToGrid w:val="0"/>
                    <w:ind w:left="63" w:leftChars="30" w:right="63" w:rightChars="30"/>
                    <w:jc w:val="center"/>
                    <w:rPr>
                      <w:color w:val="auto"/>
                      <w:kern w:val="0"/>
                    </w:rPr>
                  </w:pPr>
                  <w:r>
                    <w:rPr>
                      <w:color w:val="auto"/>
                      <w:kern w:val="0"/>
                    </w:rPr>
                    <w:t>1</w:t>
                  </w:r>
                </w:p>
              </w:tc>
              <w:tc>
                <w:tcPr>
                  <w:tcW w:w="1757" w:type="pct"/>
                  <w:vAlign w:val="center"/>
                </w:tcPr>
                <w:p w14:paraId="38A38E32">
                  <w:pPr>
                    <w:adjustRightInd w:val="0"/>
                    <w:snapToGrid w:val="0"/>
                    <w:ind w:left="63" w:leftChars="30" w:right="63" w:rightChars="30"/>
                    <w:jc w:val="center"/>
                    <w:rPr>
                      <w:color w:val="auto"/>
                      <w:kern w:val="0"/>
                    </w:rPr>
                  </w:pPr>
                  <w:r>
                    <w:rPr>
                      <w:color w:val="auto"/>
                      <w:kern w:val="0"/>
                    </w:rPr>
                    <w:t>应急计划区</w:t>
                  </w:r>
                </w:p>
              </w:tc>
              <w:tc>
                <w:tcPr>
                  <w:tcW w:w="2772" w:type="pct"/>
                  <w:vAlign w:val="center"/>
                </w:tcPr>
                <w:p w14:paraId="249A3802">
                  <w:pPr>
                    <w:adjustRightInd w:val="0"/>
                    <w:snapToGrid w:val="0"/>
                    <w:ind w:left="63" w:leftChars="30" w:right="63" w:rightChars="30"/>
                    <w:jc w:val="center"/>
                    <w:rPr>
                      <w:color w:val="auto"/>
                      <w:kern w:val="0"/>
                    </w:rPr>
                  </w:pPr>
                  <w:r>
                    <w:rPr>
                      <w:color w:val="auto"/>
                      <w:kern w:val="0"/>
                    </w:rPr>
                    <w:t>危险目标：</w:t>
                  </w:r>
                  <w:r>
                    <w:rPr>
                      <w:rFonts w:hint="eastAsia"/>
                      <w:color w:val="auto"/>
                      <w:kern w:val="0"/>
                    </w:rPr>
                    <w:t>危废仓库</w:t>
                  </w:r>
                  <w:r>
                    <w:rPr>
                      <w:color w:val="auto"/>
                      <w:kern w:val="0"/>
                    </w:rPr>
                    <w:t>、环境保护目标等</w:t>
                  </w:r>
                </w:p>
              </w:tc>
            </w:tr>
            <w:tr w14:paraId="6D8AF4A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469" w:type="pct"/>
                  <w:vAlign w:val="center"/>
                </w:tcPr>
                <w:p w14:paraId="3ED9874A">
                  <w:pPr>
                    <w:adjustRightInd w:val="0"/>
                    <w:snapToGrid w:val="0"/>
                    <w:ind w:left="63" w:leftChars="30" w:right="63" w:rightChars="30"/>
                    <w:jc w:val="center"/>
                    <w:rPr>
                      <w:color w:val="auto"/>
                      <w:kern w:val="0"/>
                    </w:rPr>
                  </w:pPr>
                  <w:r>
                    <w:rPr>
                      <w:color w:val="auto"/>
                      <w:kern w:val="0"/>
                    </w:rPr>
                    <w:t>2</w:t>
                  </w:r>
                </w:p>
              </w:tc>
              <w:tc>
                <w:tcPr>
                  <w:tcW w:w="1757" w:type="pct"/>
                  <w:vAlign w:val="center"/>
                </w:tcPr>
                <w:p w14:paraId="35283DE1">
                  <w:pPr>
                    <w:adjustRightInd w:val="0"/>
                    <w:snapToGrid w:val="0"/>
                    <w:ind w:left="63" w:leftChars="30" w:right="63" w:rightChars="30"/>
                    <w:jc w:val="center"/>
                    <w:rPr>
                      <w:color w:val="auto"/>
                      <w:kern w:val="0"/>
                    </w:rPr>
                  </w:pPr>
                  <w:r>
                    <w:rPr>
                      <w:color w:val="auto"/>
                      <w:kern w:val="0"/>
                    </w:rPr>
                    <w:t>应急组织机构、人员</w:t>
                  </w:r>
                </w:p>
              </w:tc>
              <w:tc>
                <w:tcPr>
                  <w:tcW w:w="2772" w:type="pct"/>
                  <w:vAlign w:val="center"/>
                </w:tcPr>
                <w:p w14:paraId="2F8D65A8">
                  <w:pPr>
                    <w:adjustRightInd w:val="0"/>
                    <w:snapToGrid w:val="0"/>
                    <w:ind w:left="63" w:leftChars="30" w:right="63" w:rightChars="30"/>
                    <w:jc w:val="center"/>
                    <w:rPr>
                      <w:color w:val="auto"/>
                      <w:kern w:val="0"/>
                    </w:rPr>
                  </w:pPr>
                  <w:r>
                    <w:rPr>
                      <w:color w:val="auto"/>
                      <w:kern w:val="0"/>
                    </w:rPr>
                    <w:t>工厂、地区应急组织机构、人员</w:t>
                  </w:r>
                </w:p>
              </w:tc>
            </w:tr>
            <w:tr w14:paraId="796DA134">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469" w:type="pct"/>
                  <w:vAlign w:val="center"/>
                </w:tcPr>
                <w:p w14:paraId="4BE974BC">
                  <w:pPr>
                    <w:adjustRightInd w:val="0"/>
                    <w:snapToGrid w:val="0"/>
                    <w:ind w:left="63" w:leftChars="30" w:right="63" w:rightChars="30"/>
                    <w:jc w:val="center"/>
                    <w:rPr>
                      <w:color w:val="auto"/>
                      <w:kern w:val="0"/>
                    </w:rPr>
                  </w:pPr>
                  <w:r>
                    <w:rPr>
                      <w:color w:val="auto"/>
                      <w:kern w:val="0"/>
                    </w:rPr>
                    <w:t>3</w:t>
                  </w:r>
                </w:p>
              </w:tc>
              <w:tc>
                <w:tcPr>
                  <w:tcW w:w="1757" w:type="pct"/>
                  <w:vAlign w:val="center"/>
                </w:tcPr>
                <w:p w14:paraId="16EC1839">
                  <w:pPr>
                    <w:adjustRightInd w:val="0"/>
                    <w:snapToGrid w:val="0"/>
                    <w:ind w:left="63" w:leftChars="30" w:right="63" w:rightChars="30"/>
                    <w:jc w:val="center"/>
                    <w:rPr>
                      <w:color w:val="auto"/>
                      <w:kern w:val="0"/>
                    </w:rPr>
                  </w:pPr>
                  <w:r>
                    <w:rPr>
                      <w:color w:val="auto"/>
                      <w:kern w:val="0"/>
                    </w:rPr>
                    <w:t>预案分级响应条件</w:t>
                  </w:r>
                </w:p>
              </w:tc>
              <w:tc>
                <w:tcPr>
                  <w:tcW w:w="2772" w:type="pct"/>
                  <w:vAlign w:val="center"/>
                </w:tcPr>
                <w:p w14:paraId="5C6AA5BE">
                  <w:pPr>
                    <w:adjustRightInd w:val="0"/>
                    <w:snapToGrid w:val="0"/>
                    <w:ind w:left="63" w:leftChars="30" w:right="63" w:rightChars="30"/>
                    <w:jc w:val="center"/>
                    <w:rPr>
                      <w:color w:val="auto"/>
                      <w:kern w:val="0"/>
                    </w:rPr>
                  </w:pPr>
                  <w:r>
                    <w:rPr>
                      <w:color w:val="auto"/>
                      <w:kern w:val="0"/>
                    </w:rPr>
                    <w:t>规定预案的级别及分级响应程序</w:t>
                  </w:r>
                </w:p>
              </w:tc>
            </w:tr>
            <w:tr w14:paraId="0E184B48">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469" w:type="pct"/>
                  <w:vAlign w:val="center"/>
                </w:tcPr>
                <w:p w14:paraId="088E3CA9">
                  <w:pPr>
                    <w:adjustRightInd w:val="0"/>
                    <w:snapToGrid w:val="0"/>
                    <w:ind w:left="63" w:leftChars="30" w:right="63" w:rightChars="30"/>
                    <w:jc w:val="center"/>
                    <w:rPr>
                      <w:color w:val="auto"/>
                      <w:kern w:val="0"/>
                    </w:rPr>
                  </w:pPr>
                  <w:r>
                    <w:rPr>
                      <w:color w:val="auto"/>
                      <w:kern w:val="0"/>
                    </w:rPr>
                    <w:t>4</w:t>
                  </w:r>
                </w:p>
              </w:tc>
              <w:tc>
                <w:tcPr>
                  <w:tcW w:w="1757" w:type="pct"/>
                  <w:vAlign w:val="center"/>
                </w:tcPr>
                <w:p w14:paraId="13AC2B49">
                  <w:pPr>
                    <w:adjustRightInd w:val="0"/>
                    <w:snapToGrid w:val="0"/>
                    <w:ind w:left="63" w:leftChars="30" w:right="63" w:rightChars="30"/>
                    <w:jc w:val="center"/>
                    <w:rPr>
                      <w:color w:val="auto"/>
                      <w:kern w:val="0"/>
                    </w:rPr>
                  </w:pPr>
                  <w:r>
                    <w:rPr>
                      <w:color w:val="auto"/>
                      <w:kern w:val="0"/>
                    </w:rPr>
                    <w:t>应急救援保障</w:t>
                  </w:r>
                </w:p>
              </w:tc>
              <w:tc>
                <w:tcPr>
                  <w:tcW w:w="2772" w:type="pct"/>
                  <w:vAlign w:val="center"/>
                </w:tcPr>
                <w:p w14:paraId="02E12AD2">
                  <w:pPr>
                    <w:adjustRightInd w:val="0"/>
                    <w:snapToGrid w:val="0"/>
                    <w:ind w:left="63" w:leftChars="30" w:right="63" w:rightChars="30"/>
                    <w:jc w:val="center"/>
                    <w:rPr>
                      <w:color w:val="auto"/>
                      <w:kern w:val="0"/>
                    </w:rPr>
                  </w:pPr>
                  <w:r>
                    <w:rPr>
                      <w:color w:val="auto"/>
                      <w:kern w:val="0"/>
                    </w:rPr>
                    <w:t>应急设施，设备与器材等</w:t>
                  </w:r>
                </w:p>
              </w:tc>
            </w:tr>
            <w:tr w14:paraId="4F46136D">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469" w:type="pct"/>
                  <w:vAlign w:val="center"/>
                </w:tcPr>
                <w:p w14:paraId="6169CDA6">
                  <w:pPr>
                    <w:adjustRightInd w:val="0"/>
                    <w:snapToGrid w:val="0"/>
                    <w:ind w:left="63" w:leftChars="30" w:right="63" w:rightChars="30"/>
                    <w:jc w:val="center"/>
                    <w:rPr>
                      <w:color w:val="auto"/>
                      <w:kern w:val="0"/>
                    </w:rPr>
                  </w:pPr>
                  <w:r>
                    <w:rPr>
                      <w:color w:val="auto"/>
                      <w:kern w:val="0"/>
                    </w:rPr>
                    <w:t>5</w:t>
                  </w:r>
                </w:p>
              </w:tc>
              <w:tc>
                <w:tcPr>
                  <w:tcW w:w="1757" w:type="pct"/>
                  <w:vAlign w:val="center"/>
                </w:tcPr>
                <w:p w14:paraId="7F67C8A4">
                  <w:pPr>
                    <w:adjustRightInd w:val="0"/>
                    <w:snapToGrid w:val="0"/>
                    <w:ind w:left="63" w:leftChars="30" w:right="63" w:rightChars="30"/>
                    <w:jc w:val="center"/>
                    <w:rPr>
                      <w:color w:val="auto"/>
                      <w:kern w:val="0"/>
                    </w:rPr>
                  </w:pPr>
                  <w:r>
                    <w:rPr>
                      <w:color w:val="auto"/>
                      <w:kern w:val="0"/>
                    </w:rPr>
                    <w:t>报警、通讯联络方式</w:t>
                  </w:r>
                </w:p>
              </w:tc>
              <w:tc>
                <w:tcPr>
                  <w:tcW w:w="2772" w:type="pct"/>
                  <w:vAlign w:val="center"/>
                </w:tcPr>
                <w:p w14:paraId="67DCF382">
                  <w:pPr>
                    <w:adjustRightInd w:val="0"/>
                    <w:snapToGrid w:val="0"/>
                    <w:ind w:left="63" w:leftChars="30" w:right="63" w:rightChars="30"/>
                    <w:jc w:val="center"/>
                    <w:rPr>
                      <w:color w:val="auto"/>
                      <w:kern w:val="0"/>
                    </w:rPr>
                  </w:pPr>
                  <w:r>
                    <w:rPr>
                      <w:color w:val="auto"/>
                      <w:kern w:val="0"/>
                    </w:rPr>
                    <w:t>规定应急状态下的报警通讯方式、通知方式和交通保障、管制</w:t>
                  </w:r>
                </w:p>
              </w:tc>
            </w:tr>
            <w:tr w14:paraId="22E4B13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469" w:type="pct"/>
                  <w:vAlign w:val="center"/>
                </w:tcPr>
                <w:p w14:paraId="562DB069">
                  <w:pPr>
                    <w:adjustRightInd w:val="0"/>
                    <w:snapToGrid w:val="0"/>
                    <w:ind w:left="63" w:leftChars="30" w:right="63" w:rightChars="30"/>
                    <w:jc w:val="center"/>
                    <w:rPr>
                      <w:color w:val="auto"/>
                      <w:kern w:val="0"/>
                    </w:rPr>
                  </w:pPr>
                  <w:r>
                    <w:rPr>
                      <w:color w:val="auto"/>
                      <w:kern w:val="0"/>
                    </w:rPr>
                    <w:t>6</w:t>
                  </w:r>
                </w:p>
              </w:tc>
              <w:tc>
                <w:tcPr>
                  <w:tcW w:w="1757" w:type="pct"/>
                  <w:vAlign w:val="center"/>
                </w:tcPr>
                <w:p w14:paraId="3F973B0B">
                  <w:pPr>
                    <w:adjustRightInd w:val="0"/>
                    <w:snapToGrid w:val="0"/>
                    <w:ind w:left="63" w:leftChars="30" w:right="63" w:rightChars="30"/>
                    <w:jc w:val="center"/>
                    <w:rPr>
                      <w:color w:val="auto"/>
                      <w:kern w:val="0"/>
                    </w:rPr>
                  </w:pPr>
                  <w:r>
                    <w:rPr>
                      <w:color w:val="auto"/>
                      <w:kern w:val="0"/>
                    </w:rPr>
                    <w:t>应急检测、防护措施、器材</w:t>
                  </w:r>
                </w:p>
              </w:tc>
              <w:tc>
                <w:tcPr>
                  <w:tcW w:w="2772" w:type="pct"/>
                  <w:vAlign w:val="center"/>
                </w:tcPr>
                <w:p w14:paraId="35F5D055">
                  <w:pPr>
                    <w:pStyle w:val="619"/>
                    <w:adjustRightInd w:val="0"/>
                    <w:snapToGrid w:val="0"/>
                    <w:ind w:left="63" w:leftChars="30" w:right="63" w:rightChars="30"/>
                    <w:jc w:val="center"/>
                    <w:rPr>
                      <w:color w:val="auto"/>
                      <w:kern w:val="0"/>
                    </w:rPr>
                  </w:pPr>
                  <w:r>
                    <w:rPr>
                      <w:color w:val="auto"/>
                      <w:kern w:val="0"/>
                    </w:rPr>
                    <w:t>事故现场、邻近区域、控制防火区域，控制和清除污染措施及相应设备</w:t>
                  </w:r>
                </w:p>
              </w:tc>
            </w:tr>
            <w:tr w14:paraId="1F2E9AB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469" w:type="pct"/>
                  <w:vAlign w:val="center"/>
                </w:tcPr>
                <w:p w14:paraId="73F9E8D4">
                  <w:pPr>
                    <w:adjustRightInd w:val="0"/>
                    <w:snapToGrid w:val="0"/>
                    <w:ind w:left="63" w:leftChars="30" w:right="63" w:rightChars="30"/>
                    <w:jc w:val="center"/>
                    <w:rPr>
                      <w:color w:val="auto"/>
                      <w:kern w:val="0"/>
                    </w:rPr>
                  </w:pPr>
                  <w:r>
                    <w:rPr>
                      <w:color w:val="auto"/>
                      <w:kern w:val="0"/>
                    </w:rPr>
                    <w:t>7</w:t>
                  </w:r>
                </w:p>
              </w:tc>
              <w:tc>
                <w:tcPr>
                  <w:tcW w:w="1757" w:type="pct"/>
                  <w:vAlign w:val="center"/>
                </w:tcPr>
                <w:p w14:paraId="405AA7B0">
                  <w:pPr>
                    <w:adjustRightInd w:val="0"/>
                    <w:snapToGrid w:val="0"/>
                    <w:ind w:left="63" w:leftChars="30" w:right="63" w:rightChars="30"/>
                    <w:jc w:val="center"/>
                    <w:rPr>
                      <w:color w:val="auto"/>
                      <w:kern w:val="0"/>
                    </w:rPr>
                  </w:pPr>
                  <w:r>
                    <w:rPr>
                      <w:color w:val="auto"/>
                      <w:kern w:val="0"/>
                    </w:rPr>
                    <w:t>人员紧急撤离、疏散，应急剂量控制、撤离组织计划</w:t>
                  </w:r>
                </w:p>
              </w:tc>
              <w:tc>
                <w:tcPr>
                  <w:tcW w:w="2772" w:type="pct"/>
                  <w:vAlign w:val="center"/>
                </w:tcPr>
                <w:p w14:paraId="313B7785">
                  <w:pPr>
                    <w:adjustRightInd w:val="0"/>
                    <w:snapToGrid w:val="0"/>
                    <w:ind w:left="63" w:leftChars="30" w:right="63" w:rightChars="30"/>
                    <w:jc w:val="center"/>
                    <w:rPr>
                      <w:color w:val="auto"/>
                      <w:kern w:val="0"/>
                    </w:rPr>
                  </w:pPr>
                  <w:r>
                    <w:rPr>
                      <w:color w:val="auto"/>
                      <w:kern w:val="0"/>
                    </w:rPr>
                    <w:t>事故现场、工厂邻近区、受事故影响的区域人员及公众对毒物应急剂量控制规定，撤离组织计划及救护，医疗救护与公众健康</w:t>
                  </w:r>
                </w:p>
              </w:tc>
            </w:tr>
            <w:tr w14:paraId="421E86E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469" w:type="pct"/>
                  <w:vAlign w:val="center"/>
                </w:tcPr>
                <w:p w14:paraId="51C54F68">
                  <w:pPr>
                    <w:adjustRightInd w:val="0"/>
                    <w:snapToGrid w:val="0"/>
                    <w:ind w:left="63" w:leftChars="30" w:right="63" w:rightChars="30"/>
                    <w:jc w:val="center"/>
                    <w:rPr>
                      <w:color w:val="auto"/>
                      <w:kern w:val="0"/>
                    </w:rPr>
                  </w:pPr>
                  <w:r>
                    <w:rPr>
                      <w:color w:val="auto"/>
                      <w:kern w:val="0"/>
                    </w:rPr>
                    <w:t>8</w:t>
                  </w:r>
                </w:p>
              </w:tc>
              <w:tc>
                <w:tcPr>
                  <w:tcW w:w="1757" w:type="pct"/>
                  <w:vAlign w:val="center"/>
                </w:tcPr>
                <w:p w14:paraId="21B6DE21">
                  <w:pPr>
                    <w:adjustRightInd w:val="0"/>
                    <w:snapToGrid w:val="0"/>
                    <w:ind w:left="63" w:leftChars="30" w:right="63" w:rightChars="30"/>
                    <w:jc w:val="center"/>
                    <w:rPr>
                      <w:color w:val="auto"/>
                      <w:kern w:val="0"/>
                    </w:rPr>
                  </w:pPr>
                  <w:r>
                    <w:rPr>
                      <w:color w:val="auto"/>
                      <w:kern w:val="0"/>
                    </w:rPr>
                    <w:t>事故应急救援关闭程序与恢复措施</w:t>
                  </w:r>
                </w:p>
              </w:tc>
              <w:tc>
                <w:tcPr>
                  <w:tcW w:w="2772" w:type="pct"/>
                  <w:vAlign w:val="center"/>
                </w:tcPr>
                <w:p w14:paraId="04C6F2A0">
                  <w:pPr>
                    <w:adjustRightInd w:val="0"/>
                    <w:snapToGrid w:val="0"/>
                    <w:ind w:left="63" w:leftChars="30" w:right="63" w:rightChars="30"/>
                    <w:jc w:val="center"/>
                    <w:rPr>
                      <w:color w:val="auto"/>
                      <w:kern w:val="0"/>
                    </w:rPr>
                  </w:pPr>
                  <w:r>
                    <w:rPr>
                      <w:color w:val="auto"/>
                      <w:kern w:val="0"/>
                    </w:rPr>
                    <w:t>规定应急状态终止程序</w:t>
                  </w:r>
                </w:p>
                <w:p w14:paraId="7606142C">
                  <w:pPr>
                    <w:adjustRightInd w:val="0"/>
                    <w:snapToGrid w:val="0"/>
                    <w:ind w:left="63" w:leftChars="30" w:right="63" w:rightChars="30"/>
                    <w:jc w:val="center"/>
                    <w:rPr>
                      <w:color w:val="auto"/>
                      <w:kern w:val="0"/>
                    </w:rPr>
                  </w:pPr>
                  <w:r>
                    <w:rPr>
                      <w:color w:val="auto"/>
                      <w:kern w:val="0"/>
                    </w:rPr>
                    <w:t>事故现场善后处理，恢复措施</w:t>
                  </w:r>
                </w:p>
                <w:p w14:paraId="27048BCF">
                  <w:pPr>
                    <w:adjustRightInd w:val="0"/>
                    <w:snapToGrid w:val="0"/>
                    <w:ind w:left="63" w:leftChars="30" w:right="63" w:rightChars="30"/>
                    <w:jc w:val="center"/>
                    <w:rPr>
                      <w:color w:val="auto"/>
                      <w:kern w:val="0"/>
                    </w:rPr>
                  </w:pPr>
                  <w:r>
                    <w:rPr>
                      <w:color w:val="auto"/>
                      <w:kern w:val="0"/>
                    </w:rPr>
                    <w:t>邻近区域解除事故警戒及善后恢复措施</w:t>
                  </w:r>
                </w:p>
              </w:tc>
            </w:tr>
            <w:tr w14:paraId="537847C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469" w:type="pct"/>
                  <w:vAlign w:val="center"/>
                </w:tcPr>
                <w:p w14:paraId="33B91776">
                  <w:pPr>
                    <w:adjustRightInd w:val="0"/>
                    <w:snapToGrid w:val="0"/>
                    <w:ind w:left="63" w:leftChars="30" w:right="63" w:rightChars="30"/>
                    <w:jc w:val="center"/>
                    <w:rPr>
                      <w:color w:val="auto"/>
                      <w:kern w:val="0"/>
                    </w:rPr>
                  </w:pPr>
                  <w:r>
                    <w:rPr>
                      <w:color w:val="auto"/>
                      <w:kern w:val="0"/>
                    </w:rPr>
                    <w:t>9</w:t>
                  </w:r>
                </w:p>
              </w:tc>
              <w:tc>
                <w:tcPr>
                  <w:tcW w:w="1757" w:type="pct"/>
                  <w:vAlign w:val="center"/>
                </w:tcPr>
                <w:p w14:paraId="1D5CF907">
                  <w:pPr>
                    <w:adjustRightInd w:val="0"/>
                    <w:snapToGrid w:val="0"/>
                    <w:ind w:left="63" w:leftChars="30" w:right="63" w:rightChars="30"/>
                    <w:jc w:val="center"/>
                    <w:rPr>
                      <w:color w:val="auto"/>
                      <w:kern w:val="0"/>
                    </w:rPr>
                  </w:pPr>
                  <w:r>
                    <w:rPr>
                      <w:color w:val="auto"/>
                      <w:kern w:val="0"/>
                    </w:rPr>
                    <w:t>应急培训计划</w:t>
                  </w:r>
                </w:p>
              </w:tc>
              <w:tc>
                <w:tcPr>
                  <w:tcW w:w="2772" w:type="pct"/>
                  <w:vAlign w:val="center"/>
                </w:tcPr>
                <w:p w14:paraId="1A3F0726">
                  <w:pPr>
                    <w:adjustRightInd w:val="0"/>
                    <w:snapToGrid w:val="0"/>
                    <w:ind w:left="63" w:leftChars="30" w:right="63" w:rightChars="30"/>
                    <w:jc w:val="center"/>
                    <w:rPr>
                      <w:color w:val="auto"/>
                      <w:kern w:val="0"/>
                    </w:rPr>
                  </w:pPr>
                  <w:r>
                    <w:rPr>
                      <w:color w:val="auto"/>
                      <w:kern w:val="0"/>
                    </w:rPr>
                    <w:t>应急计划制定后，平时安排人员培训与演练</w:t>
                  </w:r>
                </w:p>
              </w:tc>
            </w:tr>
          </w:tbl>
          <w:p w14:paraId="0A524A37">
            <w:pPr>
              <w:adjustRightInd w:val="0"/>
              <w:snapToGrid w:val="0"/>
              <w:spacing w:line="360" w:lineRule="auto"/>
              <w:ind w:firstLine="420" w:firstLineChars="200"/>
              <w:rPr>
                <w:color w:val="auto"/>
                <w:kern w:val="0"/>
              </w:rPr>
            </w:pPr>
            <w:r>
              <w:rPr>
                <w:color w:val="auto"/>
                <w:kern w:val="0"/>
              </w:rPr>
              <w:t>建议建设单位应采用严格的国际通用的安全防范体系，完善现有的管理规程、作业规章和应急计划，预警和应急裝置，在出现预警情况时能及时处理，消除事故隐患，发生事故时有相应的安全应急措施，企业内部制定严格的管理条例和岗位责任制，加强职工的安全生产教育，提高风险意识。通过上述风险控制对策，本项目可最大限度地降低环境风险，一旦意外事件发生，也能最大限度地减少环境污染危害和人民生命财产的损失。</w:t>
            </w:r>
          </w:p>
          <w:p w14:paraId="5A221284">
            <w:pPr>
              <w:pStyle w:val="697"/>
              <w:adjustRightInd w:val="0"/>
              <w:snapToGrid w:val="0"/>
              <w:spacing w:line="360" w:lineRule="auto"/>
              <w:ind w:firstLine="422"/>
              <w:rPr>
                <w:rFonts w:eastAsia="宋体"/>
                <w:b/>
                <w:bCs/>
                <w:color w:val="auto"/>
                <w:kern w:val="0"/>
                <w:sz w:val="21"/>
                <w:szCs w:val="21"/>
              </w:rPr>
            </w:pPr>
            <w:r>
              <w:rPr>
                <w:rFonts w:hint="eastAsia" w:eastAsia="宋体"/>
                <w:b/>
                <w:bCs/>
                <w:color w:val="auto"/>
                <w:kern w:val="0"/>
                <w:sz w:val="21"/>
                <w:szCs w:val="21"/>
              </w:rPr>
              <w:t>（3）</w:t>
            </w:r>
            <w:r>
              <w:rPr>
                <w:rFonts w:eastAsia="宋体"/>
                <w:b/>
                <w:bCs/>
                <w:color w:val="auto"/>
                <w:kern w:val="0"/>
                <w:sz w:val="21"/>
                <w:szCs w:val="21"/>
              </w:rPr>
              <w:t>环境风险结论</w:t>
            </w:r>
          </w:p>
          <w:p w14:paraId="3A4BC019">
            <w:pPr>
              <w:adjustRightInd w:val="0"/>
              <w:snapToGrid w:val="0"/>
              <w:spacing w:line="360" w:lineRule="auto"/>
              <w:ind w:firstLine="420" w:firstLineChars="200"/>
              <w:rPr>
                <w:color w:val="auto"/>
                <w:kern w:val="0"/>
              </w:rPr>
            </w:pPr>
            <w:r>
              <w:rPr>
                <w:color w:val="auto"/>
                <w:kern w:val="0"/>
              </w:rPr>
              <w:t>综上所述，本厂区应设立风险防范措施，最大限度防止风险事故的发生并进行有效处置，结合企业在下一步设计、运营过程中不断制定和完善的风险防范和应急措施，将发生环境风险的可能性降至最低。在各环境风险防范措施落实到位的情况下，将可大大降低本项目的环境风险，最大程度减少对环境可能造成的危害。</w:t>
            </w:r>
          </w:p>
          <w:p w14:paraId="496950CC">
            <w:pPr>
              <w:pStyle w:val="697"/>
              <w:adjustRightInd w:val="0"/>
              <w:snapToGrid w:val="0"/>
              <w:spacing w:line="360" w:lineRule="auto"/>
              <w:ind w:firstLine="0" w:firstLineChars="0"/>
              <w:rPr>
                <w:rFonts w:eastAsia="宋体"/>
                <w:b/>
                <w:bCs/>
                <w:color w:val="auto"/>
                <w:kern w:val="0"/>
                <w:sz w:val="21"/>
                <w:szCs w:val="21"/>
              </w:rPr>
            </w:pPr>
            <w:r>
              <w:rPr>
                <w:rFonts w:eastAsia="宋体"/>
                <w:b/>
                <w:bCs/>
                <w:color w:val="auto"/>
                <w:kern w:val="0"/>
                <w:sz w:val="21"/>
                <w:szCs w:val="21"/>
              </w:rPr>
              <w:t>7、</w:t>
            </w:r>
            <w:r>
              <w:rPr>
                <w:rFonts w:hint="eastAsia" w:eastAsia="宋体"/>
                <w:b/>
                <w:bCs/>
                <w:color w:val="auto"/>
                <w:kern w:val="0"/>
                <w:sz w:val="21"/>
                <w:szCs w:val="21"/>
                <w:lang w:val="en-US" w:eastAsia="zh-CN"/>
              </w:rPr>
              <w:t>碳</w:t>
            </w:r>
            <w:r>
              <w:rPr>
                <w:rFonts w:eastAsia="宋体"/>
                <w:b/>
                <w:bCs/>
                <w:color w:val="auto"/>
                <w:kern w:val="0"/>
                <w:sz w:val="21"/>
                <w:szCs w:val="21"/>
              </w:rPr>
              <w:t>排放评价</w:t>
            </w:r>
          </w:p>
          <w:p w14:paraId="6A5785CF">
            <w:pPr>
              <w:pStyle w:val="697"/>
              <w:adjustRightInd w:val="0"/>
              <w:snapToGrid w:val="0"/>
              <w:spacing w:line="360" w:lineRule="auto"/>
              <w:ind w:firstLine="422"/>
              <w:rPr>
                <w:rFonts w:eastAsia="宋体"/>
                <w:b/>
                <w:bCs/>
                <w:color w:val="auto"/>
                <w:kern w:val="0"/>
                <w:sz w:val="21"/>
                <w:szCs w:val="21"/>
              </w:rPr>
            </w:pPr>
            <w:r>
              <w:rPr>
                <w:rFonts w:eastAsia="宋体"/>
                <w:b/>
                <w:bCs/>
                <w:color w:val="auto"/>
                <w:kern w:val="0"/>
                <w:sz w:val="21"/>
                <w:szCs w:val="21"/>
              </w:rPr>
              <w:t>（1）建设项目碳排放分析</w:t>
            </w:r>
          </w:p>
          <w:p w14:paraId="09A6DD2F">
            <w:pPr>
              <w:pStyle w:val="697"/>
              <w:adjustRightInd w:val="0"/>
              <w:snapToGrid w:val="0"/>
              <w:spacing w:line="360" w:lineRule="auto"/>
              <w:ind w:firstLine="420"/>
              <w:rPr>
                <w:rFonts w:eastAsia="宋体"/>
                <w:color w:val="auto"/>
                <w:kern w:val="0"/>
                <w:sz w:val="21"/>
                <w:szCs w:val="21"/>
              </w:rPr>
            </w:pPr>
            <w:r>
              <w:rPr>
                <w:rFonts w:eastAsia="宋体"/>
                <w:color w:val="auto"/>
                <w:kern w:val="0"/>
                <w:sz w:val="21"/>
                <w:szCs w:val="21"/>
              </w:rPr>
              <w:t>本项目碳排放源识别见下表：</w:t>
            </w:r>
          </w:p>
          <w:p w14:paraId="2983D6F8">
            <w:pPr>
              <w:pStyle w:val="697"/>
              <w:adjustRightInd w:val="0"/>
              <w:snapToGrid w:val="0"/>
              <w:spacing w:line="240" w:lineRule="auto"/>
              <w:ind w:firstLine="0" w:firstLineChars="0"/>
              <w:jc w:val="center"/>
              <w:rPr>
                <w:rFonts w:eastAsia="宋体"/>
                <w:b/>
                <w:bCs/>
                <w:color w:val="auto"/>
                <w:kern w:val="0"/>
                <w:sz w:val="21"/>
                <w:szCs w:val="21"/>
              </w:rPr>
            </w:pPr>
            <w:r>
              <w:rPr>
                <w:rFonts w:eastAsia="宋体"/>
                <w:b/>
                <w:bCs/>
                <w:color w:val="auto"/>
                <w:kern w:val="0"/>
                <w:sz w:val="21"/>
                <w:szCs w:val="21"/>
              </w:rPr>
              <w:t>表4-</w:t>
            </w:r>
            <w:r>
              <w:rPr>
                <w:rFonts w:hint="eastAsia" w:eastAsia="宋体"/>
                <w:b/>
                <w:bCs/>
                <w:color w:val="auto"/>
                <w:kern w:val="0"/>
                <w:sz w:val="21"/>
                <w:szCs w:val="21"/>
                <w:lang w:val="en-US" w:eastAsia="zh-CN"/>
              </w:rPr>
              <w:t>31</w:t>
            </w:r>
            <w:r>
              <w:rPr>
                <w:rFonts w:hint="eastAsia" w:eastAsia="宋体"/>
                <w:b/>
                <w:bCs/>
                <w:color w:val="auto"/>
                <w:kern w:val="0"/>
                <w:sz w:val="21"/>
                <w:szCs w:val="21"/>
              </w:rPr>
              <w:t xml:space="preserve">   </w:t>
            </w:r>
            <w:r>
              <w:rPr>
                <w:rFonts w:eastAsia="宋体"/>
                <w:b/>
                <w:bCs/>
                <w:color w:val="auto"/>
                <w:kern w:val="0"/>
                <w:sz w:val="21"/>
                <w:szCs w:val="21"/>
              </w:rPr>
              <w:t>碳排放源识别表</w:t>
            </w:r>
          </w:p>
          <w:tbl>
            <w:tblPr>
              <w:tblStyle w:val="59"/>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990"/>
              <w:gridCol w:w="1914"/>
              <w:gridCol w:w="1465"/>
              <w:gridCol w:w="773"/>
              <w:gridCol w:w="687"/>
              <w:gridCol w:w="712"/>
              <w:gridCol w:w="912"/>
              <w:gridCol w:w="773"/>
              <w:gridCol w:w="631"/>
            </w:tblGrid>
            <w:tr w14:paraId="2BDDFE5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c>
                <w:tcPr>
                  <w:tcW w:w="1639" w:type="pct"/>
                  <w:gridSpan w:val="2"/>
                  <w:vMerge w:val="restart"/>
                  <w:vAlign w:val="center"/>
                </w:tcPr>
                <w:p w14:paraId="16B6AEF0">
                  <w:pPr>
                    <w:pStyle w:val="27"/>
                    <w:spacing w:line="240" w:lineRule="auto"/>
                    <w:ind w:left="0" w:leftChars="0" w:right="0" w:rightChars="0" w:firstLine="0" w:firstLineChars="0"/>
                    <w:jc w:val="center"/>
                    <w:rPr>
                      <w:b/>
                      <w:bCs/>
                      <w:color w:val="auto"/>
                      <w:kern w:val="0"/>
                      <w:sz w:val="21"/>
                    </w:rPr>
                  </w:pPr>
                  <w:r>
                    <w:rPr>
                      <w:b/>
                      <w:bCs/>
                      <w:color w:val="auto"/>
                      <w:kern w:val="0"/>
                      <w:sz w:val="21"/>
                    </w:rPr>
                    <w:t>排放类型</w:t>
                  </w:r>
                </w:p>
              </w:tc>
              <w:tc>
                <w:tcPr>
                  <w:tcW w:w="827" w:type="pct"/>
                  <w:vMerge w:val="restart"/>
                  <w:vAlign w:val="center"/>
                </w:tcPr>
                <w:p w14:paraId="42585587">
                  <w:pPr>
                    <w:pStyle w:val="27"/>
                    <w:spacing w:line="240" w:lineRule="auto"/>
                    <w:ind w:left="0" w:leftChars="0" w:right="0" w:rightChars="0" w:firstLine="0" w:firstLineChars="0"/>
                    <w:jc w:val="center"/>
                    <w:rPr>
                      <w:b/>
                      <w:bCs/>
                      <w:color w:val="auto"/>
                      <w:kern w:val="0"/>
                      <w:sz w:val="21"/>
                    </w:rPr>
                  </w:pPr>
                  <w:r>
                    <w:rPr>
                      <w:b/>
                      <w:bCs/>
                      <w:color w:val="auto"/>
                      <w:kern w:val="0"/>
                      <w:sz w:val="21"/>
                    </w:rPr>
                    <w:t>设施/材料</w:t>
                  </w:r>
                </w:p>
              </w:tc>
              <w:tc>
                <w:tcPr>
                  <w:tcW w:w="2533" w:type="pct"/>
                  <w:gridSpan w:val="6"/>
                  <w:vAlign w:val="center"/>
                </w:tcPr>
                <w:p w14:paraId="03EA3C11">
                  <w:pPr>
                    <w:pStyle w:val="27"/>
                    <w:spacing w:line="240" w:lineRule="auto"/>
                    <w:ind w:left="0" w:leftChars="0" w:right="0" w:rightChars="0" w:firstLine="0" w:firstLineChars="0"/>
                    <w:jc w:val="center"/>
                    <w:rPr>
                      <w:b/>
                      <w:bCs/>
                      <w:color w:val="auto"/>
                      <w:kern w:val="0"/>
                      <w:sz w:val="21"/>
                    </w:rPr>
                  </w:pPr>
                  <w:r>
                    <w:rPr>
                      <w:b/>
                      <w:bCs/>
                      <w:color w:val="auto"/>
                      <w:kern w:val="0"/>
                      <w:sz w:val="21"/>
                    </w:rPr>
                    <w:t>温室气体种类</w:t>
                  </w:r>
                </w:p>
              </w:tc>
            </w:tr>
            <w:tr w14:paraId="6F66536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c>
                <w:tcPr>
                  <w:tcW w:w="1639" w:type="pct"/>
                  <w:gridSpan w:val="2"/>
                  <w:vMerge w:val="continue"/>
                  <w:vAlign w:val="center"/>
                </w:tcPr>
                <w:p w14:paraId="518C4F55">
                  <w:pPr>
                    <w:pStyle w:val="27"/>
                    <w:spacing w:line="240" w:lineRule="auto"/>
                    <w:ind w:left="0" w:leftChars="0" w:right="0" w:rightChars="0" w:firstLine="0" w:firstLineChars="0"/>
                    <w:jc w:val="center"/>
                    <w:rPr>
                      <w:b/>
                      <w:bCs/>
                      <w:color w:val="auto"/>
                      <w:kern w:val="0"/>
                      <w:sz w:val="21"/>
                    </w:rPr>
                  </w:pPr>
                </w:p>
              </w:tc>
              <w:tc>
                <w:tcPr>
                  <w:tcW w:w="827" w:type="pct"/>
                  <w:vMerge w:val="continue"/>
                  <w:vAlign w:val="center"/>
                </w:tcPr>
                <w:p w14:paraId="20C44A3A">
                  <w:pPr>
                    <w:pStyle w:val="27"/>
                    <w:spacing w:line="240" w:lineRule="auto"/>
                    <w:ind w:left="0" w:leftChars="0" w:right="0" w:rightChars="0" w:firstLine="0" w:firstLineChars="0"/>
                    <w:jc w:val="center"/>
                    <w:rPr>
                      <w:b/>
                      <w:bCs/>
                      <w:color w:val="auto"/>
                      <w:kern w:val="0"/>
                      <w:sz w:val="21"/>
                    </w:rPr>
                  </w:pPr>
                </w:p>
              </w:tc>
              <w:tc>
                <w:tcPr>
                  <w:tcW w:w="436" w:type="pct"/>
                  <w:vAlign w:val="center"/>
                </w:tcPr>
                <w:p w14:paraId="2B78CA43">
                  <w:pPr>
                    <w:pStyle w:val="27"/>
                    <w:spacing w:line="240" w:lineRule="auto"/>
                    <w:ind w:left="0" w:leftChars="0" w:right="0" w:rightChars="0" w:firstLine="0" w:firstLineChars="0"/>
                    <w:jc w:val="center"/>
                    <w:rPr>
                      <w:b/>
                      <w:bCs/>
                      <w:color w:val="auto"/>
                      <w:kern w:val="0"/>
                      <w:sz w:val="21"/>
                    </w:rPr>
                  </w:pPr>
                  <w:r>
                    <w:rPr>
                      <w:b/>
                      <w:bCs/>
                      <w:color w:val="auto"/>
                      <w:kern w:val="0"/>
                      <w:sz w:val="21"/>
                    </w:rPr>
                    <w:t>CO</w:t>
                  </w:r>
                  <w:r>
                    <w:rPr>
                      <w:b/>
                      <w:bCs/>
                      <w:color w:val="auto"/>
                      <w:kern w:val="0"/>
                      <w:sz w:val="21"/>
                      <w:vertAlign w:val="subscript"/>
                    </w:rPr>
                    <w:t>2</w:t>
                  </w:r>
                </w:p>
              </w:tc>
              <w:tc>
                <w:tcPr>
                  <w:tcW w:w="388" w:type="pct"/>
                  <w:vAlign w:val="center"/>
                </w:tcPr>
                <w:p w14:paraId="79AA7E15">
                  <w:pPr>
                    <w:pStyle w:val="27"/>
                    <w:spacing w:line="240" w:lineRule="auto"/>
                    <w:ind w:left="0" w:leftChars="0" w:right="0" w:rightChars="0" w:firstLine="0" w:firstLineChars="0"/>
                    <w:jc w:val="center"/>
                    <w:rPr>
                      <w:b/>
                      <w:bCs/>
                      <w:color w:val="auto"/>
                      <w:kern w:val="0"/>
                      <w:sz w:val="21"/>
                    </w:rPr>
                  </w:pPr>
                  <w:r>
                    <w:rPr>
                      <w:b/>
                      <w:bCs/>
                      <w:color w:val="auto"/>
                      <w:kern w:val="0"/>
                      <w:sz w:val="21"/>
                    </w:rPr>
                    <w:t>CH</w:t>
                  </w:r>
                  <w:r>
                    <w:rPr>
                      <w:b/>
                      <w:bCs/>
                      <w:color w:val="auto"/>
                      <w:kern w:val="0"/>
                      <w:sz w:val="21"/>
                      <w:vertAlign w:val="subscript"/>
                    </w:rPr>
                    <w:t>4</w:t>
                  </w:r>
                </w:p>
              </w:tc>
              <w:tc>
                <w:tcPr>
                  <w:tcW w:w="402" w:type="pct"/>
                  <w:vAlign w:val="center"/>
                </w:tcPr>
                <w:p w14:paraId="0DC74435">
                  <w:pPr>
                    <w:pStyle w:val="27"/>
                    <w:spacing w:line="240" w:lineRule="auto"/>
                    <w:ind w:left="0" w:leftChars="0" w:right="0" w:rightChars="0" w:firstLine="0" w:firstLineChars="0"/>
                    <w:jc w:val="center"/>
                    <w:rPr>
                      <w:b/>
                      <w:bCs/>
                      <w:color w:val="auto"/>
                      <w:kern w:val="0"/>
                      <w:sz w:val="21"/>
                    </w:rPr>
                  </w:pPr>
                  <w:r>
                    <w:rPr>
                      <w:b/>
                      <w:bCs/>
                      <w:color w:val="auto"/>
                      <w:kern w:val="0"/>
                      <w:sz w:val="21"/>
                    </w:rPr>
                    <w:t>N</w:t>
                  </w:r>
                  <w:r>
                    <w:rPr>
                      <w:b/>
                      <w:bCs/>
                      <w:color w:val="auto"/>
                      <w:kern w:val="0"/>
                      <w:sz w:val="21"/>
                      <w:vertAlign w:val="subscript"/>
                    </w:rPr>
                    <w:t>2</w:t>
                  </w:r>
                  <w:r>
                    <w:rPr>
                      <w:b/>
                      <w:bCs/>
                      <w:color w:val="auto"/>
                      <w:kern w:val="0"/>
                      <w:sz w:val="21"/>
                    </w:rPr>
                    <w:t>O</w:t>
                  </w:r>
                </w:p>
              </w:tc>
              <w:tc>
                <w:tcPr>
                  <w:tcW w:w="515" w:type="pct"/>
                  <w:vAlign w:val="center"/>
                </w:tcPr>
                <w:p w14:paraId="01A9B4BA">
                  <w:pPr>
                    <w:pStyle w:val="27"/>
                    <w:spacing w:line="240" w:lineRule="auto"/>
                    <w:ind w:left="0" w:leftChars="0" w:right="0" w:rightChars="0" w:firstLine="0" w:firstLineChars="0"/>
                    <w:jc w:val="center"/>
                    <w:rPr>
                      <w:b/>
                      <w:bCs/>
                      <w:color w:val="auto"/>
                      <w:kern w:val="0"/>
                      <w:sz w:val="21"/>
                    </w:rPr>
                  </w:pPr>
                  <w:r>
                    <w:rPr>
                      <w:b/>
                      <w:bCs/>
                      <w:color w:val="auto"/>
                      <w:kern w:val="0"/>
                      <w:sz w:val="21"/>
                    </w:rPr>
                    <w:t>HFCs</w:t>
                  </w:r>
                </w:p>
              </w:tc>
              <w:tc>
                <w:tcPr>
                  <w:tcW w:w="436" w:type="pct"/>
                  <w:vAlign w:val="center"/>
                </w:tcPr>
                <w:p w14:paraId="6312EED3">
                  <w:pPr>
                    <w:pStyle w:val="27"/>
                    <w:spacing w:line="240" w:lineRule="auto"/>
                    <w:ind w:left="0" w:leftChars="0" w:right="0" w:rightChars="0" w:firstLine="0" w:firstLineChars="0"/>
                    <w:jc w:val="center"/>
                    <w:rPr>
                      <w:b/>
                      <w:bCs/>
                      <w:color w:val="auto"/>
                      <w:kern w:val="0"/>
                      <w:sz w:val="21"/>
                    </w:rPr>
                  </w:pPr>
                  <w:r>
                    <w:rPr>
                      <w:b/>
                      <w:bCs/>
                      <w:color w:val="auto"/>
                      <w:kern w:val="0"/>
                      <w:sz w:val="21"/>
                    </w:rPr>
                    <w:t>PFCs</w:t>
                  </w:r>
                </w:p>
              </w:tc>
              <w:tc>
                <w:tcPr>
                  <w:tcW w:w="353" w:type="pct"/>
                  <w:vAlign w:val="center"/>
                </w:tcPr>
                <w:p w14:paraId="44882EEA">
                  <w:pPr>
                    <w:pStyle w:val="27"/>
                    <w:spacing w:line="240" w:lineRule="auto"/>
                    <w:ind w:left="0" w:leftChars="0" w:right="0" w:rightChars="0" w:firstLine="0" w:firstLineChars="0"/>
                    <w:jc w:val="center"/>
                    <w:rPr>
                      <w:b/>
                      <w:bCs/>
                      <w:color w:val="auto"/>
                      <w:kern w:val="0"/>
                      <w:sz w:val="21"/>
                    </w:rPr>
                  </w:pPr>
                  <w:r>
                    <w:rPr>
                      <w:b/>
                      <w:bCs/>
                      <w:color w:val="auto"/>
                      <w:kern w:val="0"/>
                      <w:sz w:val="21"/>
                    </w:rPr>
                    <w:t>SF</w:t>
                  </w:r>
                  <w:r>
                    <w:rPr>
                      <w:b/>
                      <w:bCs/>
                      <w:color w:val="auto"/>
                      <w:kern w:val="0"/>
                      <w:sz w:val="21"/>
                      <w:vertAlign w:val="subscript"/>
                    </w:rPr>
                    <w:t>6</w:t>
                  </w:r>
                </w:p>
              </w:tc>
            </w:tr>
            <w:tr w14:paraId="0BFC8D2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c>
                <w:tcPr>
                  <w:tcW w:w="559" w:type="pct"/>
                  <w:vAlign w:val="center"/>
                </w:tcPr>
                <w:p w14:paraId="73ECADDA">
                  <w:pPr>
                    <w:pStyle w:val="27"/>
                    <w:spacing w:line="240" w:lineRule="auto"/>
                    <w:ind w:left="0" w:leftChars="0" w:right="0" w:rightChars="0" w:firstLine="0" w:firstLineChars="0"/>
                    <w:jc w:val="center"/>
                    <w:rPr>
                      <w:color w:val="auto"/>
                      <w:kern w:val="0"/>
                      <w:sz w:val="21"/>
                    </w:rPr>
                  </w:pPr>
                  <w:r>
                    <w:rPr>
                      <w:color w:val="auto"/>
                      <w:kern w:val="0"/>
                      <w:sz w:val="21"/>
                    </w:rPr>
                    <w:t>间接排放</w:t>
                  </w:r>
                </w:p>
              </w:tc>
              <w:tc>
                <w:tcPr>
                  <w:tcW w:w="1080" w:type="pct"/>
                  <w:vAlign w:val="center"/>
                </w:tcPr>
                <w:p w14:paraId="004A1434">
                  <w:pPr>
                    <w:pStyle w:val="27"/>
                    <w:spacing w:line="240" w:lineRule="auto"/>
                    <w:ind w:left="0" w:leftChars="0" w:right="0" w:rightChars="0" w:firstLine="0" w:firstLineChars="0"/>
                    <w:jc w:val="center"/>
                    <w:rPr>
                      <w:color w:val="auto"/>
                      <w:kern w:val="0"/>
                      <w:sz w:val="21"/>
                    </w:rPr>
                  </w:pPr>
                  <w:r>
                    <w:rPr>
                      <w:color w:val="auto"/>
                      <w:kern w:val="0"/>
                      <w:sz w:val="21"/>
                    </w:rPr>
                    <w:t>净调入电生产设备</w:t>
                  </w:r>
                </w:p>
              </w:tc>
              <w:tc>
                <w:tcPr>
                  <w:tcW w:w="827" w:type="pct"/>
                  <w:vAlign w:val="center"/>
                </w:tcPr>
                <w:p w14:paraId="55CC528F">
                  <w:pPr>
                    <w:pStyle w:val="27"/>
                    <w:spacing w:line="240" w:lineRule="auto"/>
                    <w:ind w:left="0" w:leftChars="0" w:right="0" w:rightChars="0" w:firstLine="0" w:firstLineChars="0"/>
                    <w:jc w:val="center"/>
                    <w:rPr>
                      <w:color w:val="auto"/>
                      <w:kern w:val="0"/>
                      <w:sz w:val="21"/>
                    </w:rPr>
                  </w:pPr>
                  <w:r>
                    <w:rPr>
                      <w:color w:val="auto"/>
                      <w:kern w:val="0"/>
                      <w:sz w:val="21"/>
                    </w:rPr>
                    <w:t>各种用电设备</w:t>
                  </w:r>
                </w:p>
              </w:tc>
              <w:tc>
                <w:tcPr>
                  <w:tcW w:w="436" w:type="pct"/>
                  <w:vAlign w:val="center"/>
                </w:tcPr>
                <w:p w14:paraId="1958C1E6">
                  <w:pPr>
                    <w:adjustRightInd w:val="0"/>
                    <w:snapToGrid w:val="0"/>
                    <w:jc w:val="center"/>
                    <w:rPr>
                      <w:color w:val="auto"/>
                      <w:kern w:val="0"/>
                    </w:rPr>
                  </w:pPr>
                  <w:r>
                    <w:rPr>
                      <w:color w:val="auto"/>
                      <w:kern w:val="0"/>
                    </w:rPr>
                    <w:t>√</w:t>
                  </w:r>
                </w:p>
              </w:tc>
              <w:tc>
                <w:tcPr>
                  <w:tcW w:w="388" w:type="pct"/>
                  <w:vAlign w:val="center"/>
                </w:tcPr>
                <w:p w14:paraId="0DDBF676">
                  <w:pPr>
                    <w:pStyle w:val="27"/>
                    <w:spacing w:line="240" w:lineRule="auto"/>
                    <w:ind w:left="0" w:leftChars="0" w:right="0" w:rightChars="0" w:firstLine="0" w:firstLineChars="0"/>
                    <w:jc w:val="center"/>
                    <w:rPr>
                      <w:color w:val="auto"/>
                      <w:kern w:val="0"/>
                      <w:sz w:val="21"/>
                    </w:rPr>
                  </w:pPr>
                </w:p>
              </w:tc>
              <w:tc>
                <w:tcPr>
                  <w:tcW w:w="402" w:type="pct"/>
                  <w:vAlign w:val="center"/>
                </w:tcPr>
                <w:p w14:paraId="305F994F">
                  <w:pPr>
                    <w:pStyle w:val="27"/>
                    <w:spacing w:line="240" w:lineRule="auto"/>
                    <w:ind w:left="0" w:leftChars="0" w:right="0" w:rightChars="0" w:firstLine="0" w:firstLineChars="0"/>
                    <w:jc w:val="center"/>
                    <w:rPr>
                      <w:color w:val="auto"/>
                      <w:kern w:val="0"/>
                      <w:sz w:val="21"/>
                    </w:rPr>
                  </w:pPr>
                </w:p>
              </w:tc>
              <w:tc>
                <w:tcPr>
                  <w:tcW w:w="515" w:type="pct"/>
                  <w:vAlign w:val="center"/>
                </w:tcPr>
                <w:p w14:paraId="4D74CE6E">
                  <w:pPr>
                    <w:pStyle w:val="27"/>
                    <w:spacing w:line="240" w:lineRule="auto"/>
                    <w:ind w:left="0" w:leftChars="0" w:right="0" w:rightChars="0" w:firstLine="0" w:firstLineChars="0"/>
                    <w:jc w:val="center"/>
                    <w:rPr>
                      <w:color w:val="auto"/>
                      <w:kern w:val="0"/>
                      <w:sz w:val="21"/>
                    </w:rPr>
                  </w:pPr>
                </w:p>
              </w:tc>
              <w:tc>
                <w:tcPr>
                  <w:tcW w:w="436" w:type="pct"/>
                  <w:vAlign w:val="center"/>
                </w:tcPr>
                <w:p w14:paraId="33BBCBB8">
                  <w:pPr>
                    <w:pStyle w:val="27"/>
                    <w:spacing w:line="240" w:lineRule="auto"/>
                    <w:ind w:left="0" w:leftChars="0" w:right="0" w:rightChars="0" w:firstLine="0" w:firstLineChars="0"/>
                    <w:jc w:val="center"/>
                    <w:rPr>
                      <w:color w:val="auto"/>
                      <w:kern w:val="0"/>
                      <w:sz w:val="21"/>
                    </w:rPr>
                  </w:pPr>
                </w:p>
              </w:tc>
              <w:tc>
                <w:tcPr>
                  <w:tcW w:w="353" w:type="pct"/>
                  <w:vAlign w:val="center"/>
                </w:tcPr>
                <w:p w14:paraId="5A35819E">
                  <w:pPr>
                    <w:pStyle w:val="27"/>
                    <w:spacing w:line="240" w:lineRule="auto"/>
                    <w:ind w:left="0" w:leftChars="0" w:right="0" w:rightChars="0" w:firstLine="0" w:firstLineChars="0"/>
                    <w:jc w:val="center"/>
                    <w:rPr>
                      <w:color w:val="auto"/>
                      <w:kern w:val="0"/>
                      <w:sz w:val="21"/>
                    </w:rPr>
                  </w:pPr>
                </w:p>
              </w:tc>
            </w:tr>
          </w:tbl>
          <w:p w14:paraId="26EB2C00">
            <w:pPr>
              <w:pStyle w:val="27"/>
              <w:spacing w:line="360" w:lineRule="auto"/>
              <w:ind w:left="0" w:leftChars="0" w:right="0" w:rightChars="0" w:firstLine="422"/>
              <w:rPr>
                <w:b/>
                <w:bCs/>
                <w:color w:val="auto"/>
                <w:kern w:val="0"/>
                <w:sz w:val="21"/>
              </w:rPr>
            </w:pPr>
            <w:r>
              <w:rPr>
                <w:b/>
                <w:bCs/>
                <w:color w:val="auto"/>
                <w:kern w:val="0"/>
                <w:sz w:val="21"/>
              </w:rPr>
              <w:t>（2）碳排放现状调查与评价</w:t>
            </w:r>
          </w:p>
          <w:p w14:paraId="6FD2920A">
            <w:pPr>
              <w:pStyle w:val="27"/>
              <w:spacing w:line="360" w:lineRule="auto"/>
              <w:ind w:left="0" w:leftChars="0" w:right="0" w:rightChars="0" w:firstLine="420"/>
              <w:rPr>
                <w:color w:val="auto"/>
                <w:kern w:val="0"/>
                <w:sz w:val="21"/>
              </w:rPr>
            </w:pPr>
            <w:r>
              <w:rPr>
                <w:color w:val="auto"/>
                <w:kern w:val="0"/>
                <w:sz w:val="21"/>
              </w:rPr>
              <w:t>①行业碳排放情况调查</w:t>
            </w:r>
          </w:p>
          <w:p w14:paraId="3F8019E3">
            <w:pPr>
              <w:adjustRightInd w:val="0"/>
              <w:snapToGrid w:val="0"/>
              <w:spacing w:line="360" w:lineRule="auto"/>
              <w:ind w:firstLine="420" w:firstLineChars="200"/>
              <w:rPr>
                <w:color w:val="auto"/>
                <w:kern w:val="0"/>
              </w:rPr>
            </w:pPr>
            <w:r>
              <w:rPr>
                <w:color w:val="auto"/>
                <w:kern w:val="0"/>
              </w:rPr>
              <w:t>本项目属于</w:t>
            </w:r>
            <w:r>
              <w:rPr>
                <w:rFonts w:hint="eastAsia"/>
                <w:color w:val="auto"/>
                <w:kern w:val="0"/>
                <w:lang w:eastAsia="zh-CN"/>
              </w:rPr>
              <w:t>C2110木质家具制造</w:t>
            </w:r>
            <w:r>
              <w:rPr>
                <w:color w:val="auto"/>
                <w:kern w:val="0"/>
              </w:rPr>
              <w:t>，目前本行业内尚未有行业碳排放数据。</w:t>
            </w:r>
          </w:p>
          <w:p w14:paraId="3E79505C">
            <w:pPr>
              <w:pStyle w:val="27"/>
              <w:spacing w:line="360" w:lineRule="auto"/>
              <w:ind w:left="0" w:leftChars="0" w:right="0" w:rightChars="0" w:firstLine="420"/>
              <w:jc w:val="left"/>
              <w:rPr>
                <w:color w:val="auto"/>
                <w:kern w:val="0"/>
                <w:sz w:val="21"/>
              </w:rPr>
            </w:pPr>
            <w:r>
              <w:rPr>
                <w:color w:val="auto"/>
                <w:kern w:val="0"/>
                <w:sz w:val="21"/>
              </w:rPr>
              <w:t>②现有项目碳排放现状调查</w:t>
            </w:r>
          </w:p>
          <w:p w14:paraId="171EB650">
            <w:pPr>
              <w:pStyle w:val="27"/>
              <w:spacing w:line="360" w:lineRule="auto"/>
              <w:ind w:left="0" w:leftChars="0" w:right="0" w:rightChars="0" w:firstLine="420"/>
              <w:jc w:val="left"/>
              <w:rPr>
                <w:color w:val="auto"/>
                <w:kern w:val="0"/>
                <w:sz w:val="21"/>
              </w:rPr>
            </w:pPr>
            <w:r>
              <w:rPr>
                <w:color w:val="auto"/>
                <w:kern w:val="0"/>
                <w:sz w:val="21"/>
              </w:rPr>
              <w:t>本项目为</w:t>
            </w:r>
            <w:r>
              <w:rPr>
                <w:rFonts w:hint="eastAsia"/>
                <w:color w:val="auto"/>
                <w:kern w:val="0"/>
                <w:sz w:val="21"/>
              </w:rPr>
              <w:t>新建</w:t>
            </w:r>
            <w:r>
              <w:rPr>
                <w:color w:val="auto"/>
                <w:kern w:val="0"/>
                <w:sz w:val="21"/>
              </w:rPr>
              <w:t>项目，无现有项目碳排放现状。</w:t>
            </w:r>
          </w:p>
          <w:p w14:paraId="6235CDB1">
            <w:pPr>
              <w:pStyle w:val="697"/>
              <w:adjustRightInd w:val="0"/>
              <w:snapToGrid w:val="0"/>
              <w:spacing w:line="360" w:lineRule="auto"/>
              <w:ind w:firstLine="422"/>
              <w:rPr>
                <w:rFonts w:eastAsia="宋体"/>
                <w:b/>
                <w:bCs/>
                <w:color w:val="auto"/>
                <w:kern w:val="0"/>
                <w:sz w:val="21"/>
                <w:szCs w:val="21"/>
              </w:rPr>
            </w:pPr>
            <w:r>
              <w:rPr>
                <w:rFonts w:eastAsia="宋体"/>
                <w:b/>
                <w:bCs/>
                <w:color w:val="auto"/>
                <w:kern w:val="0"/>
                <w:sz w:val="21"/>
                <w:szCs w:val="21"/>
              </w:rPr>
              <w:t>（3）碳排放预测与评价</w:t>
            </w:r>
          </w:p>
          <w:p w14:paraId="4C2890D8">
            <w:pPr>
              <w:pStyle w:val="697"/>
              <w:adjustRightInd w:val="0"/>
              <w:snapToGrid w:val="0"/>
              <w:spacing w:line="360" w:lineRule="auto"/>
              <w:ind w:firstLine="420"/>
              <w:rPr>
                <w:rFonts w:eastAsia="宋体"/>
                <w:color w:val="auto"/>
                <w:kern w:val="0"/>
                <w:sz w:val="21"/>
                <w:szCs w:val="21"/>
              </w:rPr>
            </w:pPr>
            <w:r>
              <w:rPr>
                <w:rFonts w:eastAsia="宋体"/>
                <w:color w:val="auto"/>
                <w:kern w:val="0"/>
                <w:sz w:val="21"/>
                <w:szCs w:val="21"/>
              </w:rPr>
              <w:t>①营运期碳排放预测</w:t>
            </w:r>
          </w:p>
          <w:p w14:paraId="54AD5066">
            <w:pPr>
              <w:pStyle w:val="2"/>
              <w:ind w:firstLine="420" w:firstLineChars="200"/>
              <w:rPr>
                <w:color w:val="auto"/>
                <w:sz w:val="21"/>
                <w:szCs w:val="21"/>
              </w:rPr>
            </w:pPr>
            <w:r>
              <w:rPr>
                <w:color w:val="auto"/>
                <w:sz w:val="21"/>
                <w:szCs w:val="21"/>
              </w:rPr>
              <w:t>建设项目碳排放总量计算见公式（1）；</w:t>
            </w:r>
          </w:p>
          <w:p w14:paraId="5565A0D6">
            <w:pPr>
              <w:adjustRightInd w:val="0"/>
              <w:snapToGrid w:val="0"/>
              <w:spacing w:line="360" w:lineRule="auto"/>
              <w:ind w:firstLine="420" w:firstLineChars="200"/>
              <w:jc w:val="center"/>
              <w:rPr>
                <w:color w:val="auto"/>
                <w:kern w:val="0"/>
              </w:rPr>
            </w:pPr>
            <w:r>
              <w:rPr>
                <w:color w:val="auto"/>
                <w:kern w:val="0"/>
              </w:rPr>
              <w:t>AE</w:t>
            </w:r>
            <w:r>
              <w:rPr>
                <w:color w:val="auto"/>
                <w:kern w:val="0"/>
                <w:vertAlign w:val="subscript"/>
              </w:rPr>
              <w:t>总</w:t>
            </w:r>
            <w:r>
              <w:rPr>
                <w:color w:val="auto"/>
                <w:kern w:val="0"/>
              </w:rPr>
              <w:t>=AE</w:t>
            </w:r>
            <w:r>
              <w:rPr>
                <w:color w:val="auto"/>
                <w:kern w:val="0"/>
                <w:vertAlign w:val="subscript"/>
              </w:rPr>
              <w:t>燃料燃烧</w:t>
            </w:r>
            <w:r>
              <w:rPr>
                <w:color w:val="auto"/>
                <w:kern w:val="0"/>
              </w:rPr>
              <w:t>+AE</w:t>
            </w:r>
            <w:r>
              <w:rPr>
                <w:color w:val="auto"/>
                <w:kern w:val="0"/>
                <w:vertAlign w:val="subscript"/>
              </w:rPr>
              <w:t>工业生产过程</w:t>
            </w:r>
            <w:r>
              <w:rPr>
                <w:color w:val="auto"/>
                <w:kern w:val="0"/>
              </w:rPr>
              <w:t>+AE</w:t>
            </w:r>
            <w:r>
              <w:rPr>
                <w:color w:val="auto"/>
                <w:kern w:val="0"/>
                <w:vertAlign w:val="subscript"/>
              </w:rPr>
              <w:t>净调入电力和热力</w:t>
            </w:r>
            <w:r>
              <w:rPr>
                <w:color w:val="auto"/>
                <w:kern w:val="0"/>
              </w:rPr>
              <w:t>（1）</w:t>
            </w:r>
          </w:p>
          <w:p w14:paraId="7A8F6013">
            <w:pPr>
              <w:pStyle w:val="2"/>
              <w:ind w:firstLine="420" w:firstLineChars="200"/>
              <w:rPr>
                <w:color w:val="auto"/>
                <w:sz w:val="21"/>
                <w:szCs w:val="21"/>
              </w:rPr>
            </w:pPr>
            <w:r>
              <w:rPr>
                <w:color w:val="auto"/>
                <w:sz w:val="21"/>
                <w:szCs w:val="21"/>
              </w:rPr>
              <w:t>式中：</w:t>
            </w:r>
          </w:p>
          <w:p w14:paraId="7757D0E9">
            <w:pPr>
              <w:pStyle w:val="2"/>
              <w:ind w:firstLine="420" w:firstLineChars="200"/>
              <w:rPr>
                <w:color w:val="auto"/>
                <w:sz w:val="21"/>
                <w:szCs w:val="21"/>
              </w:rPr>
            </w:pPr>
            <w:r>
              <w:rPr>
                <w:color w:val="auto"/>
                <w:sz w:val="21"/>
                <w:szCs w:val="21"/>
              </w:rPr>
              <w:t>AE</w:t>
            </w:r>
            <w:r>
              <w:rPr>
                <w:color w:val="auto"/>
                <w:sz w:val="21"/>
                <w:szCs w:val="21"/>
                <w:vertAlign w:val="subscript"/>
              </w:rPr>
              <w:t>总</w:t>
            </w:r>
            <w:r>
              <w:rPr>
                <w:color w:val="auto"/>
                <w:sz w:val="21"/>
                <w:szCs w:val="21"/>
              </w:rPr>
              <w:t>——碳排放总量（tCO</w:t>
            </w:r>
            <w:r>
              <w:rPr>
                <w:color w:val="auto"/>
                <w:sz w:val="21"/>
                <w:szCs w:val="21"/>
                <w:vertAlign w:val="subscript"/>
              </w:rPr>
              <w:t>2e</w:t>
            </w:r>
            <w:r>
              <w:rPr>
                <w:color w:val="auto"/>
                <w:sz w:val="21"/>
                <w:szCs w:val="21"/>
              </w:rPr>
              <w:t>）</w:t>
            </w:r>
          </w:p>
          <w:p w14:paraId="21D00986">
            <w:pPr>
              <w:adjustRightInd w:val="0"/>
              <w:snapToGrid w:val="0"/>
              <w:spacing w:line="360" w:lineRule="auto"/>
              <w:ind w:firstLine="420" w:firstLineChars="200"/>
              <w:rPr>
                <w:color w:val="auto"/>
                <w:kern w:val="0"/>
              </w:rPr>
            </w:pPr>
            <w:r>
              <w:rPr>
                <w:color w:val="auto"/>
                <w:kern w:val="0"/>
              </w:rPr>
              <w:t>AE</w:t>
            </w:r>
            <w:r>
              <w:rPr>
                <w:color w:val="auto"/>
                <w:kern w:val="0"/>
                <w:vertAlign w:val="subscript"/>
              </w:rPr>
              <w:t>燃料燃烧</w:t>
            </w:r>
            <w:r>
              <w:rPr>
                <w:color w:val="auto"/>
                <w:kern w:val="0"/>
              </w:rPr>
              <w:t>——燃料燃烧碳排放量（tCO</w:t>
            </w:r>
            <w:r>
              <w:rPr>
                <w:color w:val="auto"/>
                <w:kern w:val="0"/>
                <w:vertAlign w:val="subscript"/>
              </w:rPr>
              <w:t>2e</w:t>
            </w:r>
            <w:r>
              <w:rPr>
                <w:color w:val="auto"/>
                <w:kern w:val="0"/>
              </w:rPr>
              <w:t>）</w:t>
            </w:r>
          </w:p>
          <w:p w14:paraId="6439820C">
            <w:pPr>
              <w:adjustRightInd w:val="0"/>
              <w:snapToGrid w:val="0"/>
              <w:spacing w:line="360" w:lineRule="auto"/>
              <w:ind w:firstLine="420" w:firstLineChars="200"/>
              <w:rPr>
                <w:color w:val="auto"/>
                <w:kern w:val="0"/>
              </w:rPr>
            </w:pPr>
            <w:r>
              <w:rPr>
                <w:color w:val="auto"/>
                <w:kern w:val="0"/>
              </w:rPr>
              <w:t>AE</w:t>
            </w:r>
            <w:r>
              <w:rPr>
                <w:color w:val="auto"/>
                <w:kern w:val="0"/>
                <w:vertAlign w:val="subscript"/>
              </w:rPr>
              <w:t>工业生产过程</w:t>
            </w:r>
            <w:r>
              <w:rPr>
                <w:color w:val="auto"/>
                <w:kern w:val="0"/>
              </w:rPr>
              <w:t>——工业生产过程碳排放量（tCO</w:t>
            </w:r>
            <w:r>
              <w:rPr>
                <w:color w:val="auto"/>
                <w:kern w:val="0"/>
                <w:vertAlign w:val="subscript"/>
              </w:rPr>
              <w:t>2e</w:t>
            </w:r>
            <w:r>
              <w:rPr>
                <w:color w:val="auto"/>
                <w:kern w:val="0"/>
              </w:rPr>
              <w:t>）</w:t>
            </w:r>
          </w:p>
          <w:p w14:paraId="471AEA95">
            <w:pPr>
              <w:adjustRightInd w:val="0"/>
              <w:snapToGrid w:val="0"/>
              <w:spacing w:line="360" w:lineRule="auto"/>
              <w:ind w:firstLine="420" w:firstLineChars="200"/>
              <w:rPr>
                <w:color w:val="auto"/>
                <w:kern w:val="0"/>
              </w:rPr>
            </w:pPr>
            <w:r>
              <w:rPr>
                <w:color w:val="auto"/>
                <w:kern w:val="0"/>
              </w:rPr>
              <w:t>AE</w:t>
            </w:r>
            <w:r>
              <w:rPr>
                <w:color w:val="auto"/>
                <w:kern w:val="0"/>
                <w:vertAlign w:val="subscript"/>
              </w:rPr>
              <w:t>净调入电力和热力</w:t>
            </w:r>
            <w:r>
              <w:rPr>
                <w:color w:val="auto"/>
                <w:kern w:val="0"/>
              </w:rPr>
              <w:t>——净调入电力和热力消耗碳排放总量（tCO</w:t>
            </w:r>
            <w:r>
              <w:rPr>
                <w:color w:val="auto"/>
                <w:kern w:val="0"/>
                <w:vertAlign w:val="subscript"/>
              </w:rPr>
              <w:t>2e</w:t>
            </w:r>
            <w:r>
              <w:rPr>
                <w:color w:val="auto"/>
                <w:kern w:val="0"/>
              </w:rPr>
              <w:t>）</w:t>
            </w:r>
          </w:p>
          <w:p w14:paraId="78C0CFA9">
            <w:pPr>
              <w:pStyle w:val="2"/>
              <w:ind w:firstLine="420" w:firstLineChars="200"/>
              <w:rPr>
                <w:color w:val="auto"/>
                <w:sz w:val="21"/>
                <w:szCs w:val="21"/>
              </w:rPr>
            </w:pPr>
            <w:r>
              <w:rPr>
                <w:rFonts w:hint="eastAsia"/>
                <w:color w:val="auto"/>
                <w:sz w:val="21"/>
                <w:szCs w:val="21"/>
              </w:rPr>
              <w:t>1）</w:t>
            </w:r>
            <w:r>
              <w:rPr>
                <w:color w:val="auto"/>
                <w:sz w:val="21"/>
                <w:szCs w:val="21"/>
              </w:rPr>
              <w:t>根据燃料用于电力生产还是用于其他工业生产情况不同，燃料燃烧排放量（AE</w:t>
            </w:r>
            <w:r>
              <w:rPr>
                <w:color w:val="auto"/>
                <w:sz w:val="21"/>
                <w:szCs w:val="21"/>
                <w:vertAlign w:val="subscript"/>
              </w:rPr>
              <w:t>燃料燃烧</w:t>
            </w:r>
            <w:r>
              <w:rPr>
                <w:color w:val="auto"/>
                <w:sz w:val="21"/>
                <w:szCs w:val="21"/>
              </w:rPr>
              <w:t>）计算方法不同，具体见公式（2）</w:t>
            </w:r>
          </w:p>
          <w:p w14:paraId="198DC4A0">
            <w:pPr>
              <w:adjustRightInd w:val="0"/>
              <w:snapToGrid w:val="0"/>
              <w:spacing w:line="360" w:lineRule="auto"/>
              <w:ind w:firstLine="420" w:firstLineChars="200"/>
              <w:jc w:val="center"/>
              <w:rPr>
                <w:color w:val="auto"/>
                <w:kern w:val="0"/>
              </w:rPr>
            </w:pPr>
            <w:r>
              <w:rPr>
                <w:color w:val="auto"/>
                <w:kern w:val="0"/>
              </w:rPr>
              <w:t>AE</w:t>
            </w:r>
            <w:r>
              <w:rPr>
                <w:color w:val="auto"/>
                <w:kern w:val="0"/>
                <w:vertAlign w:val="subscript"/>
              </w:rPr>
              <w:t>燃料燃烧</w:t>
            </w:r>
            <w:r>
              <w:rPr>
                <w:color w:val="auto"/>
                <w:kern w:val="0"/>
              </w:rPr>
              <w:t>=AE</w:t>
            </w:r>
            <w:r>
              <w:rPr>
                <w:color w:val="auto"/>
                <w:kern w:val="0"/>
                <w:vertAlign w:val="subscript"/>
              </w:rPr>
              <w:t>电燃</w:t>
            </w:r>
            <w:r>
              <w:rPr>
                <w:color w:val="auto"/>
                <w:kern w:val="0"/>
              </w:rPr>
              <w:t>+AE</w:t>
            </w:r>
            <w:r>
              <w:rPr>
                <w:color w:val="auto"/>
                <w:kern w:val="0"/>
                <w:vertAlign w:val="subscript"/>
              </w:rPr>
              <w:t>工燃</w:t>
            </w:r>
            <w:r>
              <w:rPr>
                <w:color w:val="auto"/>
                <w:kern w:val="0"/>
              </w:rPr>
              <w:t>（2）</w:t>
            </w:r>
          </w:p>
          <w:p w14:paraId="668FCEDE">
            <w:pPr>
              <w:pStyle w:val="2"/>
              <w:ind w:firstLine="420" w:firstLineChars="200"/>
              <w:rPr>
                <w:color w:val="auto"/>
                <w:sz w:val="21"/>
                <w:szCs w:val="21"/>
              </w:rPr>
            </w:pPr>
            <w:r>
              <w:rPr>
                <w:color w:val="auto"/>
                <w:sz w:val="21"/>
                <w:szCs w:val="21"/>
              </w:rPr>
              <w:t>式中：</w:t>
            </w:r>
          </w:p>
          <w:p w14:paraId="71542ACF">
            <w:pPr>
              <w:pStyle w:val="2"/>
              <w:ind w:firstLine="420" w:firstLineChars="200"/>
              <w:rPr>
                <w:color w:val="auto"/>
                <w:sz w:val="21"/>
                <w:szCs w:val="21"/>
              </w:rPr>
            </w:pPr>
            <w:r>
              <w:rPr>
                <w:color w:val="auto"/>
                <w:sz w:val="21"/>
                <w:szCs w:val="21"/>
              </w:rPr>
              <w:t>AE</w:t>
            </w:r>
            <w:r>
              <w:rPr>
                <w:color w:val="auto"/>
                <w:sz w:val="21"/>
                <w:szCs w:val="21"/>
                <w:vertAlign w:val="subscript"/>
              </w:rPr>
              <w:t>电燃</w:t>
            </w:r>
            <w:r>
              <w:rPr>
                <w:color w:val="auto"/>
                <w:sz w:val="21"/>
                <w:szCs w:val="21"/>
              </w:rPr>
              <w:t>——电力生产燃料燃烧排放量（tCO</w:t>
            </w:r>
            <w:r>
              <w:rPr>
                <w:color w:val="auto"/>
                <w:sz w:val="21"/>
                <w:szCs w:val="21"/>
                <w:vertAlign w:val="subscript"/>
              </w:rPr>
              <w:t>2e</w:t>
            </w:r>
            <w:r>
              <w:rPr>
                <w:color w:val="auto"/>
                <w:sz w:val="21"/>
                <w:szCs w:val="21"/>
              </w:rPr>
              <w:t>）</w:t>
            </w:r>
          </w:p>
          <w:p w14:paraId="7436F04D">
            <w:pPr>
              <w:pStyle w:val="2"/>
              <w:ind w:firstLine="420" w:firstLineChars="200"/>
              <w:rPr>
                <w:color w:val="auto"/>
                <w:sz w:val="21"/>
                <w:szCs w:val="21"/>
              </w:rPr>
            </w:pPr>
            <w:r>
              <w:rPr>
                <w:color w:val="auto"/>
                <w:sz w:val="21"/>
                <w:szCs w:val="21"/>
              </w:rPr>
              <w:t>AE</w:t>
            </w:r>
            <w:r>
              <w:rPr>
                <w:color w:val="auto"/>
                <w:sz w:val="21"/>
                <w:szCs w:val="21"/>
                <w:vertAlign w:val="subscript"/>
              </w:rPr>
              <w:t>工燃</w:t>
            </w:r>
            <w:r>
              <w:rPr>
                <w:color w:val="auto"/>
                <w:sz w:val="21"/>
                <w:szCs w:val="21"/>
              </w:rPr>
              <w:t>——工业生产燃料燃烧排放量（tCO</w:t>
            </w:r>
            <w:r>
              <w:rPr>
                <w:color w:val="auto"/>
                <w:sz w:val="21"/>
                <w:szCs w:val="21"/>
                <w:vertAlign w:val="subscript"/>
              </w:rPr>
              <w:t>2e</w:t>
            </w:r>
            <w:r>
              <w:rPr>
                <w:color w:val="auto"/>
                <w:sz w:val="21"/>
                <w:szCs w:val="21"/>
              </w:rPr>
              <w:t>）</w:t>
            </w:r>
          </w:p>
          <w:p w14:paraId="757EB127">
            <w:pPr>
              <w:pStyle w:val="2"/>
              <w:ind w:firstLine="420" w:firstLineChars="200"/>
              <w:rPr>
                <w:color w:val="auto"/>
                <w:sz w:val="21"/>
                <w:szCs w:val="21"/>
              </w:rPr>
            </w:pPr>
            <w:r>
              <w:rPr>
                <w:color w:val="auto"/>
                <w:sz w:val="21"/>
                <w:szCs w:val="21"/>
              </w:rPr>
              <w:t>建设项目用于电力生产的燃料燃烧产生的排放量（AE</w:t>
            </w:r>
            <w:r>
              <w:rPr>
                <w:color w:val="auto"/>
                <w:sz w:val="21"/>
                <w:szCs w:val="21"/>
                <w:vertAlign w:val="subscript"/>
              </w:rPr>
              <w:t>电燃</w:t>
            </w:r>
            <w:r>
              <w:rPr>
                <w:color w:val="auto"/>
                <w:sz w:val="21"/>
                <w:szCs w:val="21"/>
              </w:rPr>
              <w:t>）计算方法见公式（3）</w:t>
            </w:r>
          </w:p>
          <w:p w14:paraId="4466B3F6">
            <w:pPr>
              <w:adjustRightInd w:val="0"/>
              <w:snapToGrid w:val="0"/>
              <w:spacing w:line="360" w:lineRule="auto"/>
              <w:ind w:firstLine="420" w:firstLineChars="200"/>
              <w:jc w:val="center"/>
              <w:rPr>
                <w:color w:val="auto"/>
                <w:kern w:val="0"/>
              </w:rPr>
            </w:pPr>
            <w:r>
              <w:rPr>
                <w:color w:val="auto"/>
                <w:kern w:val="0"/>
              </w:rPr>
              <w:t>AE</w:t>
            </w:r>
            <w:r>
              <w:rPr>
                <w:color w:val="auto"/>
                <w:kern w:val="0"/>
                <w:vertAlign w:val="subscript"/>
              </w:rPr>
              <w:t>电燃</w:t>
            </w:r>
            <w:r>
              <w:rPr>
                <w:color w:val="auto"/>
                <w:kern w:val="0"/>
              </w:rPr>
              <w:t>=∑（ADi</w:t>
            </w:r>
            <w:r>
              <w:rPr>
                <w:color w:val="auto"/>
                <w:kern w:val="0"/>
                <w:vertAlign w:val="subscript"/>
              </w:rPr>
              <w:t>燃料</w:t>
            </w:r>
            <w:r>
              <w:rPr>
                <w:color w:val="auto"/>
                <w:kern w:val="0"/>
              </w:rPr>
              <w:t>*EFi</w:t>
            </w:r>
            <w:r>
              <w:rPr>
                <w:color w:val="auto"/>
                <w:kern w:val="0"/>
                <w:vertAlign w:val="subscript"/>
              </w:rPr>
              <w:t>燃料</w:t>
            </w:r>
            <w:r>
              <w:rPr>
                <w:color w:val="auto"/>
                <w:kern w:val="0"/>
              </w:rPr>
              <w:t>+ADi</w:t>
            </w:r>
            <w:r>
              <w:rPr>
                <w:color w:val="auto"/>
                <w:kern w:val="0"/>
                <w:vertAlign w:val="subscript"/>
              </w:rPr>
              <w:t>燃料</w:t>
            </w:r>
            <w:r>
              <w:rPr>
                <w:color w:val="auto"/>
                <w:kern w:val="0"/>
              </w:rPr>
              <w:t>*EF＇</w:t>
            </w:r>
            <w:r>
              <w:rPr>
                <w:color w:val="auto"/>
                <w:kern w:val="0"/>
                <w:vertAlign w:val="subscript"/>
              </w:rPr>
              <w:t>i燃料</w:t>
            </w:r>
            <w:r>
              <w:rPr>
                <w:color w:val="auto"/>
                <w:kern w:val="0"/>
              </w:rPr>
              <w:t>*GWP</w:t>
            </w:r>
            <w:r>
              <w:rPr>
                <w:color w:val="auto"/>
                <w:kern w:val="0"/>
                <w:vertAlign w:val="subscript"/>
              </w:rPr>
              <w:t>N2O</w:t>
            </w:r>
            <w:r>
              <w:rPr>
                <w:color w:val="auto"/>
                <w:kern w:val="0"/>
              </w:rPr>
              <w:t>）</w:t>
            </w:r>
          </w:p>
          <w:p w14:paraId="7D0EDAC5">
            <w:pPr>
              <w:pStyle w:val="2"/>
              <w:ind w:firstLine="420" w:firstLineChars="200"/>
              <w:rPr>
                <w:color w:val="auto"/>
                <w:sz w:val="21"/>
                <w:szCs w:val="21"/>
              </w:rPr>
            </w:pPr>
            <w:r>
              <w:rPr>
                <w:color w:val="auto"/>
                <w:sz w:val="21"/>
                <w:szCs w:val="21"/>
              </w:rPr>
              <w:t>式中：</w:t>
            </w:r>
          </w:p>
          <w:p w14:paraId="27B7B5FF">
            <w:pPr>
              <w:pStyle w:val="2"/>
              <w:ind w:firstLine="420" w:firstLineChars="200"/>
              <w:rPr>
                <w:color w:val="auto"/>
                <w:sz w:val="21"/>
                <w:szCs w:val="21"/>
              </w:rPr>
            </w:pPr>
            <w:r>
              <w:rPr>
                <w:color w:val="auto"/>
                <w:sz w:val="21"/>
                <w:szCs w:val="21"/>
              </w:rPr>
              <w:t>i——燃料种类；</w:t>
            </w:r>
          </w:p>
          <w:p w14:paraId="0472E054">
            <w:pPr>
              <w:pStyle w:val="2"/>
              <w:ind w:firstLine="420" w:firstLineChars="200"/>
              <w:rPr>
                <w:color w:val="auto"/>
                <w:sz w:val="21"/>
                <w:szCs w:val="21"/>
              </w:rPr>
            </w:pPr>
            <w:r>
              <w:rPr>
                <w:color w:val="auto"/>
                <w:sz w:val="21"/>
                <w:szCs w:val="21"/>
              </w:rPr>
              <w:t>ADi</w:t>
            </w:r>
            <w:r>
              <w:rPr>
                <w:color w:val="auto"/>
                <w:sz w:val="21"/>
                <w:szCs w:val="21"/>
                <w:vertAlign w:val="subscript"/>
              </w:rPr>
              <w:t>燃料</w:t>
            </w:r>
            <w:r>
              <w:rPr>
                <w:color w:val="auto"/>
                <w:sz w:val="21"/>
                <w:szCs w:val="21"/>
              </w:rPr>
              <w:t>——i 燃料燃烧消耗量（t或kNm</w:t>
            </w:r>
            <w:r>
              <w:rPr>
                <w:color w:val="auto"/>
                <w:sz w:val="21"/>
                <w:szCs w:val="21"/>
                <w:vertAlign w:val="superscript"/>
              </w:rPr>
              <w:t>3</w:t>
            </w:r>
            <w:r>
              <w:rPr>
                <w:color w:val="auto"/>
                <w:sz w:val="21"/>
                <w:szCs w:val="21"/>
              </w:rPr>
              <w:t>）</w:t>
            </w:r>
          </w:p>
          <w:p w14:paraId="36B046D8">
            <w:pPr>
              <w:pStyle w:val="2"/>
              <w:ind w:firstLine="420" w:firstLineChars="200"/>
              <w:rPr>
                <w:color w:val="auto"/>
                <w:sz w:val="21"/>
                <w:szCs w:val="21"/>
              </w:rPr>
            </w:pPr>
            <w:r>
              <w:rPr>
                <w:color w:val="auto"/>
                <w:sz w:val="21"/>
                <w:szCs w:val="21"/>
              </w:rPr>
              <w:t>EFi</w:t>
            </w:r>
            <w:r>
              <w:rPr>
                <w:color w:val="auto"/>
                <w:sz w:val="21"/>
                <w:szCs w:val="21"/>
                <w:vertAlign w:val="subscript"/>
              </w:rPr>
              <w:t>燃料</w:t>
            </w:r>
            <w:r>
              <w:rPr>
                <w:color w:val="auto"/>
                <w:sz w:val="21"/>
                <w:szCs w:val="21"/>
              </w:rPr>
              <w:t>——i 燃料燃烧二氧化碳排放因子（tCO</w:t>
            </w:r>
            <w:r>
              <w:rPr>
                <w:color w:val="auto"/>
                <w:sz w:val="21"/>
                <w:szCs w:val="21"/>
                <w:vertAlign w:val="subscript"/>
              </w:rPr>
              <w:t>2e</w:t>
            </w:r>
            <w:r>
              <w:rPr>
                <w:color w:val="auto"/>
                <w:sz w:val="21"/>
                <w:szCs w:val="21"/>
              </w:rPr>
              <w:t>/kg或tCO</w:t>
            </w:r>
            <w:r>
              <w:rPr>
                <w:color w:val="auto"/>
                <w:sz w:val="21"/>
                <w:szCs w:val="21"/>
                <w:vertAlign w:val="subscript"/>
              </w:rPr>
              <w:t>2e</w:t>
            </w:r>
            <w:r>
              <w:rPr>
                <w:color w:val="auto"/>
                <w:sz w:val="21"/>
                <w:szCs w:val="21"/>
              </w:rPr>
              <w:t>/kNm</w:t>
            </w:r>
            <w:r>
              <w:rPr>
                <w:color w:val="auto"/>
                <w:sz w:val="21"/>
                <w:szCs w:val="21"/>
                <w:vertAlign w:val="superscript"/>
              </w:rPr>
              <w:t>3</w:t>
            </w:r>
            <w:r>
              <w:rPr>
                <w:color w:val="auto"/>
                <w:sz w:val="21"/>
                <w:szCs w:val="21"/>
              </w:rPr>
              <w:t>）</w:t>
            </w:r>
          </w:p>
          <w:p w14:paraId="60D59E36">
            <w:pPr>
              <w:pStyle w:val="2"/>
              <w:ind w:firstLine="420" w:firstLineChars="200"/>
              <w:rPr>
                <w:color w:val="auto"/>
                <w:sz w:val="21"/>
                <w:szCs w:val="21"/>
              </w:rPr>
            </w:pPr>
            <w:r>
              <w:rPr>
                <w:color w:val="auto"/>
                <w:sz w:val="21"/>
                <w:szCs w:val="21"/>
              </w:rPr>
              <w:t>EF＇</w:t>
            </w:r>
            <w:r>
              <w:rPr>
                <w:color w:val="auto"/>
                <w:sz w:val="21"/>
                <w:szCs w:val="21"/>
                <w:vertAlign w:val="subscript"/>
              </w:rPr>
              <w:t>i燃料</w:t>
            </w:r>
            <w:r>
              <w:rPr>
                <w:color w:val="auto"/>
                <w:sz w:val="21"/>
                <w:szCs w:val="21"/>
              </w:rPr>
              <w:t>——i 燃料燃烧氧化亚氮排放因子（tCO</w:t>
            </w:r>
            <w:r>
              <w:rPr>
                <w:color w:val="auto"/>
                <w:sz w:val="21"/>
                <w:szCs w:val="21"/>
                <w:vertAlign w:val="subscript"/>
              </w:rPr>
              <w:t>2e</w:t>
            </w:r>
            <w:r>
              <w:rPr>
                <w:color w:val="auto"/>
                <w:sz w:val="21"/>
                <w:szCs w:val="21"/>
              </w:rPr>
              <w:t>/kg或tCO</w:t>
            </w:r>
            <w:r>
              <w:rPr>
                <w:color w:val="auto"/>
                <w:sz w:val="21"/>
                <w:szCs w:val="21"/>
                <w:vertAlign w:val="subscript"/>
              </w:rPr>
              <w:t>2e</w:t>
            </w:r>
            <w:r>
              <w:rPr>
                <w:color w:val="auto"/>
                <w:sz w:val="21"/>
                <w:szCs w:val="21"/>
              </w:rPr>
              <w:t>/kNm</w:t>
            </w:r>
            <w:r>
              <w:rPr>
                <w:color w:val="auto"/>
                <w:sz w:val="21"/>
                <w:szCs w:val="21"/>
                <w:vertAlign w:val="superscript"/>
              </w:rPr>
              <w:t>3</w:t>
            </w:r>
            <w:r>
              <w:rPr>
                <w:color w:val="auto"/>
                <w:sz w:val="21"/>
                <w:szCs w:val="21"/>
              </w:rPr>
              <w:t>）</w:t>
            </w:r>
          </w:p>
          <w:p w14:paraId="3AE4416D">
            <w:pPr>
              <w:pStyle w:val="2"/>
              <w:ind w:firstLine="420" w:firstLineChars="200"/>
              <w:rPr>
                <w:color w:val="auto"/>
                <w:sz w:val="21"/>
                <w:szCs w:val="21"/>
              </w:rPr>
            </w:pPr>
            <w:r>
              <w:rPr>
                <w:color w:val="auto"/>
                <w:sz w:val="21"/>
                <w:szCs w:val="21"/>
              </w:rPr>
              <w:t>GWP</w:t>
            </w:r>
            <w:r>
              <w:rPr>
                <w:color w:val="auto"/>
                <w:sz w:val="21"/>
                <w:szCs w:val="21"/>
                <w:vertAlign w:val="subscript"/>
              </w:rPr>
              <w:t>N2O</w:t>
            </w:r>
            <w:r>
              <w:rPr>
                <w:color w:val="auto"/>
                <w:sz w:val="21"/>
                <w:szCs w:val="21"/>
              </w:rPr>
              <w:t>——i 燃料燃烧二氧化碳排放因子（tCO</w:t>
            </w:r>
            <w:r>
              <w:rPr>
                <w:color w:val="auto"/>
                <w:sz w:val="21"/>
                <w:szCs w:val="21"/>
                <w:vertAlign w:val="subscript"/>
              </w:rPr>
              <w:t>2e</w:t>
            </w:r>
            <w:r>
              <w:rPr>
                <w:color w:val="auto"/>
                <w:sz w:val="21"/>
                <w:szCs w:val="21"/>
              </w:rPr>
              <w:t>/kg或tCO</w:t>
            </w:r>
            <w:r>
              <w:rPr>
                <w:color w:val="auto"/>
                <w:sz w:val="21"/>
                <w:szCs w:val="21"/>
                <w:vertAlign w:val="subscript"/>
              </w:rPr>
              <w:t>2e</w:t>
            </w:r>
            <w:r>
              <w:rPr>
                <w:color w:val="auto"/>
                <w:sz w:val="21"/>
                <w:szCs w:val="21"/>
              </w:rPr>
              <w:t>/kNm</w:t>
            </w:r>
            <w:r>
              <w:rPr>
                <w:color w:val="auto"/>
                <w:sz w:val="21"/>
                <w:szCs w:val="21"/>
                <w:vertAlign w:val="superscript"/>
              </w:rPr>
              <w:t>3</w:t>
            </w:r>
            <w:r>
              <w:rPr>
                <w:color w:val="auto"/>
                <w:sz w:val="21"/>
                <w:szCs w:val="21"/>
              </w:rPr>
              <w:t>）</w:t>
            </w:r>
          </w:p>
          <w:p w14:paraId="32DF5C71">
            <w:pPr>
              <w:pStyle w:val="2"/>
              <w:ind w:firstLine="420" w:firstLineChars="200"/>
              <w:rPr>
                <w:color w:val="auto"/>
                <w:sz w:val="21"/>
                <w:szCs w:val="21"/>
              </w:rPr>
            </w:pPr>
            <w:r>
              <w:rPr>
                <w:color w:val="auto"/>
                <w:sz w:val="21"/>
                <w:szCs w:val="21"/>
              </w:rPr>
              <w:t>EF</w:t>
            </w:r>
            <w:r>
              <w:rPr>
                <w:color w:val="auto"/>
                <w:sz w:val="21"/>
                <w:szCs w:val="21"/>
                <w:vertAlign w:val="subscript"/>
              </w:rPr>
              <w:t>i燃料</w:t>
            </w:r>
            <w:r>
              <w:rPr>
                <w:color w:val="auto"/>
                <w:sz w:val="21"/>
                <w:szCs w:val="21"/>
              </w:rPr>
              <w:t>——氧化亚氮全球变暖潜势值。</w:t>
            </w:r>
          </w:p>
          <w:p w14:paraId="0FFF8B1E">
            <w:pPr>
              <w:pStyle w:val="2"/>
              <w:ind w:firstLine="420" w:firstLineChars="200"/>
              <w:rPr>
                <w:color w:val="auto"/>
                <w:sz w:val="21"/>
                <w:szCs w:val="21"/>
              </w:rPr>
            </w:pPr>
            <w:r>
              <w:rPr>
                <w:color w:val="auto"/>
                <w:sz w:val="21"/>
                <w:szCs w:val="21"/>
              </w:rPr>
              <w:t>建设项目用于电力生产之外的其他工业生产的燃料燃烧产生的排放量（AE</w:t>
            </w:r>
            <w:r>
              <w:rPr>
                <w:color w:val="auto"/>
                <w:sz w:val="21"/>
                <w:szCs w:val="21"/>
                <w:vertAlign w:val="subscript"/>
              </w:rPr>
              <w:t>工燃</w:t>
            </w:r>
            <w:r>
              <w:rPr>
                <w:color w:val="auto"/>
                <w:sz w:val="21"/>
                <w:szCs w:val="21"/>
              </w:rPr>
              <w:t>）计算方法见公式（4）</w:t>
            </w:r>
          </w:p>
          <w:p w14:paraId="0A97EB97">
            <w:pPr>
              <w:adjustRightInd w:val="0"/>
              <w:snapToGrid w:val="0"/>
              <w:spacing w:line="360" w:lineRule="auto"/>
              <w:ind w:firstLine="420" w:firstLineChars="200"/>
              <w:jc w:val="center"/>
              <w:rPr>
                <w:color w:val="auto"/>
                <w:kern w:val="0"/>
              </w:rPr>
            </w:pPr>
            <w:r>
              <w:rPr>
                <w:color w:val="auto"/>
                <w:kern w:val="0"/>
              </w:rPr>
              <w:t>AE</w:t>
            </w:r>
            <w:r>
              <w:rPr>
                <w:color w:val="auto"/>
                <w:kern w:val="0"/>
                <w:vertAlign w:val="subscript"/>
              </w:rPr>
              <w:t>工燃</w:t>
            </w:r>
            <w:r>
              <w:rPr>
                <w:color w:val="auto"/>
                <w:kern w:val="0"/>
              </w:rPr>
              <w:t>=∑（AD</w:t>
            </w:r>
            <w:r>
              <w:rPr>
                <w:color w:val="auto"/>
                <w:kern w:val="0"/>
                <w:vertAlign w:val="subscript"/>
              </w:rPr>
              <w:t>i燃料</w:t>
            </w:r>
            <w:r>
              <w:rPr>
                <w:color w:val="auto"/>
                <w:kern w:val="0"/>
              </w:rPr>
              <w:t>*EF</w:t>
            </w:r>
            <w:r>
              <w:rPr>
                <w:color w:val="auto"/>
                <w:kern w:val="0"/>
                <w:vertAlign w:val="subscript"/>
              </w:rPr>
              <w:t>i燃料</w:t>
            </w:r>
            <w:r>
              <w:rPr>
                <w:color w:val="auto"/>
                <w:kern w:val="0"/>
              </w:rPr>
              <w:t>）（4）</w:t>
            </w:r>
          </w:p>
          <w:p w14:paraId="3B068BB8">
            <w:pPr>
              <w:pStyle w:val="2"/>
              <w:ind w:firstLine="420" w:firstLineChars="200"/>
              <w:rPr>
                <w:color w:val="auto"/>
                <w:sz w:val="21"/>
                <w:szCs w:val="21"/>
              </w:rPr>
            </w:pPr>
            <w:r>
              <w:rPr>
                <w:color w:val="auto"/>
                <w:sz w:val="21"/>
                <w:szCs w:val="21"/>
              </w:rPr>
              <w:t>式中：</w:t>
            </w:r>
          </w:p>
          <w:p w14:paraId="0C75230C">
            <w:pPr>
              <w:pStyle w:val="2"/>
              <w:ind w:firstLine="420" w:firstLineChars="200"/>
              <w:rPr>
                <w:color w:val="auto"/>
                <w:sz w:val="21"/>
                <w:szCs w:val="21"/>
              </w:rPr>
            </w:pPr>
            <w:r>
              <w:rPr>
                <w:color w:val="auto"/>
                <w:sz w:val="21"/>
                <w:szCs w:val="21"/>
              </w:rPr>
              <w:t>i——燃料种类；</w:t>
            </w:r>
          </w:p>
          <w:p w14:paraId="0EE684AE">
            <w:pPr>
              <w:pStyle w:val="2"/>
              <w:ind w:firstLine="420" w:firstLineChars="200"/>
              <w:rPr>
                <w:color w:val="auto"/>
                <w:sz w:val="21"/>
                <w:szCs w:val="21"/>
              </w:rPr>
            </w:pPr>
            <w:r>
              <w:rPr>
                <w:color w:val="auto"/>
                <w:sz w:val="21"/>
                <w:szCs w:val="21"/>
              </w:rPr>
              <w:t>AD</w:t>
            </w:r>
            <w:r>
              <w:rPr>
                <w:color w:val="auto"/>
                <w:sz w:val="21"/>
                <w:szCs w:val="21"/>
                <w:vertAlign w:val="subscript"/>
              </w:rPr>
              <w:t>i燃料</w:t>
            </w:r>
            <w:r>
              <w:rPr>
                <w:color w:val="auto"/>
                <w:sz w:val="21"/>
                <w:szCs w:val="21"/>
              </w:rPr>
              <w:t>——i燃料燃烧消耗量（t或kNm</w:t>
            </w:r>
            <w:r>
              <w:rPr>
                <w:color w:val="auto"/>
                <w:sz w:val="21"/>
                <w:szCs w:val="21"/>
                <w:vertAlign w:val="superscript"/>
              </w:rPr>
              <w:t>3</w:t>
            </w:r>
            <w:r>
              <w:rPr>
                <w:color w:val="auto"/>
                <w:sz w:val="21"/>
                <w:szCs w:val="21"/>
              </w:rPr>
              <w:t>）</w:t>
            </w:r>
          </w:p>
          <w:p w14:paraId="300EC989">
            <w:pPr>
              <w:pStyle w:val="2"/>
              <w:ind w:firstLine="420" w:firstLineChars="200"/>
              <w:rPr>
                <w:color w:val="auto"/>
                <w:sz w:val="21"/>
                <w:szCs w:val="21"/>
              </w:rPr>
            </w:pPr>
            <w:r>
              <w:rPr>
                <w:color w:val="auto"/>
                <w:sz w:val="21"/>
                <w:szCs w:val="21"/>
              </w:rPr>
              <w:t>EF</w:t>
            </w:r>
            <w:r>
              <w:rPr>
                <w:color w:val="auto"/>
                <w:sz w:val="21"/>
                <w:szCs w:val="21"/>
                <w:vertAlign w:val="subscript"/>
              </w:rPr>
              <w:t>i燃料</w:t>
            </w:r>
            <w:r>
              <w:rPr>
                <w:color w:val="auto"/>
                <w:sz w:val="21"/>
                <w:szCs w:val="21"/>
              </w:rPr>
              <w:t>——i 燃料燃烧二氧化碳排放因子（tCO</w:t>
            </w:r>
            <w:r>
              <w:rPr>
                <w:color w:val="auto"/>
                <w:sz w:val="21"/>
                <w:szCs w:val="21"/>
                <w:vertAlign w:val="subscript"/>
              </w:rPr>
              <w:t>2e</w:t>
            </w:r>
            <w:r>
              <w:rPr>
                <w:color w:val="auto"/>
                <w:sz w:val="21"/>
                <w:szCs w:val="21"/>
              </w:rPr>
              <w:t>/kg或tCO</w:t>
            </w:r>
            <w:r>
              <w:rPr>
                <w:color w:val="auto"/>
                <w:sz w:val="21"/>
                <w:szCs w:val="21"/>
                <w:vertAlign w:val="subscript"/>
              </w:rPr>
              <w:t>2e</w:t>
            </w:r>
            <w:r>
              <w:rPr>
                <w:color w:val="auto"/>
                <w:sz w:val="21"/>
                <w:szCs w:val="21"/>
              </w:rPr>
              <w:t>/kNm</w:t>
            </w:r>
            <w:r>
              <w:rPr>
                <w:color w:val="auto"/>
                <w:sz w:val="21"/>
                <w:szCs w:val="21"/>
                <w:vertAlign w:val="superscript"/>
              </w:rPr>
              <w:t>3</w:t>
            </w:r>
            <w:r>
              <w:rPr>
                <w:color w:val="auto"/>
                <w:sz w:val="21"/>
                <w:szCs w:val="21"/>
              </w:rPr>
              <w:t>）</w:t>
            </w:r>
          </w:p>
          <w:p w14:paraId="02F60EAE">
            <w:pPr>
              <w:pStyle w:val="2"/>
              <w:ind w:firstLine="420" w:firstLineChars="200"/>
              <w:rPr>
                <w:color w:val="auto"/>
                <w:sz w:val="21"/>
                <w:szCs w:val="21"/>
              </w:rPr>
            </w:pPr>
            <w:r>
              <w:rPr>
                <w:rFonts w:hint="eastAsia"/>
                <w:color w:val="auto"/>
                <w:sz w:val="21"/>
                <w:szCs w:val="21"/>
              </w:rPr>
              <w:t>2）</w:t>
            </w:r>
            <w:r>
              <w:rPr>
                <w:color w:val="auto"/>
                <w:sz w:val="21"/>
                <w:szCs w:val="21"/>
              </w:rPr>
              <w:t>本项目不涉及工业生产过程排放量（AE</w:t>
            </w:r>
            <w:r>
              <w:rPr>
                <w:color w:val="auto"/>
                <w:sz w:val="21"/>
                <w:szCs w:val="21"/>
                <w:vertAlign w:val="subscript"/>
              </w:rPr>
              <w:t>工业生产过程</w:t>
            </w:r>
            <w:r>
              <w:rPr>
                <w:color w:val="auto"/>
                <w:sz w:val="21"/>
                <w:szCs w:val="21"/>
              </w:rPr>
              <w:t>）</w:t>
            </w:r>
          </w:p>
          <w:p w14:paraId="32562AD0">
            <w:pPr>
              <w:adjustRightInd w:val="0"/>
              <w:snapToGrid w:val="0"/>
              <w:spacing w:line="360" w:lineRule="auto"/>
              <w:ind w:firstLine="420" w:firstLineChars="200"/>
              <w:rPr>
                <w:color w:val="auto"/>
                <w:kern w:val="0"/>
              </w:rPr>
            </w:pPr>
            <w:r>
              <w:rPr>
                <w:rFonts w:hint="eastAsia"/>
                <w:color w:val="auto"/>
                <w:kern w:val="0"/>
              </w:rPr>
              <w:t>3）</w:t>
            </w:r>
            <w:r>
              <w:rPr>
                <w:color w:val="auto"/>
                <w:kern w:val="0"/>
              </w:rPr>
              <w:t>净调入电力和热力消耗碳排放总量（AE净调入电力和热力）计算方法见公式（5）</w:t>
            </w:r>
          </w:p>
          <w:p w14:paraId="0E8AF6C2">
            <w:pPr>
              <w:adjustRightInd w:val="0"/>
              <w:snapToGrid w:val="0"/>
              <w:spacing w:line="360" w:lineRule="auto"/>
              <w:ind w:firstLine="420" w:firstLineChars="200"/>
              <w:jc w:val="center"/>
              <w:rPr>
                <w:color w:val="auto"/>
                <w:kern w:val="0"/>
              </w:rPr>
            </w:pPr>
            <w:r>
              <w:rPr>
                <w:color w:val="auto"/>
                <w:kern w:val="0"/>
              </w:rPr>
              <w:t>AE</w:t>
            </w:r>
            <w:r>
              <w:rPr>
                <w:color w:val="auto"/>
                <w:kern w:val="0"/>
                <w:vertAlign w:val="subscript"/>
              </w:rPr>
              <w:t>净调入电力和热力</w:t>
            </w:r>
            <w:r>
              <w:rPr>
                <w:color w:val="auto"/>
                <w:kern w:val="0"/>
              </w:rPr>
              <w:t>=AE</w:t>
            </w:r>
            <w:r>
              <w:rPr>
                <w:color w:val="auto"/>
                <w:kern w:val="0"/>
                <w:vertAlign w:val="subscript"/>
              </w:rPr>
              <w:t>净调入电力</w:t>
            </w:r>
            <w:r>
              <w:rPr>
                <w:color w:val="auto"/>
                <w:kern w:val="0"/>
              </w:rPr>
              <w:t>+AE</w:t>
            </w:r>
            <w:r>
              <w:rPr>
                <w:color w:val="auto"/>
                <w:kern w:val="0"/>
                <w:vertAlign w:val="subscript"/>
              </w:rPr>
              <w:t>净调入热力</w:t>
            </w:r>
            <w:r>
              <w:rPr>
                <w:color w:val="auto"/>
                <w:kern w:val="0"/>
              </w:rPr>
              <w:t>（5）</w:t>
            </w:r>
          </w:p>
          <w:p w14:paraId="7C82D02A">
            <w:pPr>
              <w:pStyle w:val="2"/>
              <w:ind w:firstLine="420" w:firstLineChars="200"/>
              <w:rPr>
                <w:color w:val="auto"/>
                <w:sz w:val="21"/>
                <w:szCs w:val="21"/>
              </w:rPr>
            </w:pPr>
            <w:r>
              <w:rPr>
                <w:color w:val="auto"/>
                <w:sz w:val="21"/>
                <w:szCs w:val="21"/>
              </w:rPr>
              <w:t>式中：</w:t>
            </w:r>
          </w:p>
          <w:p w14:paraId="50AD422D">
            <w:pPr>
              <w:adjustRightInd w:val="0"/>
              <w:snapToGrid w:val="0"/>
              <w:spacing w:line="360" w:lineRule="auto"/>
              <w:ind w:firstLine="420" w:firstLineChars="200"/>
              <w:rPr>
                <w:color w:val="auto"/>
                <w:kern w:val="0"/>
              </w:rPr>
            </w:pPr>
            <w:r>
              <w:rPr>
                <w:color w:val="auto"/>
                <w:kern w:val="0"/>
              </w:rPr>
              <w:t>AE</w:t>
            </w:r>
            <w:r>
              <w:rPr>
                <w:color w:val="auto"/>
                <w:kern w:val="0"/>
                <w:vertAlign w:val="subscript"/>
              </w:rPr>
              <w:t>净调入电力</w:t>
            </w:r>
            <w:r>
              <w:rPr>
                <w:color w:val="auto"/>
                <w:kern w:val="0"/>
              </w:rPr>
              <w:t>——净调入电力消耗碳排放量（tCO</w:t>
            </w:r>
            <w:r>
              <w:rPr>
                <w:color w:val="auto"/>
                <w:kern w:val="0"/>
                <w:vertAlign w:val="subscript"/>
              </w:rPr>
              <w:t>2e</w:t>
            </w:r>
            <w:r>
              <w:rPr>
                <w:color w:val="auto"/>
                <w:kern w:val="0"/>
              </w:rPr>
              <w:t>）</w:t>
            </w:r>
          </w:p>
          <w:p w14:paraId="645474AD">
            <w:pPr>
              <w:adjustRightInd w:val="0"/>
              <w:snapToGrid w:val="0"/>
              <w:spacing w:line="360" w:lineRule="auto"/>
              <w:ind w:firstLine="420" w:firstLineChars="200"/>
              <w:rPr>
                <w:color w:val="auto"/>
                <w:kern w:val="0"/>
              </w:rPr>
            </w:pPr>
            <w:r>
              <w:rPr>
                <w:color w:val="auto"/>
                <w:kern w:val="0"/>
              </w:rPr>
              <w:t>AE</w:t>
            </w:r>
            <w:r>
              <w:rPr>
                <w:color w:val="auto"/>
                <w:kern w:val="0"/>
                <w:vertAlign w:val="subscript"/>
              </w:rPr>
              <w:t>净调入热力</w:t>
            </w:r>
            <w:r>
              <w:rPr>
                <w:color w:val="auto"/>
                <w:kern w:val="0"/>
              </w:rPr>
              <w:t>——净调入热力消耗碳排放量（tCO</w:t>
            </w:r>
            <w:r>
              <w:rPr>
                <w:color w:val="auto"/>
                <w:kern w:val="0"/>
                <w:vertAlign w:val="subscript"/>
              </w:rPr>
              <w:t>2e</w:t>
            </w:r>
            <w:r>
              <w:rPr>
                <w:color w:val="auto"/>
                <w:kern w:val="0"/>
              </w:rPr>
              <w:t>）</w:t>
            </w:r>
          </w:p>
          <w:p w14:paraId="7F6B64F2">
            <w:pPr>
              <w:pStyle w:val="2"/>
              <w:ind w:firstLine="420" w:firstLineChars="200"/>
              <w:rPr>
                <w:color w:val="auto"/>
                <w:sz w:val="21"/>
                <w:szCs w:val="21"/>
              </w:rPr>
            </w:pPr>
            <w:r>
              <w:rPr>
                <w:color w:val="auto"/>
                <w:sz w:val="21"/>
                <w:szCs w:val="21"/>
              </w:rPr>
              <w:t>其中，净调入电力消耗碳排放量（AE净调入电力）计算方法见公式（6）</w:t>
            </w:r>
          </w:p>
          <w:p w14:paraId="0DC19C4E">
            <w:pPr>
              <w:adjustRightInd w:val="0"/>
              <w:snapToGrid w:val="0"/>
              <w:spacing w:line="360" w:lineRule="auto"/>
              <w:ind w:firstLine="420" w:firstLineChars="200"/>
              <w:jc w:val="center"/>
              <w:rPr>
                <w:color w:val="auto"/>
                <w:kern w:val="0"/>
              </w:rPr>
            </w:pPr>
            <w:r>
              <w:rPr>
                <w:color w:val="auto"/>
                <w:kern w:val="0"/>
              </w:rPr>
              <w:t>AE</w:t>
            </w:r>
            <w:r>
              <w:rPr>
                <w:color w:val="auto"/>
                <w:kern w:val="0"/>
                <w:vertAlign w:val="subscript"/>
              </w:rPr>
              <w:t>净调入电力</w:t>
            </w:r>
            <w:r>
              <w:rPr>
                <w:color w:val="auto"/>
                <w:kern w:val="0"/>
              </w:rPr>
              <w:t>=AD</w:t>
            </w:r>
            <w:r>
              <w:rPr>
                <w:color w:val="auto"/>
                <w:kern w:val="0"/>
                <w:vertAlign w:val="subscript"/>
              </w:rPr>
              <w:t>净调入电量</w:t>
            </w:r>
            <w:r>
              <w:rPr>
                <w:color w:val="auto"/>
                <w:kern w:val="0"/>
              </w:rPr>
              <w:t>*EF</w:t>
            </w:r>
            <w:r>
              <w:rPr>
                <w:color w:val="auto"/>
                <w:kern w:val="0"/>
                <w:vertAlign w:val="subscript"/>
              </w:rPr>
              <w:t>电力</w:t>
            </w:r>
            <w:r>
              <w:rPr>
                <w:color w:val="auto"/>
                <w:kern w:val="0"/>
              </w:rPr>
              <w:t>（6）</w:t>
            </w:r>
          </w:p>
          <w:p w14:paraId="58CA4A4F">
            <w:pPr>
              <w:pStyle w:val="2"/>
              <w:ind w:firstLine="420" w:firstLineChars="200"/>
              <w:rPr>
                <w:color w:val="auto"/>
                <w:sz w:val="21"/>
                <w:szCs w:val="21"/>
              </w:rPr>
            </w:pPr>
            <w:r>
              <w:rPr>
                <w:color w:val="auto"/>
                <w:sz w:val="21"/>
                <w:szCs w:val="21"/>
              </w:rPr>
              <w:t>式中：</w:t>
            </w:r>
          </w:p>
          <w:p w14:paraId="5A2CACC2">
            <w:pPr>
              <w:adjustRightInd w:val="0"/>
              <w:snapToGrid w:val="0"/>
              <w:spacing w:line="360" w:lineRule="auto"/>
              <w:ind w:firstLine="420" w:firstLineChars="200"/>
              <w:rPr>
                <w:color w:val="auto"/>
                <w:kern w:val="0"/>
              </w:rPr>
            </w:pPr>
            <w:r>
              <w:rPr>
                <w:color w:val="auto"/>
                <w:kern w:val="0"/>
              </w:rPr>
              <w:t>AD</w:t>
            </w:r>
            <w:r>
              <w:rPr>
                <w:color w:val="auto"/>
                <w:kern w:val="0"/>
                <w:vertAlign w:val="subscript"/>
              </w:rPr>
              <w:t>净调入电量</w:t>
            </w:r>
            <w:r>
              <w:rPr>
                <w:color w:val="auto"/>
                <w:kern w:val="0"/>
              </w:rPr>
              <w:t>——净调入电力消耗量（MWh）；</w:t>
            </w:r>
          </w:p>
          <w:p w14:paraId="182AC96F">
            <w:pPr>
              <w:pStyle w:val="2"/>
              <w:ind w:firstLine="420" w:firstLineChars="200"/>
              <w:rPr>
                <w:color w:val="auto"/>
                <w:sz w:val="21"/>
                <w:szCs w:val="21"/>
              </w:rPr>
            </w:pPr>
            <w:r>
              <w:rPr>
                <w:color w:val="auto"/>
                <w:sz w:val="21"/>
                <w:szCs w:val="21"/>
              </w:rPr>
              <w:t>EF</w:t>
            </w:r>
            <w:r>
              <w:rPr>
                <w:color w:val="auto"/>
                <w:sz w:val="21"/>
                <w:szCs w:val="21"/>
                <w:vertAlign w:val="subscript"/>
              </w:rPr>
              <w:t>电力</w:t>
            </w:r>
            <w:r>
              <w:rPr>
                <w:color w:val="auto"/>
                <w:sz w:val="21"/>
                <w:szCs w:val="21"/>
              </w:rPr>
              <w:t>——电力排放因子（tCO</w:t>
            </w:r>
            <w:r>
              <w:rPr>
                <w:color w:val="auto"/>
                <w:sz w:val="21"/>
                <w:szCs w:val="21"/>
                <w:vertAlign w:val="subscript"/>
              </w:rPr>
              <w:t>2e</w:t>
            </w:r>
            <w:r>
              <w:rPr>
                <w:color w:val="auto"/>
                <w:sz w:val="21"/>
                <w:szCs w:val="21"/>
              </w:rPr>
              <w:t>/MWh），为0.</w:t>
            </w:r>
            <w:r>
              <w:rPr>
                <w:rFonts w:hint="eastAsia"/>
                <w:color w:val="auto"/>
                <w:sz w:val="21"/>
                <w:szCs w:val="21"/>
              </w:rPr>
              <w:t>5703</w:t>
            </w:r>
            <w:r>
              <w:rPr>
                <w:color w:val="auto"/>
                <w:sz w:val="21"/>
                <w:szCs w:val="21"/>
              </w:rPr>
              <w:t>tCO</w:t>
            </w:r>
            <w:r>
              <w:rPr>
                <w:color w:val="auto"/>
                <w:sz w:val="21"/>
                <w:szCs w:val="21"/>
                <w:vertAlign w:val="subscript"/>
              </w:rPr>
              <w:t>2e</w:t>
            </w:r>
            <w:r>
              <w:rPr>
                <w:color w:val="auto"/>
                <w:sz w:val="21"/>
                <w:szCs w:val="21"/>
              </w:rPr>
              <w:t>/MWh。其中，净调入热力消耗碳排放量（AE</w:t>
            </w:r>
            <w:r>
              <w:rPr>
                <w:color w:val="auto"/>
                <w:sz w:val="21"/>
                <w:szCs w:val="21"/>
                <w:vertAlign w:val="subscript"/>
              </w:rPr>
              <w:t>净调入热力</w:t>
            </w:r>
            <w:r>
              <w:rPr>
                <w:color w:val="auto"/>
                <w:sz w:val="21"/>
                <w:szCs w:val="21"/>
              </w:rPr>
              <w:t>）计算方法见公式（7）：</w:t>
            </w:r>
          </w:p>
          <w:p w14:paraId="00D1AA28">
            <w:pPr>
              <w:adjustRightInd w:val="0"/>
              <w:snapToGrid w:val="0"/>
              <w:spacing w:line="360" w:lineRule="auto"/>
              <w:ind w:firstLine="420" w:firstLineChars="200"/>
              <w:rPr>
                <w:color w:val="auto"/>
                <w:kern w:val="0"/>
              </w:rPr>
            </w:pPr>
            <w:r>
              <w:rPr>
                <w:color w:val="auto"/>
                <w:kern w:val="0"/>
              </w:rPr>
              <w:t>AE</w:t>
            </w:r>
            <w:r>
              <w:rPr>
                <w:color w:val="auto"/>
                <w:kern w:val="0"/>
                <w:vertAlign w:val="subscript"/>
              </w:rPr>
              <w:t>净调入热力</w:t>
            </w:r>
            <w:r>
              <w:rPr>
                <w:color w:val="auto"/>
                <w:kern w:val="0"/>
              </w:rPr>
              <w:t>=AD</w:t>
            </w:r>
            <w:r>
              <w:rPr>
                <w:color w:val="auto"/>
                <w:kern w:val="0"/>
                <w:vertAlign w:val="subscript"/>
              </w:rPr>
              <w:t>净调入热力消耗量</w:t>
            </w:r>
            <w:r>
              <w:rPr>
                <w:color w:val="auto"/>
                <w:kern w:val="0"/>
              </w:rPr>
              <w:t>*EF</w:t>
            </w:r>
            <w:r>
              <w:rPr>
                <w:color w:val="auto"/>
                <w:kern w:val="0"/>
                <w:vertAlign w:val="subscript"/>
              </w:rPr>
              <w:t>热力</w:t>
            </w:r>
            <w:r>
              <w:rPr>
                <w:color w:val="auto"/>
                <w:kern w:val="0"/>
              </w:rPr>
              <w:t>（7）</w:t>
            </w:r>
          </w:p>
          <w:p w14:paraId="028ABB69">
            <w:pPr>
              <w:pStyle w:val="2"/>
              <w:ind w:firstLine="420" w:firstLineChars="200"/>
              <w:rPr>
                <w:color w:val="auto"/>
                <w:sz w:val="21"/>
                <w:szCs w:val="21"/>
              </w:rPr>
            </w:pPr>
            <w:r>
              <w:rPr>
                <w:color w:val="auto"/>
                <w:sz w:val="21"/>
                <w:szCs w:val="21"/>
              </w:rPr>
              <w:t>式中：</w:t>
            </w:r>
          </w:p>
          <w:p w14:paraId="179E1514">
            <w:pPr>
              <w:adjustRightInd w:val="0"/>
              <w:snapToGrid w:val="0"/>
              <w:spacing w:line="360" w:lineRule="auto"/>
              <w:ind w:firstLine="420" w:firstLineChars="200"/>
              <w:rPr>
                <w:color w:val="auto"/>
                <w:kern w:val="0"/>
              </w:rPr>
            </w:pPr>
            <w:r>
              <w:rPr>
                <w:color w:val="auto"/>
                <w:kern w:val="0"/>
              </w:rPr>
              <w:t>AD</w:t>
            </w:r>
            <w:r>
              <w:rPr>
                <w:color w:val="auto"/>
                <w:kern w:val="0"/>
                <w:vertAlign w:val="subscript"/>
              </w:rPr>
              <w:t>净调入热力消耗量</w:t>
            </w:r>
            <w:r>
              <w:rPr>
                <w:color w:val="auto"/>
                <w:kern w:val="0"/>
              </w:rPr>
              <w:t>——净调入热力消耗量（Gj）</w:t>
            </w:r>
          </w:p>
          <w:p w14:paraId="1B9C8E22">
            <w:pPr>
              <w:pStyle w:val="2"/>
              <w:ind w:firstLine="420" w:firstLineChars="200"/>
              <w:rPr>
                <w:color w:val="auto"/>
                <w:sz w:val="21"/>
                <w:szCs w:val="21"/>
              </w:rPr>
            </w:pPr>
            <w:r>
              <w:rPr>
                <w:color w:val="auto"/>
                <w:sz w:val="21"/>
                <w:szCs w:val="21"/>
              </w:rPr>
              <w:t>EF</w:t>
            </w:r>
            <w:r>
              <w:rPr>
                <w:color w:val="auto"/>
                <w:sz w:val="21"/>
                <w:szCs w:val="21"/>
                <w:vertAlign w:val="subscript"/>
              </w:rPr>
              <w:t>热力</w:t>
            </w:r>
            <w:r>
              <w:rPr>
                <w:color w:val="auto"/>
                <w:sz w:val="21"/>
                <w:szCs w:val="21"/>
              </w:rPr>
              <w:t>——热力排放因子（tCO</w:t>
            </w:r>
            <w:r>
              <w:rPr>
                <w:color w:val="auto"/>
                <w:sz w:val="21"/>
                <w:szCs w:val="21"/>
                <w:vertAlign w:val="subscript"/>
              </w:rPr>
              <w:t>2e</w:t>
            </w:r>
            <w:r>
              <w:rPr>
                <w:color w:val="auto"/>
                <w:sz w:val="21"/>
                <w:szCs w:val="21"/>
              </w:rPr>
              <w:t>/Gj），为0.11tCO</w:t>
            </w:r>
            <w:r>
              <w:rPr>
                <w:color w:val="auto"/>
                <w:sz w:val="21"/>
                <w:szCs w:val="21"/>
                <w:vertAlign w:val="subscript"/>
              </w:rPr>
              <w:t>2e</w:t>
            </w:r>
            <w:r>
              <w:rPr>
                <w:color w:val="auto"/>
                <w:sz w:val="21"/>
                <w:szCs w:val="21"/>
              </w:rPr>
              <w:t>/Gj。</w:t>
            </w:r>
          </w:p>
          <w:p w14:paraId="7896BB6C">
            <w:pPr>
              <w:autoSpaceDE w:val="0"/>
              <w:autoSpaceDN w:val="0"/>
              <w:adjustRightInd w:val="0"/>
              <w:snapToGrid w:val="0"/>
              <w:jc w:val="center"/>
              <w:rPr>
                <w:b/>
                <w:bCs/>
                <w:color w:val="auto"/>
                <w:kern w:val="0"/>
              </w:rPr>
            </w:pPr>
            <w:bookmarkStart w:id="18" w:name="_Toc71671776"/>
            <w:bookmarkStart w:id="19" w:name="_Toc68895592"/>
            <w:r>
              <w:rPr>
                <w:b/>
                <w:bCs/>
                <w:color w:val="auto"/>
                <w:kern w:val="0"/>
              </w:rPr>
              <w:t>表4-</w:t>
            </w:r>
            <w:r>
              <w:rPr>
                <w:rFonts w:hint="eastAsia"/>
                <w:b/>
                <w:bCs/>
                <w:color w:val="auto"/>
                <w:kern w:val="0"/>
                <w:lang w:val="en-US" w:eastAsia="zh-CN"/>
              </w:rPr>
              <w:t>32</w:t>
            </w:r>
            <w:r>
              <w:rPr>
                <w:rFonts w:hint="eastAsia"/>
                <w:b/>
                <w:bCs/>
                <w:color w:val="auto"/>
                <w:kern w:val="0"/>
              </w:rPr>
              <w:t xml:space="preserve">  </w:t>
            </w:r>
            <w:r>
              <w:rPr>
                <w:b/>
                <w:bCs/>
                <w:color w:val="auto"/>
                <w:kern w:val="0"/>
              </w:rPr>
              <w:t xml:space="preserve"> 营运期使用的材料表</w:t>
            </w:r>
            <w:bookmarkEnd w:id="18"/>
            <w:bookmarkEnd w:id="19"/>
          </w:p>
          <w:tbl>
            <w:tblPr>
              <w:tblStyle w:val="59"/>
              <w:tblW w:w="4998"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132"/>
              <w:gridCol w:w="4725"/>
            </w:tblGrid>
            <w:tr w14:paraId="1023CB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2332" w:type="pct"/>
                  <w:tcBorders>
                    <w:bottom w:val="single" w:color="000000" w:sz="8" w:space="0"/>
                    <w:right w:val="single" w:color="000000" w:sz="8" w:space="0"/>
                  </w:tcBorders>
                  <w:vAlign w:val="center"/>
                </w:tcPr>
                <w:p w14:paraId="459807E8">
                  <w:pPr>
                    <w:pStyle w:val="635"/>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类别</w:t>
                  </w:r>
                </w:p>
              </w:tc>
              <w:tc>
                <w:tcPr>
                  <w:tcW w:w="2667" w:type="pct"/>
                  <w:tcBorders>
                    <w:left w:val="single" w:color="000000" w:sz="8" w:space="0"/>
                    <w:bottom w:val="single" w:color="000000" w:sz="8" w:space="0"/>
                  </w:tcBorders>
                  <w:vAlign w:val="center"/>
                </w:tcPr>
                <w:p w14:paraId="5FD45CEE">
                  <w:pPr>
                    <w:pStyle w:val="635"/>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使用量</w:t>
                  </w:r>
                </w:p>
              </w:tc>
            </w:tr>
            <w:tr w14:paraId="6A1F03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2332" w:type="pct"/>
                  <w:tcBorders>
                    <w:top w:val="single" w:color="000000" w:sz="8" w:space="0"/>
                    <w:right w:val="single" w:color="000000" w:sz="8" w:space="0"/>
                  </w:tcBorders>
                  <w:vAlign w:val="center"/>
                </w:tcPr>
                <w:p w14:paraId="115627E6">
                  <w:pPr>
                    <w:pStyle w:val="635"/>
                    <w:adjustRightInd w:val="0"/>
                    <w:snapToGrid w:val="0"/>
                    <w:jc w:val="center"/>
                    <w:rPr>
                      <w:rFonts w:ascii="Times New Roman" w:hAnsi="Times New Roman"/>
                      <w:color w:val="auto"/>
                      <w:sz w:val="21"/>
                      <w:szCs w:val="21"/>
                    </w:rPr>
                  </w:pPr>
                  <w:r>
                    <w:rPr>
                      <w:rFonts w:ascii="Times New Roman" w:hAnsi="Times New Roman"/>
                      <w:color w:val="auto"/>
                      <w:sz w:val="21"/>
                      <w:szCs w:val="21"/>
                    </w:rPr>
                    <w:t>电力使用量</w:t>
                  </w:r>
                </w:p>
              </w:tc>
              <w:tc>
                <w:tcPr>
                  <w:tcW w:w="2667" w:type="pct"/>
                  <w:tcBorders>
                    <w:top w:val="single" w:color="000000" w:sz="8" w:space="0"/>
                    <w:left w:val="single" w:color="000000" w:sz="8" w:space="0"/>
                  </w:tcBorders>
                  <w:vAlign w:val="center"/>
                </w:tcPr>
                <w:p w14:paraId="095027C7">
                  <w:pPr>
                    <w:pStyle w:val="635"/>
                    <w:adjustRightInd w:val="0"/>
                    <w:snapToGrid w:val="0"/>
                    <w:jc w:val="center"/>
                    <w:rPr>
                      <w:rFonts w:ascii="Times New Roman" w:hAnsi="Times New Roman"/>
                      <w:color w:val="auto"/>
                      <w:sz w:val="21"/>
                      <w:szCs w:val="21"/>
                    </w:rPr>
                  </w:pPr>
                  <w:r>
                    <w:rPr>
                      <w:rFonts w:hint="eastAsia" w:ascii="Times New Roman" w:hAnsi="Times New Roman"/>
                      <w:color w:val="auto"/>
                      <w:sz w:val="21"/>
                      <w:szCs w:val="21"/>
                      <w:lang w:val="en-US" w:eastAsia="zh-CN"/>
                    </w:rPr>
                    <w:t>200</w:t>
                  </w:r>
                  <w:r>
                    <w:rPr>
                      <w:rFonts w:ascii="Times New Roman" w:hAnsi="Times New Roman"/>
                      <w:color w:val="auto"/>
                      <w:sz w:val="21"/>
                      <w:szCs w:val="21"/>
                    </w:rPr>
                    <w:t>MWh</w:t>
                  </w:r>
                </w:p>
              </w:tc>
            </w:tr>
          </w:tbl>
          <w:p w14:paraId="65951E85">
            <w:pPr>
              <w:pStyle w:val="2"/>
              <w:widowControl w:val="0"/>
              <w:ind w:firstLine="420" w:firstLineChars="200"/>
              <w:rPr>
                <w:color w:val="auto"/>
                <w:sz w:val="21"/>
                <w:szCs w:val="21"/>
              </w:rPr>
            </w:pPr>
            <w:r>
              <w:rPr>
                <w:color w:val="auto"/>
                <w:sz w:val="21"/>
                <w:szCs w:val="21"/>
              </w:rPr>
              <w:t>本项目碳排放总量如下：</w:t>
            </w:r>
          </w:p>
          <w:p w14:paraId="349A4854">
            <w:pPr>
              <w:pStyle w:val="2"/>
              <w:ind w:firstLine="420" w:firstLineChars="200"/>
              <w:rPr>
                <w:color w:val="auto"/>
                <w:sz w:val="21"/>
                <w:szCs w:val="21"/>
              </w:rPr>
            </w:pPr>
            <w:r>
              <w:rPr>
                <w:color w:val="auto"/>
                <w:sz w:val="21"/>
                <w:szCs w:val="21"/>
              </w:rPr>
              <w:t>AE</w:t>
            </w:r>
            <w:r>
              <w:rPr>
                <w:color w:val="auto"/>
                <w:sz w:val="21"/>
                <w:szCs w:val="21"/>
                <w:vertAlign w:val="subscript"/>
              </w:rPr>
              <w:t>电燃</w:t>
            </w:r>
            <w:r>
              <w:rPr>
                <w:color w:val="auto"/>
                <w:sz w:val="21"/>
                <w:szCs w:val="21"/>
              </w:rPr>
              <w:t>=0</w:t>
            </w:r>
          </w:p>
          <w:p w14:paraId="7D5E3AE8">
            <w:pPr>
              <w:pStyle w:val="2"/>
              <w:ind w:firstLine="420" w:firstLineChars="200"/>
              <w:rPr>
                <w:color w:val="auto"/>
                <w:sz w:val="21"/>
                <w:szCs w:val="21"/>
              </w:rPr>
            </w:pPr>
            <w:r>
              <w:rPr>
                <w:color w:val="auto"/>
                <w:sz w:val="21"/>
                <w:szCs w:val="21"/>
              </w:rPr>
              <w:t>AE</w:t>
            </w:r>
            <w:r>
              <w:rPr>
                <w:color w:val="auto"/>
                <w:sz w:val="21"/>
                <w:szCs w:val="21"/>
                <w:vertAlign w:val="subscript"/>
              </w:rPr>
              <w:t>工业生产过程</w:t>
            </w:r>
            <w:r>
              <w:rPr>
                <w:color w:val="auto"/>
                <w:sz w:val="21"/>
                <w:szCs w:val="21"/>
              </w:rPr>
              <w:t>=0</w:t>
            </w:r>
          </w:p>
          <w:p w14:paraId="09D0C851">
            <w:pPr>
              <w:pStyle w:val="2"/>
              <w:ind w:firstLine="420" w:firstLineChars="200"/>
              <w:rPr>
                <w:color w:val="auto"/>
                <w:sz w:val="21"/>
                <w:szCs w:val="21"/>
              </w:rPr>
            </w:pPr>
            <w:r>
              <w:rPr>
                <w:color w:val="auto"/>
                <w:sz w:val="21"/>
                <w:szCs w:val="21"/>
              </w:rPr>
              <w:t>AE</w:t>
            </w:r>
            <w:r>
              <w:rPr>
                <w:color w:val="auto"/>
                <w:sz w:val="21"/>
                <w:szCs w:val="21"/>
                <w:vertAlign w:val="subscript"/>
              </w:rPr>
              <w:t>工燃</w:t>
            </w:r>
            <w:r>
              <w:rPr>
                <w:color w:val="auto"/>
                <w:sz w:val="21"/>
                <w:szCs w:val="21"/>
              </w:rPr>
              <w:t>=0</w:t>
            </w:r>
          </w:p>
          <w:p w14:paraId="47AC9DF6">
            <w:pPr>
              <w:pStyle w:val="2"/>
              <w:ind w:firstLine="420" w:firstLineChars="200"/>
              <w:rPr>
                <w:color w:val="auto"/>
                <w:sz w:val="21"/>
                <w:szCs w:val="21"/>
              </w:rPr>
            </w:pPr>
            <w:r>
              <w:rPr>
                <w:color w:val="auto"/>
                <w:sz w:val="21"/>
                <w:szCs w:val="21"/>
              </w:rPr>
              <w:t>AE</w:t>
            </w:r>
            <w:r>
              <w:rPr>
                <w:color w:val="auto"/>
                <w:sz w:val="21"/>
                <w:szCs w:val="21"/>
                <w:vertAlign w:val="subscript"/>
              </w:rPr>
              <w:t>净调入电力</w:t>
            </w:r>
            <w:r>
              <w:rPr>
                <w:color w:val="auto"/>
                <w:sz w:val="21"/>
                <w:szCs w:val="21"/>
              </w:rPr>
              <w:t>=</w:t>
            </w:r>
            <w:r>
              <w:rPr>
                <w:rFonts w:hint="eastAsia"/>
                <w:color w:val="auto"/>
                <w:sz w:val="21"/>
                <w:szCs w:val="21"/>
                <w:lang w:val="en-US" w:eastAsia="zh-CN"/>
              </w:rPr>
              <w:t>200</w:t>
            </w:r>
            <w:r>
              <w:rPr>
                <w:color w:val="auto"/>
                <w:sz w:val="21"/>
                <w:szCs w:val="21"/>
              </w:rPr>
              <w:t>MWh*0.</w:t>
            </w:r>
            <w:r>
              <w:rPr>
                <w:rFonts w:hint="eastAsia"/>
                <w:color w:val="auto"/>
                <w:sz w:val="21"/>
                <w:szCs w:val="21"/>
              </w:rPr>
              <w:t>5703</w:t>
            </w:r>
            <w:r>
              <w:rPr>
                <w:color w:val="auto"/>
                <w:sz w:val="21"/>
                <w:szCs w:val="21"/>
              </w:rPr>
              <w:t>tCO</w:t>
            </w:r>
            <w:r>
              <w:rPr>
                <w:color w:val="auto"/>
                <w:sz w:val="21"/>
                <w:szCs w:val="21"/>
                <w:vertAlign w:val="subscript"/>
              </w:rPr>
              <w:t>2e</w:t>
            </w:r>
            <w:r>
              <w:rPr>
                <w:color w:val="auto"/>
                <w:sz w:val="21"/>
                <w:szCs w:val="21"/>
              </w:rPr>
              <w:t>/MWh=</w:t>
            </w:r>
            <w:r>
              <w:rPr>
                <w:rFonts w:hint="eastAsia"/>
                <w:color w:val="auto"/>
                <w:sz w:val="21"/>
                <w:szCs w:val="21"/>
                <w:lang w:val="en-US" w:eastAsia="zh-CN"/>
              </w:rPr>
              <w:t>114.06</w:t>
            </w:r>
            <w:r>
              <w:rPr>
                <w:color w:val="auto"/>
                <w:sz w:val="21"/>
                <w:szCs w:val="21"/>
              </w:rPr>
              <w:t>tCO</w:t>
            </w:r>
            <w:r>
              <w:rPr>
                <w:color w:val="auto"/>
                <w:sz w:val="21"/>
                <w:szCs w:val="21"/>
                <w:vertAlign w:val="subscript"/>
              </w:rPr>
              <w:t>2e</w:t>
            </w:r>
          </w:p>
          <w:p w14:paraId="3A4807D7">
            <w:pPr>
              <w:adjustRightInd w:val="0"/>
              <w:snapToGrid w:val="0"/>
              <w:spacing w:line="360" w:lineRule="auto"/>
              <w:ind w:firstLine="420" w:firstLineChars="200"/>
              <w:rPr>
                <w:color w:val="auto"/>
                <w:kern w:val="0"/>
              </w:rPr>
            </w:pPr>
            <w:r>
              <w:rPr>
                <w:color w:val="auto"/>
                <w:kern w:val="0"/>
              </w:rPr>
              <w:t>AE</w:t>
            </w:r>
            <w:r>
              <w:rPr>
                <w:color w:val="auto"/>
                <w:kern w:val="0"/>
                <w:vertAlign w:val="subscript"/>
              </w:rPr>
              <w:t>净调入热力</w:t>
            </w:r>
            <w:r>
              <w:rPr>
                <w:color w:val="auto"/>
                <w:kern w:val="0"/>
              </w:rPr>
              <w:t>=0</w:t>
            </w:r>
          </w:p>
          <w:p w14:paraId="0D29959F">
            <w:pPr>
              <w:pStyle w:val="2"/>
              <w:ind w:firstLine="420" w:firstLineChars="200"/>
              <w:rPr>
                <w:color w:val="auto"/>
                <w:sz w:val="21"/>
                <w:szCs w:val="21"/>
              </w:rPr>
            </w:pPr>
            <w:r>
              <w:rPr>
                <w:color w:val="auto"/>
                <w:sz w:val="21"/>
                <w:szCs w:val="21"/>
              </w:rPr>
              <w:t>AE</w:t>
            </w:r>
            <w:r>
              <w:rPr>
                <w:color w:val="auto"/>
                <w:sz w:val="21"/>
                <w:szCs w:val="21"/>
                <w:vertAlign w:val="subscript"/>
              </w:rPr>
              <w:t>总</w:t>
            </w:r>
            <w:r>
              <w:rPr>
                <w:color w:val="auto"/>
                <w:sz w:val="21"/>
                <w:szCs w:val="21"/>
              </w:rPr>
              <w:t>=</w:t>
            </w:r>
            <w:r>
              <w:rPr>
                <w:rFonts w:hint="eastAsia"/>
                <w:color w:val="auto"/>
                <w:sz w:val="21"/>
                <w:szCs w:val="21"/>
                <w:lang w:val="en-US" w:eastAsia="zh-CN"/>
              </w:rPr>
              <w:t>14.06</w:t>
            </w:r>
            <w:r>
              <w:rPr>
                <w:color w:val="auto"/>
                <w:sz w:val="21"/>
                <w:szCs w:val="21"/>
              </w:rPr>
              <w:t>tCO</w:t>
            </w:r>
            <w:r>
              <w:rPr>
                <w:color w:val="auto"/>
                <w:sz w:val="21"/>
                <w:szCs w:val="21"/>
                <w:vertAlign w:val="subscript"/>
              </w:rPr>
              <w:t>2e</w:t>
            </w:r>
          </w:p>
          <w:p w14:paraId="49FB1E79">
            <w:pPr>
              <w:pStyle w:val="2"/>
              <w:ind w:firstLine="420" w:firstLineChars="200"/>
              <w:rPr>
                <w:color w:val="auto"/>
                <w:sz w:val="21"/>
                <w:szCs w:val="21"/>
              </w:rPr>
            </w:pPr>
            <w:r>
              <w:rPr>
                <w:color w:val="auto"/>
                <w:sz w:val="21"/>
                <w:szCs w:val="21"/>
              </w:rPr>
              <w:t>碳排放强度（单位用地碳排放量）=</w:t>
            </w:r>
            <w:r>
              <w:rPr>
                <w:rFonts w:hint="eastAsia"/>
                <w:color w:val="auto"/>
                <w:sz w:val="21"/>
                <w:szCs w:val="21"/>
                <w:lang w:val="en-US" w:eastAsia="zh-CN"/>
              </w:rPr>
              <w:t>114.06</w:t>
            </w:r>
            <w:r>
              <w:rPr>
                <w:rFonts w:hint="eastAsia"/>
                <w:color w:val="auto"/>
                <w:sz w:val="21"/>
                <w:szCs w:val="21"/>
              </w:rPr>
              <w:t>/</w:t>
            </w:r>
            <w:r>
              <w:rPr>
                <w:rFonts w:hint="eastAsia"/>
                <w:color w:val="auto"/>
                <w:sz w:val="21"/>
                <w:szCs w:val="21"/>
                <w:lang w:val="en-US" w:eastAsia="zh-CN"/>
              </w:rPr>
              <w:t>4173</w:t>
            </w:r>
            <w:r>
              <w:rPr>
                <w:color w:val="auto"/>
                <w:sz w:val="21"/>
                <w:szCs w:val="21"/>
              </w:rPr>
              <w:t>=</w:t>
            </w:r>
            <w:r>
              <w:rPr>
                <w:rFonts w:hint="eastAsia"/>
                <w:color w:val="auto"/>
                <w:sz w:val="21"/>
                <w:szCs w:val="21"/>
              </w:rPr>
              <w:t>0.</w:t>
            </w:r>
            <w:r>
              <w:rPr>
                <w:rFonts w:hint="eastAsia"/>
                <w:color w:val="auto"/>
                <w:sz w:val="21"/>
                <w:szCs w:val="21"/>
                <w:lang w:val="en-US" w:eastAsia="zh-CN"/>
              </w:rPr>
              <w:t>027</w:t>
            </w:r>
            <w:r>
              <w:rPr>
                <w:color w:val="auto"/>
                <w:sz w:val="21"/>
                <w:szCs w:val="21"/>
              </w:rPr>
              <w:t>tCO</w:t>
            </w:r>
            <w:r>
              <w:rPr>
                <w:color w:val="auto"/>
                <w:sz w:val="21"/>
                <w:szCs w:val="21"/>
                <w:vertAlign w:val="subscript"/>
              </w:rPr>
              <w:t>2e</w:t>
            </w:r>
            <w:r>
              <w:rPr>
                <w:color w:val="auto"/>
                <w:sz w:val="21"/>
                <w:szCs w:val="21"/>
              </w:rPr>
              <w:t>/m</w:t>
            </w:r>
            <w:r>
              <w:rPr>
                <w:color w:val="auto"/>
                <w:sz w:val="21"/>
                <w:szCs w:val="21"/>
                <w:vertAlign w:val="superscript"/>
              </w:rPr>
              <w:t>2</w:t>
            </w:r>
          </w:p>
          <w:p w14:paraId="07CF0D2C">
            <w:pPr>
              <w:pStyle w:val="2"/>
              <w:widowControl w:val="0"/>
              <w:ind w:firstLine="420" w:firstLineChars="200"/>
              <w:rPr>
                <w:color w:val="auto"/>
                <w:sz w:val="21"/>
                <w:szCs w:val="21"/>
              </w:rPr>
            </w:pPr>
            <w:r>
              <w:rPr>
                <w:color w:val="auto"/>
                <w:sz w:val="21"/>
                <w:szCs w:val="21"/>
              </w:rPr>
              <w:t>碳排放强度（单位工业总产值碳排放量）=</w:t>
            </w:r>
            <w:r>
              <w:rPr>
                <w:rFonts w:hint="eastAsia"/>
                <w:color w:val="auto"/>
                <w:sz w:val="21"/>
                <w:szCs w:val="21"/>
                <w:lang w:val="en-US" w:eastAsia="zh-CN"/>
              </w:rPr>
              <w:t>114.06</w:t>
            </w:r>
            <w:r>
              <w:rPr>
                <w:color w:val="auto"/>
                <w:sz w:val="21"/>
                <w:szCs w:val="21"/>
              </w:rPr>
              <w:t>/</w:t>
            </w:r>
            <w:r>
              <w:rPr>
                <w:rFonts w:hint="eastAsia"/>
                <w:color w:val="auto"/>
                <w:sz w:val="21"/>
                <w:szCs w:val="21"/>
                <w:lang w:val="en-US" w:eastAsia="zh-CN"/>
              </w:rPr>
              <w:t>7825</w:t>
            </w:r>
            <w:r>
              <w:rPr>
                <w:color w:val="auto"/>
                <w:sz w:val="21"/>
                <w:szCs w:val="21"/>
              </w:rPr>
              <w:t>=0.</w:t>
            </w:r>
            <w:r>
              <w:rPr>
                <w:rFonts w:hint="eastAsia"/>
                <w:color w:val="auto"/>
                <w:sz w:val="21"/>
                <w:szCs w:val="21"/>
                <w:lang w:val="en-US" w:eastAsia="zh-CN"/>
              </w:rPr>
              <w:t>033</w:t>
            </w:r>
            <w:r>
              <w:rPr>
                <w:color w:val="auto"/>
                <w:sz w:val="21"/>
                <w:szCs w:val="21"/>
              </w:rPr>
              <w:t>tCO</w:t>
            </w:r>
            <w:r>
              <w:rPr>
                <w:color w:val="auto"/>
                <w:sz w:val="21"/>
                <w:szCs w:val="21"/>
                <w:vertAlign w:val="subscript"/>
              </w:rPr>
              <w:t>2e</w:t>
            </w:r>
            <w:r>
              <w:rPr>
                <w:color w:val="auto"/>
                <w:sz w:val="21"/>
                <w:szCs w:val="21"/>
              </w:rPr>
              <w:t>/万元</w:t>
            </w:r>
          </w:p>
          <w:p w14:paraId="2252997F">
            <w:pPr>
              <w:autoSpaceDE w:val="0"/>
              <w:autoSpaceDN w:val="0"/>
              <w:jc w:val="center"/>
              <w:rPr>
                <w:b/>
                <w:bCs/>
                <w:color w:val="auto"/>
                <w:kern w:val="0"/>
              </w:rPr>
            </w:pPr>
            <w:bookmarkStart w:id="20" w:name="_Toc68895593"/>
            <w:bookmarkStart w:id="21" w:name="_Toc71671777"/>
            <w:r>
              <w:rPr>
                <w:b/>
                <w:bCs/>
                <w:color w:val="auto"/>
                <w:kern w:val="0"/>
              </w:rPr>
              <w:t>表4-</w:t>
            </w:r>
            <w:r>
              <w:rPr>
                <w:rFonts w:hint="eastAsia"/>
                <w:b/>
                <w:bCs/>
                <w:color w:val="auto"/>
                <w:kern w:val="0"/>
                <w:lang w:val="en-US" w:eastAsia="zh-CN"/>
              </w:rPr>
              <w:t>34</w:t>
            </w:r>
            <w:r>
              <w:rPr>
                <w:b/>
                <w:bCs/>
                <w:color w:val="auto"/>
                <w:kern w:val="0"/>
              </w:rPr>
              <w:t xml:space="preserve"> </w:t>
            </w:r>
            <w:r>
              <w:rPr>
                <w:rFonts w:hint="eastAsia"/>
                <w:b/>
                <w:bCs/>
                <w:color w:val="auto"/>
                <w:kern w:val="0"/>
              </w:rPr>
              <w:t xml:space="preserve">  </w:t>
            </w:r>
            <w:r>
              <w:rPr>
                <w:b/>
                <w:bCs/>
                <w:color w:val="auto"/>
                <w:kern w:val="0"/>
              </w:rPr>
              <w:t>碳排放汇总表</w:t>
            </w:r>
            <w:bookmarkEnd w:id="20"/>
            <w:bookmarkEnd w:id="21"/>
          </w:p>
          <w:tbl>
            <w:tblPr>
              <w:tblStyle w:val="59"/>
              <w:tblW w:w="4999"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1389"/>
              <w:gridCol w:w="1889"/>
              <w:gridCol w:w="2935"/>
              <w:gridCol w:w="2646"/>
            </w:tblGrid>
            <w:tr w14:paraId="5FE4E5C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0" w:hRule="atLeast"/>
                <w:jc w:val="center"/>
              </w:trPr>
              <w:tc>
                <w:tcPr>
                  <w:tcW w:w="3506" w:type="pct"/>
                  <w:gridSpan w:val="3"/>
                  <w:vAlign w:val="center"/>
                </w:tcPr>
                <w:p w14:paraId="369CB440">
                  <w:pPr>
                    <w:pStyle w:val="635"/>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排放类型</w:t>
                  </w:r>
                </w:p>
              </w:tc>
              <w:tc>
                <w:tcPr>
                  <w:tcW w:w="1493" w:type="pct"/>
                  <w:vAlign w:val="center"/>
                </w:tcPr>
                <w:p w14:paraId="461D4C3D">
                  <w:pPr>
                    <w:pStyle w:val="635"/>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碳排放量</w:t>
                  </w:r>
                </w:p>
              </w:tc>
            </w:tr>
            <w:tr w14:paraId="11355C0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0" w:hRule="atLeast"/>
                <w:jc w:val="center"/>
              </w:trPr>
              <w:tc>
                <w:tcPr>
                  <w:tcW w:w="784" w:type="pct"/>
                  <w:vAlign w:val="center"/>
                </w:tcPr>
                <w:p w14:paraId="3D7C7C3E">
                  <w:pPr>
                    <w:pStyle w:val="635"/>
                    <w:adjustRightInd w:val="0"/>
                    <w:snapToGrid w:val="0"/>
                    <w:jc w:val="center"/>
                    <w:rPr>
                      <w:rFonts w:ascii="Times New Roman" w:hAnsi="Times New Roman"/>
                      <w:color w:val="auto"/>
                      <w:sz w:val="21"/>
                      <w:szCs w:val="21"/>
                    </w:rPr>
                  </w:pPr>
                  <w:r>
                    <w:rPr>
                      <w:rFonts w:ascii="Times New Roman" w:hAnsi="Times New Roman"/>
                      <w:color w:val="auto"/>
                      <w:sz w:val="21"/>
                      <w:szCs w:val="21"/>
                    </w:rPr>
                    <w:t>营运期</w:t>
                  </w:r>
                </w:p>
              </w:tc>
              <w:tc>
                <w:tcPr>
                  <w:tcW w:w="1066" w:type="pct"/>
                  <w:vAlign w:val="center"/>
                </w:tcPr>
                <w:p w14:paraId="3F9829EC">
                  <w:pPr>
                    <w:pStyle w:val="635"/>
                    <w:adjustRightInd w:val="0"/>
                    <w:snapToGrid w:val="0"/>
                    <w:jc w:val="center"/>
                    <w:rPr>
                      <w:rFonts w:ascii="Times New Roman" w:hAnsi="Times New Roman"/>
                      <w:color w:val="auto"/>
                      <w:sz w:val="21"/>
                      <w:szCs w:val="21"/>
                    </w:rPr>
                  </w:pPr>
                  <w:r>
                    <w:rPr>
                      <w:rFonts w:ascii="Times New Roman" w:hAnsi="Times New Roman"/>
                      <w:color w:val="auto"/>
                      <w:sz w:val="21"/>
                      <w:szCs w:val="21"/>
                    </w:rPr>
                    <w:t>间接排放</w:t>
                  </w:r>
                </w:p>
              </w:tc>
              <w:tc>
                <w:tcPr>
                  <w:tcW w:w="1655" w:type="pct"/>
                  <w:vAlign w:val="center"/>
                </w:tcPr>
                <w:p w14:paraId="42A5F68F">
                  <w:pPr>
                    <w:pStyle w:val="635"/>
                    <w:adjustRightInd w:val="0"/>
                    <w:snapToGrid w:val="0"/>
                    <w:jc w:val="center"/>
                    <w:rPr>
                      <w:rFonts w:ascii="Times New Roman" w:hAnsi="Times New Roman"/>
                      <w:color w:val="auto"/>
                      <w:sz w:val="21"/>
                      <w:szCs w:val="21"/>
                    </w:rPr>
                  </w:pPr>
                  <w:r>
                    <w:rPr>
                      <w:rFonts w:ascii="Times New Roman" w:hAnsi="Times New Roman"/>
                      <w:color w:val="auto"/>
                      <w:sz w:val="21"/>
                      <w:szCs w:val="21"/>
                    </w:rPr>
                    <w:t>净调入电力和热力</w:t>
                  </w:r>
                </w:p>
              </w:tc>
              <w:tc>
                <w:tcPr>
                  <w:tcW w:w="1493" w:type="pct"/>
                  <w:vAlign w:val="center"/>
                </w:tcPr>
                <w:p w14:paraId="263E2F65">
                  <w:pPr>
                    <w:pStyle w:val="635"/>
                    <w:adjustRightInd w:val="0"/>
                    <w:snapToGrid w:val="0"/>
                    <w:jc w:val="center"/>
                    <w:rPr>
                      <w:rFonts w:ascii="Times New Roman" w:hAnsi="Times New Roman"/>
                      <w:color w:val="auto"/>
                      <w:sz w:val="21"/>
                      <w:szCs w:val="21"/>
                    </w:rPr>
                  </w:pPr>
                  <w:r>
                    <w:rPr>
                      <w:rFonts w:hint="eastAsia" w:ascii="Times New Roman" w:hAnsi="Times New Roman"/>
                      <w:color w:val="auto"/>
                      <w:sz w:val="21"/>
                      <w:szCs w:val="21"/>
                      <w:lang w:val="en-US" w:eastAsia="zh-CN"/>
                    </w:rPr>
                    <w:t>114.06</w:t>
                  </w:r>
                  <w:r>
                    <w:rPr>
                      <w:rFonts w:ascii="Times New Roman" w:hAnsi="Times New Roman"/>
                      <w:color w:val="auto"/>
                      <w:sz w:val="21"/>
                      <w:szCs w:val="21"/>
                    </w:rPr>
                    <w:t>tCO</w:t>
                  </w:r>
                  <w:r>
                    <w:rPr>
                      <w:rFonts w:ascii="Times New Roman" w:hAnsi="Times New Roman"/>
                      <w:color w:val="auto"/>
                      <w:sz w:val="21"/>
                      <w:szCs w:val="21"/>
                      <w:vertAlign w:val="subscript"/>
                    </w:rPr>
                    <w:t>2e</w:t>
                  </w:r>
                </w:p>
              </w:tc>
            </w:tr>
          </w:tbl>
          <w:p w14:paraId="506946B5">
            <w:pPr>
              <w:pStyle w:val="697"/>
              <w:adjustRightInd w:val="0"/>
              <w:snapToGrid w:val="0"/>
              <w:spacing w:line="360" w:lineRule="auto"/>
              <w:ind w:firstLine="420"/>
              <w:rPr>
                <w:rFonts w:eastAsia="宋体"/>
                <w:color w:val="auto"/>
                <w:kern w:val="0"/>
                <w:sz w:val="21"/>
                <w:szCs w:val="21"/>
              </w:rPr>
            </w:pPr>
            <w:r>
              <w:rPr>
                <w:rFonts w:eastAsia="宋体"/>
                <w:color w:val="auto"/>
                <w:kern w:val="0"/>
                <w:sz w:val="21"/>
                <w:szCs w:val="21"/>
              </w:rPr>
              <w:t>②碳排放评价</w:t>
            </w:r>
          </w:p>
          <w:p w14:paraId="363D13F3">
            <w:pPr>
              <w:pStyle w:val="697"/>
              <w:adjustRightInd w:val="0"/>
              <w:snapToGrid w:val="0"/>
              <w:spacing w:line="360" w:lineRule="auto"/>
              <w:ind w:firstLine="420"/>
              <w:jc w:val="both"/>
              <w:rPr>
                <w:rFonts w:eastAsia="宋体"/>
                <w:color w:val="auto"/>
                <w:kern w:val="0"/>
                <w:sz w:val="21"/>
                <w:szCs w:val="21"/>
              </w:rPr>
            </w:pPr>
            <w:r>
              <w:rPr>
                <w:rFonts w:eastAsia="宋体"/>
                <w:color w:val="auto"/>
                <w:kern w:val="0"/>
                <w:sz w:val="21"/>
                <w:szCs w:val="21"/>
              </w:rPr>
              <w:t>综上可知，本项目碳排放量为</w:t>
            </w:r>
            <w:r>
              <w:rPr>
                <w:rFonts w:hint="eastAsia" w:eastAsia="宋体"/>
                <w:color w:val="auto"/>
                <w:kern w:val="0"/>
                <w:sz w:val="21"/>
                <w:szCs w:val="21"/>
                <w:lang w:val="en-US" w:eastAsia="zh-CN"/>
              </w:rPr>
              <w:t>114.06</w:t>
            </w:r>
            <w:r>
              <w:rPr>
                <w:rFonts w:eastAsia="宋体"/>
                <w:color w:val="auto"/>
                <w:kern w:val="0"/>
                <w:sz w:val="21"/>
                <w:szCs w:val="21"/>
              </w:rPr>
              <w:t>tCO</w:t>
            </w:r>
            <w:r>
              <w:rPr>
                <w:rFonts w:eastAsia="宋体"/>
                <w:color w:val="auto"/>
                <w:kern w:val="0"/>
                <w:sz w:val="21"/>
                <w:szCs w:val="21"/>
                <w:vertAlign w:val="subscript"/>
              </w:rPr>
              <w:t>2e</w:t>
            </w:r>
            <w:r>
              <w:rPr>
                <w:rFonts w:eastAsia="宋体"/>
                <w:color w:val="auto"/>
                <w:kern w:val="0"/>
                <w:sz w:val="21"/>
                <w:szCs w:val="21"/>
              </w:rPr>
              <w:t>，单位用地碳排放强度</w:t>
            </w:r>
            <w:r>
              <w:rPr>
                <w:rFonts w:hint="eastAsia" w:eastAsia="宋体"/>
                <w:color w:val="auto"/>
                <w:kern w:val="0"/>
                <w:sz w:val="21"/>
                <w:szCs w:val="21"/>
                <w:lang w:val="en-US" w:eastAsia="zh-CN"/>
              </w:rPr>
              <w:t>0.027</w:t>
            </w:r>
            <w:r>
              <w:rPr>
                <w:rFonts w:eastAsia="宋体"/>
                <w:color w:val="auto"/>
                <w:kern w:val="0"/>
                <w:sz w:val="21"/>
                <w:szCs w:val="21"/>
              </w:rPr>
              <w:t>tCO</w:t>
            </w:r>
            <w:r>
              <w:rPr>
                <w:rFonts w:eastAsia="宋体"/>
                <w:color w:val="auto"/>
                <w:kern w:val="0"/>
                <w:sz w:val="21"/>
                <w:szCs w:val="21"/>
                <w:vertAlign w:val="subscript"/>
              </w:rPr>
              <w:t>2e</w:t>
            </w:r>
            <w:r>
              <w:rPr>
                <w:rFonts w:eastAsia="宋体"/>
                <w:color w:val="auto"/>
                <w:kern w:val="0"/>
                <w:sz w:val="21"/>
                <w:szCs w:val="21"/>
              </w:rPr>
              <w:t>/m</w:t>
            </w:r>
            <w:r>
              <w:rPr>
                <w:rFonts w:eastAsia="宋体"/>
                <w:color w:val="auto"/>
                <w:kern w:val="0"/>
                <w:sz w:val="21"/>
                <w:szCs w:val="21"/>
                <w:vertAlign w:val="superscript"/>
              </w:rPr>
              <w:t>2</w:t>
            </w:r>
            <w:r>
              <w:rPr>
                <w:rFonts w:eastAsia="宋体"/>
                <w:color w:val="auto"/>
                <w:kern w:val="0"/>
                <w:sz w:val="21"/>
                <w:szCs w:val="21"/>
              </w:rPr>
              <w:t>，单位工业总产值碳排放强度为</w:t>
            </w:r>
            <w:r>
              <w:rPr>
                <w:rFonts w:hint="eastAsia" w:eastAsia="宋体"/>
                <w:color w:val="auto"/>
                <w:kern w:val="0"/>
                <w:sz w:val="21"/>
                <w:szCs w:val="21"/>
                <w:lang w:val="en-US" w:eastAsia="zh-CN"/>
              </w:rPr>
              <w:t>0.033</w:t>
            </w:r>
            <w:r>
              <w:rPr>
                <w:rFonts w:eastAsia="宋体"/>
                <w:color w:val="auto"/>
                <w:kern w:val="0"/>
                <w:sz w:val="21"/>
                <w:szCs w:val="21"/>
              </w:rPr>
              <w:t>tCO</w:t>
            </w:r>
            <w:r>
              <w:rPr>
                <w:rFonts w:eastAsia="宋体"/>
                <w:color w:val="auto"/>
                <w:kern w:val="0"/>
                <w:sz w:val="21"/>
                <w:szCs w:val="21"/>
                <w:vertAlign w:val="subscript"/>
              </w:rPr>
              <w:t>2e</w:t>
            </w:r>
            <w:r>
              <w:rPr>
                <w:rFonts w:eastAsia="宋体"/>
                <w:color w:val="auto"/>
                <w:kern w:val="0"/>
                <w:sz w:val="21"/>
                <w:szCs w:val="21"/>
              </w:rPr>
              <w:t>/万元。</w:t>
            </w:r>
          </w:p>
          <w:p w14:paraId="14DE58A0">
            <w:pPr>
              <w:pStyle w:val="697"/>
              <w:adjustRightInd w:val="0"/>
              <w:snapToGrid w:val="0"/>
              <w:spacing w:line="360" w:lineRule="auto"/>
              <w:ind w:firstLine="422"/>
              <w:rPr>
                <w:rFonts w:eastAsia="宋体"/>
                <w:b/>
                <w:bCs/>
                <w:color w:val="auto"/>
                <w:kern w:val="0"/>
                <w:sz w:val="21"/>
                <w:szCs w:val="21"/>
              </w:rPr>
            </w:pPr>
            <w:r>
              <w:rPr>
                <w:rFonts w:eastAsia="宋体"/>
                <w:b/>
                <w:bCs/>
                <w:color w:val="auto"/>
                <w:kern w:val="0"/>
                <w:sz w:val="21"/>
                <w:szCs w:val="21"/>
              </w:rPr>
              <w:t>（4）碳减排潜力分析及建议</w:t>
            </w:r>
          </w:p>
          <w:p w14:paraId="122B1968">
            <w:pPr>
              <w:pStyle w:val="697"/>
              <w:adjustRightInd w:val="0"/>
              <w:snapToGrid w:val="0"/>
              <w:spacing w:line="360" w:lineRule="auto"/>
              <w:ind w:firstLine="420"/>
              <w:jc w:val="both"/>
              <w:rPr>
                <w:rFonts w:eastAsia="宋体"/>
                <w:color w:val="auto"/>
                <w:kern w:val="0"/>
                <w:sz w:val="21"/>
                <w:szCs w:val="21"/>
              </w:rPr>
            </w:pPr>
            <w:r>
              <w:rPr>
                <w:rFonts w:eastAsia="宋体"/>
                <w:color w:val="auto"/>
                <w:kern w:val="0"/>
                <w:sz w:val="21"/>
                <w:szCs w:val="21"/>
              </w:rPr>
              <w:t>根据上述分析，本项目的碳排放主要为净电力输入，因此建设单位碳减排潜力主要为降低净电力输入，具体可从以下方面降低碳排放。</w:t>
            </w:r>
          </w:p>
          <w:p w14:paraId="3A83CE0C">
            <w:pPr>
              <w:pStyle w:val="697"/>
              <w:adjustRightInd w:val="0"/>
              <w:snapToGrid w:val="0"/>
              <w:spacing w:line="360" w:lineRule="auto"/>
              <w:ind w:firstLine="420"/>
              <w:jc w:val="both"/>
              <w:rPr>
                <w:rFonts w:eastAsia="宋体"/>
                <w:color w:val="auto"/>
                <w:kern w:val="0"/>
                <w:sz w:val="21"/>
                <w:szCs w:val="21"/>
              </w:rPr>
            </w:pPr>
            <w:r>
              <w:rPr>
                <w:rFonts w:eastAsia="宋体"/>
                <w:color w:val="auto"/>
                <w:kern w:val="0"/>
                <w:sz w:val="21"/>
                <w:szCs w:val="21"/>
              </w:rPr>
              <w:t>①加强对设备的维护运行，避免设备老化等引起的耗电量增加；</w:t>
            </w:r>
          </w:p>
          <w:p w14:paraId="46986C3E">
            <w:pPr>
              <w:pStyle w:val="697"/>
              <w:adjustRightInd w:val="0"/>
              <w:snapToGrid w:val="0"/>
              <w:spacing w:line="360" w:lineRule="auto"/>
              <w:ind w:firstLine="420"/>
              <w:jc w:val="both"/>
              <w:rPr>
                <w:rFonts w:eastAsia="宋体"/>
                <w:color w:val="auto"/>
                <w:kern w:val="0"/>
                <w:sz w:val="21"/>
                <w:szCs w:val="21"/>
              </w:rPr>
            </w:pPr>
            <w:r>
              <w:rPr>
                <w:rFonts w:eastAsia="宋体"/>
                <w:color w:val="auto"/>
                <w:kern w:val="0"/>
                <w:sz w:val="21"/>
                <w:szCs w:val="21"/>
              </w:rPr>
              <w:t>②建设单位经济允许条件下，建议更换生产效率更高更节能的设备；</w:t>
            </w:r>
          </w:p>
          <w:p w14:paraId="023247E8">
            <w:pPr>
              <w:adjustRightInd w:val="0"/>
              <w:snapToGrid w:val="0"/>
              <w:spacing w:line="360" w:lineRule="auto"/>
              <w:ind w:firstLine="420" w:firstLineChars="200"/>
              <w:jc w:val="left"/>
              <w:rPr>
                <w:color w:val="auto"/>
                <w:kern w:val="0"/>
              </w:rPr>
            </w:pPr>
            <w:r>
              <w:rPr>
                <w:color w:val="auto"/>
                <w:kern w:val="0"/>
              </w:rPr>
              <w:t>③</w:t>
            </w:r>
            <w:r>
              <w:rPr>
                <w:bCs/>
                <w:color w:val="auto"/>
                <w:kern w:val="0"/>
              </w:rPr>
              <w:t>公司成立专门的环保管理系统，促进和管理一切环保减排的目标和政策</w:t>
            </w:r>
            <w:r>
              <w:rPr>
                <w:color w:val="auto"/>
                <w:kern w:val="0"/>
              </w:rPr>
              <w:t>。</w:t>
            </w:r>
          </w:p>
        </w:tc>
      </w:tr>
    </w:tbl>
    <w:p w14:paraId="45D4B769">
      <w:pPr>
        <w:pStyle w:val="5"/>
        <w:rPr>
          <w:color w:val="auto"/>
        </w:rPr>
        <w:sectPr>
          <w:pgSz w:w="11907" w:h="16840"/>
          <w:pgMar w:top="1418" w:right="1361" w:bottom="1418" w:left="1361" w:header="851" w:footer="851" w:gutter="0"/>
          <w:pgBorders>
            <w:top w:val="none" w:sz="0" w:space="0"/>
            <w:left w:val="none" w:sz="0" w:space="0"/>
            <w:bottom w:val="none" w:sz="0" w:space="0"/>
            <w:right w:val="none" w:sz="0" w:space="0"/>
          </w:pgBorders>
          <w:cols w:space="720" w:num="1"/>
          <w:docGrid w:linePitch="312" w:charSpace="0"/>
        </w:sectPr>
      </w:pPr>
    </w:p>
    <w:p w14:paraId="1AC4F5CD">
      <w:pPr>
        <w:pStyle w:val="55"/>
        <w:rPr>
          <w:color w:val="auto"/>
        </w:rPr>
      </w:pPr>
      <w:bookmarkStart w:id="22" w:name="_Toc21167"/>
      <w:bookmarkStart w:id="23" w:name="_Toc137559023"/>
      <w:bookmarkStart w:id="24" w:name="_Hlk54167917"/>
      <w:bookmarkStart w:id="25" w:name="_Toc21098"/>
      <w:r>
        <w:rPr>
          <w:color w:val="auto"/>
        </w:rPr>
        <w:t>五、环境保护措施监督检查清单</w:t>
      </w:r>
      <w:bookmarkEnd w:id="22"/>
      <w:bookmarkEnd w:id="23"/>
      <w:bookmarkEnd w:id="24"/>
      <w:bookmarkEnd w:id="25"/>
    </w:p>
    <w:tbl>
      <w:tblPr>
        <w:tblStyle w:val="59"/>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514"/>
        <w:gridCol w:w="730"/>
        <w:gridCol w:w="540"/>
        <w:gridCol w:w="784"/>
        <w:gridCol w:w="1710"/>
        <w:gridCol w:w="2914"/>
      </w:tblGrid>
      <w:tr w14:paraId="7DC3D0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tcBorders>
              <w:bottom w:val="single" w:color="auto" w:sz="8" w:space="0"/>
              <w:tl2br w:val="single" w:color="auto" w:sz="4" w:space="0"/>
            </w:tcBorders>
            <w:vAlign w:val="center"/>
          </w:tcPr>
          <w:p w14:paraId="3716ED44">
            <w:pPr>
              <w:adjustRightInd w:val="0"/>
              <w:snapToGrid w:val="0"/>
              <w:jc w:val="right"/>
              <w:rPr>
                <w:b/>
                <w:color w:val="auto"/>
              </w:rPr>
            </w:pPr>
            <w:r>
              <w:rPr>
                <w:b/>
                <w:color w:val="auto"/>
              </w:rPr>
              <w:t>内容</w:t>
            </w:r>
          </w:p>
          <w:p w14:paraId="44B46EFE">
            <w:pPr>
              <w:adjustRightInd w:val="0"/>
              <w:snapToGrid w:val="0"/>
              <w:jc w:val="left"/>
              <w:rPr>
                <w:b/>
                <w:color w:val="auto"/>
              </w:rPr>
            </w:pPr>
            <w:r>
              <w:rPr>
                <w:b/>
                <w:color w:val="auto"/>
              </w:rPr>
              <w:t>要素</w:t>
            </w:r>
          </w:p>
        </w:tc>
        <w:tc>
          <w:tcPr>
            <w:tcW w:w="836" w:type="pct"/>
            <w:tcBorders>
              <w:bottom w:val="single" w:color="auto" w:sz="8" w:space="0"/>
            </w:tcBorders>
            <w:vAlign w:val="center"/>
          </w:tcPr>
          <w:p w14:paraId="35B0463A">
            <w:pPr>
              <w:adjustRightInd w:val="0"/>
              <w:snapToGrid w:val="0"/>
              <w:jc w:val="center"/>
              <w:rPr>
                <w:b/>
                <w:color w:val="auto"/>
              </w:rPr>
            </w:pPr>
            <w:r>
              <w:rPr>
                <w:b/>
                <w:color w:val="auto"/>
              </w:rPr>
              <w:t>排放口</w:t>
            </w:r>
            <w:r>
              <w:rPr>
                <w:rFonts w:hint="eastAsia"/>
                <w:b/>
                <w:color w:val="auto"/>
              </w:rPr>
              <w:t>（</w:t>
            </w:r>
            <w:r>
              <w:rPr>
                <w:b/>
                <w:color w:val="auto"/>
              </w:rPr>
              <w:t>编号、名称</w:t>
            </w:r>
            <w:r>
              <w:rPr>
                <w:rFonts w:hint="eastAsia"/>
                <w:b/>
                <w:color w:val="auto"/>
              </w:rPr>
              <w:t>）</w:t>
            </w:r>
            <w:r>
              <w:rPr>
                <w:b/>
                <w:color w:val="auto"/>
              </w:rPr>
              <w:t>/污染源</w:t>
            </w:r>
          </w:p>
        </w:tc>
        <w:tc>
          <w:tcPr>
            <w:tcW w:w="701" w:type="pct"/>
            <w:gridSpan w:val="2"/>
            <w:tcBorders>
              <w:bottom w:val="single" w:color="auto" w:sz="8" w:space="0"/>
            </w:tcBorders>
            <w:vAlign w:val="center"/>
          </w:tcPr>
          <w:p w14:paraId="2D676195">
            <w:pPr>
              <w:adjustRightInd w:val="0"/>
              <w:snapToGrid w:val="0"/>
              <w:jc w:val="center"/>
              <w:rPr>
                <w:b/>
                <w:color w:val="auto"/>
              </w:rPr>
            </w:pPr>
            <w:r>
              <w:rPr>
                <w:b/>
                <w:color w:val="auto"/>
              </w:rPr>
              <w:t>污染物项目</w:t>
            </w:r>
          </w:p>
        </w:tc>
        <w:tc>
          <w:tcPr>
            <w:tcW w:w="1377" w:type="pct"/>
            <w:gridSpan w:val="2"/>
            <w:tcBorders>
              <w:bottom w:val="single" w:color="auto" w:sz="8" w:space="0"/>
            </w:tcBorders>
            <w:vAlign w:val="center"/>
          </w:tcPr>
          <w:p w14:paraId="705079E2">
            <w:pPr>
              <w:adjustRightInd w:val="0"/>
              <w:snapToGrid w:val="0"/>
              <w:jc w:val="center"/>
              <w:rPr>
                <w:b/>
                <w:color w:val="auto"/>
              </w:rPr>
            </w:pPr>
            <w:r>
              <w:rPr>
                <w:b/>
                <w:color w:val="auto"/>
              </w:rPr>
              <w:t>环境保护措施</w:t>
            </w:r>
          </w:p>
        </w:tc>
        <w:tc>
          <w:tcPr>
            <w:tcW w:w="1609" w:type="pct"/>
            <w:tcBorders>
              <w:bottom w:val="single" w:color="auto" w:sz="8" w:space="0"/>
            </w:tcBorders>
            <w:vAlign w:val="center"/>
          </w:tcPr>
          <w:p w14:paraId="76A38285">
            <w:pPr>
              <w:adjustRightInd w:val="0"/>
              <w:snapToGrid w:val="0"/>
              <w:jc w:val="center"/>
              <w:rPr>
                <w:b/>
                <w:color w:val="auto"/>
              </w:rPr>
            </w:pPr>
            <w:r>
              <w:rPr>
                <w:b/>
                <w:color w:val="auto"/>
              </w:rPr>
              <w:t>执行标准</w:t>
            </w:r>
          </w:p>
        </w:tc>
      </w:tr>
      <w:tr w14:paraId="085BDB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476" w:type="pct"/>
            <w:vMerge w:val="restart"/>
            <w:tcBorders>
              <w:top w:val="single" w:color="auto" w:sz="8" w:space="0"/>
              <w:right w:val="single" w:color="auto" w:sz="8" w:space="0"/>
            </w:tcBorders>
            <w:vAlign w:val="center"/>
          </w:tcPr>
          <w:p w14:paraId="333B016C">
            <w:pPr>
              <w:adjustRightInd w:val="0"/>
              <w:snapToGrid w:val="0"/>
              <w:jc w:val="center"/>
              <w:rPr>
                <w:color w:val="auto"/>
              </w:rPr>
            </w:pPr>
            <w:r>
              <w:rPr>
                <w:color w:val="auto"/>
              </w:rPr>
              <w:t>大气</w:t>
            </w:r>
          </w:p>
          <w:p w14:paraId="22705A5E">
            <w:pPr>
              <w:adjustRightInd w:val="0"/>
              <w:snapToGrid w:val="0"/>
              <w:jc w:val="center"/>
              <w:rPr>
                <w:color w:val="auto"/>
              </w:rPr>
            </w:pPr>
            <w:r>
              <w:rPr>
                <w:color w:val="auto"/>
              </w:rPr>
              <w:t>环境</w:t>
            </w:r>
          </w:p>
        </w:tc>
        <w:tc>
          <w:tcPr>
            <w:tcW w:w="836" w:type="pct"/>
            <w:vMerge w:val="restart"/>
            <w:tcBorders>
              <w:top w:val="single" w:color="auto" w:sz="8" w:space="0"/>
              <w:left w:val="single" w:color="auto" w:sz="8" w:space="0"/>
              <w:right w:val="single" w:color="auto" w:sz="8" w:space="0"/>
            </w:tcBorders>
            <w:vAlign w:val="center"/>
          </w:tcPr>
          <w:p w14:paraId="0BCF6610">
            <w:pPr>
              <w:adjustRightInd w:val="0"/>
              <w:snapToGrid w:val="0"/>
              <w:jc w:val="center"/>
              <w:rPr>
                <w:color w:val="auto"/>
              </w:rPr>
            </w:pPr>
            <w:r>
              <w:rPr>
                <w:rFonts w:hint="eastAsia"/>
                <w:color w:val="auto"/>
              </w:rPr>
              <w:t>有组织</w:t>
            </w: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10DD1928">
            <w:pPr>
              <w:widowControl/>
              <w:adjustRightInd w:val="0"/>
              <w:snapToGrid w:val="0"/>
              <w:jc w:val="center"/>
              <w:rPr>
                <w:color w:val="auto"/>
              </w:rPr>
            </w:pPr>
            <w:r>
              <w:rPr>
                <w:rFonts w:hint="eastAsia"/>
                <w:color w:val="auto"/>
              </w:rPr>
              <w:t>非甲烷总烃</w:t>
            </w:r>
          </w:p>
        </w:tc>
        <w:tc>
          <w:tcPr>
            <w:tcW w:w="1377" w:type="pct"/>
            <w:gridSpan w:val="2"/>
            <w:vMerge w:val="restart"/>
            <w:tcBorders>
              <w:top w:val="single" w:color="auto" w:sz="8" w:space="0"/>
              <w:left w:val="single" w:color="auto" w:sz="8" w:space="0"/>
              <w:right w:val="single" w:color="auto" w:sz="8" w:space="0"/>
            </w:tcBorders>
            <w:vAlign w:val="center"/>
          </w:tcPr>
          <w:p w14:paraId="7B7C8145">
            <w:pPr>
              <w:adjustRightInd w:val="0"/>
              <w:snapToGrid w:val="0"/>
              <w:jc w:val="center"/>
              <w:rPr>
                <w:color w:val="auto"/>
              </w:rPr>
            </w:pPr>
            <w:r>
              <w:rPr>
                <w:rFonts w:hint="eastAsia"/>
                <w:color w:val="auto"/>
              </w:rPr>
              <w:t>“</w:t>
            </w:r>
            <w:r>
              <w:rPr>
                <w:rFonts w:hint="eastAsia"/>
                <w:color w:val="auto"/>
                <w:lang w:val="en-US" w:eastAsia="zh-CN"/>
              </w:rPr>
              <w:t>水帘+吸雾毡+二级活性炭装置</w:t>
            </w:r>
            <w:r>
              <w:rPr>
                <w:rFonts w:hint="eastAsia"/>
                <w:color w:val="auto"/>
              </w:rPr>
              <w:t>”</w:t>
            </w:r>
            <w:r>
              <w:rPr>
                <w:rFonts w:hint="eastAsia"/>
                <w:color w:val="auto"/>
                <w:lang w:val="en-US" w:eastAsia="zh-CN"/>
              </w:rPr>
              <w:t>处理</w:t>
            </w:r>
            <w:r>
              <w:rPr>
                <w:color w:val="auto"/>
              </w:rPr>
              <w:t>后通过</w:t>
            </w:r>
            <w:r>
              <w:rPr>
                <w:rFonts w:hint="eastAsia"/>
                <w:color w:val="auto"/>
                <w:lang w:val="en-US" w:eastAsia="zh-CN"/>
              </w:rPr>
              <w:t>20</w:t>
            </w:r>
            <w:r>
              <w:rPr>
                <w:rFonts w:hint="eastAsia"/>
                <w:color w:val="auto"/>
              </w:rPr>
              <w:t>m</w:t>
            </w:r>
            <w:r>
              <w:rPr>
                <w:color w:val="auto"/>
              </w:rPr>
              <w:t>高排气筒</w:t>
            </w:r>
            <w:r>
              <w:rPr>
                <w:rFonts w:hint="eastAsia"/>
                <w:color w:val="auto"/>
                <w:lang w:val="en-US" w:eastAsia="zh-CN"/>
              </w:rPr>
              <w:t>DA001</w:t>
            </w:r>
            <w:r>
              <w:rPr>
                <w:color w:val="auto"/>
              </w:rPr>
              <w:t>排放</w:t>
            </w:r>
          </w:p>
        </w:tc>
        <w:tc>
          <w:tcPr>
            <w:tcW w:w="1609" w:type="pct"/>
            <w:vMerge w:val="restart"/>
            <w:tcBorders>
              <w:top w:val="single" w:color="auto" w:sz="8" w:space="0"/>
              <w:left w:val="single" w:color="auto" w:sz="8" w:space="0"/>
            </w:tcBorders>
            <w:vAlign w:val="center"/>
          </w:tcPr>
          <w:p w14:paraId="69D17CB0">
            <w:pPr>
              <w:adjustRightInd w:val="0"/>
              <w:snapToGrid w:val="0"/>
              <w:jc w:val="center"/>
              <w:rPr>
                <w:color w:val="auto"/>
              </w:rPr>
            </w:pPr>
            <w:r>
              <w:rPr>
                <w:rFonts w:hint="eastAsia"/>
                <w:color w:val="auto"/>
                <w:kern w:val="0"/>
                <w:sz w:val="21"/>
              </w:rPr>
              <w:t>《</w:t>
            </w:r>
            <w:r>
              <w:rPr>
                <w:rFonts w:hint="eastAsia"/>
                <w:color w:val="auto"/>
                <w:kern w:val="0"/>
                <w:sz w:val="21"/>
                <w:lang w:val="en-US" w:eastAsia="zh-CN"/>
              </w:rPr>
              <w:t>工业涂装工序大气污染物排放标准</w:t>
            </w:r>
            <w:r>
              <w:rPr>
                <w:rFonts w:hint="eastAsia"/>
                <w:color w:val="auto"/>
                <w:kern w:val="0"/>
                <w:sz w:val="21"/>
              </w:rPr>
              <w:t>》</w:t>
            </w:r>
            <w:r>
              <w:rPr>
                <w:rFonts w:hint="eastAsia"/>
                <w:color w:val="auto"/>
                <w:kern w:val="0"/>
                <w:sz w:val="21"/>
                <w:lang w:eastAsia="zh-CN"/>
              </w:rPr>
              <w:t>（</w:t>
            </w:r>
            <w:r>
              <w:rPr>
                <w:rFonts w:hint="eastAsia"/>
                <w:color w:val="auto"/>
                <w:kern w:val="0"/>
                <w:sz w:val="21"/>
              </w:rPr>
              <w:t>DB32/4439-2022</w:t>
            </w:r>
            <w:r>
              <w:rPr>
                <w:rFonts w:hint="eastAsia"/>
                <w:color w:val="auto"/>
                <w:kern w:val="0"/>
                <w:sz w:val="21"/>
                <w:lang w:eastAsia="zh-CN"/>
              </w:rPr>
              <w:t>）</w:t>
            </w:r>
            <w:r>
              <w:rPr>
                <w:rFonts w:hint="eastAsia"/>
                <w:color w:val="auto"/>
                <w:kern w:val="0"/>
                <w:sz w:val="21"/>
                <w:lang w:val="en-US" w:eastAsia="zh-CN"/>
              </w:rPr>
              <w:t>表1</w:t>
            </w:r>
          </w:p>
        </w:tc>
      </w:tr>
      <w:tr w14:paraId="09B587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6" w:type="pct"/>
            <w:vMerge w:val="continue"/>
            <w:tcBorders>
              <w:right w:val="single" w:color="auto" w:sz="8" w:space="0"/>
            </w:tcBorders>
            <w:vAlign w:val="center"/>
          </w:tcPr>
          <w:p w14:paraId="379B2BFC">
            <w:pPr>
              <w:adjustRightInd w:val="0"/>
              <w:snapToGrid w:val="0"/>
              <w:jc w:val="center"/>
              <w:rPr>
                <w:color w:val="auto"/>
              </w:rPr>
            </w:pPr>
          </w:p>
        </w:tc>
        <w:tc>
          <w:tcPr>
            <w:tcW w:w="836" w:type="pct"/>
            <w:vMerge w:val="continue"/>
            <w:tcBorders>
              <w:left w:val="single" w:color="auto" w:sz="8" w:space="0"/>
              <w:right w:val="single" w:color="auto" w:sz="8" w:space="0"/>
            </w:tcBorders>
            <w:vAlign w:val="center"/>
          </w:tcPr>
          <w:p w14:paraId="28C3736B">
            <w:pPr>
              <w:adjustRightInd w:val="0"/>
              <w:snapToGrid w:val="0"/>
              <w:jc w:val="center"/>
              <w:rPr>
                <w:color w:val="auto"/>
              </w:rPr>
            </w:pP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78EC8519">
            <w:pPr>
              <w:widowControl/>
              <w:adjustRightInd w:val="0"/>
              <w:snapToGrid w:val="0"/>
              <w:jc w:val="center"/>
              <w:rPr>
                <w:rFonts w:hint="eastAsia" w:eastAsia="宋体"/>
                <w:color w:val="auto"/>
                <w:lang w:eastAsia="zh-CN"/>
              </w:rPr>
            </w:pPr>
            <w:r>
              <w:rPr>
                <w:rFonts w:hint="eastAsia"/>
                <w:color w:val="auto"/>
                <w:lang w:val="en-US" w:eastAsia="zh-CN"/>
              </w:rPr>
              <w:t>颗粒物</w:t>
            </w:r>
          </w:p>
        </w:tc>
        <w:tc>
          <w:tcPr>
            <w:tcW w:w="1377" w:type="pct"/>
            <w:gridSpan w:val="2"/>
            <w:vMerge w:val="continue"/>
            <w:tcBorders>
              <w:left w:val="single" w:color="auto" w:sz="8" w:space="0"/>
              <w:right w:val="single" w:color="auto" w:sz="8" w:space="0"/>
            </w:tcBorders>
            <w:vAlign w:val="center"/>
          </w:tcPr>
          <w:p w14:paraId="4110124B">
            <w:pPr>
              <w:adjustRightInd w:val="0"/>
              <w:snapToGrid w:val="0"/>
              <w:jc w:val="center"/>
              <w:rPr>
                <w:color w:val="auto"/>
              </w:rPr>
            </w:pPr>
          </w:p>
        </w:tc>
        <w:tc>
          <w:tcPr>
            <w:tcW w:w="1609" w:type="pct"/>
            <w:vMerge w:val="continue"/>
            <w:tcBorders>
              <w:left w:val="single" w:color="auto" w:sz="8" w:space="0"/>
            </w:tcBorders>
            <w:vAlign w:val="center"/>
          </w:tcPr>
          <w:p w14:paraId="0E8488D4">
            <w:pPr>
              <w:adjustRightInd w:val="0"/>
              <w:snapToGrid w:val="0"/>
              <w:jc w:val="center"/>
              <w:rPr>
                <w:color w:val="auto"/>
              </w:rPr>
            </w:pPr>
          </w:p>
        </w:tc>
      </w:tr>
      <w:tr w14:paraId="422F17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476" w:type="pct"/>
            <w:vMerge w:val="continue"/>
            <w:tcBorders>
              <w:right w:val="single" w:color="auto" w:sz="8" w:space="0"/>
            </w:tcBorders>
            <w:vAlign w:val="center"/>
          </w:tcPr>
          <w:p w14:paraId="05F6C759">
            <w:pPr>
              <w:adjustRightInd w:val="0"/>
              <w:snapToGrid w:val="0"/>
              <w:jc w:val="center"/>
              <w:rPr>
                <w:color w:val="auto"/>
              </w:rPr>
            </w:pPr>
          </w:p>
        </w:tc>
        <w:tc>
          <w:tcPr>
            <w:tcW w:w="836" w:type="pct"/>
            <w:vMerge w:val="continue"/>
            <w:tcBorders>
              <w:left w:val="single" w:color="auto" w:sz="8" w:space="0"/>
              <w:right w:val="single" w:color="auto" w:sz="8" w:space="0"/>
            </w:tcBorders>
            <w:vAlign w:val="center"/>
          </w:tcPr>
          <w:p w14:paraId="1EE37900">
            <w:pPr>
              <w:adjustRightInd w:val="0"/>
              <w:snapToGrid w:val="0"/>
              <w:jc w:val="center"/>
              <w:rPr>
                <w:color w:val="auto"/>
              </w:rPr>
            </w:pP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39BC5668">
            <w:pPr>
              <w:widowControl/>
              <w:adjustRightInd w:val="0"/>
              <w:snapToGrid w:val="0"/>
              <w:jc w:val="center"/>
              <w:rPr>
                <w:rFonts w:hint="default"/>
                <w:color w:val="auto"/>
                <w:lang w:val="en-US" w:eastAsia="zh-CN"/>
              </w:rPr>
            </w:pPr>
            <w:r>
              <w:rPr>
                <w:rFonts w:hint="eastAsia"/>
                <w:color w:val="auto"/>
                <w:lang w:val="en-US" w:eastAsia="zh-CN"/>
              </w:rPr>
              <w:t>苯系物</w:t>
            </w:r>
          </w:p>
        </w:tc>
        <w:tc>
          <w:tcPr>
            <w:tcW w:w="1377" w:type="pct"/>
            <w:gridSpan w:val="2"/>
            <w:vMerge w:val="continue"/>
            <w:tcBorders>
              <w:left w:val="single" w:color="auto" w:sz="8" w:space="0"/>
              <w:right w:val="single" w:color="auto" w:sz="8" w:space="0"/>
            </w:tcBorders>
            <w:vAlign w:val="center"/>
          </w:tcPr>
          <w:p w14:paraId="6F6C4C93">
            <w:pPr>
              <w:adjustRightInd w:val="0"/>
              <w:snapToGrid w:val="0"/>
              <w:jc w:val="center"/>
              <w:rPr>
                <w:color w:val="auto"/>
              </w:rPr>
            </w:pPr>
          </w:p>
        </w:tc>
        <w:tc>
          <w:tcPr>
            <w:tcW w:w="1609" w:type="pct"/>
            <w:vMerge w:val="continue"/>
            <w:tcBorders>
              <w:left w:val="single" w:color="auto" w:sz="8" w:space="0"/>
            </w:tcBorders>
            <w:vAlign w:val="center"/>
          </w:tcPr>
          <w:p w14:paraId="6F4D2F15">
            <w:pPr>
              <w:adjustRightInd w:val="0"/>
              <w:snapToGrid w:val="0"/>
              <w:jc w:val="center"/>
              <w:rPr>
                <w:color w:val="auto"/>
              </w:rPr>
            </w:pPr>
          </w:p>
        </w:tc>
      </w:tr>
      <w:tr w14:paraId="0F325A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476" w:type="pct"/>
            <w:vMerge w:val="continue"/>
            <w:tcBorders>
              <w:right w:val="single" w:color="auto" w:sz="8" w:space="0"/>
            </w:tcBorders>
            <w:vAlign w:val="center"/>
          </w:tcPr>
          <w:p w14:paraId="458DB7CA">
            <w:pPr>
              <w:adjustRightInd w:val="0"/>
              <w:snapToGrid w:val="0"/>
              <w:jc w:val="center"/>
              <w:rPr>
                <w:color w:val="auto"/>
              </w:rPr>
            </w:pPr>
          </w:p>
        </w:tc>
        <w:tc>
          <w:tcPr>
            <w:tcW w:w="836" w:type="pct"/>
            <w:vMerge w:val="continue"/>
            <w:tcBorders>
              <w:left w:val="single" w:color="auto" w:sz="8" w:space="0"/>
              <w:right w:val="single" w:color="auto" w:sz="8" w:space="0"/>
            </w:tcBorders>
            <w:vAlign w:val="center"/>
          </w:tcPr>
          <w:p w14:paraId="04E01168">
            <w:pPr>
              <w:adjustRightInd w:val="0"/>
              <w:snapToGrid w:val="0"/>
              <w:jc w:val="center"/>
              <w:rPr>
                <w:color w:val="auto"/>
              </w:rPr>
            </w:pP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7D0620C2">
            <w:pPr>
              <w:widowControl/>
              <w:adjustRightInd w:val="0"/>
              <w:snapToGrid w:val="0"/>
              <w:jc w:val="center"/>
              <w:rPr>
                <w:rFonts w:hint="default"/>
                <w:color w:val="auto"/>
                <w:lang w:val="en-US" w:eastAsia="zh-CN"/>
              </w:rPr>
            </w:pPr>
            <w:r>
              <w:rPr>
                <w:rFonts w:hint="eastAsia"/>
                <w:color w:val="auto"/>
                <w:lang w:val="en-US" w:eastAsia="zh-CN"/>
              </w:rPr>
              <w:t>二甲苯</w:t>
            </w:r>
          </w:p>
        </w:tc>
        <w:tc>
          <w:tcPr>
            <w:tcW w:w="1377" w:type="pct"/>
            <w:gridSpan w:val="2"/>
            <w:vMerge w:val="continue"/>
            <w:tcBorders>
              <w:left w:val="single" w:color="auto" w:sz="8" w:space="0"/>
              <w:right w:val="single" w:color="auto" w:sz="8" w:space="0"/>
            </w:tcBorders>
            <w:vAlign w:val="center"/>
          </w:tcPr>
          <w:p w14:paraId="3012F2ED">
            <w:pPr>
              <w:adjustRightInd w:val="0"/>
              <w:snapToGrid w:val="0"/>
              <w:jc w:val="center"/>
              <w:rPr>
                <w:color w:val="auto"/>
              </w:rPr>
            </w:pPr>
          </w:p>
        </w:tc>
        <w:tc>
          <w:tcPr>
            <w:tcW w:w="1609" w:type="pct"/>
            <w:vMerge w:val="restart"/>
            <w:tcBorders>
              <w:left w:val="single" w:color="auto" w:sz="8" w:space="0"/>
            </w:tcBorders>
            <w:vAlign w:val="center"/>
          </w:tcPr>
          <w:p w14:paraId="2CD64DAC">
            <w:pPr>
              <w:adjustRightInd w:val="0"/>
              <w:snapToGrid w:val="0"/>
              <w:jc w:val="center"/>
              <w:rPr>
                <w:color w:val="auto"/>
              </w:rPr>
            </w:pPr>
            <w:r>
              <w:rPr>
                <w:rFonts w:hint="eastAsia"/>
                <w:color w:val="auto"/>
              </w:rPr>
              <w:t>《大气污染物综合排放标准》（DB32/4041-2021）表</w:t>
            </w:r>
            <w:r>
              <w:rPr>
                <w:rFonts w:hint="eastAsia"/>
                <w:color w:val="auto"/>
                <w:lang w:val="en-US" w:eastAsia="zh-CN"/>
              </w:rPr>
              <w:t>1</w:t>
            </w:r>
          </w:p>
        </w:tc>
      </w:tr>
      <w:tr w14:paraId="64A719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right w:val="single" w:color="auto" w:sz="8" w:space="0"/>
            </w:tcBorders>
            <w:vAlign w:val="center"/>
          </w:tcPr>
          <w:p w14:paraId="3C0F139A">
            <w:pPr>
              <w:adjustRightInd w:val="0"/>
              <w:snapToGrid w:val="0"/>
              <w:jc w:val="center"/>
              <w:rPr>
                <w:color w:val="auto"/>
              </w:rPr>
            </w:pPr>
          </w:p>
        </w:tc>
        <w:tc>
          <w:tcPr>
            <w:tcW w:w="836" w:type="pct"/>
            <w:vMerge w:val="restart"/>
            <w:tcBorders>
              <w:top w:val="single" w:color="auto" w:sz="8" w:space="0"/>
              <w:left w:val="single" w:color="auto" w:sz="8" w:space="0"/>
              <w:right w:val="single" w:color="auto" w:sz="8" w:space="0"/>
            </w:tcBorders>
            <w:vAlign w:val="center"/>
          </w:tcPr>
          <w:p w14:paraId="550558AD">
            <w:pPr>
              <w:adjustRightInd w:val="0"/>
              <w:snapToGrid w:val="0"/>
              <w:jc w:val="center"/>
              <w:rPr>
                <w:color w:val="auto"/>
              </w:rPr>
            </w:pPr>
            <w:r>
              <w:rPr>
                <w:color w:val="auto"/>
              </w:rPr>
              <w:t>无组织</w:t>
            </w: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4E1C487E">
            <w:pPr>
              <w:widowControl/>
              <w:adjustRightInd w:val="0"/>
              <w:snapToGrid w:val="0"/>
              <w:jc w:val="center"/>
              <w:rPr>
                <w:i/>
                <w:color w:val="auto"/>
              </w:rPr>
            </w:pPr>
            <w:r>
              <w:rPr>
                <w:rFonts w:hint="eastAsia"/>
                <w:color w:val="auto"/>
              </w:rPr>
              <w:t>非甲烷总烃</w:t>
            </w:r>
          </w:p>
        </w:tc>
        <w:tc>
          <w:tcPr>
            <w:tcW w:w="1377" w:type="pct"/>
            <w:gridSpan w:val="2"/>
            <w:vMerge w:val="restart"/>
            <w:tcBorders>
              <w:top w:val="single" w:color="auto" w:sz="8" w:space="0"/>
              <w:left w:val="single" w:color="auto" w:sz="8" w:space="0"/>
              <w:right w:val="single" w:color="auto" w:sz="8" w:space="0"/>
            </w:tcBorders>
            <w:vAlign w:val="center"/>
          </w:tcPr>
          <w:p w14:paraId="3B8D55F7">
            <w:pPr>
              <w:adjustRightInd w:val="0"/>
              <w:snapToGrid w:val="0"/>
              <w:jc w:val="center"/>
              <w:rPr>
                <w:color w:val="auto"/>
              </w:rPr>
            </w:pPr>
            <w:r>
              <w:rPr>
                <w:rFonts w:hint="eastAsia"/>
                <w:color w:val="auto"/>
              </w:rPr>
              <w:t>加强通风，保持空气流通</w:t>
            </w:r>
          </w:p>
        </w:tc>
        <w:tc>
          <w:tcPr>
            <w:tcW w:w="1609" w:type="pct"/>
            <w:vMerge w:val="restart"/>
            <w:tcBorders>
              <w:top w:val="single" w:color="auto" w:sz="8" w:space="0"/>
              <w:left w:val="single" w:color="auto" w:sz="8" w:space="0"/>
            </w:tcBorders>
            <w:vAlign w:val="center"/>
          </w:tcPr>
          <w:p w14:paraId="5F38D653">
            <w:pPr>
              <w:adjustRightInd w:val="0"/>
              <w:snapToGrid w:val="0"/>
              <w:jc w:val="center"/>
              <w:rPr>
                <w:color w:val="auto"/>
              </w:rPr>
            </w:pPr>
            <w:r>
              <w:rPr>
                <w:rFonts w:hint="eastAsia"/>
                <w:color w:val="auto"/>
              </w:rPr>
              <w:t>《大气污染物综合排放标准》（DB32/4041-2021）表3</w:t>
            </w:r>
          </w:p>
        </w:tc>
      </w:tr>
      <w:tr w14:paraId="1F2AFA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right w:val="single" w:color="auto" w:sz="8" w:space="0"/>
            </w:tcBorders>
            <w:vAlign w:val="center"/>
          </w:tcPr>
          <w:p w14:paraId="012D4D31">
            <w:pPr>
              <w:widowControl/>
              <w:adjustRightInd w:val="0"/>
              <w:snapToGrid w:val="0"/>
              <w:jc w:val="center"/>
              <w:rPr>
                <w:color w:val="auto"/>
              </w:rPr>
            </w:pPr>
          </w:p>
        </w:tc>
        <w:tc>
          <w:tcPr>
            <w:tcW w:w="836" w:type="pct"/>
            <w:vMerge w:val="continue"/>
            <w:tcBorders>
              <w:left w:val="single" w:color="auto" w:sz="8" w:space="0"/>
              <w:right w:val="single" w:color="auto" w:sz="8" w:space="0"/>
            </w:tcBorders>
            <w:vAlign w:val="center"/>
          </w:tcPr>
          <w:p w14:paraId="080AE86C">
            <w:pPr>
              <w:widowControl/>
              <w:adjustRightInd w:val="0"/>
              <w:snapToGrid w:val="0"/>
              <w:jc w:val="center"/>
              <w:rPr>
                <w:color w:val="auto"/>
              </w:rPr>
            </w:pP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19439188">
            <w:pPr>
              <w:widowControl/>
              <w:adjustRightInd w:val="0"/>
              <w:snapToGrid w:val="0"/>
              <w:jc w:val="center"/>
              <w:rPr>
                <w:rFonts w:hint="eastAsia" w:eastAsia="宋体"/>
                <w:color w:val="auto"/>
                <w:lang w:eastAsia="zh-CN"/>
              </w:rPr>
            </w:pPr>
            <w:r>
              <w:rPr>
                <w:rFonts w:hint="eastAsia"/>
                <w:color w:val="auto"/>
                <w:lang w:val="en-US" w:eastAsia="zh-CN"/>
              </w:rPr>
              <w:t>颗粒物</w:t>
            </w:r>
          </w:p>
        </w:tc>
        <w:tc>
          <w:tcPr>
            <w:tcW w:w="1377" w:type="pct"/>
            <w:gridSpan w:val="2"/>
            <w:vMerge w:val="continue"/>
            <w:tcBorders>
              <w:left w:val="single" w:color="auto" w:sz="8" w:space="0"/>
              <w:right w:val="single" w:color="auto" w:sz="8" w:space="0"/>
            </w:tcBorders>
            <w:vAlign w:val="center"/>
          </w:tcPr>
          <w:p w14:paraId="09114D70">
            <w:pPr>
              <w:widowControl/>
              <w:adjustRightInd w:val="0"/>
              <w:snapToGrid w:val="0"/>
              <w:jc w:val="center"/>
              <w:rPr>
                <w:color w:val="auto"/>
              </w:rPr>
            </w:pPr>
          </w:p>
        </w:tc>
        <w:tc>
          <w:tcPr>
            <w:tcW w:w="1609" w:type="pct"/>
            <w:vMerge w:val="continue"/>
            <w:tcBorders>
              <w:left w:val="single" w:color="auto" w:sz="8" w:space="0"/>
            </w:tcBorders>
            <w:vAlign w:val="center"/>
          </w:tcPr>
          <w:p w14:paraId="29A8D1CB">
            <w:pPr>
              <w:widowControl/>
              <w:adjustRightInd w:val="0"/>
              <w:snapToGrid w:val="0"/>
              <w:jc w:val="center"/>
              <w:rPr>
                <w:color w:val="auto"/>
              </w:rPr>
            </w:pPr>
          </w:p>
        </w:tc>
      </w:tr>
      <w:tr w14:paraId="494D4D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right w:val="single" w:color="auto" w:sz="8" w:space="0"/>
            </w:tcBorders>
            <w:vAlign w:val="center"/>
          </w:tcPr>
          <w:p w14:paraId="5F5A4338">
            <w:pPr>
              <w:widowControl/>
              <w:adjustRightInd w:val="0"/>
              <w:snapToGrid w:val="0"/>
              <w:jc w:val="center"/>
              <w:rPr>
                <w:color w:val="auto"/>
              </w:rPr>
            </w:pPr>
          </w:p>
        </w:tc>
        <w:tc>
          <w:tcPr>
            <w:tcW w:w="836" w:type="pct"/>
            <w:vMerge w:val="continue"/>
            <w:tcBorders>
              <w:left w:val="single" w:color="auto" w:sz="8" w:space="0"/>
              <w:right w:val="single" w:color="auto" w:sz="8" w:space="0"/>
            </w:tcBorders>
            <w:vAlign w:val="center"/>
          </w:tcPr>
          <w:p w14:paraId="453A1B10">
            <w:pPr>
              <w:widowControl/>
              <w:adjustRightInd w:val="0"/>
              <w:snapToGrid w:val="0"/>
              <w:jc w:val="center"/>
              <w:rPr>
                <w:color w:val="auto"/>
              </w:rPr>
            </w:pP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24643B3F">
            <w:pPr>
              <w:widowControl/>
              <w:adjustRightInd w:val="0"/>
              <w:snapToGrid w:val="0"/>
              <w:jc w:val="center"/>
              <w:rPr>
                <w:rFonts w:hint="eastAsia"/>
                <w:color w:val="auto"/>
                <w:lang w:val="en-US" w:eastAsia="zh-CN"/>
              </w:rPr>
            </w:pPr>
            <w:r>
              <w:rPr>
                <w:rFonts w:hint="eastAsia"/>
                <w:color w:val="auto"/>
                <w:lang w:val="en-US" w:eastAsia="zh-CN"/>
              </w:rPr>
              <w:t>苯系物</w:t>
            </w:r>
          </w:p>
        </w:tc>
        <w:tc>
          <w:tcPr>
            <w:tcW w:w="1377" w:type="pct"/>
            <w:gridSpan w:val="2"/>
            <w:vMerge w:val="continue"/>
            <w:tcBorders>
              <w:left w:val="single" w:color="auto" w:sz="8" w:space="0"/>
              <w:right w:val="single" w:color="auto" w:sz="8" w:space="0"/>
            </w:tcBorders>
            <w:vAlign w:val="center"/>
          </w:tcPr>
          <w:p w14:paraId="1EB9CBAE">
            <w:pPr>
              <w:widowControl/>
              <w:adjustRightInd w:val="0"/>
              <w:snapToGrid w:val="0"/>
              <w:jc w:val="center"/>
              <w:rPr>
                <w:color w:val="auto"/>
              </w:rPr>
            </w:pPr>
          </w:p>
        </w:tc>
        <w:tc>
          <w:tcPr>
            <w:tcW w:w="1609" w:type="pct"/>
            <w:vMerge w:val="continue"/>
            <w:tcBorders>
              <w:left w:val="single" w:color="auto" w:sz="8" w:space="0"/>
            </w:tcBorders>
            <w:vAlign w:val="center"/>
          </w:tcPr>
          <w:p w14:paraId="2C68FDF8">
            <w:pPr>
              <w:widowControl/>
              <w:adjustRightInd w:val="0"/>
              <w:snapToGrid w:val="0"/>
              <w:jc w:val="center"/>
              <w:rPr>
                <w:color w:val="auto"/>
              </w:rPr>
            </w:pPr>
          </w:p>
        </w:tc>
      </w:tr>
      <w:tr w14:paraId="71C6F3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right w:val="single" w:color="auto" w:sz="8" w:space="0"/>
            </w:tcBorders>
            <w:vAlign w:val="center"/>
          </w:tcPr>
          <w:p w14:paraId="3D2520BC">
            <w:pPr>
              <w:widowControl/>
              <w:adjustRightInd w:val="0"/>
              <w:snapToGrid w:val="0"/>
              <w:jc w:val="center"/>
              <w:rPr>
                <w:color w:val="auto"/>
              </w:rPr>
            </w:pPr>
          </w:p>
        </w:tc>
        <w:tc>
          <w:tcPr>
            <w:tcW w:w="836" w:type="pct"/>
            <w:vMerge w:val="continue"/>
            <w:tcBorders>
              <w:left w:val="single" w:color="auto" w:sz="8" w:space="0"/>
              <w:right w:val="single" w:color="auto" w:sz="8" w:space="0"/>
            </w:tcBorders>
            <w:vAlign w:val="center"/>
          </w:tcPr>
          <w:p w14:paraId="15E34A61">
            <w:pPr>
              <w:widowControl/>
              <w:adjustRightInd w:val="0"/>
              <w:snapToGrid w:val="0"/>
              <w:jc w:val="center"/>
              <w:rPr>
                <w:color w:val="auto"/>
              </w:rPr>
            </w:pP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066D16C8">
            <w:pPr>
              <w:widowControl/>
              <w:adjustRightInd w:val="0"/>
              <w:snapToGrid w:val="0"/>
              <w:jc w:val="center"/>
              <w:rPr>
                <w:rFonts w:hint="default"/>
                <w:color w:val="auto"/>
                <w:lang w:val="en-US" w:eastAsia="zh-CN"/>
              </w:rPr>
            </w:pPr>
            <w:r>
              <w:rPr>
                <w:rFonts w:hint="eastAsia"/>
                <w:color w:val="auto"/>
                <w:lang w:val="en-US" w:eastAsia="zh-CN"/>
              </w:rPr>
              <w:t>二甲苯</w:t>
            </w:r>
          </w:p>
        </w:tc>
        <w:tc>
          <w:tcPr>
            <w:tcW w:w="1377" w:type="pct"/>
            <w:gridSpan w:val="2"/>
            <w:vMerge w:val="continue"/>
            <w:tcBorders>
              <w:left w:val="single" w:color="auto" w:sz="8" w:space="0"/>
              <w:right w:val="single" w:color="auto" w:sz="8" w:space="0"/>
            </w:tcBorders>
            <w:vAlign w:val="center"/>
          </w:tcPr>
          <w:p w14:paraId="2C27F75E">
            <w:pPr>
              <w:widowControl/>
              <w:adjustRightInd w:val="0"/>
              <w:snapToGrid w:val="0"/>
              <w:jc w:val="center"/>
              <w:rPr>
                <w:color w:val="auto"/>
              </w:rPr>
            </w:pPr>
          </w:p>
        </w:tc>
        <w:tc>
          <w:tcPr>
            <w:tcW w:w="1609" w:type="pct"/>
            <w:vMerge w:val="continue"/>
            <w:tcBorders>
              <w:left w:val="single" w:color="auto" w:sz="8" w:space="0"/>
            </w:tcBorders>
            <w:vAlign w:val="center"/>
          </w:tcPr>
          <w:p w14:paraId="16342F50">
            <w:pPr>
              <w:widowControl/>
              <w:adjustRightInd w:val="0"/>
              <w:snapToGrid w:val="0"/>
              <w:jc w:val="center"/>
              <w:rPr>
                <w:color w:val="auto"/>
              </w:rPr>
            </w:pPr>
          </w:p>
        </w:tc>
      </w:tr>
      <w:tr w14:paraId="48C6F0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restart"/>
            <w:tcBorders>
              <w:top w:val="single" w:color="auto" w:sz="8" w:space="0"/>
              <w:bottom w:val="single" w:color="auto" w:sz="8" w:space="0"/>
              <w:right w:val="single" w:color="auto" w:sz="8" w:space="0"/>
            </w:tcBorders>
            <w:vAlign w:val="center"/>
          </w:tcPr>
          <w:p w14:paraId="51C85F4E">
            <w:pPr>
              <w:widowControl/>
              <w:adjustRightInd w:val="0"/>
              <w:snapToGrid w:val="0"/>
              <w:jc w:val="center"/>
              <w:rPr>
                <w:rFonts w:hint="eastAsia" w:eastAsia="宋体"/>
                <w:color w:val="auto"/>
                <w:lang w:val="en-US" w:eastAsia="zh-CN"/>
              </w:rPr>
            </w:pPr>
            <w:r>
              <w:rPr>
                <w:rFonts w:hint="eastAsia"/>
                <w:color w:val="auto"/>
                <w:lang w:val="en-US" w:eastAsia="zh-CN"/>
              </w:rPr>
              <w:t>地表水</w:t>
            </w:r>
          </w:p>
        </w:tc>
        <w:tc>
          <w:tcPr>
            <w:tcW w:w="836" w:type="pct"/>
            <w:vMerge w:val="restart"/>
            <w:tcBorders>
              <w:top w:val="single" w:color="auto" w:sz="8" w:space="0"/>
              <w:left w:val="single" w:color="auto" w:sz="8" w:space="0"/>
              <w:bottom w:val="single" w:color="auto" w:sz="8" w:space="0"/>
              <w:right w:val="single" w:color="auto" w:sz="8" w:space="0"/>
            </w:tcBorders>
            <w:vAlign w:val="center"/>
          </w:tcPr>
          <w:p w14:paraId="45E4160D">
            <w:pPr>
              <w:widowControl/>
              <w:adjustRightInd w:val="0"/>
              <w:snapToGrid w:val="0"/>
              <w:jc w:val="center"/>
              <w:rPr>
                <w:rFonts w:hint="eastAsia" w:eastAsia="宋体"/>
                <w:color w:val="auto"/>
                <w:lang w:val="en-US" w:eastAsia="zh-CN"/>
              </w:rPr>
            </w:pPr>
            <w:r>
              <w:rPr>
                <w:rFonts w:hint="eastAsia"/>
                <w:color w:val="auto"/>
                <w:lang w:val="en-US" w:eastAsia="zh-CN"/>
              </w:rPr>
              <w:t>生活污水</w:t>
            </w: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2A193045">
            <w:pPr>
              <w:widowControl/>
              <w:adjustRightInd w:val="0"/>
              <w:snapToGrid w:val="0"/>
              <w:jc w:val="center"/>
              <w:rPr>
                <w:rFonts w:hint="eastAsia"/>
                <w:color w:val="auto"/>
                <w:lang w:val="en-US" w:eastAsia="zh-CN"/>
              </w:rPr>
            </w:pPr>
            <w:r>
              <w:rPr>
                <w:color w:val="auto"/>
                <w:kern w:val="0"/>
              </w:rPr>
              <w:t>COD</w:t>
            </w:r>
          </w:p>
        </w:tc>
        <w:tc>
          <w:tcPr>
            <w:tcW w:w="1377" w:type="pct"/>
            <w:gridSpan w:val="2"/>
            <w:vMerge w:val="restart"/>
            <w:tcBorders>
              <w:top w:val="single" w:color="auto" w:sz="8" w:space="0"/>
              <w:left w:val="single" w:color="auto" w:sz="8" w:space="0"/>
              <w:bottom w:val="single" w:color="auto" w:sz="8" w:space="0"/>
              <w:right w:val="single" w:color="auto" w:sz="8" w:space="0"/>
            </w:tcBorders>
            <w:vAlign w:val="center"/>
          </w:tcPr>
          <w:p w14:paraId="4140212F">
            <w:pPr>
              <w:widowControl/>
              <w:adjustRightInd w:val="0"/>
              <w:snapToGrid w:val="0"/>
              <w:jc w:val="center"/>
              <w:rPr>
                <w:color w:val="auto"/>
              </w:rPr>
            </w:pPr>
            <w:r>
              <w:rPr>
                <w:rFonts w:hint="eastAsia"/>
                <w:color w:val="auto"/>
                <w:szCs w:val="21"/>
                <w:highlight w:val="none"/>
                <w:lang w:val="en-US" w:eastAsia="zh-CN"/>
              </w:rPr>
              <w:t>接管</w:t>
            </w:r>
            <w:r>
              <w:rPr>
                <w:rFonts w:hint="eastAsia"/>
                <w:color w:val="auto"/>
                <w:szCs w:val="21"/>
                <w:highlight w:val="none"/>
                <w:lang w:eastAsia="zh-CN"/>
              </w:rPr>
              <w:t>至常州金坛区第二污水处理有限公司</w:t>
            </w:r>
          </w:p>
        </w:tc>
        <w:tc>
          <w:tcPr>
            <w:tcW w:w="1609" w:type="pct"/>
            <w:vMerge w:val="restart"/>
            <w:tcBorders>
              <w:top w:val="single" w:color="auto" w:sz="8" w:space="0"/>
              <w:left w:val="single" w:color="auto" w:sz="8" w:space="0"/>
              <w:bottom w:val="single" w:color="auto" w:sz="8" w:space="0"/>
            </w:tcBorders>
            <w:vAlign w:val="center"/>
          </w:tcPr>
          <w:p w14:paraId="49AD2FD7">
            <w:pPr>
              <w:widowControl/>
              <w:adjustRightInd w:val="0"/>
              <w:snapToGrid w:val="0"/>
              <w:jc w:val="center"/>
              <w:rPr>
                <w:color w:val="auto"/>
              </w:rPr>
            </w:pPr>
            <w:r>
              <w:rPr>
                <w:rFonts w:hint="default" w:ascii="Times New Roman" w:hAnsi="Times New Roman" w:eastAsia="宋体" w:cs="Times New Roman"/>
                <w:color w:val="auto"/>
                <w:sz w:val="21"/>
                <w:szCs w:val="21"/>
                <w:highlight w:val="none"/>
              </w:rPr>
              <w:t>常州金坛区第二污水处理有限公司限值要求和《污水排入城镇下水道水质标准》（</w:t>
            </w:r>
            <w:r>
              <w:rPr>
                <w:rFonts w:hint="default" w:ascii="Times New Roman" w:hAnsi="Times New Roman" w:eastAsia="宋体" w:cs="Times New Roman"/>
                <w:color w:val="auto"/>
                <w:sz w:val="21"/>
                <w:szCs w:val="21"/>
                <w:highlight w:val="none"/>
                <w:shd w:val="clear" w:color="auto" w:fill="FFFFFF"/>
              </w:rPr>
              <w:t>GB/T31962-2015</w:t>
            </w:r>
            <w:r>
              <w:rPr>
                <w:rFonts w:hint="default" w:ascii="Times New Roman" w:hAnsi="Times New Roman" w:eastAsia="宋体" w:cs="Times New Roman"/>
                <w:color w:val="auto"/>
                <w:sz w:val="21"/>
                <w:szCs w:val="21"/>
                <w:highlight w:val="none"/>
              </w:rPr>
              <w:t>）表1中B等级标准</w:t>
            </w:r>
          </w:p>
        </w:tc>
      </w:tr>
      <w:tr w14:paraId="485F73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top w:val="single" w:color="auto" w:sz="8" w:space="0"/>
              <w:bottom w:val="single" w:color="auto" w:sz="8" w:space="0"/>
              <w:right w:val="single" w:color="auto" w:sz="8" w:space="0"/>
            </w:tcBorders>
            <w:vAlign w:val="center"/>
          </w:tcPr>
          <w:p w14:paraId="44132009">
            <w:pPr>
              <w:widowControl/>
              <w:adjustRightInd w:val="0"/>
              <w:snapToGrid w:val="0"/>
              <w:jc w:val="center"/>
              <w:rPr>
                <w:color w:val="auto"/>
              </w:rPr>
            </w:pPr>
          </w:p>
        </w:tc>
        <w:tc>
          <w:tcPr>
            <w:tcW w:w="836" w:type="pct"/>
            <w:vMerge w:val="continue"/>
            <w:tcBorders>
              <w:top w:val="single" w:color="auto" w:sz="8" w:space="0"/>
              <w:left w:val="single" w:color="auto" w:sz="8" w:space="0"/>
              <w:bottom w:val="single" w:color="auto" w:sz="8" w:space="0"/>
              <w:right w:val="single" w:color="auto" w:sz="8" w:space="0"/>
            </w:tcBorders>
            <w:vAlign w:val="center"/>
          </w:tcPr>
          <w:p w14:paraId="113B8D4E">
            <w:pPr>
              <w:widowControl/>
              <w:adjustRightInd w:val="0"/>
              <w:snapToGrid w:val="0"/>
              <w:jc w:val="center"/>
              <w:rPr>
                <w:color w:val="auto"/>
              </w:rPr>
            </w:pP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6C4B320E">
            <w:pPr>
              <w:widowControl/>
              <w:adjustRightInd w:val="0"/>
              <w:snapToGrid w:val="0"/>
              <w:jc w:val="center"/>
              <w:rPr>
                <w:rFonts w:hint="eastAsia"/>
                <w:color w:val="auto"/>
                <w:lang w:val="en-US" w:eastAsia="zh-CN"/>
              </w:rPr>
            </w:pPr>
            <w:r>
              <w:rPr>
                <w:color w:val="auto"/>
                <w:kern w:val="0"/>
              </w:rPr>
              <w:t>SS</w:t>
            </w:r>
          </w:p>
        </w:tc>
        <w:tc>
          <w:tcPr>
            <w:tcW w:w="1377" w:type="pct"/>
            <w:gridSpan w:val="2"/>
            <w:vMerge w:val="continue"/>
            <w:tcBorders>
              <w:top w:val="single" w:color="auto" w:sz="8" w:space="0"/>
              <w:left w:val="single" w:color="auto" w:sz="8" w:space="0"/>
              <w:bottom w:val="single" w:color="auto" w:sz="8" w:space="0"/>
              <w:right w:val="single" w:color="auto" w:sz="8" w:space="0"/>
            </w:tcBorders>
            <w:vAlign w:val="center"/>
          </w:tcPr>
          <w:p w14:paraId="50CC066A">
            <w:pPr>
              <w:widowControl/>
              <w:adjustRightInd w:val="0"/>
              <w:snapToGrid w:val="0"/>
              <w:jc w:val="center"/>
              <w:rPr>
                <w:color w:val="auto"/>
              </w:rPr>
            </w:pPr>
          </w:p>
        </w:tc>
        <w:tc>
          <w:tcPr>
            <w:tcW w:w="1609" w:type="pct"/>
            <w:vMerge w:val="continue"/>
            <w:tcBorders>
              <w:top w:val="single" w:color="auto" w:sz="8" w:space="0"/>
              <w:left w:val="single" w:color="auto" w:sz="8" w:space="0"/>
              <w:bottom w:val="single" w:color="auto" w:sz="8" w:space="0"/>
            </w:tcBorders>
            <w:vAlign w:val="center"/>
          </w:tcPr>
          <w:p w14:paraId="4BC46BCB">
            <w:pPr>
              <w:widowControl/>
              <w:adjustRightInd w:val="0"/>
              <w:snapToGrid w:val="0"/>
              <w:jc w:val="center"/>
              <w:rPr>
                <w:color w:val="auto"/>
              </w:rPr>
            </w:pPr>
          </w:p>
        </w:tc>
      </w:tr>
      <w:tr w14:paraId="173554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76" w:type="pct"/>
            <w:vMerge w:val="continue"/>
            <w:tcBorders>
              <w:top w:val="single" w:color="auto" w:sz="8" w:space="0"/>
              <w:bottom w:val="single" w:color="auto" w:sz="8" w:space="0"/>
              <w:right w:val="single" w:color="auto" w:sz="8" w:space="0"/>
            </w:tcBorders>
            <w:vAlign w:val="center"/>
          </w:tcPr>
          <w:p w14:paraId="4E70400D">
            <w:pPr>
              <w:widowControl/>
              <w:adjustRightInd w:val="0"/>
              <w:snapToGrid w:val="0"/>
              <w:jc w:val="center"/>
              <w:rPr>
                <w:color w:val="auto"/>
              </w:rPr>
            </w:pPr>
          </w:p>
        </w:tc>
        <w:tc>
          <w:tcPr>
            <w:tcW w:w="836" w:type="pct"/>
            <w:vMerge w:val="continue"/>
            <w:tcBorders>
              <w:top w:val="single" w:color="auto" w:sz="8" w:space="0"/>
              <w:left w:val="single" w:color="auto" w:sz="8" w:space="0"/>
              <w:bottom w:val="single" w:color="auto" w:sz="8" w:space="0"/>
              <w:right w:val="single" w:color="auto" w:sz="8" w:space="0"/>
            </w:tcBorders>
            <w:vAlign w:val="center"/>
          </w:tcPr>
          <w:p w14:paraId="2E456099">
            <w:pPr>
              <w:widowControl/>
              <w:adjustRightInd w:val="0"/>
              <w:snapToGrid w:val="0"/>
              <w:jc w:val="center"/>
              <w:rPr>
                <w:color w:val="auto"/>
              </w:rPr>
            </w:pP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3D56112F">
            <w:pPr>
              <w:widowControl/>
              <w:adjustRightInd w:val="0"/>
              <w:snapToGrid w:val="0"/>
              <w:jc w:val="center"/>
              <w:rPr>
                <w:rFonts w:hint="eastAsia"/>
                <w:color w:val="auto"/>
                <w:lang w:val="en-US" w:eastAsia="zh-CN"/>
              </w:rPr>
            </w:pPr>
            <w:r>
              <w:rPr>
                <w:color w:val="auto"/>
                <w:kern w:val="0"/>
              </w:rPr>
              <w:t>N</w:t>
            </w:r>
            <w:r>
              <w:rPr>
                <w:rFonts w:hint="eastAsia"/>
                <w:color w:val="auto"/>
                <w:kern w:val="0"/>
                <w:lang w:val="en-US" w:eastAsia="zh-CN"/>
              </w:rPr>
              <w:t>H</w:t>
            </w:r>
            <w:r>
              <w:rPr>
                <w:rFonts w:hint="eastAsia"/>
                <w:color w:val="auto"/>
                <w:kern w:val="0"/>
                <w:vertAlign w:val="subscript"/>
                <w:lang w:val="en-US" w:eastAsia="zh-CN"/>
              </w:rPr>
              <w:t>3</w:t>
            </w:r>
            <w:r>
              <w:rPr>
                <w:rFonts w:hint="eastAsia"/>
                <w:color w:val="auto"/>
                <w:kern w:val="0"/>
                <w:lang w:val="en-US" w:eastAsia="zh-CN"/>
              </w:rPr>
              <w:t>-</w:t>
            </w:r>
            <w:r>
              <w:rPr>
                <w:color w:val="auto"/>
                <w:kern w:val="0"/>
              </w:rPr>
              <w:t>N</w:t>
            </w:r>
          </w:p>
        </w:tc>
        <w:tc>
          <w:tcPr>
            <w:tcW w:w="1377" w:type="pct"/>
            <w:gridSpan w:val="2"/>
            <w:vMerge w:val="continue"/>
            <w:tcBorders>
              <w:top w:val="single" w:color="auto" w:sz="8" w:space="0"/>
              <w:left w:val="single" w:color="auto" w:sz="8" w:space="0"/>
              <w:bottom w:val="single" w:color="auto" w:sz="8" w:space="0"/>
              <w:right w:val="single" w:color="auto" w:sz="8" w:space="0"/>
            </w:tcBorders>
            <w:vAlign w:val="center"/>
          </w:tcPr>
          <w:p w14:paraId="06E61554">
            <w:pPr>
              <w:widowControl/>
              <w:adjustRightInd w:val="0"/>
              <w:snapToGrid w:val="0"/>
              <w:jc w:val="center"/>
              <w:rPr>
                <w:color w:val="auto"/>
              </w:rPr>
            </w:pPr>
          </w:p>
        </w:tc>
        <w:tc>
          <w:tcPr>
            <w:tcW w:w="1609" w:type="pct"/>
            <w:vMerge w:val="continue"/>
            <w:tcBorders>
              <w:top w:val="single" w:color="auto" w:sz="8" w:space="0"/>
              <w:left w:val="single" w:color="auto" w:sz="8" w:space="0"/>
              <w:bottom w:val="single" w:color="auto" w:sz="8" w:space="0"/>
            </w:tcBorders>
            <w:vAlign w:val="center"/>
          </w:tcPr>
          <w:p w14:paraId="70A14513">
            <w:pPr>
              <w:widowControl/>
              <w:adjustRightInd w:val="0"/>
              <w:snapToGrid w:val="0"/>
              <w:jc w:val="center"/>
              <w:rPr>
                <w:color w:val="auto"/>
              </w:rPr>
            </w:pPr>
          </w:p>
        </w:tc>
      </w:tr>
      <w:tr w14:paraId="5147FE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476" w:type="pct"/>
            <w:vMerge w:val="continue"/>
            <w:tcBorders>
              <w:top w:val="single" w:color="auto" w:sz="8" w:space="0"/>
              <w:bottom w:val="single" w:color="auto" w:sz="8" w:space="0"/>
              <w:right w:val="single" w:color="auto" w:sz="8" w:space="0"/>
            </w:tcBorders>
            <w:vAlign w:val="center"/>
          </w:tcPr>
          <w:p w14:paraId="1C56833F">
            <w:pPr>
              <w:widowControl/>
              <w:adjustRightInd w:val="0"/>
              <w:snapToGrid w:val="0"/>
              <w:jc w:val="center"/>
              <w:rPr>
                <w:color w:val="auto"/>
              </w:rPr>
            </w:pPr>
          </w:p>
        </w:tc>
        <w:tc>
          <w:tcPr>
            <w:tcW w:w="836" w:type="pct"/>
            <w:vMerge w:val="continue"/>
            <w:tcBorders>
              <w:top w:val="single" w:color="auto" w:sz="8" w:space="0"/>
              <w:left w:val="single" w:color="auto" w:sz="8" w:space="0"/>
              <w:bottom w:val="single" w:color="auto" w:sz="8" w:space="0"/>
              <w:right w:val="single" w:color="auto" w:sz="8" w:space="0"/>
            </w:tcBorders>
            <w:vAlign w:val="center"/>
          </w:tcPr>
          <w:p w14:paraId="15FE78AB">
            <w:pPr>
              <w:widowControl/>
              <w:adjustRightInd w:val="0"/>
              <w:snapToGrid w:val="0"/>
              <w:jc w:val="center"/>
              <w:rPr>
                <w:color w:val="auto"/>
              </w:rPr>
            </w:pP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1C7D69CB">
            <w:pPr>
              <w:adjustRightInd w:val="0"/>
              <w:snapToGrid w:val="0"/>
              <w:jc w:val="center"/>
              <w:textAlignment w:val="center"/>
              <w:rPr>
                <w:rFonts w:hint="eastAsia"/>
                <w:color w:val="auto"/>
                <w:lang w:val="en-US" w:eastAsia="zh-CN"/>
              </w:rPr>
            </w:pPr>
            <w:r>
              <w:rPr>
                <w:color w:val="auto"/>
                <w:kern w:val="0"/>
              </w:rPr>
              <w:t>TP</w:t>
            </w:r>
          </w:p>
        </w:tc>
        <w:tc>
          <w:tcPr>
            <w:tcW w:w="1377" w:type="pct"/>
            <w:gridSpan w:val="2"/>
            <w:vMerge w:val="continue"/>
            <w:tcBorders>
              <w:top w:val="single" w:color="auto" w:sz="8" w:space="0"/>
              <w:left w:val="single" w:color="auto" w:sz="8" w:space="0"/>
              <w:bottom w:val="single" w:color="auto" w:sz="8" w:space="0"/>
              <w:right w:val="single" w:color="auto" w:sz="8" w:space="0"/>
            </w:tcBorders>
            <w:vAlign w:val="center"/>
          </w:tcPr>
          <w:p w14:paraId="506B3796">
            <w:pPr>
              <w:widowControl/>
              <w:adjustRightInd w:val="0"/>
              <w:snapToGrid w:val="0"/>
              <w:jc w:val="center"/>
              <w:rPr>
                <w:color w:val="auto"/>
              </w:rPr>
            </w:pPr>
          </w:p>
        </w:tc>
        <w:tc>
          <w:tcPr>
            <w:tcW w:w="1609" w:type="pct"/>
            <w:vMerge w:val="continue"/>
            <w:tcBorders>
              <w:top w:val="single" w:color="auto" w:sz="8" w:space="0"/>
              <w:left w:val="single" w:color="auto" w:sz="8" w:space="0"/>
              <w:bottom w:val="single" w:color="auto" w:sz="8" w:space="0"/>
            </w:tcBorders>
            <w:vAlign w:val="center"/>
          </w:tcPr>
          <w:p w14:paraId="7E543D01">
            <w:pPr>
              <w:widowControl/>
              <w:adjustRightInd w:val="0"/>
              <w:snapToGrid w:val="0"/>
              <w:jc w:val="center"/>
              <w:rPr>
                <w:color w:val="auto"/>
              </w:rPr>
            </w:pPr>
          </w:p>
        </w:tc>
      </w:tr>
      <w:tr w14:paraId="0715BA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top w:val="single" w:color="auto" w:sz="8" w:space="0"/>
              <w:bottom w:val="single" w:color="auto" w:sz="8" w:space="0"/>
              <w:right w:val="single" w:color="auto" w:sz="8" w:space="0"/>
            </w:tcBorders>
            <w:vAlign w:val="center"/>
          </w:tcPr>
          <w:p w14:paraId="51A0547F">
            <w:pPr>
              <w:widowControl/>
              <w:adjustRightInd w:val="0"/>
              <w:snapToGrid w:val="0"/>
              <w:jc w:val="center"/>
              <w:rPr>
                <w:color w:val="auto"/>
              </w:rPr>
            </w:pPr>
          </w:p>
        </w:tc>
        <w:tc>
          <w:tcPr>
            <w:tcW w:w="836" w:type="pct"/>
            <w:vMerge w:val="continue"/>
            <w:tcBorders>
              <w:top w:val="single" w:color="auto" w:sz="8" w:space="0"/>
              <w:left w:val="single" w:color="auto" w:sz="8" w:space="0"/>
              <w:bottom w:val="single" w:color="auto" w:sz="8" w:space="0"/>
              <w:right w:val="single" w:color="auto" w:sz="8" w:space="0"/>
            </w:tcBorders>
            <w:vAlign w:val="center"/>
          </w:tcPr>
          <w:p w14:paraId="10FD1B05">
            <w:pPr>
              <w:widowControl/>
              <w:adjustRightInd w:val="0"/>
              <w:snapToGrid w:val="0"/>
              <w:jc w:val="center"/>
              <w:rPr>
                <w:color w:val="auto"/>
              </w:rPr>
            </w:pP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598F56EF">
            <w:pPr>
              <w:adjustRightInd w:val="0"/>
              <w:snapToGrid w:val="0"/>
              <w:jc w:val="center"/>
              <w:textAlignment w:val="center"/>
              <w:rPr>
                <w:rFonts w:hint="eastAsia"/>
                <w:color w:val="auto"/>
                <w:lang w:val="en-US" w:eastAsia="zh-CN"/>
              </w:rPr>
            </w:pPr>
            <w:r>
              <w:rPr>
                <w:color w:val="auto"/>
                <w:kern w:val="0"/>
              </w:rPr>
              <w:t>TN</w:t>
            </w:r>
          </w:p>
        </w:tc>
        <w:tc>
          <w:tcPr>
            <w:tcW w:w="1377" w:type="pct"/>
            <w:gridSpan w:val="2"/>
            <w:vMerge w:val="continue"/>
            <w:tcBorders>
              <w:top w:val="single" w:color="auto" w:sz="8" w:space="0"/>
              <w:left w:val="single" w:color="auto" w:sz="8" w:space="0"/>
              <w:bottom w:val="single" w:color="auto" w:sz="8" w:space="0"/>
              <w:right w:val="single" w:color="auto" w:sz="8" w:space="0"/>
            </w:tcBorders>
            <w:vAlign w:val="center"/>
          </w:tcPr>
          <w:p w14:paraId="1D9571C7">
            <w:pPr>
              <w:widowControl/>
              <w:adjustRightInd w:val="0"/>
              <w:snapToGrid w:val="0"/>
              <w:jc w:val="center"/>
              <w:rPr>
                <w:color w:val="auto"/>
              </w:rPr>
            </w:pPr>
          </w:p>
        </w:tc>
        <w:tc>
          <w:tcPr>
            <w:tcW w:w="1609" w:type="pct"/>
            <w:vMerge w:val="continue"/>
            <w:tcBorders>
              <w:top w:val="single" w:color="auto" w:sz="8" w:space="0"/>
              <w:left w:val="single" w:color="auto" w:sz="8" w:space="0"/>
              <w:bottom w:val="single" w:color="auto" w:sz="8" w:space="0"/>
            </w:tcBorders>
            <w:vAlign w:val="center"/>
          </w:tcPr>
          <w:p w14:paraId="6C3916B2">
            <w:pPr>
              <w:widowControl/>
              <w:adjustRightInd w:val="0"/>
              <w:snapToGrid w:val="0"/>
              <w:jc w:val="center"/>
              <w:rPr>
                <w:color w:val="auto"/>
              </w:rPr>
            </w:pPr>
          </w:p>
        </w:tc>
      </w:tr>
      <w:tr w14:paraId="3A3F29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476" w:type="pct"/>
            <w:tcBorders>
              <w:top w:val="single" w:color="auto" w:sz="8" w:space="0"/>
              <w:bottom w:val="single" w:color="auto" w:sz="8" w:space="0"/>
              <w:right w:val="single" w:color="auto" w:sz="8" w:space="0"/>
            </w:tcBorders>
            <w:vAlign w:val="center"/>
          </w:tcPr>
          <w:p w14:paraId="0AED0CD1">
            <w:pPr>
              <w:adjustRightInd w:val="0"/>
              <w:snapToGrid w:val="0"/>
              <w:jc w:val="center"/>
              <w:rPr>
                <w:color w:val="auto"/>
              </w:rPr>
            </w:pPr>
            <w:r>
              <w:rPr>
                <w:color w:val="auto"/>
              </w:rPr>
              <w:t>声环境</w:t>
            </w:r>
          </w:p>
        </w:tc>
        <w:tc>
          <w:tcPr>
            <w:tcW w:w="836" w:type="pct"/>
            <w:tcBorders>
              <w:top w:val="single" w:color="auto" w:sz="8" w:space="0"/>
              <w:left w:val="single" w:color="auto" w:sz="8" w:space="0"/>
              <w:bottom w:val="single" w:color="auto" w:sz="8" w:space="0"/>
              <w:right w:val="single" w:color="auto" w:sz="8" w:space="0"/>
            </w:tcBorders>
            <w:vAlign w:val="center"/>
          </w:tcPr>
          <w:p w14:paraId="30102E8E">
            <w:pPr>
              <w:pStyle w:val="277"/>
              <w:spacing w:beforeLines="0" w:afterLines="0" w:line="240" w:lineRule="auto"/>
              <w:ind w:left="0" w:firstLine="0" w:firstLineChars="0"/>
              <w:rPr>
                <w:rFonts w:ascii="Times New Roman" w:eastAsia="宋体"/>
                <w:color w:val="auto"/>
                <w:sz w:val="21"/>
                <w:szCs w:val="21"/>
              </w:rPr>
            </w:pPr>
            <w:r>
              <w:rPr>
                <w:rFonts w:ascii="Times New Roman" w:eastAsia="宋体"/>
                <w:bCs/>
                <w:color w:val="auto"/>
                <w:kern w:val="2"/>
                <w:sz w:val="21"/>
                <w:szCs w:val="21"/>
              </w:rPr>
              <w:t>设备</w:t>
            </w:r>
            <w:r>
              <w:rPr>
                <w:rFonts w:ascii="Times New Roman" w:eastAsia="宋体"/>
                <w:bCs/>
                <w:color w:val="auto"/>
                <w:sz w:val="21"/>
                <w:szCs w:val="21"/>
              </w:rPr>
              <w:t>运行噪声</w:t>
            </w: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4CAB44B0">
            <w:pPr>
              <w:adjustRightInd w:val="0"/>
              <w:snapToGrid w:val="0"/>
              <w:jc w:val="center"/>
              <w:rPr>
                <w:color w:val="auto"/>
              </w:rPr>
            </w:pPr>
            <w:r>
              <w:rPr>
                <w:bCs/>
                <w:color w:val="auto"/>
              </w:rPr>
              <w:t>噪声</w:t>
            </w:r>
          </w:p>
        </w:tc>
        <w:tc>
          <w:tcPr>
            <w:tcW w:w="1377" w:type="pct"/>
            <w:gridSpan w:val="2"/>
            <w:tcBorders>
              <w:top w:val="single" w:color="auto" w:sz="8" w:space="0"/>
              <w:left w:val="single" w:color="auto" w:sz="8" w:space="0"/>
              <w:bottom w:val="single" w:color="auto" w:sz="8" w:space="0"/>
              <w:right w:val="single" w:color="auto" w:sz="8" w:space="0"/>
            </w:tcBorders>
            <w:vAlign w:val="center"/>
          </w:tcPr>
          <w:p w14:paraId="7737F1DE">
            <w:pPr>
              <w:adjustRightInd w:val="0"/>
              <w:snapToGrid w:val="0"/>
              <w:jc w:val="center"/>
              <w:rPr>
                <w:color w:val="auto"/>
              </w:rPr>
            </w:pPr>
            <w:bookmarkStart w:id="26" w:name="_Hlk42861764"/>
            <w:r>
              <w:rPr>
                <w:color w:val="auto"/>
              </w:rPr>
              <w:t>选购低噪声、低振动型设备；</w:t>
            </w:r>
            <w:r>
              <w:rPr>
                <w:rFonts w:hint="eastAsia"/>
                <w:color w:val="auto"/>
              </w:rPr>
              <w:t>车间</w:t>
            </w:r>
            <w:r>
              <w:rPr>
                <w:color w:val="auto"/>
              </w:rPr>
              <w:t>内合理布局</w:t>
            </w:r>
            <w:r>
              <w:rPr>
                <w:rFonts w:hint="eastAsia"/>
                <w:color w:val="auto"/>
              </w:rPr>
              <w:t>，</w:t>
            </w:r>
            <w:r>
              <w:rPr>
                <w:color w:val="auto"/>
              </w:rPr>
              <w:t>基础减振</w:t>
            </w:r>
            <w:r>
              <w:rPr>
                <w:rFonts w:hint="eastAsia"/>
                <w:color w:val="auto"/>
              </w:rPr>
              <w:t>、</w:t>
            </w:r>
            <w:r>
              <w:rPr>
                <w:color w:val="auto"/>
              </w:rPr>
              <w:t>建筑隔声</w:t>
            </w:r>
            <w:bookmarkEnd w:id="26"/>
          </w:p>
        </w:tc>
        <w:tc>
          <w:tcPr>
            <w:tcW w:w="1609" w:type="pct"/>
            <w:tcBorders>
              <w:top w:val="single" w:color="auto" w:sz="8" w:space="0"/>
              <w:left w:val="single" w:color="auto" w:sz="8" w:space="0"/>
              <w:bottom w:val="single" w:color="auto" w:sz="8" w:space="0"/>
            </w:tcBorders>
            <w:vAlign w:val="center"/>
          </w:tcPr>
          <w:p w14:paraId="6909E10D">
            <w:pPr>
              <w:adjustRightInd w:val="0"/>
              <w:snapToGrid w:val="0"/>
              <w:jc w:val="center"/>
              <w:rPr>
                <w:color w:val="auto"/>
              </w:rPr>
            </w:pPr>
            <w:r>
              <w:rPr>
                <w:bCs/>
                <w:color w:val="auto"/>
              </w:rPr>
              <w:t>厂界噪声满足《工业企业厂界环境噪声排放标准》</w:t>
            </w:r>
            <w:r>
              <w:rPr>
                <w:rFonts w:hint="eastAsia"/>
                <w:bCs/>
                <w:color w:val="auto"/>
              </w:rPr>
              <w:t>（</w:t>
            </w:r>
            <w:r>
              <w:rPr>
                <w:bCs/>
                <w:color w:val="auto"/>
              </w:rPr>
              <w:t>GB12348-2008</w:t>
            </w:r>
            <w:r>
              <w:rPr>
                <w:rFonts w:hint="eastAsia"/>
                <w:bCs/>
                <w:color w:val="auto"/>
              </w:rPr>
              <w:t>）</w:t>
            </w:r>
            <w:r>
              <w:rPr>
                <w:bCs/>
                <w:color w:val="auto"/>
              </w:rPr>
              <w:t>中的</w:t>
            </w:r>
            <w:r>
              <w:rPr>
                <w:rFonts w:hint="eastAsia"/>
                <w:bCs/>
                <w:color w:val="auto"/>
                <w:lang w:val="en-US" w:eastAsia="zh-CN"/>
              </w:rPr>
              <w:t>2</w:t>
            </w:r>
            <w:r>
              <w:rPr>
                <w:bCs/>
                <w:color w:val="auto"/>
              </w:rPr>
              <w:t>类标准</w:t>
            </w:r>
          </w:p>
        </w:tc>
      </w:tr>
      <w:tr w14:paraId="636220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476" w:type="pct"/>
            <w:tcBorders>
              <w:top w:val="single" w:color="auto" w:sz="8" w:space="0"/>
              <w:bottom w:val="single" w:color="auto" w:sz="8" w:space="0"/>
              <w:right w:val="single" w:color="auto" w:sz="8" w:space="0"/>
            </w:tcBorders>
            <w:vAlign w:val="center"/>
          </w:tcPr>
          <w:p w14:paraId="71C847F2">
            <w:pPr>
              <w:adjustRightInd w:val="0"/>
              <w:snapToGrid w:val="0"/>
              <w:jc w:val="center"/>
              <w:rPr>
                <w:color w:val="auto"/>
              </w:rPr>
            </w:pPr>
            <w:r>
              <w:rPr>
                <w:color w:val="auto"/>
              </w:rPr>
              <w:t>电磁</w:t>
            </w:r>
          </w:p>
          <w:p w14:paraId="2A115384">
            <w:pPr>
              <w:adjustRightInd w:val="0"/>
              <w:snapToGrid w:val="0"/>
              <w:jc w:val="center"/>
              <w:rPr>
                <w:color w:val="auto"/>
              </w:rPr>
            </w:pPr>
            <w:r>
              <w:rPr>
                <w:color w:val="auto"/>
              </w:rPr>
              <w:t>辐射</w:t>
            </w:r>
          </w:p>
        </w:tc>
        <w:tc>
          <w:tcPr>
            <w:tcW w:w="4523" w:type="pct"/>
            <w:gridSpan w:val="6"/>
            <w:tcBorders>
              <w:top w:val="single" w:color="auto" w:sz="8" w:space="0"/>
              <w:left w:val="single" w:color="auto" w:sz="8" w:space="0"/>
              <w:bottom w:val="single" w:color="auto" w:sz="8" w:space="0"/>
            </w:tcBorders>
            <w:vAlign w:val="center"/>
          </w:tcPr>
          <w:p w14:paraId="311DC163">
            <w:pPr>
              <w:adjustRightInd w:val="0"/>
              <w:snapToGrid w:val="0"/>
              <w:jc w:val="center"/>
              <w:rPr>
                <w:color w:val="auto"/>
              </w:rPr>
            </w:pPr>
            <w:r>
              <w:rPr>
                <w:color w:val="auto"/>
              </w:rPr>
              <w:t>本报告不对电磁辐射现状开展监测与评价</w:t>
            </w:r>
          </w:p>
        </w:tc>
      </w:tr>
      <w:tr w14:paraId="68C1B1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restart"/>
            <w:tcBorders>
              <w:top w:val="single" w:color="auto" w:sz="8" w:space="0"/>
              <w:bottom w:val="single" w:color="auto" w:sz="8" w:space="0"/>
              <w:right w:val="single" w:color="auto" w:sz="8" w:space="0"/>
            </w:tcBorders>
            <w:vAlign w:val="center"/>
          </w:tcPr>
          <w:p w14:paraId="3CA28A00">
            <w:pPr>
              <w:adjustRightInd w:val="0"/>
              <w:snapToGrid w:val="0"/>
              <w:jc w:val="center"/>
              <w:rPr>
                <w:color w:val="auto"/>
              </w:rPr>
            </w:pPr>
            <w:r>
              <w:rPr>
                <w:color w:val="auto"/>
              </w:rPr>
              <w:t>固体</w:t>
            </w:r>
          </w:p>
          <w:p w14:paraId="37650B54">
            <w:pPr>
              <w:adjustRightInd w:val="0"/>
              <w:snapToGrid w:val="0"/>
              <w:jc w:val="center"/>
              <w:rPr>
                <w:color w:val="auto"/>
              </w:rPr>
            </w:pPr>
            <w:r>
              <w:rPr>
                <w:color w:val="auto"/>
              </w:rPr>
              <w:t>废物</w:t>
            </w:r>
          </w:p>
        </w:tc>
        <w:tc>
          <w:tcPr>
            <w:tcW w:w="1239" w:type="pct"/>
            <w:gridSpan w:val="2"/>
            <w:tcBorders>
              <w:top w:val="single" w:color="auto" w:sz="8" w:space="0"/>
              <w:left w:val="single" w:color="auto" w:sz="8" w:space="0"/>
              <w:bottom w:val="single" w:color="auto" w:sz="8" w:space="0"/>
              <w:right w:val="single" w:color="auto" w:sz="8" w:space="0"/>
            </w:tcBorders>
            <w:vAlign w:val="center"/>
          </w:tcPr>
          <w:p w14:paraId="231FFA74">
            <w:pPr>
              <w:pStyle w:val="5"/>
              <w:adjustRightInd w:val="0"/>
              <w:snapToGrid w:val="0"/>
              <w:ind w:firstLine="0" w:firstLineChars="0"/>
              <w:jc w:val="center"/>
              <w:rPr>
                <w:rFonts w:hint="default"/>
                <w:color w:val="auto"/>
                <w:szCs w:val="21"/>
                <w:lang w:val="en-US" w:eastAsia="zh-CN"/>
              </w:rPr>
            </w:pPr>
            <w:r>
              <w:rPr>
                <w:rFonts w:hint="eastAsia"/>
                <w:bCs/>
                <w:color w:val="auto"/>
                <w:kern w:val="0"/>
                <w:szCs w:val="21"/>
                <w:lang w:val="en-US" w:eastAsia="zh-CN"/>
              </w:rPr>
              <w:t>木屑</w:t>
            </w:r>
          </w:p>
        </w:tc>
        <w:tc>
          <w:tcPr>
            <w:tcW w:w="731" w:type="pct"/>
            <w:gridSpan w:val="2"/>
            <w:vMerge w:val="restart"/>
            <w:tcBorders>
              <w:top w:val="single" w:color="auto" w:sz="8" w:space="0"/>
              <w:left w:val="single" w:color="auto" w:sz="8" w:space="0"/>
              <w:bottom w:val="single" w:color="auto" w:sz="8" w:space="0"/>
              <w:right w:val="single" w:color="auto" w:sz="8" w:space="0"/>
            </w:tcBorders>
            <w:vAlign w:val="center"/>
          </w:tcPr>
          <w:p w14:paraId="64D25EE3">
            <w:pPr>
              <w:adjustRightInd w:val="0"/>
              <w:snapToGrid w:val="0"/>
              <w:jc w:val="center"/>
              <w:rPr>
                <w:color w:val="auto"/>
              </w:rPr>
            </w:pPr>
            <w:r>
              <w:rPr>
                <w:rFonts w:hint="eastAsia"/>
                <w:color w:val="auto"/>
              </w:rPr>
              <w:t>外售处置</w:t>
            </w:r>
          </w:p>
        </w:tc>
        <w:tc>
          <w:tcPr>
            <w:tcW w:w="2553" w:type="pct"/>
            <w:gridSpan w:val="2"/>
            <w:vMerge w:val="restart"/>
            <w:tcBorders>
              <w:top w:val="single" w:color="auto" w:sz="8" w:space="0"/>
              <w:left w:val="single" w:color="auto" w:sz="8" w:space="0"/>
              <w:bottom w:val="single" w:color="auto" w:sz="8" w:space="0"/>
            </w:tcBorders>
            <w:vAlign w:val="center"/>
          </w:tcPr>
          <w:p w14:paraId="6BD27EE4">
            <w:pPr>
              <w:adjustRightInd w:val="0"/>
              <w:snapToGrid w:val="0"/>
              <w:jc w:val="center"/>
              <w:rPr>
                <w:color w:val="auto"/>
              </w:rPr>
            </w:pPr>
            <w:r>
              <w:rPr>
                <w:color w:val="auto"/>
              </w:rPr>
              <w:t>《一般工业固体废物贮存和填埋污染控制标准》（GB18599-2020）中的相关规定。</w:t>
            </w:r>
          </w:p>
        </w:tc>
      </w:tr>
      <w:tr w14:paraId="48EB03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top w:val="single" w:color="auto" w:sz="8" w:space="0"/>
              <w:bottom w:val="single" w:color="auto" w:sz="8" w:space="0"/>
              <w:right w:val="single" w:color="auto" w:sz="8" w:space="0"/>
            </w:tcBorders>
            <w:vAlign w:val="center"/>
          </w:tcPr>
          <w:p w14:paraId="29B54C6B">
            <w:pPr>
              <w:adjustRightInd w:val="0"/>
              <w:snapToGrid w:val="0"/>
              <w:jc w:val="center"/>
              <w:rPr>
                <w:color w:val="auto"/>
              </w:rPr>
            </w:pPr>
          </w:p>
        </w:tc>
        <w:tc>
          <w:tcPr>
            <w:tcW w:w="1239" w:type="pct"/>
            <w:gridSpan w:val="2"/>
            <w:tcBorders>
              <w:top w:val="single" w:color="auto" w:sz="8" w:space="0"/>
              <w:left w:val="single" w:color="auto" w:sz="8" w:space="0"/>
              <w:bottom w:val="single" w:color="auto" w:sz="8" w:space="0"/>
              <w:right w:val="single" w:color="auto" w:sz="8" w:space="0"/>
            </w:tcBorders>
            <w:vAlign w:val="center"/>
          </w:tcPr>
          <w:p w14:paraId="4CFBAC82">
            <w:pPr>
              <w:pStyle w:val="5"/>
              <w:adjustRightInd w:val="0"/>
              <w:snapToGrid w:val="0"/>
              <w:ind w:firstLine="0" w:firstLineChars="0"/>
              <w:jc w:val="center"/>
              <w:rPr>
                <w:rFonts w:hint="eastAsia" w:eastAsia="宋体"/>
                <w:color w:val="auto"/>
                <w:szCs w:val="21"/>
                <w:lang w:eastAsia="zh-CN"/>
              </w:rPr>
            </w:pPr>
            <w:r>
              <w:rPr>
                <w:rFonts w:hint="eastAsia"/>
                <w:bCs/>
                <w:color w:val="auto"/>
                <w:kern w:val="0"/>
                <w:szCs w:val="21"/>
                <w:lang w:val="en-US" w:eastAsia="zh-CN"/>
              </w:rPr>
              <w:t>边角料</w:t>
            </w:r>
          </w:p>
        </w:tc>
        <w:tc>
          <w:tcPr>
            <w:tcW w:w="731" w:type="pct"/>
            <w:gridSpan w:val="2"/>
            <w:vMerge w:val="continue"/>
            <w:tcBorders>
              <w:top w:val="single" w:color="auto" w:sz="8" w:space="0"/>
              <w:left w:val="single" w:color="auto" w:sz="8" w:space="0"/>
              <w:bottom w:val="single" w:color="auto" w:sz="8" w:space="0"/>
              <w:right w:val="single" w:color="auto" w:sz="8" w:space="0"/>
            </w:tcBorders>
            <w:vAlign w:val="center"/>
          </w:tcPr>
          <w:p w14:paraId="23FC7D75">
            <w:pPr>
              <w:adjustRightInd w:val="0"/>
              <w:snapToGrid w:val="0"/>
              <w:jc w:val="center"/>
              <w:rPr>
                <w:color w:val="auto"/>
              </w:rPr>
            </w:pPr>
          </w:p>
        </w:tc>
        <w:tc>
          <w:tcPr>
            <w:tcW w:w="2553" w:type="pct"/>
            <w:gridSpan w:val="2"/>
            <w:vMerge w:val="continue"/>
            <w:tcBorders>
              <w:top w:val="single" w:color="auto" w:sz="8" w:space="0"/>
              <w:left w:val="single" w:color="auto" w:sz="8" w:space="0"/>
              <w:bottom w:val="single" w:color="auto" w:sz="8" w:space="0"/>
            </w:tcBorders>
            <w:vAlign w:val="center"/>
          </w:tcPr>
          <w:p w14:paraId="11D3C278">
            <w:pPr>
              <w:adjustRightInd w:val="0"/>
              <w:snapToGrid w:val="0"/>
              <w:jc w:val="center"/>
              <w:rPr>
                <w:color w:val="auto"/>
              </w:rPr>
            </w:pPr>
          </w:p>
        </w:tc>
      </w:tr>
      <w:tr w14:paraId="14C15D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top w:val="single" w:color="auto" w:sz="8" w:space="0"/>
              <w:bottom w:val="single" w:color="auto" w:sz="8" w:space="0"/>
              <w:right w:val="single" w:color="auto" w:sz="8" w:space="0"/>
            </w:tcBorders>
            <w:vAlign w:val="center"/>
          </w:tcPr>
          <w:p w14:paraId="3EF2FE9A">
            <w:pPr>
              <w:adjustRightInd w:val="0"/>
              <w:snapToGrid w:val="0"/>
              <w:jc w:val="center"/>
              <w:rPr>
                <w:color w:val="auto"/>
              </w:rPr>
            </w:pPr>
          </w:p>
        </w:tc>
        <w:tc>
          <w:tcPr>
            <w:tcW w:w="1239" w:type="pct"/>
            <w:gridSpan w:val="2"/>
            <w:tcBorders>
              <w:top w:val="single" w:color="auto" w:sz="8" w:space="0"/>
              <w:left w:val="single" w:color="auto" w:sz="8" w:space="0"/>
              <w:bottom w:val="single" w:color="auto" w:sz="8" w:space="0"/>
              <w:right w:val="single" w:color="auto" w:sz="8" w:space="0"/>
            </w:tcBorders>
            <w:vAlign w:val="center"/>
          </w:tcPr>
          <w:p w14:paraId="641778CB">
            <w:pPr>
              <w:pStyle w:val="5"/>
              <w:adjustRightInd w:val="0"/>
              <w:snapToGrid w:val="0"/>
              <w:ind w:firstLine="0" w:firstLineChars="0"/>
              <w:jc w:val="center"/>
              <w:rPr>
                <w:rFonts w:hint="default"/>
                <w:color w:val="auto"/>
                <w:szCs w:val="21"/>
                <w:lang w:val="en-US" w:eastAsia="zh-CN"/>
              </w:rPr>
            </w:pPr>
            <w:r>
              <w:rPr>
                <w:rFonts w:hint="eastAsia"/>
                <w:bCs/>
                <w:color w:val="auto"/>
                <w:kern w:val="0"/>
                <w:szCs w:val="21"/>
                <w:lang w:val="en-US" w:eastAsia="zh-CN"/>
              </w:rPr>
              <w:t>废抹布</w:t>
            </w:r>
          </w:p>
        </w:tc>
        <w:tc>
          <w:tcPr>
            <w:tcW w:w="731" w:type="pct"/>
            <w:gridSpan w:val="2"/>
            <w:vMerge w:val="continue"/>
            <w:tcBorders>
              <w:top w:val="single" w:color="auto" w:sz="8" w:space="0"/>
              <w:left w:val="single" w:color="auto" w:sz="8" w:space="0"/>
              <w:bottom w:val="single" w:color="auto" w:sz="8" w:space="0"/>
              <w:right w:val="single" w:color="auto" w:sz="8" w:space="0"/>
            </w:tcBorders>
            <w:vAlign w:val="center"/>
          </w:tcPr>
          <w:p w14:paraId="0054D104">
            <w:pPr>
              <w:adjustRightInd w:val="0"/>
              <w:snapToGrid w:val="0"/>
              <w:jc w:val="center"/>
              <w:rPr>
                <w:rFonts w:hint="eastAsia"/>
                <w:color w:val="auto"/>
              </w:rPr>
            </w:pPr>
          </w:p>
        </w:tc>
        <w:tc>
          <w:tcPr>
            <w:tcW w:w="2553" w:type="pct"/>
            <w:gridSpan w:val="2"/>
            <w:vMerge w:val="continue"/>
            <w:tcBorders>
              <w:top w:val="single" w:color="auto" w:sz="8" w:space="0"/>
              <w:left w:val="single" w:color="auto" w:sz="8" w:space="0"/>
              <w:bottom w:val="single" w:color="auto" w:sz="8" w:space="0"/>
            </w:tcBorders>
            <w:vAlign w:val="center"/>
          </w:tcPr>
          <w:p w14:paraId="6CAC947D">
            <w:pPr>
              <w:adjustRightInd w:val="0"/>
              <w:snapToGrid w:val="0"/>
              <w:jc w:val="center"/>
              <w:rPr>
                <w:color w:val="auto"/>
              </w:rPr>
            </w:pPr>
          </w:p>
        </w:tc>
      </w:tr>
      <w:tr w14:paraId="3C5B31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top w:val="single" w:color="auto" w:sz="8" w:space="0"/>
              <w:bottom w:val="single" w:color="auto" w:sz="8" w:space="0"/>
              <w:right w:val="single" w:color="auto" w:sz="8" w:space="0"/>
            </w:tcBorders>
            <w:vAlign w:val="center"/>
          </w:tcPr>
          <w:p w14:paraId="0FD09B94">
            <w:pPr>
              <w:adjustRightInd w:val="0"/>
              <w:snapToGrid w:val="0"/>
              <w:jc w:val="center"/>
              <w:rPr>
                <w:color w:val="auto"/>
              </w:rPr>
            </w:pPr>
          </w:p>
        </w:tc>
        <w:tc>
          <w:tcPr>
            <w:tcW w:w="1239" w:type="pct"/>
            <w:gridSpan w:val="2"/>
            <w:tcBorders>
              <w:top w:val="single" w:color="auto" w:sz="8" w:space="0"/>
              <w:left w:val="single" w:color="auto" w:sz="8" w:space="0"/>
              <w:bottom w:val="single" w:color="auto" w:sz="8" w:space="0"/>
              <w:right w:val="single" w:color="auto" w:sz="8" w:space="0"/>
            </w:tcBorders>
            <w:vAlign w:val="center"/>
          </w:tcPr>
          <w:p w14:paraId="5ECF2417">
            <w:pPr>
              <w:pStyle w:val="5"/>
              <w:adjustRightInd w:val="0"/>
              <w:snapToGrid w:val="0"/>
              <w:ind w:firstLine="0" w:firstLineChars="0"/>
              <w:jc w:val="center"/>
              <w:rPr>
                <w:rFonts w:hint="eastAsia"/>
                <w:color w:val="auto"/>
                <w:szCs w:val="21"/>
                <w:lang w:val="en-US" w:eastAsia="zh-CN"/>
              </w:rPr>
            </w:pPr>
            <w:r>
              <w:rPr>
                <w:rFonts w:hint="eastAsia"/>
                <w:bCs/>
                <w:color w:val="auto"/>
                <w:kern w:val="0"/>
                <w:szCs w:val="21"/>
                <w:lang w:val="en-US" w:eastAsia="zh-CN"/>
              </w:rPr>
              <w:t>废砂纸</w:t>
            </w:r>
          </w:p>
        </w:tc>
        <w:tc>
          <w:tcPr>
            <w:tcW w:w="731" w:type="pct"/>
            <w:gridSpan w:val="2"/>
            <w:vMerge w:val="continue"/>
            <w:tcBorders>
              <w:top w:val="single" w:color="auto" w:sz="8" w:space="0"/>
              <w:left w:val="single" w:color="auto" w:sz="8" w:space="0"/>
              <w:bottom w:val="single" w:color="auto" w:sz="8" w:space="0"/>
              <w:right w:val="single" w:color="auto" w:sz="8" w:space="0"/>
            </w:tcBorders>
            <w:vAlign w:val="center"/>
          </w:tcPr>
          <w:p w14:paraId="5B12D3A2">
            <w:pPr>
              <w:adjustRightInd w:val="0"/>
              <w:snapToGrid w:val="0"/>
              <w:jc w:val="center"/>
              <w:rPr>
                <w:rFonts w:hint="eastAsia"/>
                <w:color w:val="auto"/>
              </w:rPr>
            </w:pPr>
          </w:p>
        </w:tc>
        <w:tc>
          <w:tcPr>
            <w:tcW w:w="2553" w:type="pct"/>
            <w:gridSpan w:val="2"/>
            <w:vMerge w:val="continue"/>
            <w:tcBorders>
              <w:top w:val="single" w:color="auto" w:sz="8" w:space="0"/>
              <w:left w:val="single" w:color="auto" w:sz="8" w:space="0"/>
              <w:bottom w:val="single" w:color="auto" w:sz="8" w:space="0"/>
            </w:tcBorders>
            <w:vAlign w:val="center"/>
          </w:tcPr>
          <w:p w14:paraId="5E3A18E6">
            <w:pPr>
              <w:adjustRightInd w:val="0"/>
              <w:snapToGrid w:val="0"/>
              <w:jc w:val="center"/>
              <w:rPr>
                <w:color w:val="auto"/>
              </w:rPr>
            </w:pPr>
          </w:p>
        </w:tc>
      </w:tr>
      <w:tr w14:paraId="243729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top w:val="single" w:color="auto" w:sz="8" w:space="0"/>
              <w:bottom w:val="single" w:color="auto" w:sz="8" w:space="0"/>
              <w:right w:val="single" w:color="auto" w:sz="8" w:space="0"/>
            </w:tcBorders>
            <w:vAlign w:val="center"/>
          </w:tcPr>
          <w:p w14:paraId="74977526">
            <w:pPr>
              <w:adjustRightInd w:val="0"/>
              <w:snapToGrid w:val="0"/>
              <w:jc w:val="center"/>
              <w:rPr>
                <w:color w:val="auto"/>
              </w:rPr>
            </w:pPr>
          </w:p>
        </w:tc>
        <w:tc>
          <w:tcPr>
            <w:tcW w:w="1239" w:type="pct"/>
            <w:gridSpan w:val="2"/>
            <w:tcBorders>
              <w:top w:val="single" w:color="auto" w:sz="8" w:space="0"/>
              <w:left w:val="single" w:color="auto" w:sz="8" w:space="0"/>
              <w:bottom w:val="single" w:color="auto" w:sz="8" w:space="0"/>
              <w:right w:val="single" w:color="auto" w:sz="8" w:space="0"/>
            </w:tcBorders>
            <w:vAlign w:val="center"/>
          </w:tcPr>
          <w:p w14:paraId="3F12521A">
            <w:pPr>
              <w:pStyle w:val="5"/>
              <w:adjustRightInd w:val="0"/>
              <w:snapToGrid w:val="0"/>
              <w:ind w:firstLine="0" w:firstLineChars="0"/>
              <w:jc w:val="center"/>
              <w:rPr>
                <w:rFonts w:hint="eastAsia"/>
                <w:color w:val="auto"/>
                <w:szCs w:val="21"/>
                <w:lang w:val="en-US" w:eastAsia="zh-CN"/>
              </w:rPr>
            </w:pPr>
            <w:r>
              <w:rPr>
                <w:rFonts w:hint="eastAsia"/>
                <w:bCs/>
                <w:color w:val="auto"/>
                <w:kern w:val="0"/>
                <w:szCs w:val="21"/>
                <w:lang w:val="en-US" w:eastAsia="zh-CN"/>
              </w:rPr>
              <w:t>收集尘</w:t>
            </w:r>
          </w:p>
        </w:tc>
        <w:tc>
          <w:tcPr>
            <w:tcW w:w="731" w:type="pct"/>
            <w:gridSpan w:val="2"/>
            <w:vMerge w:val="continue"/>
            <w:tcBorders>
              <w:top w:val="single" w:color="auto" w:sz="8" w:space="0"/>
              <w:left w:val="single" w:color="auto" w:sz="8" w:space="0"/>
              <w:bottom w:val="single" w:color="auto" w:sz="8" w:space="0"/>
              <w:right w:val="single" w:color="auto" w:sz="8" w:space="0"/>
            </w:tcBorders>
            <w:vAlign w:val="center"/>
          </w:tcPr>
          <w:p w14:paraId="30939E47">
            <w:pPr>
              <w:adjustRightInd w:val="0"/>
              <w:snapToGrid w:val="0"/>
              <w:jc w:val="center"/>
              <w:rPr>
                <w:rFonts w:hint="eastAsia"/>
                <w:color w:val="auto"/>
              </w:rPr>
            </w:pPr>
          </w:p>
        </w:tc>
        <w:tc>
          <w:tcPr>
            <w:tcW w:w="2553" w:type="pct"/>
            <w:gridSpan w:val="2"/>
            <w:vMerge w:val="continue"/>
            <w:tcBorders>
              <w:top w:val="single" w:color="auto" w:sz="8" w:space="0"/>
              <w:left w:val="single" w:color="auto" w:sz="8" w:space="0"/>
              <w:bottom w:val="single" w:color="auto" w:sz="8" w:space="0"/>
            </w:tcBorders>
            <w:vAlign w:val="center"/>
          </w:tcPr>
          <w:p w14:paraId="456A1390">
            <w:pPr>
              <w:adjustRightInd w:val="0"/>
              <w:snapToGrid w:val="0"/>
              <w:jc w:val="center"/>
              <w:rPr>
                <w:color w:val="auto"/>
              </w:rPr>
            </w:pPr>
          </w:p>
        </w:tc>
      </w:tr>
      <w:tr w14:paraId="012455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top w:val="single" w:color="auto" w:sz="8" w:space="0"/>
              <w:bottom w:val="single" w:color="auto" w:sz="8" w:space="0"/>
              <w:right w:val="single" w:color="auto" w:sz="8" w:space="0"/>
            </w:tcBorders>
            <w:vAlign w:val="center"/>
          </w:tcPr>
          <w:p w14:paraId="1E17D6F2">
            <w:pPr>
              <w:adjustRightInd w:val="0"/>
              <w:snapToGrid w:val="0"/>
              <w:jc w:val="center"/>
              <w:rPr>
                <w:color w:val="auto"/>
              </w:rPr>
            </w:pPr>
          </w:p>
        </w:tc>
        <w:tc>
          <w:tcPr>
            <w:tcW w:w="1239" w:type="pct"/>
            <w:gridSpan w:val="2"/>
            <w:tcBorders>
              <w:top w:val="single" w:color="auto" w:sz="8" w:space="0"/>
              <w:left w:val="single" w:color="auto" w:sz="8" w:space="0"/>
              <w:bottom w:val="single" w:color="auto" w:sz="8" w:space="0"/>
              <w:right w:val="single" w:color="auto" w:sz="8" w:space="0"/>
            </w:tcBorders>
            <w:vAlign w:val="center"/>
          </w:tcPr>
          <w:p w14:paraId="4D96FB20">
            <w:pPr>
              <w:pStyle w:val="5"/>
              <w:adjustRightInd w:val="0"/>
              <w:snapToGrid w:val="0"/>
              <w:ind w:firstLine="0" w:firstLineChars="0"/>
              <w:jc w:val="center"/>
              <w:rPr>
                <w:rFonts w:hint="eastAsia"/>
                <w:color w:val="auto"/>
                <w:szCs w:val="21"/>
                <w:lang w:val="en-US" w:eastAsia="zh-CN"/>
              </w:rPr>
            </w:pPr>
            <w:r>
              <w:rPr>
                <w:rFonts w:hint="eastAsia"/>
                <w:bCs/>
                <w:color w:val="auto"/>
                <w:kern w:val="0"/>
                <w:szCs w:val="21"/>
                <w:lang w:val="en-US" w:eastAsia="zh-CN"/>
              </w:rPr>
              <w:t>废布袋</w:t>
            </w:r>
          </w:p>
        </w:tc>
        <w:tc>
          <w:tcPr>
            <w:tcW w:w="731" w:type="pct"/>
            <w:gridSpan w:val="2"/>
            <w:vMerge w:val="continue"/>
            <w:tcBorders>
              <w:top w:val="single" w:color="auto" w:sz="8" w:space="0"/>
              <w:left w:val="single" w:color="auto" w:sz="8" w:space="0"/>
              <w:bottom w:val="single" w:color="auto" w:sz="8" w:space="0"/>
              <w:right w:val="single" w:color="auto" w:sz="8" w:space="0"/>
            </w:tcBorders>
            <w:vAlign w:val="center"/>
          </w:tcPr>
          <w:p w14:paraId="7F23A193">
            <w:pPr>
              <w:adjustRightInd w:val="0"/>
              <w:snapToGrid w:val="0"/>
              <w:jc w:val="center"/>
              <w:rPr>
                <w:rFonts w:hint="eastAsia"/>
                <w:color w:val="auto"/>
              </w:rPr>
            </w:pPr>
          </w:p>
        </w:tc>
        <w:tc>
          <w:tcPr>
            <w:tcW w:w="2553" w:type="pct"/>
            <w:gridSpan w:val="2"/>
            <w:vMerge w:val="continue"/>
            <w:tcBorders>
              <w:top w:val="single" w:color="auto" w:sz="8" w:space="0"/>
              <w:left w:val="single" w:color="auto" w:sz="8" w:space="0"/>
              <w:bottom w:val="single" w:color="auto" w:sz="8" w:space="0"/>
            </w:tcBorders>
            <w:vAlign w:val="center"/>
          </w:tcPr>
          <w:p w14:paraId="2B7CCFA8">
            <w:pPr>
              <w:adjustRightInd w:val="0"/>
              <w:snapToGrid w:val="0"/>
              <w:jc w:val="center"/>
              <w:rPr>
                <w:color w:val="auto"/>
              </w:rPr>
            </w:pPr>
          </w:p>
        </w:tc>
      </w:tr>
      <w:tr w14:paraId="3C7242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top w:val="single" w:color="auto" w:sz="8" w:space="0"/>
              <w:bottom w:val="single" w:color="auto" w:sz="8" w:space="0"/>
              <w:right w:val="single" w:color="auto" w:sz="8" w:space="0"/>
            </w:tcBorders>
            <w:vAlign w:val="center"/>
          </w:tcPr>
          <w:p w14:paraId="28DBBF61">
            <w:pPr>
              <w:adjustRightInd w:val="0"/>
              <w:snapToGrid w:val="0"/>
              <w:jc w:val="center"/>
              <w:rPr>
                <w:color w:val="auto"/>
              </w:rPr>
            </w:pPr>
          </w:p>
        </w:tc>
        <w:tc>
          <w:tcPr>
            <w:tcW w:w="1239" w:type="pct"/>
            <w:gridSpan w:val="2"/>
            <w:tcBorders>
              <w:top w:val="single" w:color="auto" w:sz="8" w:space="0"/>
              <w:left w:val="single" w:color="auto" w:sz="8" w:space="0"/>
              <w:bottom w:val="single" w:color="auto" w:sz="8" w:space="0"/>
              <w:right w:val="single" w:color="auto" w:sz="8" w:space="0"/>
            </w:tcBorders>
            <w:vAlign w:val="center"/>
          </w:tcPr>
          <w:p w14:paraId="24DFDCE5">
            <w:pPr>
              <w:pStyle w:val="5"/>
              <w:adjustRightInd w:val="0"/>
              <w:snapToGrid w:val="0"/>
              <w:ind w:firstLine="0" w:firstLineChars="0"/>
              <w:jc w:val="center"/>
              <w:rPr>
                <w:rFonts w:hint="eastAsia"/>
                <w:bCs/>
                <w:color w:val="auto"/>
                <w:szCs w:val="21"/>
                <w:lang w:val="en-US" w:eastAsia="zh-CN"/>
              </w:rPr>
            </w:pPr>
            <w:r>
              <w:rPr>
                <w:rFonts w:hint="eastAsia"/>
                <w:bCs/>
                <w:color w:val="auto"/>
                <w:kern w:val="0"/>
                <w:szCs w:val="21"/>
                <w:lang w:val="en-US" w:eastAsia="zh-CN"/>
              </w:rPr>
              <w:t>擦色废物</w:t>
            </w:r>
          </w:p>
        </w:tc>
        <w:tc>
          <w:tcPr>
            <w:tcW w:w="731" w:type="pct"/>
            <w:gridSpan w:val="2"/>
            <w:vMerge w:val="restart"/>
            <w:tcBorders>
              <w:top w:val="single" w:color="auto" w:sz="8" w:space="0"/>
              <w:left w:val="single" w:color="auto" w:sz="8" w:space="0"/>
              <w:bottom w:val="single" w:color="auto" w:sz="8" w:space="0"/>
              <w:right w:val="single" w:color="auto" w:sz="8" w:space="0"/>
            </w:tcBorders>
            <w:vAlign w:val="center"/>
          </w:tcPr>
          <w:p w14:paraId="1E25FCE6">
            <w:pPr>
              <w:adjustRightInd w:val="0"/>
              <w:snapToGrid w:val="0"/>
              <w:jc w:val="center"/>
              <w:rPr>
                <w:color w:val="auto"/>
              </w:rPr>
            </w:pPr>
            <w:r>
              <w:rPr>
                <w:color w:val="auto"/>
              </w:rPr>
              <w:t>委托有资质单位处理</w:t>
            </w:r>
          </w:p>
        </w:tc>
        <w:tc>
          <w:tcPr>
            <w:tcW w:w="2553" w:type="pct"/>
            <w:gridSpan w:val="2"/>
            <w:vMerge w:val="restart"/>
            <w:tcBorders>
              <w:top w:val="single" w:color="auto" w:sz="8" w:space="0"/>
              <w:left w:val="single" w:color="auto" w:sz="8" w:space="0"/>
              <w:bottom w:val="single" w:color="auto" w:sz="8" w:space="0"/>
            </w:tcBorders>
            <w:vAlign w:val="center"/>
          </w:tcPr>
          <w:p w14:paraId="68991BA3">
            <w:pPr>
              <w:adjustRightInd w:val="0"/>
              <w:snapToGrid w:val="0"/>
              <w:jc w:val="center"/>
              <w:rPr>
                <w:color w:val="auto"/>
              </w:rPr>
            </w:pPr>
            <w:r>
              <w:rPr>
                <w:rFonts w:hint="eastAsia"/>
                <w:color w:val="auto"/>
              </w:rPr>
              <w:t>执行《危险废物收集、贮存、运输技术规范》（HJ2025 2012）、《危险废物贮存污染控制标准》（GB 18597-2023）</w:t>
            </w:r>
          </w:p>
        </w:tc>
      </w:tr>
      <w:tr w14:paraId="0BD754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top w:val="single" w:color="auto" w:sz="8" w:space="0"/>
              <w:bottom w:val="single" w:color="auto" w:sz="8" w:space="0"/>
              <w:right w:val="single" w:color="auto" w:sz="8" w:space="0"/>
            </w:tcBorders>
            <w:vAlign w:val="center"/>
          </w:tcPr>
          <w:p w14:paraId="288629BC">
            <w:pPr>
              <w:adjustRightInd w:val="0"/>
              <w:snapToGrid w:val="0"/>
              <w:jc w:val="center"/>
              <w:rPr>
                <w:color w:val="auto"/>
              </w:rPr>
            </w:pPr>
          </w:p>
        </w:tc>
        <w:tc>
          <w:tcPr>
            <w:tcW w:w="1239" w:type="pct"/>
            <w:gridSpan w:val="2"/>
            <w:tcBorders>
              <w:top w:val="single" w:color="auto" w:sz="8" w:space="0"/>
              <w:left w:val="single" w:color="auto" w:sz="8" w:space="0"/>
              <w:bottom w:val="single" w:color="auto" w:sz="8" w:space="0"/>
              <w:right w:val="single" w:color="auto" w:sz="8" w:space="0"/>
            </w:tcBorders>
            <w:vAlign w:val="center"/>
          </w:tcPr>
          <w:p w14:paraId="392E3C65">
            <w:pPr>
              <w:pStyle w:val="5"/>
              <w:adjustRightInd w:val="0"/>
              <w:snapToGrid w:val="0"/>
              <w:ind w:firstLine="0" w:firstLineChars="0"/>
              <w:jc w:val="center"/>
              <w:rPr>
                <w:rFonts w:hint="eastAsia"/>
                <w:bCs/>
                <w:color w:val="auto"/>
                <w:szCs w:val="21"/>
                <w:lang w:val="en-US" w:eastAsia="zh-CN"/>
              </w:rPr>
            </w:pPr>
            <w:r>
              <w:rPr>
                <w:rFonts w:hint="eastAsia"/>
                <w:bCs/>
                <w:color w:val="auto"/>
                <w:kern w:val="0"/>
                <w:szCs w:val="21"/>
                <w:lang w:val="en-US" w:eastAsia="zh-CN"/>
              </w:rPr>
              <w:t>含漆废物</w:t>
            </w:r>
          </w:p>
        </w:tc>
        <w:tc>
          <w:tcPr>
            <w:tcW w:w="731" w:type="pct"/>
            <w:gridSpan w:val="2"/>
            <w:vMerge w:val="continue"/>
            <w:tcBorders>
              <w:top w:val="single" w:color="auto" w:sz="8" w:space="0"/>
              <w:left w:val="single" w:color="auto" w:sz="8" w:space="0"/>
              <w:bottom w:val="single" w:color="auto" w:sz="8" w:space="0"/>
              <w:right w:val="single" w:color="auto" w:sz="8" w:space="0"/>
            </w:tcBorders>
            <w:vAlign w:val="center"/>
          </w:tcPr>
          <w:p w14:paraId="4D75BB9A">
            <w:pPr>
              <w:adjustRightInd w:val="0"/>
              <w:snapToGrid w:val="0"/>
              <w:jc w:val="center"/>
              <w:rPr>
                <w:color w:val="auto"/>
              </w:rPr>
            </w:pPr>
          </w:p>
        </w:tc>
        <w:tc>
          <w:tcPr>
            <w:tcW w:w="2553" w:type="pct"/>
            <w:gridSpan w:val="2"/>
            <w:vMerge w:val="continue"/>
            <w:tcBorders>
              <w:top w:val="single" w:color="auto" w:sz="8" w:space="0"/>
              <w:left w:val="single" w:color="auto" w:sz="8" w:space="0"/>
              <w:bottom w:val="single" w:color="auto" w:sz="8" w:space="0"/>
            </w:tcBorders>
            <w:vAlign w:val="center"/>
          </w:tcPr>
          <w:p w14:paraId="13CB5ED9">
            <w:pPr>
              <w:adjustRightInd w:val="0"/>
              <w:snapToGrid w:val="0"/>
              <w:jc w:val="center"/>
              <w:rPr>
                <w:rFonts w:hint="eastAsia"/>
                <w:color w:val="auto"/>
              </w:rPr>
            </w:pPr>
          </w:p>
        </w:tc>
      </w:tr>
      <w:tr w14:paraId="31F3BF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top w:val="single" w:color="auto" w:sz="8" w:space="0"/>
              <w:bottom w:val="single" w:color="auto" w:sz="8" w:space="0"/>
              <w:right w:val="single" w:color="auto" w:sz="8" w:space="0"/>
            </w:tcBorders>
            <w:vAlign w:val="center"/>
          </w:tcPr>
          <w:p w14:paraId="58F809FD">
            <w:pPr>
              <w:adjustRightInd w:val="0"/>
              <w:snapToGrid w:val="0"/>
              <w:jc w:val="center"/>
              <w:rPr>
                <w:color w:val="auto"/>
              </w:rPr>
            </w:pPr>
          </w:p>
        </w:tc>
        <w:tc>
          <w:tcPr>
            <w:tcW w:w="1239" w:type="pct"/>
            <w:gridSpan w:val="2"/>
            <w:tcBorders>
              <w:top w:val="single" w:color="auto" w:sz="8" w:space="0"/>
              <w:left w:val="single" w:color="auto" w:sz="8" w:space="0"/>
              <w:bottom w:val="single" w:color="auto" w:sz="8" w:space="0"/>
              <w:right w:val="single" w:color="auto" w:sz="8" w:space="0"/>
            </w:tcBorders>
            <w:vAlign w:val="center"/>
          </w:tcPr>
          <w:p w14:paraId="1F71DE6C">
            <w:pPr>
              <w:pStyle w:val="5"/>
              <w:adjustRightInd w:val="0"/>
              <w:snapToGrid w:val="0"/>
              <w:ind w:firstLine="0" w:firstLineChars="0"/>
              <w:jc w:val="center"/>
              <w:rPr>
                <w:rFonts w:hint="eastAsia" w:eastAsia="宋体"/>
                <w:color w:val="auto"/>
                <w:szCs w:val="21"/>
                <w:lang w:eastAsia="zh-CN"/>
              </w:rPr>
            </w:pPr>
            <w:r>
              <w:rPr>
                <w:rFonts w:hint="eastAsia"/>
                <w:bCs/>
                <w:color w:val="auto"/>
                <w:kern w:val="0"/>
                <w:szCs w:val="21"/>
                <w:lang w:val="en-US" w:eastAsia="zh-CN"/>
              </w:rPr>
              <w:t>漆渣</w:t>
            </w:r>
          </w:p>
        </w:tc>
        <w:tc>
          <w:tcPr>
            <w:tcW w:w="731" w:type="pct"/>
            <w:gridSpan w:val="2"/>
            <w:vMerge w:val="continue"/>
            <w:tcBorders>
              <w:top w:val="single" w:color="auto" w:sz="8" w:space="0"/>
              <w:left w:val="single" w:color="auto" w:sz="8" w:space="0"/>
              <w:bottom w:val="single" w:color="auto" w:sz="8" w:space="0"/>
              <w:right w:val="single" w:color="auto" w:sz="8" w:space="0"/>
            </w:tcBorders>
            <w:vAlign w:val="center"/>
          </w:tcPr>
          <w:p w14:paraId="003F377B">
            <w:pPr>
              <w:adjustRightInd w:val="0"/>
              <w:snapToGrid w:val="0"/>
              <w:jc w:val="center"/>
              <w:rPr>
                <w:color w:val="auto"/>
              </w:rPr>
            </w:pPr>
          </w:p>
        </w:tc>
        <w:tc>
          <w:tcPr>
            <w:tcW w:w="2553" w:type="pct"/>
            <w:gridSpan w:val="2"/>
            <w:vMerge w:val="continue"/>
            <w:tcBorders>
              <w:top w:val="single" w:color="auto" w:sz="8" w:space="0"/>
              <w:left w:val="single" w:color="auto" w:sz="8" w:space="0"/>
              <w:bottom w:val="single" w:color="auto" w:sz="8" w:space="0"/>
            </w:tcBorders>
            <w:vAlign w:val="center"/>
          </w:tcPr>
          <w:p w14:paraId="37A09ABE">
            <w:pPr>
              <w:adjustRightInd w:val="0"/>
              <w:snapToGrid w:val="0"/>
              <w:jc w:val="center"/>
              <w:rPr>
                <w:color w:val="auto"/>
              </w:rPr>
            </w:pPr>
          </w:p>
        </w:tc>
      </w:tr>
      <w:tr w14:paraId="0C6075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top w:val="single" w:color="auto" w:sz="8" w:space="0"/>
              <w:bottom w:val="single" w:color="auto" w:sz="8" w:space="0"/>
              <w:right w:val="single" w:color="auto" w:sz="8" w:space="0"/>
            </w:tcBorders>
            <w:vAlign w:val="center"/>
          </w:tcPr>
          <w:p w14:paraId="2C292456">
            <w:pPr>
              <w:adjustRightInd w:val="0"/>
              <w:snapToGrid w:val="0"/>
              <w:jc w:val="center"/>
              <w:rPr>
                <w:color w:val="auto"/>
              </w:rPr>
            </w:pPr>
          </w:p>
        </w:tc>
        <w:tc>
          <w:tcPr>
            <w:tcW w:w="1239" w:type="pct"/>
            <w:gridSpan w:val="2"/>
            <w:tcBorders>
              <w:top w:val="single" w:color="auto" w:sz="8" w:space="0"/>
              <w:left w:val="single" w:color="auto" w:sz="8" w:space="0"/>
              <w:bottom w:val="single" w:color="auto" w:sz="8" w:space="0"/>
              <w:right w:val="single" w:color="auto" w:sz="8" w:space="0"/>
            </w:tcBorders>
            <w:vAlign w:val="center"/>
          </w:tcPr>
          <w:p w14:paraId="52B5BEC1">
            <w:pPr>
              <w:pStyle w:val="5"/>
              <w:adjustRightInd w:val="0"/>
              <w:snapToGrid w:val="0"/>
              <w:ind w:firstLine="0" w:firstLineChars="0"/>
              <w:jc w:val="center"/>
              <w:rPr>
                <w:rFonts w:hint="eastAsia"/>
                <w:bCs/>
                <w:color w:val="auto"/>
                <w:szCs w:val="21"/>
                <w:lang w:val="en-US" w:eastAsia="zh-CN"/>
              </w:rPr>
            </w:pPr>
            <w:r>
              <w:rPr>
                <w:rFonts w:hint="eastAsia"/>
                <w:bCs/>
                <w:color w:val="auto"/>
                <w:kern w:val="0"/>
                <w:szCs w:val="21"/>
                <w:lang w:val="en-US" w:eastAsia="zh-CN"/>
              </w:rPr>
              <w:t>水帘废液</w:t>
            </w:r>
          </w:p>
        </w:tc>
        <w:tc>
          <w:tcPr>
            <w:tcW w:w="731" w:type="pct"/>
            <w:gridSpan w:val="2"/>
            <w:vMerge w:val="continue"/>
            <w:tcBorders>
              <w:top w:val="single" w:color="auto" w:sz="8" w:space="0"/>
              <w:left w:val="single" w:color="auto" w:sz="8" w:space="0"/>
              <w:bottom w:val="single" w:color="auto" w:sz="8" w:space="0"/>
              <w:right w:val="single" w:color="auto" w:sz="8" w:space="0"/>
            </w:tcBorders>
            <w:vAlign w:val="center"/>
          </w:tcPr>
          <w:p w14:paraId="40C4DB28">
            <w:pPr>
              <w:adjustRightInd w:val="0"/>
              <w:snapToGrid w:val="0"/>
              <w:jc w:val="center"/>
              <w:rPr>
                <w:color w:val="auto"/>
              </w:rPr>
            </w:pPr>
          </w:p>
        </w:tc>
        <w:tc>
          <w:tcPr>
            <w:tcW w:w="2553" w:type="pct"/>
            <w:gridSpan w:val="2"/>
            <w:vMerge w:val="continue"/>
            <w:tcBorders>
              <w:top w:val="single" w:color="auto" w:sz="8" w:space="0"/>
              <w:left w:val="single" w:color="auto" w:sz="8" w:space="0"/>
              <w:bottom w:val="single" w:color="auto" w:sz="8" w:space="0"/>
            </w:tcBorders>
            <w:vAlign w:val="center"/>
          </w:tcPr>
          <w:p w14:paraId="16BC2632">
            <w:pPr>
              <w:adjustRightInd w:val="0"/>
              <w:snapToGrid w:val="0"/>
              <w:jc w:val="center"/>
              <w:rPr>
                <w:rFonts w:hint="eastAsia"/>
                <w:color w:val="auto"/>
              </w:rPr>
            </w:pPr>
          </w:p>
        </w:tc>
      </w:tr>
      <w:tr w14:paraId="77EB49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top w:val="single" w:color="auto" w:sz="8" w:space="0"/>
              <w:bottom w:val="single" w:color="auto" w:sz="8" w:space="0"/>
              <w:right w:val="single" w:color="auto" w:sz="8" w:space="0"/>
            </w:tcBorders>
            <w:vAlign w:val="center"/>
          </w:tcPr>
          <w:p w14:paraId="0D569F3E">
            <w:pPr>
              <w:adjustRightInd w:val="0"/>
              <w:snapToGrid w:val="0"/>
              <w:jc w:val="center"/>
              <w:rPr>
                <w:color w:val="auto"/>
              </w:rPr>
            </w:pPr>
          </w:p>
        </w:tc>
        <w:tc>
          <w:tcPr>
            <w:tcW w:w="1239" w:type="pct"/>
            <w:gridSpan w:val="2"/>
            <w:tcBorders>
              <w:top w:val="single" w:color="auto" w:sz="8" w:space="0"/>
              <w:left w:val="single" w:color="auto" w:sz="8" w:space="0"/>
              <w:bottom w:val="single" w:color="auto" w:sz="8" w:space="0"/>
              <w:right w:val="single" w:color="auto" w:sz="8" w:space="0"/>
            </w:tcBorders>
            <w:vAlign w:val="center"/>
          </w:tcPr>
          <w:p w14:paraId="78750147">
            <w:pPr>
              <w:pStyle w:val="5"/>
              <w:adjustRightInd w:val="0"/>
              <w:snapToGrid w:val="0"/>
              <w:ind w:firstLine="0" w:firstLineChars="0"/>
              <w:jc w:val="center"/>
              <w:rPr>
                <w:rFonts w:hint="eastAsia"/>
                <w:bCs/>
                <w:color w:val="auto"/>
                <w:szCs w:val="21"/>
                <w:lang w:val="en-US" w:eastAsia="zh-CN"/>
              </w:rPr>
            </w:pPr>
            <w:r>
              <w:rPr>
                <w:rFonts w:hint="eastAsia"/>
                <w:bCs/>
                <w:color w:val="auto"/>
                <w:kern w:val="0"/>
                <w:szCs w:val="21"/>
                <w:lang w:val="en-US" w:eastAsia="zh-CN"/>
              </w:rPr>
              <w:t>喷枪清洗废液</w:t>
            </w:r>
          </w:p>
        </w:tc>
        <w:tc>
          <w:tcPr>
            <w:tcW w:w="731" w:type="pct"/>
            <w:gridSpan w:val="2"/>
            <w:vMerge w:val="continue"/>
            <w:tcBorders>
              <w:top w:val="single" w:color="auto" w:sz="8" w:space="0"/>
              <w:left w:val="single" w:color="auto" w:sz="8" w:space="0"/>
              <w:bottom w:val="single" w:color="auto" w:sz="8" w:space="0"/>
              <w:right w:val="single" w:color="auto" w:sz="8" w:space="0"/>
            </w:tcBorders>
            <w:vAlign w:val="center"/>
          </w:tcPr>
          <w:p w14:paraId="46B37691">
            <w:pPr>
              <w:adjustRightInd w:val="0"/>
              <w:snapToGrid w:val="0"/>
              <w:jc w:val="center"/>
              <w:rPr>
                <w:color w:val="auto"/>
              </w:rPr>
            </w:pPr>
          </w:p>
        </w:tc>
        <w:tc>
          <w:tcPr>
            <w:tcW w:w="2553" w:type="pct"/>
            <w:gridSpan w:val="2"/>
            <w:vMerge w:val="continue"/>
            <w:tcBorders>
              <w:top w:val="single" w:color="auto" w:sz="8" w:space="0"/>
              <w:left w:val="single" w:color="auto" w:sz="8" w:space="0"/>
              <w:bottom w:val="single" w:color="auto" w:sz="8" w:space="0"/>
            </w:tcBorders>
            <w:vAlign w:val="center"/>
          </w:tcPr>
          <w:p w14:paraId="7E4DD1BC">
            <w:pPr>
              <w:adjustRightInd w:val="0"/>
              <w:snapToGrid w:val="0"/>
              <w:jc w:val="center"/>
              <w:rPr>
                <w:rFonts w:hint="eastAsia"/>
                <w:color w:val="auto"/>
              </w:rPr>
            </w:pPr>
          </w:p>
        </w:tc>
      </w:tr>
      <w:tr w14:paraId="7A3A25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top w:val="single" w:color="auto" w:sz="8" w:space="0"/>
              <w:bottom w:val="single" w:color="auto" w:sz="8" w:space="0"/>
              <w:right w:val="single" w:color="auto" w:sz="8" w:space="0"/>
            </w:tcBorders>
            <w:vAlign w:val="center"/>
          </w:tcPr>
          <w:p w14:paraId="72F57E04">
            <w:pPr>
              <w:adjustRightInd w:val="0"/>
              <w:snapToGrid w:val="0"/>
              <w:jc w:val="center"/>
              <w:rPr>
                <w:color w:val="auto"/>
              </w:rPr>
            </w:pPr>
          </w:p>
        </w:tc>
        <w:tc>
          <w:tcPr>
            <w:tcW w:w="1239" w:type="pct"/>
            <w:gridSpan w:val="2"/>
            <w:tcBorders>
              <w:top w:val="single" w:color="auto" w:sz="8" w:space="0"/>
              <w:left w:val="single" w:color="auto" w:sz="8" w:space="0"/>
              <w:bottom w:val="single" w:color="auto" w:sz="8" w:space="0"/>
              <w:right w:val="single" w:color="auto" w:sz="8" w:space="0"/>
            </w:tcBorders>
            <w:vAlign w:val="center"/>
          </w:tcPr>
          <w:p w14:paraId="7CF2C2A6">
            <w:pPr>
              <w:pStyle w:val="5"/>
              <w:adjustRightInd w:val="0"/>
              <w:snapToGrid w:val="0"/>
              <w:ind w:firstLine="0" w:firstLineChars="0"/>
              <w:jc w:val="center"/>
              <w:rPr>
                <w:rFonts w:hint="eastAsia"/>
                <w:bCs/>
                <w:color w:val="auto"/>
                <w:szCs w:val="21"/>
                <w:lang w:val="en-US" w:eastAsia="zh-CN"/>
              </w:rPr>
            </w:pPr>
            <w:r>
              <w:rPr>
                <w:rFonts w:hint="eastAsia"/>
                <w:bCs/>
                <w:color w:val="auto"/>
                <w:kern w:val="0"/>
                <w:szCs w:val="21"/>
                <w:lang w:val="en-US" w:eastAsia="zh-CN"/>
              </w:rPr>
              <w:t>废包装桶</w:t>
            </w:r>
          </w:p>
        </w:tc>
        <w:tc>
          <w:tcPr>
            <w:tcW w:w="731" w:type="pct"/>
            <w:gridSpan w:val="2"/>
            <w:vMerge w:val="continue"/>
            <w:tcBorders>
              <w:top w:val="single" w:color="auto" w:sz="8" w:space="0"/>
              <w:left w:val="single" w:color="auto" w:sz="8" w:space="0"/>
              <w:bottom w:val="single" w:color="auto" w:sz="8" w:space="0"/>
              <w:right w:val="single" w:color="auto" w:sz="8" w:space="0"/>
            </w:tcBorders>
            <w:vAlign w:val="center"/>
          </w:tcPr>
          <w:p w14:paraId="093729E8">
            <w:pPr>
              <w:adjustRightInd w:val="0"/>
              <w:snapToGrid w:val="0"/>
              <w:jc w:val="center"/>
              <w:rPr>
                <w:color w:val="auto"/>
              </w:rPr>
            </w:pPr>
          </w:p>
        </w:tc>
        <w:tc>
          <w:tcPr>
            <w:tcW w:w="2553" w:type="pct"/>
            <w:gridSpan w:val="2"/>
            <w:vMerge w:val="continue"/>
            <w:tcBorders>
              <w:top w:val="single" w:color="auto" w:sz="8" w:space="0"/>
              <w:left w:val="single" w:color="auto" w:sz="8" w:space="0"/>
              <w:bottom w:val="single" w:color="auto" w:sz="8" w:space="0"/>
            </w:tcBorders>
            <w:vAlign w:val="center"/>
          </w:tcPr>
          <w:p w14:paraId="09695344">
            <w:pPr>
              <w:adjustRightInd w:val="0"/>
              <w:snapToGrid w:val="0"/>
              <w:jc w:val="center"/>
              <w:rPr>
                <w:rFonts w:hint="eastAsia"/>
                <w:color w:val="auto"/>
              </w:rPr>
            </w:pPr>
          </w:p>
        </w:tc>
      </w:tr>
      <w:tr w14:paraId="311CB5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top w:val="single" w:color="auto" w:sz="8" w:space="0"/>
              <w:bottom w:val="single" w:color="auto" w:sz="8" w:space="0"/>
              <w:right w:val="single" w:color="auto" w:sz="8" w:space="0"/>
            </w:tcBorders>
            <w:vAlign w:val="center"/>
          </w:tcPr>
          <w:p w14:paraId="728A0931">
            <w:pPr>
              <w:adjustRightInd w:val="0"/>
              <w:snapToGrid w:val="0"/>
              <w:jc w:val="center"/>
              <w:rPr>
                <w:color w:val="auto"/>
              </w:rPr>
            </w:pPr>
          </w:p>
        </w:tc>
        <w:tc>
          <w:tcPr>
            <w:tcW w:w="1239" w:type="pct"/>
            <w:gridSpan w:val="2"/>
            <w:tcBorders>
              <w:top w:val="single" w:color="auto" w:sz="8" w:space="0"/>
              <w:left w:val="single" w:color="auto" w:sz="8" w:space="0"/>
              <w:bottom w:val="single" w:color="auto" w:sz="8" w:space="0"/>
              <w:right w:val="single" w:color="auto" w:sz="8" w:space="0"/>
            </w:tcBorders>
            <w:vAlign w:val="center"/>
          </w:tcPr>
          <w:p w14:paraId="5289EB65">
            <w:pPr>
              <w:pStyle w:val="5"/>
              <w:adjustRightInd w:val="0"/>
              <w:snapToGrid w:val="0"/>
              <w:ind w:firstLine="0" w:firstLineChars="0"/>
              <w:jc w:val="center"/>
              <w:rPr>
                <w:rFonts w:hint="eastAsia"/>
                <w:bCs/>
                <w:color w:val="auto"/>
                <w:szCs w:val="21"/>
                <w:lang w:val="en-US" w:eastAsia="zh-CN"/>
              </w:rPr>
            </w:pPr>
            <w:r>
              <w:rPr>
                <w:rFonts w:hint="eastAsia"/>
                <w:bCs/>
                <w:color w:val="auto"/>
                <w:kern w:val="0"/>
                <w:szCs w:val="21"/>
                <w:lang w:val="en-US" w:eastAsia="zh-CN"/>
              </w:rPr>
              <w:t>干式内循环打磨处理器收集尘</w:t>
            </w:r>
          </w:p>
        </w:tc>
        <w:tc>
          <w:tcPr>
            <w:tcW w:w="731" w:type="pct"/>
            <w:gridSpan w:val="2"/>
            <w:vMerge w:val="continue"/>
            <w:tcBorders>
              <w:top w:val="single" w:color="auto" w:sz="8" w:space="0"/>
              <w:left w:val="single" w:color="auto" w:sz="8" w:space="0"/>
              <w:bottom w:val="single" w:color="auto" w:sz="8" w:space="0"/>
              <w:right w:val="single" w:color="auto" w:sz="8" w:space="0"/>
            </w:tcBorders>
            <w:vAlign w:val="center"/>
          </w:tcPr>
          <w:p w14:paraId="67FA693F">
            <w:pPr>
              <w:adjustRightInd w:val="0"/>
              <w:snapToGrid w:val="0"/>
              <w:jc w:val="center"/>
              <w:rPr>
                <w:color w:val="auto"/>
              </w:rPr>
            </w:pPr>
          </w:p>
        </w:tc>
        <w:tc>
          <w:tcPr>
            <w:tcW w:w="2553" w:type="pct"/>
            <w:gridSpan w:val="2"/>
            <w:vMerge w:val="continue"/>
            <w:tcBorders>
              <w:top w:val="single" w:color="auto" w:sz="8" w:space="0"/>
              <w:left w:val="single" w:color="auto" w:sz="8" w:space="0"/>
              <w:bottom w:val="single" w:color="auto" w:sz="8" w:space="0"/>
            </w:tcBorders>
            <w:vAlign w:val="center"/>
          </w:tcPr>
          <w:p w14:paraId="1A17708D">
            <w:pPr>
              <w:adjustRightInd w:val="0"/>
              <w:snapToGrid w:val="0"/>
              <w:jc w:val="center"/>
              <w:rPr>
                <w:rFonts w:hint="eastAsia"/>
                <w:color w:val="auto"/>
              </w:rPr>
            </w:pPr>
          </w:p>
        </w:tc>
      </w:tr>
      <w:tr w14:paraId="62063A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top w:val="single" w:color="auto" w:sz="8" w:space="0"/>
              <w:bottom w:val="single" w:color="auto" w:sz="8" w:space="0"/>
              <w:right w:val="single" w:color="auto" w:sz="8" w:space="0"/>
            </w:tcBorders>
            <w:vAlign w:val="center"/>
          </w:tcPr>
          <w:p w14:paraId="14C9CA1C">
            <w:pPr>
              <w:adjustRightInd w:val="0"/>
              <w:snapToGrid w:val="0"/>
              <w:jc w:val="center"/>
              <w:rPr>
                <w:color w:val="auto"/>
              </w:rPr>
            </w:pPr>
          </w:p>
        </w:tc>
        <w:tc>
          <w:tcPr>
            <w:tcW w:w="1239" w:type="pct"/>
            <w:gridSpan w:val="2"/>
            <w:tcBorders>
              <w:top w:val="single" w:color="auto" w:sz="8" w:space="0"/>
              <w:left w:val="single" w:color="auto" w:sz="8" w:space="0"/>
              <w:bottom w:val="single" w:color="auto" w:sz="8" w:space="0"/>
              <w:right w:val="single" w:color="auto" w:sz="8" w:space="0"/>
            </w:tcBorders>
            <w:vAlign w:val="center"/>
          </w:tcPr>
          <w:p w14:paraId="6AAB3B06">
            <w:pPr>
              <w:pStyle w:val="5"/>
              <w:adjustRightInd w:val="0"/>
              <w:snapToGrid w:val="0"/>
              <w:ind w:firstLine="0" w:firstLineChars="0"/>
              <w:jc w:val="center"/>
              <w:rPr>
                <w:rFonts w:hint="eastAsia"/>
                <w:bCs/>
                <w:color w:val="auto"/>
                <w:szCs w:val="21"/>
                <w:lang w:val="en-US" w:eastAsia="zh-CN"/>
              </w:rPr>
            </w:pPr>
            <w:r>
              <w:rPr>
                <w:rFonts w:hint="eastAsia"/>
                <w:bCs/>
                <w:color w:val="auto"/>
                <w:kern w:val="0"/>
                <w:szCs w:val="21"/>
                <w:lang w:val="en-US" w:eastAsia="zh-CN"/>
              </w:rPr>
              <w:t>废活性炭</w:t>
            </w:r>
          </w:p>
        </w:tc>
        <w:tc>
          <w:tcPr>
            <w:tcW w:w="731" w:type="pct"/>
            <w:gridSpan w:val="2"/>
            <w:vMerge w:val="continue"/>
            <w:tcBorders>
              <w:top w:val="single" w:color="auto" w:sz="8" w:space="0"/>
              <w:left w:val="single" w:color="auto" w:sz="8" w:space="0"/>
              <w:bottom w:val="single" w:color="auto" w:sz="8" w:space="0"/>
              <w:right w:val="single" w:color="auto" w:sz="8" w:space="0"/>
            </w:tcBorders>
            <w:vAlign w:val="center"/>
          </w:tcPr>
          <w:p w14:paraId="6C43A1A6">
            <w:pPr>
              <w:adjustRightInd w:val="0"/>
              <w:snapToGrid w:val="0"/>
              <w:jc w:val="center"/>
              <w:rPr>
                <w:color w:val="auto"/>
              </w:rPr>
            </w:pPr>
          </w:p>
        </w:tc>
        <w:tc>
          <w:tcPr>
            <w:tcW w:w="2553" w:type="pct"/>
            <w:gridSpan w:val="2"/>
            <w:vMerge w:val="continue"/>
            <w:tcBorders>
              <w:top w:val="single" w:color="auto" w:sz="8" w:space="0"/>
              <w:left w:val="single" w:color="auto" w:sz="8" w:space="0"/>
              <w:bottom w:val="single" w:color="auto" w:sz="8" w:space="0"/>
            </w:tcBorders>
            <w:vAlign w:val="center"/>
          </w:tcPr>
          <w:p w14:paraId="236045AE">
            <w:pPr>
              <w:adjustRightInd w:val="0"/>
              <w:snapToGrid w:val="0"/>
              <w:jc w:val="center"/>
              <w:rPr>
                <w:rFonts w:hint="eastAsia"/>
                <w:color w:val="auto"/>
              </w:rPr>
            </w:pPr>
          </w:p>
        </w:tc>
      </w:tr>
      <w:tr w14:paraId="11395E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26" w:hRule="atLeast"/>
          <w:jc w:val="center"/>
        </w:trPr>
        <w:tc>
          <w:tcPr>
            <w:tcW w:w="476" w:type="pct"/>
            <w:tcBorders>
              <w:top w:val="single" w:color="auto" w:sz="8" w:space="0"/>
              <w:bottom w:val="single" w:color="auto" w:sz="8" w:space="0"/>
              <w:right w:val="single" w:color="auto" w:sz="8" w:space="0"/>
            </w:tcBorders>
            <w:vAlign w:val="center"/>
          </w:tcPr>
          <w:p w14:paraId="53F7DCFE">
            <w:pPr>
              <w:adjustRightInd w:val="0"/>
              <w:snapToGrid w:val="0"/>
              <w:jc w:val="center"/>
              <w:rPr>
                <w:color w:val="auto"/>
              </w:rPr>
            </w:pPr>
            <w:r>
              <w:rPr>
                <w:color w:val="auto"/>
              </w:rPr>
              <w:t>土壤及地下水污染防治措施</w:t>
            </w:r>
          </w:p>
        </w:tc>
        <w:tc>
          <w:tcPr>
            <w:tcW w:w="4523" w:type="pct"/>
            <w:gridSpan w:val="6"/>
            <w:tcBorders>
              <w:top w:val="single" w:color="auto" w:sz="8" w:space="0"/>
              <w:left w:val="single" w:color="auto" w:sz="8" w:space="0"/>
              <w:bottom w:val="single" w:color="auto" w:sz="8" w:space="0"/>
            </w:tcBorders>
            <w:vAlign w:val="center"/>
          </w:tcPr>
          <w:p w14:paraId="76F729C2">
            <w:pPr>
              <w:adjustRightInd w:val="0"/>
              <w:snapToGrid w:val="0"/>
              <w:jc w:val="left"/>
              <w:rPr>
                <w:color w:val="auto"/>
              </w:rPr>
            </w:pPr>
            <w:r>
              <w:rPr>
                <w:rFonts w:hint="eastAsia"/>
                <w:color w:val="auto"/>
              </w:rPr>
              <w:t>厂区分一般防渗区、简单防渗区、重点防渗区，本项目将危废仓库</w:t>
            </w:r>
            <w:r>
              <w:rPr>
                <w:rFonts w:hint="eastAsia"/>
                <w:color w:val="auto"/>
                <w:lang w:eastAsia="zh-CN"/>
              </w:rPr>
              <w:t>、</w:t>
            </w:r>
            <w:r>
              <w:rPr>
                <w:rFonts w:hint="eastAsia"/>
                <w:color w:val="auto"/>
                <w:lang w:val="en-US" w:eastAsia="zh-CN"/>
              </w:rPr>
              <w:t>仓库</w:t>
            </w:r>
            <w:r>
              <w:rPr>
                <w:rFonts w:hint="eastAsia"/>
                <w:color w:val="auto"/>
              </w:rPr>
              <w:t>设为重点防渗区，车间地面设为一般防渗区，办公区为简单防渗区。建设单位应确保做好危废仓库等容易渗漏引起土壤、地下水污染的区域的管理，做好防渗、防雨、防风、防淋等措施，定期巡查，避免发生跑冒滴漏现象，如发现应立即采取应急措施，确保不会对厂区地下水造成大的影响。</w:t>
            </w:r>
          </w:p>
        </w:tc>
      </w:tr>
      <w:tr w14:paraId="102810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17" w:hRule="atLeast"/>
          <w:jc w:val="center"/>
        </w:trPr>
        <w:tc>
          <w:tcPr>
            <w:tcW w:w="476" w:type="pct"/>
            <w:tcBorders>
              <w:top w:val="single" w:color="auto" w:sz="8" w:space="0"/>
              <w:bottom w:val="single" w:color="auto" w:sz="8" w:space="0"/>
              <w:right w:val="single" w:color="auto" w:sz="8" w:space="0"/>
            </w:tcBorders>
            <w:vAlign w:val="center"/>
          </w:tcPr>
          <w:p w14:paraId="0668BB6D">
            <w:pPr>
              <w:adjustRightInd w:val="0"/>
              <w:snapToGrid w:val="0"/>
              <w:jc w:val="center"/>
              <w:rPr>
                <w:color w:val="auto"/>
              </w:rPr>
            </w:pPr>
            <w:r>
              <w:rPr>
                <w:color w:val="auto"/>
              </w:rPr>
              <w:t>生态保护措施</w:t>
            </w:r>
          </w:p>
        </w:tc>
        <w:tc>
          <w:tcPr>
            <w:tcW w:w="4523" w:type="pct"/>
            <w:gridSpan w:val="6"/>
            <w:tcBorders>
              <w:top w:val="single" w:color="auto" w:sz="8" w:space="0"/>
              <w:left w:val="single" w:color="auto" w:sz="8" w:space="0"/>
              <w:bottom w:val="single" w:color="auto" w:sz="8" w:space="0"/>
            </w:tcBorders>
            <w:vAlign w:val="center"/>
          </w:tcPr>
          <w:p w14:paraId="5F779A33">
            <w:pPr>
              <w:adjustRightInd w:val="0"/>
              <w:snapToGrid w:val="0"/>
              <w:jc w:val="left"/>
              <w:rPr>
                <w:color w:val="auto"/>
              </w:rPr>
            </w:pPr>
            <w:r>
              <w:rPr>
                <w:color w:val="auto"/>
              </w:rPr>
              <w:t>根据《江苏省生态空间管控区域规划》（苏政发〔2020〕1号）和《省政府关于印发江苏省国家级生态保护红线规划的通知》（苏政发〔2018〕74号），项目不在常州市国家级生态保护红线和生态空间管控区域的保护区范围内</w:t>
            </w:r>
            <w:r>
              <w:rPr>
                <w:rFonts w:hint="eastAsia"/>
                <w:color w:val="auto"/>
              </w:rPr>
              <w:t>。</w:t>
            </w:r>
          </w:p>
        </w:tc>
      </w:tr>
      <w:tr w14:paraId="14B81A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64" w:hRule="atLeast"/>
          <w:jc w:val="center"/>
        </w:trPr>
        <w:tc>
          <w:tcPr>
            <w:tcW w:w="476" w:type="pct"/>
            <w:tcBorders>
              <w:top w:val="single" w:color="auto" w:sz="8" w:space="0"/>
              <w:bottom w:val="single" w:color="auto" w:sz="8" w:space="0"/>
              <w:right w:val="single" w:color="auto" w:sz="8" w:space="0"/>
            </w:tcBorders>
            <w:vAlign w:val="center"/>
          </w:tcPr>
          <w:p w14:paraId="0ABBADE5">
            <w:pPr>
              <w:adjustRightInd w:val="0"/>
              <w:snapToGrid w:val="0"/>
              <w:jc w:val="center"/>
              <w:rPr>
                <w:color w:val="auto"/>
                <w:spacing w:val="-8"/>
              </w:rPr>
            </w:pPr>
            <w:r>
              <w:rPr>
                <w:color w:val="auto"/>
                <w:spacing w:val="-8"/>
              </w:rPr>
              <w:t>环境风险防范措施</w:t>
            </w:r>
          </w:p>
        </w:tc>
        <w:tc>
          <w:tcPr>
            <w:tcW w:w="4523" w:type="pct"/>
            <w:gridSpan w:val="6"/>
            <w:tcBorders>
              <w:top w:val="single" w:color="auto" w:sz="8" w:space="0"/>
              <w:left w:val="single" w:color="auto" w:sz="8" w:space="0"/>
              <w:bottom w:val="single" w:color="auto" w:sz="8" w:space="0"/>
            </w:tcBorders>
            <w:vAlign w:val="center"/>
          </w:tcPr>
          <w:p w14:paraId="02987B50">
            <w:pPr>
              <w:adjustRightInd w:val="0"/>
              <w:snapToGrid w:val="0"/>
              <w:jc w:val="left"/>
              <w:rPr>
                <w:color w:val="auto"/>
              </w:rPr>
            </w:pPr>
            <w:r>
              <w:rPr>
                <w:color w:val="auto"/>
              </w:rPr>
              <w:t>1、厂区分区防渗；</w:t>
            </w:r>
          </w:p>
          <w:p w14:paraId="5206DF13">
            <w:pPr>
              <w:pStyle w:val="703"/>
              <w:adjustRightInd w:val="0"/>
              <w:snapToGrid w:val="0"/>
              <w:jc w:val="left"/>
              <w:rPr>
                <w:rFonts w:eastAsia="宋体"/>
                <w:color w:val="auto"/>
                <w:sz w:val="21"/>
                <w:szCs w:val="21"/>
              </w:rPr>
            </w:pPr>
            <w:r>
              <w:rPr>
                <w:rFonts w:eastAsia="宋体"/>
                <w:color w:val="auto"/>
                <w:sz w:val="21"/>
                <w:szCs w:val="21"/>
              </w:rPr>
              <w:t>2、做好厂区环境风险管理、风险应急物质配备</w:t>
            </w:r>
            <w:r>
              <w:rPr>
                <w:rFonts w:hint="eastAsia" w:eastAsia="宋体"/>
                <w:color w:val="auto"/>
                <w:sz w:val="21"/>
                <w:szCs w:val="21"/>
              </w:rPr>
              <w:t>；</w:t>
            </w:r>
          </w:p>
          <w:p w14:paraId="13746AAE">
            <w:pPr>
              <w:pStyle w:val="703"/>
              <w:adjustRightInd w:val="0"/>
              <w:snapToGrid w:val="0"/>
              <w:jc w:val="left"/>
              <w:rPr>
                <w:color w:val="auto"/>
                <w:sz w:val="21"/>
                <w:szCs w:val="21"/>
              </w:rPr>
            </w:pPr>
            <w:r>
              <w:rPr>
                <w:rFonts w:hint="eastAsia" w:eastAsia="宋体"/>
                <w:color w:val="auto"/>
                <w:sz w:val="21"/>
                <w:szCs w:val="21"/>
              </w:rPr>
              <w:t>3</w:t>
            </w:r>
            <w:r>
              <w:rPr>
                <w:rFonts w:eastAsia="宋体"/>
                <w:color w:val="auto"/>
                <w:sz w:val="21"/>
                <w:szCs w:val="21"/>
              </w:rPr>
              <w:t>、</w:t>
            </w:r>
            <w:r>
              <w:rPr>
                <w:rFonts w:hint="eastAsia" w:eastAsia="宋体"/>
                <w:color w:val="auto"/>
                <w:sz w:val="21"/>
                <w:szCs w:val="21"/>
              </w:rPr>
              <w:t>按照应急预案要求</w:t>
            </w:r>
            <w:r>
              <w:rPr>
                <w:rFonts w:eastAsia="宋体"/>
                <w:color w:val="auto"/>
                <w:sz w:val="21"/>
                <w:szCs w:val="21"/>
              </w:rPr>
              <w:t>定期进行应急演练。</w:t>
            </w:r>
          </w:p>
        </w:tc>
      </w:tr>
      <w:tr w14:paraId="45C00A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79" w:hRule="atLeast"/>
          <w:jc w:val="center"/>
        </w:trPr>
        <w:tc>
          <w:tcPr>
            <w:tcW w:w="476" w:type="pct"/>
            <w:tcBorders>
              <w:top w:val="single" w:color="auto" w:sz="8" w:space="0"/>
              <w:right w:val="single" w:color="auto" w:sz="8" w:space="0"/>
            </w:tcBorders>
            <w:vAlign w:val="center"/>
          </w:tcPr>
          <w:p w14:paraId="7F02BE96">
            <w:pPr>
              <w:adjustRightInd w:val="0"/>
              <w:snapToGrid w:val="0"/>
              <w:jc w:val="center"/>
              <w:rPr>
                <w:color w:val="auto"/>
                <w:spacing w:val="-8"/>
              </w:rPr>
            </w:pPr>
            <w:r>
              <w:rPr>
                <w:color w:val="auto"/>
                <w:spacing w:val="-8"/>
              </w:rPr>
              <w:t>其他环境管理要求</w:t>
            </w:r>
          </w:p>
        </w:tc>
        <w:tc>
          <w:tcPr>
            <w:tcW w:w="4523" w:type="pct"/>
            <w:gridSpan w:val="6"/>
            <w:tcBorders>
              <w:top w:val="single" w:color="auto" w:sz="8" w:space="0"/>
              <w:left w:val="single" w:color="auto" w:sz="8" w:space="0"/>
            </w:tcBorders>
            <w:vAlign w:val="center"/>
          </w:tcPr>
          <w:p w14:paraId="26168589">
            <w:pPr>
              <w:adjustRightInd w:val="0"/>
              <w:snapToGrid w:val="0"/>
              <w:jc w:val="left"/>
              <w:rPr>
                <w:color w:val="auto"/>
              </w:rPr>
            </w:pPr>
            <w:r>
              <w:rPr>
                <w:color w:val="auto"/>
              </w:rPr>
              <w:t>1、以生产车间为边界外扩</w:t>
            </w:r>
            <w:r>
              <w:rPr>
                <w:rFonts w:hint="eastAsia"/>
                <w:color w:val="auto"/>
              </w:rPr>
              <w:t>100</w:t>
            </w:r>
            <w:r>
              <w:rPr>
                <w:color w:val="auto"/>
              </w:rPr>
              <w:t>米设置卫生防护距离</w:t>
            </w:r>
            <w:r>
              <w:rPr>
                <w:rFonts w:hint="eastAsia"/>
                <w:color w:val="auto"/>
              </w:rPr>
              <w:t>，</w:t>
            </w:r>
            <w:r>
              <w:rPr>
                <w:bCs/>
                <w:color w:val="auto"/>
              </w:rPr>
              <w:t>该范围内目前无居民、学校等环境敏感保护目标，可满足卫生防护距离设置要求，将来在该范围内也不得新建居民、学校、医院等属于环境保护目标的项目</w:t>
            </w:r>
            <w:r>
              <w:rPr>
                <w:color w:val="auto"/>
              </w:rPr>
              <w:t>；</w:t>
            </w:r>
          </w:p>
          <w:p w14:paraId="0E5539B5">
            <w:pPr>
              <w:adjustRightInd w:val="0"/>
              <w:snapToGrid w:val="0"/>
              <w:jc w:val="left"/>
              <w:rPr>
                <w:color w:val="auto"/>
              </w:rPr>
            </w:pPr>
            <w:r>
              <w:rPr>
                <w:color w:val="auto"/>
              </w:rPr>
              <w:t>2、项目正式运行时需签订一般固废处置协议、危险</w:t>
            </w:r>
            <w:r>
              <w:rPr>
                <w:rFonts w:hint="eastAsia"/>
                <w:color w:val="auto"/>
              </w:rPr>
              <w:t>废物</w:t>
            </w:r>
            <w:r>
              <w:rPr>
                <w:color w:val="auto"/>
              </w:rPr>
              <w:t>处置协议；</w:t>
            </w:r>
          </w:p>
          <w:p w14:paraId="17F91DBB">
            <w:pPr>
              <w:adjustRightInd w:val="0"/>
              <w:snapToGrid w:val="0"/>
              <w:jc w:val="left"/>
              <w:rPr>
                <w:color w:val="auto"/>
              </w:rPr>
            </w:pPr>
            <w:r>
              <w:rPr>
                <w:color w:val="auto"/>
              </w:rPr>
              <w:t>3、落实危险固废台账等要求；落实危险固废仓库、废气排放口等标识牌；</w:t>
            </w:r>
          </w:p>
          <w:p w14:paraId="59CB9B55">
            <w:pPr>
              <w:adjustRightInd w:val="0"/>
              <w:snapToGrid w:val="0"/>
              <w:jc w:val="left"/>
              <w:rPr>
                <w:color w:val="auto"/>
              </w:rPr>
            </w:pPr>
            <w:r>
              <w:rPr>
                <w:color w:val="auto"/>
              </w:rPr>
              <w:t>4、落实本报告的例行监测要求</w:t>
            </w:r>
            <w:r>
              <w:rPr>
                <w:rFonts w:hint="eastAsia"/>
                <w:color w:val="auto"/>
              </w:rPr>
              <w:t>。</w:t>
            </w:r>
          </w:p>
        </w:tc>
      </w:tr>
    </w:tbl>
    <w:p w14:paraId="0A3BB5D1">
      <w:pPr>
        <w:pStyle w:val="55"/>
        <w:rPr>
          <w:color w:val="auto"/>
        </w:rPr>
      </w:pPr>
      <w:r>
        <w:rPr>
          <w:color w:val="auto"/>
          <w:szCs w:val="24"/>
        </w:rPr>
        <w:br w:type="page"/>
      </w:r>
      <w:bookmarkStart w:id="27" w:name="_Toc11106"/>
      <w:bookmarkStart w:id="28" w:name="_Toc689"/>
      <w:bookmarkStart w:id="29" w:name="_Toc137559024"/>
      <w:r>
        <w:rPr>
          <w:rFonts w:hint="eastAsia"/>
          <w:color w:val="auto"/>
          <w:szCs w:val="24"/>
        </w:rPr>
        <w:t>六、</w:t>
      </w:r>
      <w:r>
        <w:rPr>
          <w:color w:val="auto"/>
        </w:rPr>
        <w:t>结论</w:t>
      </w:r>
      <w:bookmarkEnd w:id="27"/>
      <w:bookmarkEnd w:id="28"/>
      <w:bookmarkEnd w:id="29"/>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3E6C7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5" w:hRule="atLeast"/>
        </w:trPr>
        <w:tc>
          <w:tcPr>
            <w:tcW w:w="9060" w:type="dxa"/>
            <w:shd w:val="clear" w:color="auto" w:fill="auto"/>
          </w:tcPr>
          <w:p w14:paraId="53356533">
            <w:pPr>
              <w:widowControl/>
              <w:adjustRightInd w:val="0"/>
              <w:snapToGrid w:val="0"/>
              <w:spacing w:line="360" w:lineRule="auto"/>
              <w:ind w:firstLine="420" w:firstLineChars="200"/>
              <w:rPr>
                <w:color w:val="auto"/>
                <w:kern w:val="0"/>
                <w:lang w:bidi="ar"/>
              </w:rPr>
            </w:pPr>
            <w:r>
              <w:rPr>
                <w:color w:val="auto"/>
                <w:kern w:val="0"/>
                <w:lang w:bidi="ar"/>
              </w:rPr>
              <w:t>一、结论</w:t>
            </w:r>
          </w:p>
          <w:p w14:paraId="5ADA355B">
            <w:pPr>
              <w:widowControl/>
              <w:adjustRightInd w:val="0"/>
              <w:snapToGrid w:val="0"/>
              <w:spacing w:line="360" w:lineRule="auto"/>
              <w:ind w:firstLine="420" w:firstLineChars="200"/>
              <w:rPr>
                <w:color w:val="auto"/>
                <w:kern w:val="0"/>
                <w:lang w:bidi="ar"/>
              </w:rPr>
            </w:pPr>
            <w:r>
              <w:rPr>
                <w:color w:val="auto"/>
                <w:kern w:val="0"/>
                <w:lang w:bidi="ar"/>
              </w:rPr>
              <w:t>本项目符合当前国家产业政策，项目符合区域规划和相关环保规划要求，选址恰当，布局合理；项目符合</w:t>
            </w:r>
            <w:r>
              <w:rPr>
                <w:rFonts w:hint="eastAsia"/>
                <w:color w:val="auto"/>
                <w:kern w:val="0"/>
                <w:lang w:bidi="ar"/>
              </w:rPr>
              <w:t>“</w:t>
            </w:r>
            <w:r>
              <w:rPr>
                <w:color w:val="auto"/>
                <w:kern w:val="0"/>
                <w:lang w:bidi="ar"/>
              </w:rPr>
              <w:t>三线一单</w:t>
            </w:r>
            <w:r>
              <w:rPr>
                <w:rFonts w:hint="eastAsia"/>
                <w:color w:val="auto"/>
                <w:kern w:val="0"/>
                <w:lang w:bidi="ar"/>
              </w:rPr>
              <w:t>”</w:t>
            </w:r>
            <w:r>
              <w:rPr>
                <w:color w:val="auto"/>
                <w:kern w:val="0"/>
                <w:lang w:bidi="ar"/>
              </w:rPr>
              <w:t>要求，满足国家相关政策、法规的要求；项目采取的污染治理措施可行，可实现污染物达标排放；项目建成后对环境的影响较小，区域环境质量维持现状，符合相应环境功能区要求；项目污染物排放总量能够在区域内实现平衡；项目的环境风险事故经减缓措施后，处于可接受的水平。</w:t>
            </w:r>
          </w:p>
          <w:p w14:paraId="1C6CCAE4">
            <w:pPr>
              <w:widowControl/>
              <w:adjustRightInd w:val="0"/>
              <w:snapToGrid w:val="0"/>
              <w:spacing w:line="360" w:lineRule="auto"/>
              <w:ind w:firstLine="420" w:firstLineChars="200"/>
              <w:rPr>
                <w:color w:val="auto"/>
                <w:kern w:val="0"/>
                <w:lang w:bidi="ar"/>
              </w:rPr>
            </w:pPr>
            <w:r>
              <w:rPr>
                <w:color w:val="auto"/>
                <w:kern w:val="0"/>
                <w:lang w:bidi="ar"/>
              </w:rPr>
              <w:t>二、建议</w:t>
            </w:r>
          </w:p>
          <w:p w14:paraId="3A0E48C3">
            <w:pPr>
              <w:widowControl/>
              <w:adjustRightInd w:val="0"/>
              <w:snapToGrid w:val="0"/>
              <w:spacing w:line="360" w:lineRule="auto"/>
              <w:ind w:firstLine="420" w:firstLineChars="200"/>
              <w:rPr>
                <w:color w:val="auto"/>
                <w:kern w:val="0"/>
                <w:lang w:bidi="ar"/>
              </w:rPr>
            </w:pPr>
            <w:r>
              <w:rPr>
                <w:color w:val="auto"/>
                <w:kern w:val="0"/>
                <w:lang w:bidi="ar"/>
              </w:rPr>
              <w:t>1、上述评价结论是根据建设方提供的生产规模、工艺流程、原辅材料用量及与此对应的排污情况基础上进行的，如果生产品种、规模、工艺流程和排污情况发生重大变化，建设单位应按环保部门的要求另行申报。</w:t>
            </w:r>
          </w:p>
          <w:p w14:paraId="5D9F6DB1">
            <w:pPr>
              <w:widowControl/>
              <w:adjustRightInd w:val="0"/>
              <w:snapToGrid w:val="0"/>
              <w:spacing w:line="360" w:lineRule="auto"/>
              <w:ind w:firstLine="420" w:firstLineChars="200"/>
              <w:rPr>
                <w:color w:val="auto"/>
                <w:kern w:val="0"/>
                <w:lang w:bidi="ar"/>
              </w:rPr>
            </w:pPr>
            <w:r>
              <w:rPr>
                <w:color w:val="auto"/>
                <w:kern w:val="0"/>
                <w:lang w:bidi="ar"/>
              </w:rPr>
              <w:t>2、项目应严格落实环评报告中提出的污染防治措施，确保本项目对周围环境影响降至最小。</w:t>
            </w:r>
          </w:p>
          <w:p w14:paraId="60752EEF">
            <w:pPr>
              <w:widowControl/>
              <w:adjustRightInd w:val="0"/>
              <w:snapToGrid w:val="0"/>
              <w:spacing w:line="360" w:lineRule="auto"/>
              <w:ind w:firstLine="420" w:firstLineChars="200"/>
              <w:rPr>
                <w:color w:val="auto"/>
                <w:kern w:val="0"/>
                <w:lang w:bidi="ar"/>
              </w:rPr>
            </w:pPr>
            <w:r>
              <w:rPr>
                <w:color w:val="auto"/>
                <w:kern w:val="0"/>
                <w:lang w:bidi="ar"/>
              </w:rPr>
              <w:t>3、建议企业应提高风险防范意识，加强风险防范措施，将事故发生的概率降到最低。</w:t>
            </w:r>
          </w:p>
          <w:p w14:paraId="22910350">
            <w:pPr>
              <w:pStyle w:val="55"/>
              <w:spacing w:line="360" w:lineRule="auto"/>
              <w:ind w:firstLine="420" w:firstLineChars="200"/>
              <w:jc w:val="both"/>
              <w:rPr>
                <w:color w:val="auto"/>
                <w:sz w:val="21"/>
                <w:szCs w:val="21"/>
              </w:rPr>
            </w:pPr>
            <w:r>
              <w:rPr>
                <w:b w:val="0"/>
                <w:bCs w:val="0"/>
                <w:color w:val="auto"/>
                <w:sz w:val="21"/>
                <w:szCs w:val="21"/>
                <w:lang w:bidi="ar"/>
              </w:rPr>
              <w:t>4、建设单位要严格执行</w:t>
            </w:r>
            <w:r>
              <w:rPr>
                <w:rFonts w:hint="eastAsia"/>
                <w:b w:val="0"/>
                <w:bCs w:val="0"/>
                <w:color w:val="auto"/>
                <w:sz w:val="21"/>
                <w:szCs w:val="21"/>
                <w:lang w:bidi="ar"/>
              </w:rPr>
              <w:t>“</w:t>
            </w:r>
            <w:r>
              <w:rPr>
                <w:b w:val="0"/>
                <w:bCs w:val="0"/>
                <w:color w:val="auto"/>
                <w:sz w:val="21"/>
                <w:szCs w:val="21"/>
                <w:lang w:bidi="ar"/>
              </w:rPr>
              <w:t>三同时</w:t>
            </w:r>
            <w:r>
              <w:rPr>
                <w:rFonts w:hint="eastAsia"/>
                <w:b w:val="0"/>
                <w:bCs w:val="0"/>
                <w:color w:val="auto"/>
                <w:sz w:val="21"/>
                <w:szCs w:val="21"/>
                <w:lang w:bidi="ar"/>
              </w:rPr>
              <w:t>”</w:t>
            </w:r>
            <w:r>
              <w:rPr>
                <w:b w:val="0"/>
                <w:bCs w:val="0"/>
                <w:color w:val="auto"/>
                <w:sz w:val="21"/>
                <w:szCs w:val="21"/>
                <w:lang w:bidi="ar"/>
              </w:rPr>
              <w:t>，切实做到环保治理设施与主体工程同时设计、同时施工、同时投产使用。</w:t>
            </w:r>
          </w:p>
        </w:tc>
      </w:tr>
    </w:tbl>
    <w:p w14:paraId="34332CB4">
      <w:pPr>
        <w:pStyle w:val="5"/>
        <w:ind w:firstLine="0"/>
        <w:rPr>
          <w:color w:val="auto"/>
          <w:sz w:val="24"/>
        </w:rPr>
      </w:pPr>
    </w:p>
    <w:p w14:paraId="1D87F278">
      <w:pPr>
        <w:pStyle w:val="72"/>
        <w:rPr>
          <w:color w:val="auto"/>
          <w:sz w:val="24"/>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0E456F0B">
      <w:pPr>
        <w:autoSpaceDE w:val="0"/>
        <w:autoSpaceDN w:val="0"/>
        <w:adjustRightInd w:val="0"/>
        <w:jc w:val="left"/>
        <w:outlineLvl w:val="0"/>
        <w:rPr>
          <w:b/>
          <w:bCs/>
          <w:color w:val="auto"/>
          <w:sz w:val="24"/>
        </w:rPr>
      </w:pPr>
      <w:bookmarkStart w:id="30" w:name="_Toc137559025"/>
      <w:bookmarkStart w:id="31" w:name="_Toc21172"/>
      <w:r>
        <w:rPr>
          <w:b/>
          <w:bCs/>
          <w:color w:val="auto"/>
          <w:sz w:val="24"/>
        </w:rPr>
        <w:t>附表</w:t>
      </w:r>
      <w:bookmarkEnd w:id="30"/>
      <w:bookmarkEnd w:id="31"/>
    </w:p>
    <w:p w14:paraId="3B681002">
      <w:pPr>
        <w:pStyle w:val="55"/>
        <w:outlineLvl w:val="9"/>
        <w:rPr>
          <w:color w:val="auto"/>
        </w:rPr>
      </w:pPr>
      <w:bookmarkStart w:id="32" w:name="_Toc12131"/>
      <w:bookmarkStart w:id="33" w:name="_Toc32204"/>
      <w:r>
        <w:rPr>
          <w:color w:val="auto"/>
          <w:sz w:val="21"/>
        </w:rPr>
        <mc:AlternateContent>
          <mc:Choice Requires="wps">
            <w:drawing>
              <wp:anchor distT="0" distB="0" distL="114300" distR="114300" simplePos="0" relativeHeight="251659264" behindDoc="0" locked="0" layoutInCell="1" allowOverlap="1">
                <wp:simplePos x="0" y="0"/>
                <wp:positionH relativeFrom="column">
                  <wp:posOffset>-2540</wp:posOffset>
                </wp:positionH>
                <wp:positionV relativeFrom="paragraph">
                  <wp:posOffset>196850</wp:posOffset>
                </wp:positionV>
                <wp:extent cx="886460" cy="723265"/>
                <wp:effectExtent l="3175" t="3810" r="5715" b="15875"/>
                <wp:wrapNone/>
                <wp:docPr id="2" name="直线 22"/>
                <wp:cNvGraphicFramePr/>
                <a:graphic xmlns:a="http://schemas.openxmlformats.org/drawingml/2006/main">
                  <a:graphicData uri="http://schemas.microsoft.com/office/word/2010/wordprocessingShape">
                    <wps:wsp>
                      <wps:cNvCnPr/>
                      <wps:spPr>
                        <a:xfrm>
                          <a:off x="0" y="0"/>
                          <a:ext cx="886460" cy="72326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2" o:spid="_x0000_s1026" o:spt="20" style="position:absolute;left:0pt;margin-left:-0.2pt;margin-top:15.5pt;height:56.95pt;width:69.8pt;z-index:251659264;mso-width-relative:page;mso-height-relative:page;" filled="f" stroked="t" coordsize="21600,21600" o:gfxdata="UEsDBAoAAAAAAIdO4kAAAAAAAAAAAAAAAAAEAAAAZHJzL1BLAwQUAAAACACHTuJAw7Ufv9cAAAAI&#10;AQAADwAAAGRycy9kb3ducmV2LnhtbE2PS0/DMBCE70j8B2uRuFStnYdQG+L0AOTGhRbEdRtvk4jY&#10;TmP3Ab+e7QluO5rR7Dfl+mIHcaIp9N5pSBYKBLnGm961Gt639XwJIkR0BgfvSMM3BVhXtzclFsaf&#10;3RudNrEVXOJCgRq6GMdCytB0ZDEs/EiOvb2fLEaWUyvNhGcut4NMlXqQFnvHHzoc6amj5mtztBpC&#10;/UGH+mfWzNRn1npKD8+vL6j1/V2iHkFEusS/MFzxGR0qZtr5ozNBDBrmOQc1ZAkvutrZKgWx4yPP&#10;VyCrUv4fUP0CUEsDBBQAAAAIAIdO4kC5RKKk7AEAAOADAAAOAAAAZHJzL2Uyb0RvYy54bWytU0uS&#10;0zAQ3VPFHVTaEyeGhOCKM4sJw4aCVA0coCPLtqr0K7USJ2fhGqzYcJy5Bi05ZJiZTRZ4IbfUT0/9&#10;nlqrm6PR7CADKmdrPptMOZNWuEbZrubfv929WXKGEWwD2llZ85NEfrN+/Wo1+EqWrne6kYERicVq&#10;8DXvY/RVUaDopQGcOC8tJVsXDESahq5oAgzEbnRRTqeLYnCh8cEJiUirmzHJz4zhGkLXtkrIjRN7&#10;I20cWYPUEEkS9sojX+dq21aK+LVtUUama05KYx7pEIp3aSzWK6i6AL5X4lwCXFPCM00GlKVDL1Qb&#10;iMD2Qb2gMkoEh66NE+FMMQrJjpCK2fSZN/c9eJm1kNXoL6bj/6MVXw7bwFRT85IzC4Yu/OHHz4df&#10;v1lZJnMGjxVhbu02nGfotyEpPbbBpD9pYMds6OliqDxGJmhxuVy8W5DVglLvy7flYp44i8fNPmD8&#10;JJ1hKai5VjbphQoOnzGO0L+QtKwtG2r+YV7OiROo+Vq6dAqNJwFou7wXnVbNndI67cDQ7W51YAdI&#10;DZC/cwlPYOmQDWA/4nIqwaDqJTQfbcPiyZM1ll4ETyUY2XCmJT2gFGVkBKWvQZJ6bcmE5OzoZYp2&#10;rjnRRex9UF1PTsxylSlDF58tOzdp6qx/55np8WGu/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D&#10;tR+/1wAAAAgBAAAPAAAAAAAAAAEAIAAAACIAAABkcnMvZG93bnJldi54bWxQSwECFAAUAAAACACH&#10;TuJAuUSipOwBAADgAwAADgAAAAAAAAABACAAAAAmAQAAZHJzL2Uyb0RvYy54bWxQSwUGAAAAAAYA&#10;BgBZAQAAhAUAAAAA&#10;">
                <v:fill on="f" focussize="0,0"/>
                <v:stroke color="#000000" joinstyle="round"/>
                <v:imagedata o:title=""/>
                <o:lock v:ext="edit" aspectratio="f"/>
              </v:line>
            </w:pict>
          </mc:Fallback>
        </mc:AlternateContent>
      </w:r>
      <w:r>
        <w:rPr>
          <w:color w:val="auto"/>
        </w:rPr>
        <w:t>建设项目污染物排放量汇总表</w:t>
      </w:r>
      <w:bookmarkEnd w:id="32"/>
      <w:r>
        <w:rPr>
          <w:rFonts w:hint="eastAsia"/>
          <w:color w:val="auto"/>
        </w:rPr>
        <w:t>（t/a）</w:t>
      </w:r>
      <w:bookmarkEnd w:id="33"/>
    </w:p>
    <w:tbl>
      <w:tblPr>
        <w:tblStyle w:val="59"/>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407"/>
        <w:gridCol w:w="925"/>
        <w:gridCol w:w="1567"/>
        <w:gridCol w:w="1116"/>
        <w:gridCol w:w="1256"/>
        <w:gridCol w:w="1396"/>
        <w:gridCol w:w="1730"/>
        <w:gridCol w:w="1609"/>
        <w:gridCol w:w="1772"/>
        <w:gridCol w:w="1228"/>
      </w:tblGrid>
      <w:tr w14:paraId="719A5B3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tcBorders>
              <w:tl2br w:val="nil"/>
              <w:tr2bl w:val="nil"/>
            </w:tcBorders>
            <w:tcMar>
              <w:left w:w="28" w:type="dxa"/>
              <w:right w:w="28" w:type="dxa"/>
            </w:tcMar>
            <w:vAlign w:val="center"/>
          </w:tcPr>
          <w:p w14:paraId="3CD11AC6">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jc w:val="right"/>
              <w:rPr>
                <w:rFonts w:ascii="Times New Roman" w:eastAsia="宋体"/>
                <w:b/>
                <w:bCs/>
                <w:color w:val="auto"/>
                <w:spacing w:val="0"/>
                <w:kern w:val="0"/>
                <w:sz w:val="21"/>
                <w:szCs w:val="21"/>
              </w:rPr>
            </w:pPr>
            <w:r>
              <w:rPr>
                <w:rFonts w:ascii="Times New Roman" w:eastAsia="宋体"/>
                <w:b/>
                <w:bCs/>
                <w:color w:val="auto"/>
                <w:spacing w:val="0"/>
                <w:kern w:val="0"/>
                <w:sz w:val="21"/>
                <w:szCs w:val="21"/>
              </w:rPr>
              <w:t>项目</w:t>
            </w:r>
          </w:p>
          <w:p w14:paraId="24AACDD8">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jc w:val="left"/>
              <w:rPr>
                <w:rFonts w:ascii="Times New Roman" w:eastAsia="宋体"/>
                <w:b/>
                <w:bCs/>
                <w:color w:val="auto"/>
                <w:spacing w:val="0"/>
                <w:kern w:val="0"/>
                <w:sz w:val="21"/>
                <w:szCs w:val="21"/>
              </w:rPr>
            </w:pPr>
            <w:r>
              <w:rPr>
                <w:rFonts w:ascii="Times New Roman" w:eastAsia="宋体"/>
                <w:b/>
                <w:bCs/>
                <w:color w:val="auto"/>
                <w:spacing w:val="0"/>
                <w:kern w:val="0"/>
                <w:sz w:val="21"/>
                <w:szCs w:val="21"/>
              </w:rPr>
              <w:t>分类</w:t>
            </w:r>
          </w:p>
        </w:tc>
        <w:tc>
          <w:tcPr>
            <w:tcW w:w="889" w:type="pct"/>
            <w:gridSpan w:val="2"/>
            <w:tcBorders>
              <w:tl2br w:val="nil"/>
              <w:tr2bl w:val="nil"/>
            </w:tcBorders>
            <w:tcMar>
              <w:left w:w="28" w:type="dxa"/>
              <w:right w:w="28" w:type="dxa"/>
            </w:tcMar>
            <w:vAlign w:val="center"/>
          </w:tcPr>
          <w:p w14:paraId="22C63882">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pacing w:val="0"/>
                <w:kern w:val="0"/>
                <w:sz w:val="21"/>
                <w:szCs w:val="21"/>
              </w:rPr>
            </w:pPr>
            <w:r>
              <w:rPr>
                <w:rFonts w:ascii="Times New Roman" w:eastAsia="宋体"/>
                <w:b/>
                <w:bCs/>
                <w:color w:val="auto"/>
                <w:spacing w:val="0"/>
                <w:kern w:val="0"/>
                <w:sz w:val="21"/>
                <w:szCs w:val="21"/>
              </w:rPr>
              <w:t>污染物名称</w:t>
            </w:r>
          </w:p>
        </w:tc>
        <w:tc>
          <w:tcPr>
            <w:tcW w:w="398" w:type="pct"/>
            <w:tcBorders>
              <w:tl2br w:val="nil"/>
              <w:tr2bl w:val="nil"/>
            </w:tcBorders>
            <w:tcMar>
              <w:left w:w="28" w:type="dxa"/>
              <w:right w:w="28" w:type="dxa"/>
            </w:tcMar>
            <w:vAlign w:val="center"/>
          </w:tcPr>
          <w:p w14:paraId="501CADC7">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pacing w:val="0"/>
                <w:kern w:val="0"/>
                <w:sz w:val="21"/>
                <w:szCs w:val="21"/>
              </w:rPr>
            </w:pPr>
            <w:r>
              <w:rPr>
                <w:rFonts w:ascii="Times New Roman" w:eastAsia="宋体"/>
                <w:b/>
                <w:bCs/>
                <w:color w:val="auto"/>
                <w:spacing w:val="0"/>
                <w:kern w:val="0"/>
                <w:sz w:val="21"/>
                <w:szCs w:val="21"/>
              </w:rPr>
              <w:t>现有工程排放量（固体废物产生量）</w:t>
            </w:r>
            <w:r>
              <w:rPr>
                <w:rFonts w:ascii="Times New Roman" w:eastAsia="宋体"/>
                <w:b/>
                <w:bCs/>
                <w:color w:val="auto"/>
                <w:spacing w:val="0"/>
                <w:kern w:val="0"/>
                <w:sz w:val="21"/>
                <w:szCs w:val="21"/>
              </w:rPr>
              <w:fldChar w:fldCharType="begin"/>
            </w:r>
            <w:r>
              <w:rPr>
                <w:rFonts w:ascii="Times New Roman" w:eastAsia="宋体"/>
                <w:b/>
                <w:bCs/>
                <w:color w:val="auto"/>
                <w:spacing w:val="0"/>
                <w:kern w:val="0"/>
                <w:sz w:val="21"/>
                <w:szCs w:val="21"/>
              </w:rPr>
              <w:instrText xml:space="preserve"> = 1 \* GB3 \* MERGEFORMAT </w:instrText>
            </w:r>
            <w:r>
              <w:rPr>
                <w:rFonts w:ascii="Times New Roman" w:eastAsia="宋体"/>
                <w:b/>
                <w:bCs/>
                <w:color w:val="auto"/>
                <w:spacing w:val="0"/>
                <w:kern w:val="0"/>
                <w:sz w:val="21"/>
                <w:szCs w:val="21"/>
              </w:rPr>
              <w:fldChar w:fldCharType="separate"/>
            </w:r>
            <w:r>
              <w:rPr>
                <w:rFonts w:ascii="Times New Roman" w:eastAsia="宋体"/>
                <w:b/>
                <w:bCs/>
                <w:color w:val="auto"/>
                <w:spacing w:val="0"/>
                <w:kern w:val="0"/>
                <w:sz w:val="21"/>
                <w:szCs w:val="21"/>
              </w:rPr>
              <w:t>①</w:t>
            </w:r>
            <w:r>
              <w:rPr>
                <w:rFonts w:ascii="Times New Roman" w:eastAsia="宋体"/>
                <w:b/>
                <w:bCs/>
                <w:color w:val="auto"/>
                <w:spacing w:val="0"/>
                <w:kern w:val="0"/>
                <w:sz w:val="21"/>
                <w:szCs w:val="21"/>
              </w:rPr>
              <w:fldChar w:fldCharType="end"/>
            </w:r>
          </w:p>
        </w:tc>
        <w:tc>
          <w:tcPr>
            <w:tcW w:w="448" w:type="pct"/>
            <w:tcBorders>
              <w:tl2br w:val="nil"/>
              <w:tr2bl w:val="nil"/>
            </w:tcBorders>
            <w:tcMar>
              <w:left w:w="28" w:type="dxa"/>
              <w:right w:w="28" w:type="dxa"/>
            </w:tcMar>
            <w:vAlign w:val="center"/>
          </w:tcPr>
          <w:p w14:paraId="5D9B1DE0">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pacing w:val="0"/>
                <w:kern w:val="0"/>
                <w:sz w:val="21"/>
                <w:szCs w:val="21"/>
              </w:rPr>
            </w:pPr>
            <w:r>
              <w:rPr>
                <w:rFonts w:ascii="Times New Roman" w:eastAsia="宋体"/>
                <w:b/>
                <w:bCs/>
                <w:color w:val="auto"/>
                <w:spacing w:val="0"/>
                <w:kern w:val="0"/>
                <w:sz w:val="21"/>
                <w:szCs w:val="21"/>
              </w:rPr>
              <w:t>现有工程许可排放量</w:t>
            </w:r>
            <w:r>
              <w:rPr>
                <w:rFonts w:ascii="Times New Roman" w:eastAsia="宋体"/>
                <w:b/>
                <w:bCs/>
                <w:color w:val="auto"/>
                <w:spacing w:val="0"/>
                <w:kern w:val="0"/>
                <w:sz w:val="21"/>
                <w:szCs w:val="21"/>
              </w:rPr>
              <w:fldChar w:fldCharType="begin"/>
            </w:r>
            <w:r>
              <w:rPr>
                <w:rFonts w:ascii="Times New Roman" w:eastAsia="宋体"/>
                <w:b/>
                <w:bCs/>
                <w:color w:val="auto"/>
                <w:spacing w:val="0"/>
                <w:kern w:val="0"/>
                <w:sz w:val="21"/>
                <w:szCs w:val="21"/>
              </w:rPr>
              <w:instrText xml:space="preserve"> = 2 \* GB3 \* MERGEFORMAT </w:instrText>
            </w:r>
            <w:r>
              <w:rPr>
                <w:rFonts w:ascii="Times New Roman" w:eastAsia="宋体"/>
                <w:b/>
                <w:bCs/>
                <w:color w:val="auto"/>
                <w:spacing w:val="0"/>
                <w:kern w:val="0"/>
                <w:sz w:val="21"/>
                <w:szCs w:val="21"/>
              </w:rPr>
              <w:fldChar w:fldCharType="separate"/>
            </w:r>
            <w:r>
              <w:rPr>
                <w:rFonts w:ascii="Times New Roman" w:eastAsia="宋体"/>
                <w:b/>
                <w:bCs/>
                <w:color w:val="auto"/>
                <w:spacing w:val="0"/>
                <w:kern w:val="0"/>
                <w:sz w:val="21"/>
                <w:szCs w:val="21"/>
              </w:rPr>
              <w:t>②</w:t>
            </w:r>
            <w:r>
              <w:rPr>
                <w:rFonts w:ascii="Times New Roman" w:eastAsia="宋体"/>
                <w:b/>
                <w:bCs/>
                <w:color w:val="auto"/>
                <w:spacing w:val="0"/>
                <w:kern w:val="0"/>
                <w:sz w:val="21"/>
                <w:szCs w:val="21"/>
              </w:rPr>
              <w:fldChar w:fldCharType="end"/>
            </w:r>
          </w:p>
        </w:tc>
        <w:tc>
          <w:tcPr>
            <w:tcW w:w="498" w:type="pct"/>
            <w:tcBorders>
              <w:tl2br w:val="nil"/>
              <w:tr2bl w:val="nil"/>
            </w:tcBorders>
            <w:tcMar>
              <w:left w:w="28" w:type="dxa"/>
              <w:right w:w="28" w:type="dxa"/>
            </w:tcMar>
            <w:vAlign w:val="center"/>
          </w:tcPr>
          <w:p w14:paraId="2297F031">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pacing w:val="0"/>
                <w:kern w:val="0"/>
                <w:sz w:val="21"/>
                <w:szCs w:val="21"/>
              </w:rPr>
            </w:pPr>
            <w:r>
              <w:rPr>
                <w:rFonts w:ascii="Times New Roman" w:eastAsia="宋体"/>
                <w:b/>
                <w:bCs/>
                <w:color w:val="auto"/>
                <w:spacing w:val="0"/>
                <w:kern w:val="0"/>
                <w:sz w:val="21"/>
                <w:szCs w:val="21"/>
              </w:rPr>
              <w:t>在建工程排放量（固体废物产生量）</w:t>
            </w:r>
            <w:r>
              <w:rPr>
                <w:rFonts w:ascii="Times New Roman" w:eastAsia="宋体"/>
                <w:b/>
                <w:bCs/>
                <w:color w:val="auto"/>
                <w:spacing w:val="0"/>
                <w:kern w:val="0"/>
                <w:sz w:val="21"/>
                <w:szCs w:val="21"/>
              </w:rPr>
              <w:fldChar w:fldCharType="begin"/>
            </w:r>
            <w:r>
              <w:rPr>
                <w:rFonts w:ascii="Times New Roman" w:eastAsia="宋体"/>
                <w:b/>
                <w:bCs/>
                <w:color w:val="auto"/>
                <w:spacing w:val="0"/>
                <w:kern w:val="0"/>
                <w:sz w:val="21"/>
                <w:szCs w:val="21"/>
              </w:rPr>
              <w:instrText xml:space="preserve"> = 3 \* GB3 \* MERGEFORMAT </w:instrText>
            </w:r>
            <w:r>
              <w:rPr>
                <w:rFonts w:ascii="Times New Roman" w:eastAsia="宋体"/>
                <w:b/>
                <w:bCs/>
                <w:color w:val="auto"/>
                <w:spacing w:val="0"/>
                <w:kern w:val="0"/>
                <w:sz w:val="21"/>
                <w:szCs w:val="21"/>
              </w:rPr>
              <w:fldChar w:fldCharType="separate"/>
            </w:r>
            <w:r>
              <w:rPr>
                <w:rFonts w:ascii="Times New Roman" w:eastAsia="宋体"/>
                <w:b/>
                <w:bCs/>
                <w:color w:val="auto"/>
                <w:spacing w:val="0"/>
                <w:kern w:val="0"/>
                <w:sz w:val="21"/>
                <w:szCs w:val="21"/>
              </w:rPr>
              <w:t>③</w:t>
            </w:r>
            <w:r>
              <w:rPr>
                <w:rFonts w:ascii="Times New Roman" w:eastAsia="宋体"/>
                <w:b/>
                <w:bCs/>
                <w:color w:val="auto"/>
                <w:spacing w:val="0"/>
                <w:kern w:val="0"/>
                <w:sz w:val="21"/>
                <w:szCs w:val="21"/>
              </w:rPr>
              <w:fldChar w:fldCharType="end"/>
            </w:r>
          </w:p>
        </w:tc>
        <w:tc>
          <w:tcPr>
            <w:tcW w:w="617" w:type="pct"/>
            <w:tcBorders>
              <w:tl2br w:val="nil"/>
              <w:tr2bl w:val="nil"/>
            </w:tcBorders>
            <w:tcMar>
              <w:left w:w="28" w:type="dxa"/>
              <w:right w:w="28" w:type="dxa"/>
            </w:tcMar>
            <w:vAlign w:val="center"/>
          </w:tcPr>
          <w:p w14:paraId="75E62DE3">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pacing w:val="0"/>
                <w:kern w:val="0"/>
                <w:sz w:val="21"/>
                <w:szCs w:val="21"/>
              </w:rPr>
            </w:pPr>
            <w:r>
              <w:rPr>
                <w:rFonts w:ascii="Times New Roman" w:eastAsia="宋体"/>
                <w:b/>
                <w:bCs/>
                <w:color w:val="auto"/>
                <w:spacing w:val="0"/>
                <w:kern w:val="0"/>
                <w:sz w:val="21"/>
                <w:szCs w:val="21"/>
              </w:rPr>
              <w:t>本项目排放量（固体废物产生量）</w:t>
            </w:r>
            <w:r>
              <w:rPr>
                <w:rFonts w:ascii="Times New Roman" w:eastAsia="宋体"/>
                <w:b/>
                <w:bCs/>
                <w:color w:val="auto"/>
                <w:spacing w:val="0"/>
                <w:kern w:val="0"/>
                <w:sz w:val="21"/>
                <w:szCs w:val="21"/>
              </w:rPr>
              <w:fldChar w:fldCharType="begin"/>
            </w:r>
            <w:r>
              <w:rPr>
                <w:rFonts w:ascii="Times New Roman" w:eastAsia="宋体"/>
                <w:b/>
                <w:bCs/>
                <w:color w:val="auto"/>
                <w:spacing w:val="0"/>
                <w:kern w:val="0"/>
                <w:sz w:val="21"/>
                <w:szCs w:val="21"/>
              </w:rPr>
              <w:instrText xml:space="preserve"> = 4 \* GB3 \* MERGEFORMAT </w:instrText>
            </w:r>
            <w:r>
              <w:rPr>
                <w:rFonts w:ascii="Times New Roman" w:eastAsia="宋体"/>
                <w:b/>
                <w:bCs/>
                <w:color w:val="auto"/>
                <w:spacing w:val="0"/>
                <w:kern w:val="0"/>
                <w:sz w:val="21"/>
                <w:szCs w:val="21"/>
              </w:rPr>
              <w:fldChar w:fldCharType="separate"/>
            </w:r>
            <w:r>
              <w:rPr>
                <w:rFonts w:ascii="Times New Roman" w:eastAsia="宋体"/>
                <w:b/>
                <w:bCs/>
                <w:color w:val="auto"/>
                <w:spacing w:val="0"/>
                <w:kern w:val="0"/>
                <w:sz w:val="21"/>
                <w:szCs w:val="21"/>
              </w:rPr>
              <w:t>④</w:t>
            </w:r>
            <w:r>
              <w:rPr>
                <w:rFonts w:ascii="Times New Roman" w:eastAsia="宋体"/>
                <w:b/>
                <w:bCs/>
                <w:color w:val="auto"/>
                <w:spacing w:val="0"/>
                <w:kern w:val="0"/>
                <w:sz w:val="21"/>
                <w:szCs w:val="21"/>
              </w:rPr>
              <w:fldChar w:fldCharType="end"/>
            </w:r>
          </w:p>
        </w:tc>
        <w:tc>
          <w:tcPr>
            <w:tcW w:w="574" w:type="pct"/>
            <w:tcBorders>
              <w:tl2br w:val="nil"/>
              <w:tr2bl w:val="nil"/>
            </w:tcBorders>
            <w:tcMar>
              <w:left w:w="28" w:type="dxa"/>
              <w:right w:w="28" w:type="dxa"/>
            </w:tcMar>
            <w:vAlign w:val="center"/>
          </w:tcPr>
          <w:p w14:paraId="0B60216D">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pacing w:val="0"/>
                <w:kern w:val="0"/>
                <w:sz w:val="21"/>
                <w:szCs w:val="21"/>
              </w:rPr>
            </w:pPr>
            <w:r>
              <w:rPr>
                <w:rFonts w:ascii="Times New Roman" w:eastAsia="宋体"/>
                <w:b/>
                <w:bCs/>
                <w:color w:val="auto"/>
                <w:spacing w:val="0"/>
                <w:kern w:val="0"/>
                <w:sz w:val="21"/>
                <w:szCs w:val="21"/>
              </w:rPr>
              <w:t>以新带老削减量（新建项目不填）</w:t>
            </w:r>
            <w:r>
              <w:rPr>
                <w:rFonts w:ascii="Times New Roman" w:eastAsia="宋体"/>
                <w:b/>
                <w:bCs/>
                <w:color w:val="auto"/>
                <w:spacing w:val="0"/>
                <w:kern w:val="0"/>
                <w:sz w:val="21"/>
                <w:szCs w:val="21"/>
              </w:rPr>
              <w:fldChar w:fldCharType="begin"/>
            </w:r>
            <w:r>
              <w:rPr>
                <w:rFonts w:ascii="Times New Roman" w:eastAsia="宋体"/>
                <w:b/>
                <w:bCs/>
                <w:color w:val="auto"/>
                <w:spacing w:val="0"/>
                <w:kern w:val="0"/>
                <w:sz w:val="21"/>
                <w:szCs w:val="21"/>
              </w:rPr>
              <w:instrText xml:space="preserve"> = 5 \* GB3 \* MERGEFORMAT </w:instrText>
            </w:r>
            <w:r>
              <w:rPr>
                <w:rFonts w:ascii="Times New Roman" w:eastAsia="宋体"/>
                <w:b/>
                <w:bCs/>
                <w:color w:val="auto"/>
                <w:spacing w:val="0"/>
                <w:kern w:val="0"/>
                <w:sz w:val="21"/>
                <w:szCs w:val="21"/>
              </w:rPr>
              <w:fldChar w:fldCharType="separate"/>
            </w:r>
            <w:r>
              <w:rPr>
                <w:rFonts w:ascii="Times New Roman" w:eastAsia="宋体"/>
                <w:b/>
                <w:bCs/>
                <w:color w:val="auto"/>
                <w:spacing w:val="0"/>
                <w:kern w:val="0"/>
                <w:sz w:val="21"/>
                <w:szCs w:val="21"/>
              </w:rPr>
              <w:t>⑤</w:t>
            </w:r>
            <w:r>
              <w:rPr>
                <w:rFonts w:ascii="Times New Roman" w:eastAsia="宋体"/>
                <w:b/>
                <w:bCs/>
                <w:color w:val="auto"/>
                <w:spacing w:val="0"/>
                <w:kern w:val="0"/>
                <w:sz w:val="21"/>
                <w:szCs w:val="21"/>
              </w:rPr>
              <w:fldChar w:fldCharType="end"/>
            </w:r>
          </w:p>
        </w:tc>
        <w:tc>
          <w:tcPr>
            <w:tcW w:w="632" w:type="pct"/>
            <w:tcBorders>
              <w:tl2br w:val="nil"/>
              <w:tr2bl w:val="nil"/>
            </w:tcBorders>
            <w:tcMar>
              <w:left w:w="28" w:type="dxa"/>
              <w:right w:w="28" w:type="dxa"/>
            </w:tcMar>
            <w:vAlign w:val="center"/>
          </w:tcPr>
          <w:p w14:paraId="06BB25A9">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pacing w:val="0"/>
                <w:kern w:val="0"/>
                <w:sz w:val="21"/>
                <w:szCs w:val="21"/>
              </w:rPr>
            </w:pPr>
            <w:r>
              <w:rPr>
                <w:rFonts w:ascii="Times New Roman" w:eastAsia="宋体"/>
                <w:b/>
                <w:bCs/>
                <w:color w:val="auto"/>
                <w:spacing w:val="0"/>
                <w:kern w:val="0"/>
                <w:sz w:val="21"/>
                <w:szCs w:val="21"/>
              </w:rPr>
              <w:t>本项目建成后全厂排放量（固体废物产生量）</w:t>
            </w:r>
            <w:r>
              <w:rPr>
                <w:rFonts w:ascii="Times New Roman" w:eastAsia="宋体"/>
                <w:b/>
                <w:bCs/>
                <w:color w:val="auto"/>
                <w:spacing w:val="0"/>
                <w:kern w:val="0"/>
                <w:sz w:val="21"/>
                <w:szCs w:val="21"/>
              </w:rPr>
              <w:fldChar w:fldCharType="begin"/>
            </w:r>
            <w:r>
              <w:rPr>
                <w:rFonts w:ascii="Times New Roman" w:eastAsia="宋体"/>
                <w:b/>
                <w:bCs/>
                <w:color w:val="auto"/>
                <w:spacing w:val="0"/>
                <w:kern w:val="0"/>
                <w:sz w:val="21"/>
                <w:szCs w:val="21"/>
              </w:rPr>
              <w:instrText xml:space="preserve"> = 6 \* GB3 \* MERGEFORMAT </w:instrText>
            </w:r>
            <w:r>
              <w:rPr>
                <w:rFonts w:ascii="Times New Roman" w:eastAsia="宋体"/>
                <w:b/>
                <w:bCs/>
                <w:color w:val="auto"/>
                <w:spacing w:val="0"/>
                <w:kern w:val="0"/>
                <w:sz w:val="21"/>
                <w:szCs w:val="21"/>
              </w:rPr>
              <w:fldChar w:fldCharType="separate"/>
            </w:r>
            <w:r>
              <w:rPr>
                <w:rFonts w:ascii="Times New Roman" w:eastAsia="宋体"/>
                <w:b/>
                <w:bCs/>
                <w:color w:val="auto"/>
                <w:spacing w:val="0"/>
                <w:kern w:val="0"/>
                <w:sz w:val="21"/>
                <w:szCs w:val="21"/>
              </w:rPr>
              <w:t>⑥</w:t>
            </w:r>
            <w:r>
              <w:rPr>
                <w:rFonts w:ascii="Times New Roman" w:eastAsia="宋体"/>
                <w:b/>
                <w:bCs/>
                <w:color w:val="auto"/>
                <w:spacing w:val="0"/>
                <w:kern w:val="0"/>
                <w:sz w:val="21"/>
                <w:szCs w:val="21"/>
              </w:rPr>
              <w:fldChar w:fldCharType="end"/>
            </w:r>
          </w:p>
        </w:tc>
        <w:tc>
          <w:tcPr>
            <w:tcW w:w="438" w:type="pct"/>
            <w:tcBorders>
              <w:tl2br w:val="nil"/>
              <w:tr2bl w:val="nil"/>
            </w:tcBorders>
            <w:tcMar>
              <w:left w:w="28" w:type="dxa"/>
              <w:right w:w="28" w:type="dxa"/>
            </w:tcMar>
            <w:vAlign w:val="center"/>
          </w:tcPr>
          <w:p w14:paraId="50752141">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pacing w:val="0"/>
                <w:kern w:val="0"/>
                <w:sz w:val="21"/>
                <w:szCs w:val="21"/>
              </w:rPr>
            </w:pPr>
            <w:r>
              <w:rPr>
                <w:rFonts w:ascii="Times New Roman" w:eastAsia="宋体"/>
                <w:b/>
                <w:bCs/>
                <w:color w:val="auto"/>
                <w:spacing w:val="0"/>
                <w:kern w:val="0"/>
                <w:sz w:val="21"/>
                <w:szCs w:val="21"/>
              </w:rPr>
              <w:t>变化量</w:t>
            </w:r>
            <w:r>
              <w:rPr>
                <w:rFonts w:ascii="Times New Roman" w:eastAsia="宋体"/>
                <w:b/>
                <w:bCs/>
                <w:color w:val="auto"/>
                <w:spacing w:val="0"/>
                <w:kern w:val="0"/>
                <w:sz w:val="21"/>
                <w:szCs w:val="21"/>
              </w:rPr>
              <w:fldChar w:fldCharType="begin"/>
            </w:r>
            <w:r>
              <w:rPr>
                <w:rFonts w:ascii="Times New Roman" w:eastAsia="宋体"/>
                <w:b/>
                <w:bCs/>
                <w:color w:val="auto"/>
                <w:spacing w:val="0"/>
                <w:kern w:val="0"/>
                <w:sz w:val="21"/>
                <w:szCs w:val="21"/>
              </w:rPr>
              <w:instrText xml:space="preserve"> = 7 \* GB3 \* MERGEFORMAT </w:instrText>
            </w:r>
            <w:r>
              <w:rPr>
                <w:rFonts w:ascii="Times New Roman" w:eastAsia="宋体"/>
                <w:b/>
                <w:bCs/>
                <w:color w:val="auto"/>
                <w:spacing w:val="0"/>
                <w:kern w:val="0"/>
                <w:sz w:val="21"/>
                <w:szCs w:val="21"/>
              </w:rPr>
              <w:fldChar w:fldCharType="separate"/>
            </w:r>
            <w:r>
              <w:rPr>
                <w:rFonts w:ascii="Times New Roman" w:eastAsia="宋体"/>
                <w:b/>
                <w:bCs/>
                <w:color w:val="auto"/>
                <w:spacing w:val="0"/>
                <w:kern w:val="0"/>
                <w:sz w:val="21"/>
                <w:szCs w:val="21"/>
              </w:rPr>
              <w:t>⑦</w:t>
            </w:r>
            <w:r>
              <w:rPr>
                <w:rFonts w:ascii="Times New Roman" w:eastAsia="宋体"/>
                <w:b/>
                <w:bCs/>
                <w:color w:val="auto"/>
                <w:spacing w:val="0"/>
                <w:kern w:val="0"/>
                <w:sz w:val="21"/>
                <w:szCs w:val="21"/>
              </w:rPr>
              <w:fldChar w:fldCharType="end"/>
            </w:r>
          </w:p>
        </w:tc>
      </w:tr>
      <w:tr w14:paraId="690612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restart"/>
            <w:tcBorders>
              <w:tl2br w:val="nil"/>
              <w:tr2bl w:val="nil"/>
            </w:tcBorders>
            <w:vAlign w:val="center"/>
          </w:tcPr>
          <w:p w14:paraId="44A86CC3">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r>
              <w:rPr>
                <w:rFonts w:ascii="Times New Roman" w:eastAsia="宋体"/>
                <w:color w:val="auto"/>
                <w:spacing w:val="0"/>
                <w:kern w:val="0"/>
                <w:sz w:val="21"/>
                <w:szCs w:val="21"/>
              </w:rPr>
              <w:t>废气</w:t>
            </w:r>
          </w:p>
        </w:tc>
        <w:tc>
          <w:tcPr>
            <w:tcW w:w="330" w:type="pct"/>
            <w:vMerge w:val="restart"/>
            <w:tcBorders>
              <w:tl2br w:val="nil"/>
              <w:tr2bl w:val="nil"/>
            </w:tcBorders>
            <w:vAlign w:val="center"/>
          </w:tcPr>
          <w:p w14:paraId="0BDC8279">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r>
              <w:rPr>
                <w:rFonts w:hint="eastAsia" w:ascii="Times New Roman" w:eastAsia="宋体"/>
                <w:color w:val="auto"/>
                <w:spacing w:val="0"/>
                <w:kern w:val="0"/>
                <w:sz w:val="21"/>
                <w:szCs w:val="21"/>
              </w:rPr>
              <w:t>有组织</w:t>
            </w:r>
          </w:p>
        </w:tc>
        <w:tc>
          <w:tcPr>
            <w:tcW w:w="559" w:type="pct"/>
            <w:tcBorders>
              <w:tl2br w:val="nil"/>
              <w:tr2bl w:val="nil"/>
            </w:tcBorders>
            <w:vAlign w:val="center"/>
          </w:tcPr>
          <w:p w14:paraId="31CE47EA">
            <w:pPr>
              <w:keepNext w:val="0"/>
              <w:keepLines w:val="0"/>
              <w:pageBreakBefore w:val="0"/>
              <w:kinsoku/>
              <w:wordWrap/>
              <w:overflowPunct/>
              <w:topLinePunct w:val="0"/>
              <w:autoSpaceDE/>
              <w:autoSpaceDN/>
              <w:bidi w:val="0"/>
              <w:adjustRightInd w:val="0"/>
              <w:snapToGrid w:val="0"/>
              <w:jc w:val="center"/>
              <w:rPr>
                <w:color w:val="auto"/>
                <w:spacing w:val="0"/>
                <w:kern w:val="0"/>
              </w:rPr>
            </w:pPr>
            <w:r>
              <w:rPr>
                <w:color w:val="auto"/>
              </w:rPr>
              <w:t>非甲烷总烃</w:t>
            </w:r>
          </w:p>
        </w:tc>
        <w:tc>
          <w:tcPr>
            <w:tcW w:w="1116" w:type="dxa"/>
            <w:tcBorders>
              <w:tl2br w:val="nil"/>
              <w:tr2bl w:val="nil"/>
            </w:tcBorders>
            <w:vAlign w:val="center"/>
          </w:tcPr>
          <w:p w14:paraId="21AA6A23">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spacing w:val="0"/>
                <w:kern w:val="0"/>
                <w:sz w:val="21"/>
                <w:szCs w:val="21"/>
                <w:lang w:val="en-US" w:eastAsia="zh-CN"/>
              </w:rPr>
            </w:pPr>
            <w:r>
              <w:rPr>
                <w:rFonts w:hint="eastAsia" w:cs="Times New Roman"/>
                <w:b w:val="0"/>
                <w:bCs w:val="0"/>
                <w:color w:val="auto"/>
                <w:spacing w:val="0"/>
                <w:kern w:val="0"/>
                <w:sz w:val="21"/>
                <w:szCs w:val="21"/>
                <w:highlight w:val="none"/>
                <w:lang w:val="en-US" w:eastAsia="zh-CN" w:bidi="ar-SA"/>
              </w:rPr>
              <w:t>0.147</w:t>
            </w:r>
          </w:p>
        </w:tc>
        <w:tc>
          <w:tcPr>
            <w:tcW w:w="448" w:type="pct"/>
            <w:tcBorders>
              <w:tl2br w:val="nil"/>
              <w:tr2bl w:val="nil"/>
            </w:tcBorders>
            <w:vAlign w:val="center"/>
          </w:tcPr>
          <w:p w14:paraId="3EC3D80D">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498" w:type="pct"/>
            <w:tcBorders>
              <w:tl2br w:val="nil"/>
              <w:tr2bl w:val="nil"/>
            </w:tcBorders>
            <w:vAlign w:val="center"/>
          </w:tcPr>
          <w:p w14:paraId="7A20F7DF">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1730" w:type="dxa"/>
            <w:tcBorders>
              <w:tl2br w:val="nil"/>
              <w:tr2bl w:val="nil"/>
            </w:tcBorders>
            <w:vAlign w:val="center"/>
          </w:tcPr>
          <w:p w14:paraId="5326F95A">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spacing w:val="0"/>
                <w:kern w:val="0"/>
                <w:sz w:val="21"/>
                <w:szCs w:val="21"/>
                <w:lang w:val="en-US" w:eastAsia="zh-CN"/>
              </w:rPr>
            </w:pPr>
            <w:r>
              <w:rPr>
                <w:rFonts w:hint="eastAsia" w:eastAsia="宋体" w:cs="Times New Roman"/>
                <w:b w:val="0"/>
                <w:bCs/>
                <w:color w:val="auto"/>
                <w:spacing w:val="0"/>
                <w:kern w:val="0"/>
                <w:sz w:val="21"/>
                <w:szCs w:val="21"/>
                <w:highlight w:val="none"/>
                <w:lang w:val="en-US" w:eastAsia="zh-CN"/>
              </w:rPr>
              <w:t>0.19386</w:t>
            </w:r>
          </w:p>
        </w:tc>
        <w:tc>
          <w:tcPr>
            <w:tcW w:w="1609" w:type="dxa"/>
            <w:tcBorders>
              <w:tl2br w:val="nil"/>
              <w:tr2bl w:val="nil"/>
            </w:tcBorders>
            <w:vAlign w:val="center"/>
          </w:tcPr>
          <w:p w14:paraId="5BE8FC94">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s="Times New Roman"/>
                <w:b w:val="0"/>
                <w:bCs w:val="0"/>
                <w:color w:val="auto"/>
                <w:spacing w:val="0"/>
                <w:kern w:val="0"/>
                <w:sz w:val="21"/>
                <w:szCs w:val="21"/>
                <w:highlight w:val="none"/>
                <w:lang w:val="en-US" w:eastAsia="zh-CN" w:bidi="ar-SA"/>
              </w:rPr>
              <w:t>0.147</w:t>
            </w:r>
          </w:p>
        </w:tc>
        <w:tc>
          <w:tcPr>
            <w:tcW w:w="1772" w:type="dxa"/>
            <w:tcBorders>
              <w:tl2br w:val="nil"/>
              <w:tr2bl w:val="nil"/>
            </w:tcBorders>
            <w:vAlign w:val="center"/>
          </w:tcPr>
          <w:p w14:paraId="4BAA7D09">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spacing w:val="0"/>
                <w:kern w:val="0"/>
                <w:sz w:val="21"/>
                <w:szCs w:val="21"/>
                <w:lang w:val="en-US" w:eastAsia="zh-CN"/>
              </w:rPr>
            </w:pPr>
            <w:r>
              <w:rPr>
                <w:rFonts w:hint="eastAsia" w:eastAsia="宋体" w:cs="Times New Roman"/>
                <w:b w:val="0"/>
                <w:bCs/>
                <w:color w:val="auto"/>
                <w:spacing w:val="0"/>
                <w:kern w:val="0"/>
                <w:sz w:val="21"/>
                <w:szCs w:val="21"/>
                <w:highlight w:val="none"/>
                <w:lang w:val="en-US" w:eastAsia="zh-CN"/>
              </w:rPr>
              <w:t>0.19386</w:t>
            </w:r>
          </w:p>
        </w:tc>
        <w:tc>
          <w:tcPr>
            <w:tcW w:w="1228" w:type="dxa"/>
            <w:tcBorders>
              <w:tl2br w:val="nil"/>
              <w:tr2bl w:val="nil"/>
            </w:tcBorders>
            <w:vAlign w:val="center"/>
          </w:tcPr>
          <w:p w14:paraId="668736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eastAsia="宋体"/>
                <w:color w:val="auto"/>
                <w:spacing w:val="0"/>
                <w:kern w:val="0"/>
                <w:sz w:val="21"/>
                <w:szCs w:val="21"/>
                <w:lang w:val="en-US" w:eastAsia="zh-CN"/>
              </w:rPr>
            </w:pPr>
            <w:r>
              <w:rPr>
                <w:rFonts w:hint="eastAsia" w:ascii="Times New Roman" w:hAnsi="Times New Roman" w:cs="Times New Roman"/>
                <w:i w:val="0"/>
                <w:iCs w:val="0"/>
                <w:snapToGrid w:val="0"/>
                <w:color w:val="auto"/>
                <w:kern w:val="0"/>
                <w:sz w:val="21"/>
                <w:szCs w:val="21"/>
                <w:u w:val="none"/>
                <w:lang w:val="en-US" w:eastAsia="zh-CN" w:bidi="ar"/>
              </w:rPr>
              <w:t>+</w:t>
            </w:r>
            <w:r>
              <w:rPr>
                <w:rFonts w:hint="default" w:ascii="Times New Roman" w:hAnsi="Times New Roman" w:eastAsia="宋体" w:cs="Times New Roman"/>
                <w:i w:val="0"/>
                <w:iCs w:val="0"/>
                <w:snapToGrid w:val="0"/>
                <w:color w:val="auto"/>
                <w:kern w:val="0"/>
                <w:sz w:val="21"/>
                <w:szCs w:val="21"/>
                <w:u w:val="none"/>
                <w:lang w:val="en-US" w:eastAsia="zh-CN" w:bidi="ar"/>
              </w:rPr>
              <w:t>0.04</w:t>
            </w:r>
            <w:r>
              <w:rPr>
                <w:rFonts w:hint="eastAsia" w:cs="Times New Roman"/>
                <w:i w:val="0"/>
                <w:iCs w:val="0"/>
                <w:snapToGrid w:val="0"/>
                <w:color w:val="auto"/>
                <w:kern w:val="0"/>
                <w:sz w:val="21"/>
                <w:szCs w:val="21"/>
                <w:u w:val="none"/>
                <w:lang w:val="en-US" w:eastAsia="zh-CN" w:bidi="ar"/>
              </w:rPr>
              <w:t>686</w:t>
            </w:r>
          </w:p>
        </w:tc>
      </w:tr>
      <w:tr w14:paraId="75455E4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55216B86">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330" w:type="pct"/>
            <w:vMerge w:val="continue"/>
            <w:tcBorders>
              <w:tl2br w:val="nil"/>
              <w:tr2bl w:val="nil"/>
            </w:tcBorders>
            <w:vAlign w:val="center"/>
          </w:tcPr>
          <w:p w14:paraId="391B1AF7">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hint="eastAsia" w:ascii="Times New Roman" w:eastAsia="宋体"/>
                <w:color w:val="auto"/>
                <w:spacing w:val="0"/>
                <w:kern w:val="0"/>
                <w:sz w:val="21"/>
                <w:szCs w:val="21"/>
              </w:rPr>
            </w:pPr>
          </w:p>
        </w:tc>
        <w:tc>
          <w:tcPr>
            <w:tcW w:w="559" w:type="pct"/>
            <w:tcBorders>
              <w:tl2br w:val="nil"/>
              <w:tr2bl w:val="nil"/>
            </w:tcBorders>
            <w:vAlign w:val="center"/>
          </w:tcPr>
          <w:p w14:paraId="07DD4FFF">
            <w:pPr>
              <w:pStyle w:val="656"/>
              <w:keepNext w:val="0"/>
              <w:keepLines w:val="0"/>
              <w:pageBreakBefore w:val="0"/>
              <w:kinsoku/>
              <w:wordWrap/>
              <w:overflowPunct/>
              <w:topLinePunct w:val="0"/>
              <w:autoSpaceDE/>
              <w:autoSpaceDN/>
              <w:bidi w:val="0"/>
              <w:adjustRightInd w:val="0"/>
              <w:snapToGrid w:val="0"/>
              <w:rPr>
                <w:color w:val="auto"/>
                <w:spacing w:val="0"/>
                <w:kern w:val="0"/>
              </w:rPr>
            </w:pPr>
            <w:r>
              <w:rPr>
                <w:rFonts w:hint="eastAsia" w:eastAsia="宋体"/>
                <w:color w:val="auto"/>
                <w:sz w:val="21"/>
                <w:szCs w:val="21"/>
                <w:lang w:val="en-US" w:eastAsia="zh-CN"/>
              </w:rPr>
              <w:t>苯系物</w:t>
            </w:r>
          </w:p>
        </w:tc>
        <w:tc>
          <w:tcPr>
            <w:tcW w:w="1116" w:type="dxa"/>
            <w:tcBorders>
              <w:tl2br w:val="nil"/>
              <w:tr2bl w:val="nil"/>
            </w:tcBorders>
            <w:vAlign w:val="center"/>
          </w:tcPr>
          <w:p w14:paraId="209831C5">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sz w:val="21"/>
                <w:szCs w:val="21"/>
                <w:lang w:val="en-US" w:eastAsia="zh-CN"/>
              </w:rPr>
            </w:pPr>
            <w:r>
              <w:rPr>
                <w:rFonts w:hint="eastAsia" w:cs="Times New Roman"/>
                <w:b w:val="0"/>
                <w:bCs w:val="0"/>
                <w:color w:val="auto"/>
                <w:spacing w:val="0"/>
                <w:kern w:val="0"/>
                <w:sz w:val="21"/>
                <w:szCs w:val="21"/>
                <w:highlight w:val="none"/>
                <w:lang w:val="en-US" w:eastAsia="zh-CN" w:bidi="ar-SA"/>
              </w:rPr>
              <w:t>0</w:t>
            </w:r>
          </w:p>
        </w:tc>
        <w:tc>
          <w:tcPr>
            <w:tcW w:w="448" w:type="pct"/>
            <w:tcBorders>
              <w:tl2br w:val="nil"/>
              <w:tr2bl w:val="nil"/>
            </w:tcBorders>
            <w:vAlign w:val="center"/>
          </w:tcPr>
          <w:p w14:paraId="364135F7">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w:t>
            </w:r>
          </w:p>
        </w:tc>
        <w:tc>
          <w:tcPr>
            <w:tcW w:w="498" w:type="pct"/>
            <w:tcBorders>
              <w:tl2br w:val="nil"/>
              <w:tr2bl w:val="nil"/>
            </w:tcBorders>
            <w:vAlign w:val="center"/>
          </w:tcPr>
          <w:p w14:paraId="2E5A9986">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w:t>
            </w:r>
          </w:p>
        </w:tc>
        <w:tc>
          <w:tcPr>
            <w:tcW w:w="1730" w:type="dxa"/>
            <w:tcBorders>
              <w:tl2br w:val="nil"/>
              <w:tr2bl w:val="nil"/>
            </w:tcBorders>
            <w:vAlign w:val="center"/>
          </w:tcPr>
          <w:p w14:paraId="6959F1D2">
            <w:pPr>
              <w:pStyle w:val="656"/>
              <w:keepNext w:val="0"/>
              <w:keepLines w:val="0"/>
              <w:pageBreakBefore w:val="0"/>
              <w:kinsoku/>
              <w:wordWrap/>
              <w:overflowPunct/>
              <w:topLinePunct w:val="0"/>
              <w:autoSpaceDE/>
              <w:autoSpaceDN/>
              <w:bidi w:val="0"/>
              <w:adjustRightInd w:val="0"/>
              <w:snapToGrid w:val="0"/>
              <w:rPr>
                <w:rFonts w:hint="eastAsia" w:eastAsia="宋体"/>
                <w:color w:val="auto"/>
                <w:spacing w:val="0"/>
                <w:kern w:val="0"/>
                <w:sz w:val="21"/>
                <w:szCs w:val="21"/>
                <w:lang w:val="en-US" w:eastAsia="zh-CN" w:bidi="ar"/>
              </w:rPr>
            </w:pPr>
            <w:r>
              <w:rPr>
                <w:rFonts w:hint="eastAsia" w:eastAsia="宋体"/>
                <w:color w:val="auto"/>
                <w:sz w:val="21"/>
                <w:szCs w:val="21"/>
                <w:lang w:val="en-US" w:eastAsia="zh-CN"/>
              </w:rPr>
              <w:t>0.05954</w:t>
            </w:r>
          </w:p>
        </w:tc>
        <w:tc>
          <w:tcPr>
            <w:tcW w:w="1609" w:type="dxa"/>
            <w:tcBorders>
              <w:tl2br w:val="nil"/>
              <w:tr2bl w:val="nil"/>
            </w:tcBorders>
            <w:vAlign w:val="center"/>
          </w:tcPr>
          <w:p w14:paraId="75882C54">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s="Times New Roman"/>
                <w:b w:val="0"/>
                <w:bCs w:val="0"/>
                <w:color w:val="auto"/>
                <w:spacing w:val="0"/>
                <w:kern w:val="0"/>
                <w:sz w:val="21"/>
                <w:szCs w:val="21"/>
                <w:highlight w:val="none"/>
                <w:lang w:val="en-US" w:eastAsia="zh-CN" w:bidi="ar-SA"/>
              </w:rPr>
              <w:t>0</w:t>
            </w:r>
          </w:p>
        </w:tc>
        <w:tc>
          <w:tcPr>
            <w:tcW w:w="1772" w:type="dxa"/>
            <w:tcBorders>
              <w:tl2br w:val="nil"/>
              <w:tr2bl w:val="nil"/>
            </w:tcBorders>
            <w:vAlign w:val="center"/>
          </w:tcPr>
          <w:p w14:paraId="10FC0DEE">
            <w:pPr>
              <w:pStyle w:val="656"/>
              <w:keepNext w:val="0"/>
              <w:keepLines w:val="0"/>
              <w:pageBreakBefore w:val="0"/>
              <w:kinsoku/>
              <w:wordWrap/>
              <w:overflowPunct/>
              <w:topLinePunct w:val="0"/>
              <w:autoSpaceDE/>
              <w:autoSpaceDN/>
              <w:bidi w:val="0"/>
              <w:adjustRightInd w:val="0"/>
              <w:snapToGrid w:val="0"/>
              <w:rPr>
                <w:rFonts w:hint="eastAsia" w:eastAsia="宋体"/>
                <w:color w:val="auto"/>
                <w:spacing w:val="0"/>
                <w:kern w:val="0"/>
                <w:sz w:val="21"/>
                <w:szCs w:val="21"/>
                <w:lang w:val="en-US" w:eastAsia="zh-CN" w:bidi="ar"/>
              </w:rPr>
            </w:pPr>
            <w:r>
              <w:rPr>
                <w:rFonts w:hint="eastAsia" w:eastAsia="宋体"/>
                <w:color w:val="auto"/>
                <w:sz w:val="21"/>
                <w:szCs w:val="21"/>
                <w:lang w:val="en-US" w:eastAsia="zh-CN"/>
              </w:rPr>
              <w:t>0.05954</w:t>
            </w:r>
          </w:p>
        </w:tc>
        <w:tc>
          <w:tcPr>
            <w:tcW w:w="1228" w:type="dxa"/>
            <w:tcBorders>
              <w:tl2br w:val="nil"/>
              <w:tr2bl w:val="nil"/>
            </w:tcBorders>
            <w:vAlign w:val="center"/>
          </w:tcPr>
          <w:p w14:paraId="4F386D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eastAsia="宋体"/>
                <w:color w:val="auto"/>
                <w:spacing w:val="0"/>
                <w:kern w:val="0"/>
                <w:sz w:val="21"/>
                <w:szCs w:val="21"/>
                <w:lang w:val="en-US" w:eastAsia="zh-CN" w:bidi="ar"/>
              </w:rPr>
            </w:pPr>
            <w:r>
              <w:rPr>
                <w:rFonts w:hint="eastAsia" w:ascii="Times New Roman" w:hAnsi="Times New Roman" w:cs="Times New Roman"/>
                <w:i w:val="0"/>
                <w:iCs w:val="0"/>
                <w:snapToGrid w:val="0"/>
                <w:color w:val="auto"/>
                <w:kern w:val="0"/>
                <w:sz w:val="21"/>
                <w:szCs w:val="21"/>
                <w:u w:val="none"/>
                <w:lang w:val="en-US" w:eastAsia="zh-CN" w:bidi="ar"/>
              </w:rPr>
              <w:t>+</w:t>
            </w:r>
            <w:r>
              <w:rPr>
                <w:rFonts w:hint="default" w:ascii="Times New Roman" w:hAnsi="Times New Roman" w:eastAsia="宋体" w:cs="Times New Roman"/>
                <w:i w:val="0"/>
                <w:iCs w:val="0"/>
                <w:snapToGrid w:val="0"/>
                <w:color w:val="auto"/>
                <w:kern w:val="0"/>
                <w:sz w:val="21"/>
                <w:szCs w:val="21"/>
                <w:u w:val="none"/>
                <w:lang w:val="en-US" w:eastAsia="zh-CN" w:bidi="ar"/>
              </w:rPr>
              <w:t>0.05954</w:t>
            </w:r>
          </w:p>
        </w:tc>
      </w:tr>
      <w:tr w14:paraId="555DD6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3F1873F3">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330" w:type="pct"/>
            <w:vMerge w:val="continue"/>
            <w:tcBorders>
              <w:tl2br w:val="nil"/>
              <w:tr2bl w:val="nil"/>
            </w:tcBorders>
            <w:vAlign w:val="center"/>
          </w:tcPr>
          <w:p w14:paraId="28B6E2B4">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hint="eastAsia" w:ascii="Times New Roman" w:eastAsia="宋体"/>
                <w:color w:val="auto"/>
                <w:spacing w:val="0"/>
                <w:kern w:val="0"/>
                <w:sz w:val="21"/>
                <w:szCs w:val="21"/>
              </w:rPr>
            </w:pPr>
          </w:p>
        </w:tc>
        <w:tc>
          <w:tcPr>
            <w:tcW w:w="559" w:type="pct"/>
            <w:tcBorders>
              <w:tl2br w:val="nil"/>
              <w:tr2bl w:val="nil"/>
            </w:tcBorders>
            <w:vAlign w:val="center"/>
          </w:tcPr>
          <w:p w14:paraId="402E0CC7">
            <w:pPr>
              <w:pStyle w:val="656"/>
              <w:keepNext w:val="0"/>
              <w:keepLines w:val="0"/>
              <w:pageBreakBefore w:val="0"/>
              <w:kinsoku/>
              <w:wordWrap/>
              <w:overflowPunct/>
              <w:topLinePunct w:val="0"/>
              <w:autoSpaceDE/>
              <w:autoSpaceDN/>
              <w:bidi w:val="0"/>
              <w:adjustRightInd w:val="0"/>
              <w:snapToGrid w:val="0"/>
              <w:rPr>
                <w:color w:val="auto"/>
                <w:spacing w:val="0"/>
                <w:kern w:val="0"/>
              </w:rPr>
            </w:pPr>
            <w:r>
              <w:rPr>
                <w:rFonts w:hint="eastAsia" w:eastAsia="宋体"/>
                <w:color w:val="auto"/>
                <w:sz w:val="21"/>
                <w:szCs w:val="21"/>
                <w:lang w:val="en-US" w:eastAsia="zh-CN"/>
              </w:rPr>
              <w:t>二甲苯</w:t>
            </w:r>
          </w:p>
        </w:tc>
        <w:tc>
          <w:tcPr>
            <w:tcW w:w="1116" w:type="dxa"/>
            <w:tcBorders>
              <w:tl2br w:val="nil"/>
              <w:tr2bl w:val="nil"/>
            </w:tcBorders>
            <w:vAlign w:val="center"/>
          </w:tcPr>
          <w:p w14:paraId="6033255B">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sz w:val="21"/>
                <w:szCs w:val="21"/>
                <w:lang w:val="en-US" w:eastAsia="zh-CN"/>
              </w:rPr>
            </w:pPr>
            <w:r>
              <w:rPr>
                <w:rFonts w:hint="eastAsia" w:cs="Times New Roman"/>
                <w:b w:val="0"/>
                <w:bCs w:val="0"/>
                <w:color w:val="auto"/>
                <w:spacing w:val="0"/>
                <w:kern w:val="0"/>
                <w:sz w:val="21"/>
                <w:szCs w:val="21"/>
                <w:highlight w:val="none"/>
                <w:lang w:val="en-US" w:eastAsia="zh-CN" w:bidi="ar-SA"/>
              </w:rPr>
              <w:t>0</w:t>
            </w:r>
          </w:p>
        </w:tc>
        <w:tc>
          <w:tcPr>
            <w:tcW w:w="448" w:type="pct"/>
            <w:tcBorders>
              <w:tl2br w:val="nil"/>
              <w:tr2bl w:val="nil"/>
            </w:tcBorders>
            <w:vAlign w:val="center"/>
          </w:tcPr>
          <w:p w14:paraId="3BA23012">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w:t>
            </w:r>
          </w:p>
        </w:tc>
        <w:tc>
          <w:tcPr>
            <w:tcW w:w="498" w:type="pct"/>
            <w:tcBorders>
              <w:tl2br w:val="nil"/>
              <w:tr2bl w:val="nil"/>
            </w:tcBorders>
            <w:vAlign w:val="center"/>
          </w:tcPr>
          <w:p w14:paraId="22FD08E2">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w:t>
            </w:r>
          </w:p>
        </w:tc>
        <w:tc>
          <w:tcPr>
            <w:tcW w:w="1730" w:type="dxa"/>
            <w:tcBorders>
              <w:tl2br w:val="nil"/>
              <w:tr2bl w:val="nil"/>
            </w:tcBorders>
            <w:vAlign w:val="center"/>
          </w:tcPr>
          <w:p w14:paraId="7EF25717">
            <w:pPr>
              <w:pStyle w:val="656"/>
              <w:keepNext w:val="0"/>
              <w:keepLines w:val="0"/>
              <w:pageBreakBefore w:val="0"/>
              <w:kinsoku/>
              <w:wordWrap/>
              <w:overflowPunct/>
              <w:topLinePunct w:val="0"/>
              <w:autoSpaceDE/>
              <w:autoSpaceDN/>
              <w:bidi w:val="0"/>
              <w:adjustRightInd w:val="0"/>
              <w:snapToGrid w:val="0"/>
              <w:rPr>
                <w:rFonts w:hint="eastAsia" w:eastAsia="宋体"/>
                <w:color w:val="auto"/>
                <w:spacing w:val="0"/>
                <w:kern w:val="0"/>
                <w:sz w:val="21"/>
                <w:szCs w:val="21"/>
                <w:lang w:val="en-US" w:eastAsia="zh-CN" w:bidi="ar"/>
              </w:rPr>
            </w:pPr>
            <w:r>
              <w:rPr>
                <w:rFonts w:hint="eastAsia" w:eastAsia="宋体"/>
                <w:color w:val="auto"/>
                <w:sz w:val="21"/>
                <w:szCs w:val="21"/>
                <w:lang w:val="en-US" w:eastAsia="zh-CN"/>
              </w:rPr>
              <w:t>0.0573</w:t>
            </w:r>
          </w:p>
        </w:tc>
        <w:tc>
          <w:tcPr>
            <w:tcW w:w="1609" w:type="dxa"/>
            <w:tcBorders>
              <w:tl2br w:val="nil"/>
              <w:tr2bl w:val="nil"/>
            </w:tcBorders>
            <w:vAlign w:val="center"/>
          </w:tcPr>
          <w:p w14:paraId="78033C53">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s="Times New Roman"/>
                <w:b w:val="0"/>
                <w:bCs w:val="0"/>
                <w:color w:val="auto"/>
                <w:spacing w:val="0"/>
                <w:kern w:val="0"/>
                <w:sz w:val="21"/>
                <w:szCs w:val="21"/>
                <w:highlight w:val="none"/>
                <w:lang w:val="en-US" w:eastAsia="zh-CN" w:bidi="ar-SA"/>
              </w:rPr>
              <w:t>0</w:t>
            </w:r>
          </w:p>
        </w:tc>
        <w:tc>
          <w:tcPr>
            <w:tcW w:w="1772" w:type="dxa"/>
            <w:tcBorders>
              <w:tl2br w:val="nil"/>
              <w:tr2bl w:val="nil"/>
            </w:tcBorders>
            <w:vAlign w:val="center"/>
          </w:tcPr>
          <w:p w14:paraId="51FBBDB9">
            <w:pPr>
              <w:pStyle w:val="656"/>
              <w:keepNext w:val="0"/>
              <w:keepLines w:val="0"/>
              <w:pageBreakBefore w:val="0"/>
              <w:kinsoku/>
              <w:wordWrap/>
              <w:overflowPunct/>
              <w:topLinePunct w:val="0"/>
              <w:autoSpaceDE/>
              <w:autoSpaceDN/>
              <w:bidi w:val="0"/>
              <w:adjustRightInd w:val="0"/>
              <w:snapToGrid w:val="0"/>
              <w:rPr>
                <w:rFonts w:hint="eastAsia" w:eastAsia="宋体"/>
                <w:color w:val="auto"/>
                <w:spacing w:val="0"/>
                <w:kern w:val="0"/>
                <w:sz w:val="21"/>
                <w:szCs w:val="21"/>
                <w:lang w:val="en-US" w:eastAsia="zh-CN" w:bidi="ar"/>
              </w:rPr>
            </w:pPr>
            <w:r>
              <w:rPr>
                <w:rFonts w:hint="eastAsia" w:eastAsia="宋体"/>
                <w:color w:val="auto"/>
                <w:sz w:val="21"/>
                <w:szCs w:val="21"/>
                <w:lang w:val="en-US" w:eastAsia="zh-CN"/>
              </w:rPr>
              <w:t>0.0573</w:t>
            </w:r>
          </w:p>
        </w:tc>
        <w:tc>
          <w:tcPr>
            <w:tcW w:w="1228" w:type="dxa"/>
            <w:tcBorders>
              <w:tl2br w:val="nil"/>
              <w:tr2bl w:val="nil"/>
            </w:tcBorders>
            <w:vAlign w:val="center"/>
          </w:tcPr>
          <w:p w14:paraId="05DC42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eastAsia="宋体"/>
                <w:color w:val="auto"/>
                <w:spacing w:val="0"/>
                <w:kern w:val="0"/>
                <w:sz w:val="21"/>
                <w:szCs w:val="21"/>
                <w:lang w:val="en-US" w:eastAsia="zh-CN" w:bidi="ar"/>
              </w:rPr>
            </w:pPr>
            <w:r>
              <w:rPr>
                <w:rFonts w:hint="eastAsia" w:ascii="Times New Roman" w:hAnsi="Times New Roman" w:cs="Times New Roman"/>
                <w:i w:val="0"/>
                <w:iCs w:val="0"/>
                <w:snapToGrid w:val="0"/>
                <w:color w:val="auto"/>
                <w:kern w:val="0"/>
                <w:sz w:val="21"/>
                <w:szCs w:val="21"/>
                <w:u w:val="none"/>
                <w:lang w:val="en-US" w:eastAsia="zh-CN" w:bidi="ar"/>
              </w:rPr>
              <w:t>+</w:t>
            </w:r>
            <w:r>
              <w:rPr>
                <w:rFonts w:hint="default" w:ascii="Times New Roman" w:hAnsi="Times New Roman" w:eastAsia="宋体" w:cs="Times New Roman"/>
                <w:i w:val="0"/>
                <w:iCs w:val="0"/>
                <w:snapToGrid w:val="0"/>
                <w:color w:val="auto"/>
                <w:kern w:val="0"/>
                <w:sz w:val="21"/>
                <w:szCs w:val="21"/>
                <w:u w:val="none"/>
                <w:lang w:val="en-US" w:eastAsia="zh-CN" w:bidi="ar"/>
              </w:rPr>
              <w:t>0.0573</w:t>
            </w:r>
          </w:p>
        </w:tc>
      </w:tr>
      <w:tr w14:paraId="323CBE0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5D2F3D98">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330" w:type="pct"/>
            <w:vMerge w:val="continue"/>
            <w:tcBorders>
              <w:tl2br w:val="nil"/>
              <w:tr2bl w:val="nil"/>
            </w:tcBorders>
            <w:vAlign w:val="center"/>
          </w:tcPr>
          <w:p w14:paraId="010009C6">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hint="eastAsia" w:ascii="Times New Roman" w:eastAsia="宋体"/>
                <w:color w:val="auto"/>
                <w:spacing w:val="0"/>
                <w:kern w:val="0"/>
                <w:sz w:val="21"/>
                <w:szCs w:val="21"/>
              </w:rPr>
            </w:pPr>
          </w:p>
        </w:tc>
        <w:tc>
          <w:tcPr>
            <w:tcW w:w="559" w:type="pct"/>
            <w:tcBorders>
              <w:tl2br w:val="nil"/>
              <w:tr2bl w:val="nil"/>
            </w:tcBorders>
            <w:vAlign w:val="center"/>
          </w:tcPr>
          <w:p w14:paraId="288A3236">
            <w:pPr>
              <w:pStyle w:val="656"/>
              <w:keepNext w:val="0"/>
              <w:keepLines w:val="0"/>
              <w:pageBreakBefore w:val="0"/>
              <w:kinsoku/>
              <w:wordWrap/>
              <w:overflowPunct/>
              <w:topLinePunct w:val="0"/>
              <w:autoSpaceDE/>
              <w:autoSpaceDN/>
              <w:bidi w:val="0"/>
              <w:adjustRightInd w:val="0"/>
              <w:snapToGrid w:val="0"/>
              <w:rPr>
                <w:color w:val="auto"/>
                <w:spacing w:val="0"/>
                <w:kern w:val="0"/>
              </w:rPr>
            </w:pPr>
            <w:r>
              <w:rPr>
                <w:rFonts w:hint="eastAsia" w:eastAsia="宋体"/>
                <w:color w:val="auto"/>
                <w:sz w:val="21"/>
                <w:szCs w:val="21"/>
                <w:lang w:val="en-US" w:eastAsia="zh-CN"/>
              </w:rPr>
              <w:t>三甲苯</w:t>
            </w:r>
          </w:p>
        </w:tc>
        <w:tc>
          <w:tcPr>
            <w:tcW w:w="1116" w:type="dxa"/>
            <w:tcBorders>
              <w:tl2br w:val="nil"/>
              <w:tr2bl w:val="nil"/>
            </w:tcBorders>
            <w:vAlign w:val="center"/>
          </w:tcPr>
          <w:p w14:paraId="52633E3B">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sz w:val="21"/>
                <w:szCs w:val="21"/>
                <w:lang w:val="en-US" w:eastAsia="zh-CN"/>
              </w:rPr>
            </w:pPr>
            <w:r>
              <w:rPr>
                <w:rFonts w:hint="eastAsia" w:cs="Times New Roman"/>
                <w:b w:val="0"/>
                <w:bCs w:val="0"/>
                <w:color w:val="auto"/>
                <w:spacing w:val="0"/>
                <w:kern w:val="0"/>
                <w:sz w:val="21"/>
                <w:szCs w:val="21"/>
                <w:highlight w:val="none"/>
                <w:lang w:val="en-US" w:eastAsia="zh-CN" w:bidi="ar-SA"/>
              </w:rPr>
              <w:t>0</w:t>
            </w:r>
          </w:p>
        </w:tc>
        <w:tc>
          <w:tcPr>
            <w:tcW w:w="448" w:type="pct"/>
            <w:tcBorders>
              <w:tl2br w:val="nil"/>
              <w:tr2bl w:val="nil"/>
            </w:tcBorders>
            <w:vAlign w:val="center"/>
          </w:tcPr>
          <w:p w14:paraId="4D642BB6">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w:t>
            </w:r>
          </w:p>
        </w:tc>
        <w:tc>
          <w:tcPr>
            <w:tcW w:w="498" w:type="pct"/>
            <w:tcBorders>
              <w:tl2br w:val="nil"/>
              <w:tr2bl w:val="nil"/>
            </w:tcBorders>
            <w:vAlign w:val="center"/>
          </w:tcPr>
          <w:p w14:paraId="4BAA79DA">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w:t>
            </w:r>
          </w:p>
        </w:tc>
        <w:tc>
          <w:tcPr>
            <w:tcW w:w="1730" w:type="dxa"/>
            <w:tcBorders>
              <w:tl2br w:val="nil"/>
              <w:tr2bl w:val="nil"/>
            </w:tcBorders>
            <w:vAlign w:val="center"/>
          </w:tcPr>
          <w:p w14:paraId="225B0F67">
            <w:pPr>
              <w:pStyle w:val="656"/>
              <w:keepNext w:val="0"/>
              <w:keepLines w:val="0"/>
              <w:pageBreakBefore w:val="0"/>
              <w:kinsoku/>
              <w:wordWrap/>
              <w:overflowPunct/>
              <w:topLinePunct w:val="0"/>
              <w:autoSpaceDE/>
              <w:autoSpaceDN/>
              <w:bidi w:val="0"/>
              <w:adjustRightInd w:val="0"/>
              <w:snapToGrid w:val="0"/>
              <w:rPr>
                <w:rFonts w:hint="eastAsia" w:eastAsia="宋体"/>
                <w:color w:val="auto"/>
                <w:spacing w:val="0"/>
                <w:kern w:val="0"/>
                <w:sz w:val="21"/>
                <w:szCs w:val="21"/>
                <w:lang w:val="en-US" w:eastAsia="zh-CN" w:bidi="ar"/>
              </w:rPr>
            </w:pPr>
            <w:r>
              <w:rPr>
                <w:rFonts w:hint="eastAsia" w:eastAsia="宋体"/>
                <w:color w:val="auto"/>
                <w:sz w:val="21"/>
                <w:szCs w:val="21"/>
                <w:lang w:val="en-US" w:eastAsia="zh-CN"/>
              </w:rPr>
              <w:t>0.002205</w:t>
            </w:r>
          </w:p>
        </w:tc>
        <w:tc>
          <w:tcPr>
            <w:tcW w:w="1609" w:type="dxa"/>
            <w:tcBorders>
              <w:tl2br w:val="nil"/>
              <w:tr2bl w:val="nil"/>
            </w:tcBorders>
            <w:vAlign w:val="center"/>
          </w:tcPr>
          <w:p w14:paraId="52ED3992">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s="Times New Roman"/>
                <w:b w:val="0"/>
                <w:bCs w:val="0"/>
                <w:color w:val="auto"/>
                <w:spacing w:val="0"/>
                <w:kern w:val="0"/>
                <w:sz w:val="21"/>
                <w:szCs w:val="21"/>
                <w:highlight w:val="none"/>
                <w:lang w:val="en-US" w:eastAsia="zh-CN" w:bidi="ar-SA"/>
              </w:rPr>
              <w:t>0</w:t>
            </w:r>
          </w:p>
        </w:tc>
        <w:tc>
          <w:tcPr>
            <w:tcW w:w="1772" w:type="dxa"/>
            <w:tcBorders>
              <w:tl2br w:val="nil"/>
              <w:tr2bl w:val="nil"/>
            </w:tcBorders>
            <w:vAlign w:val="center"/>
          </w:tcPr>
          <w:p w14:paraId="786C5470">
            <w:pPr>
              <w:pStyle w:val="656"/>
              <w:keepNext w:val="0"/>
              <w:keepLines w:val="0"/>
              <w:pageBreakBefore w:val="0"/>
              <w:kinsoku/>
              <w:wordWrap/>
              <w:overflowPunct/>
              <w:topLinePunct w:val="0"/>
              <w:autoSpaceDE/>
              <w:autoSpaceDN/>
              <w:bidi w:val="0"/>
              <w:adjustRightInd w:val="0"/>
              <w:snapToGrid w:val="0"/>
              <w:rPr>
                <w:rFonts w:hint="eastAsia" w:eastAsia="宋体"/>
                <w:color w:val="auto"/>
                <w:spacing w:val="0"/>
                <w:kern w:val="0"/>
                <w:sz w:val="21"/>
                <w:szCs w:val="21"/>
                <w:lang w:val="en-US" w:eastAsia="zh-CN" w:bidi="ar"/>
              </w:rPr>
            </w:pPr>
            <w:r>
              <w:rPr>
                <w:rFonts w:hint="eastAsia" w:eastAsia="宋体"/>
                <w:color w:val="auto"/>
                <w:sz w:val="21"/>
                <w:szCs w:val="21"/>
                <w:lang w:val="en-US" w:eastAsia="zh-CN"/>
              </w:rPr>
              <w:t>0.002205</w:t>
            </w:r>
          </w:p>
        </w:tc>
        <w:tc>
          <w:tcPr>
            <w:tcW w:w="1228" w:type="dxa"/>
            <w:tcBorders>
              <w:tl2br w:val="nil"/>
              <w:tr2bl w:val="nil"/>
            </w:tcBorders>
            <w:vAlign w:val="center"/>
          </w:tcPr>
          <w:p w14:paraId="22AF7D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eastAsia="宋体"/>
                <w:color w:val="auto"/>
                <w:spacing w:val="0"/>
                <w:kern w:val="0"/>
                <w:sz w:val="21"/>
                <w:szCs w:val="21"/>
                <w:lang w:val="en-US" w:eastAsia="zh-CN" w:bidi="ar"/>
              </w:rPr>
            </w:pPr>
            <w:r>
              <w:rPr>
                <w:rFonts w:hint="eastAsia" w:ascii="Times New Roman" w:hAnsi="Times New Roman" w:cs="Times New Roman"/>
                <w:i w:val="0"/>
                <w:iCs w:val="0"/>
                <w:snapToGrid w:val="0"/>
                <w:color w:val="auto"/>
                <w:kern w:val="0"/>
                <w:sz w:val="21"/>
                <w:szCs w:val="21"/>
                <w:u w:val="none"/>
                <w:lang w:val="en-US" w:eastAsia="zh-CN" w:bidi="ar"/>
              </w:rPr>
              <w:t>+</w:t>
            </w:r>
            <w:r>
              <w:rPr>
                <w:rFonts w:hint="default" w:ascii="Times New Roman" w:hAnsi="Times New Roman" w:eastAsia="宋体" w:cs="Times New Roman"/>
                <w:i w:val="0"/>
                <w:iCs w:val="0"/>
                <w:snapToGrid w:val="0"/>
                <w:color w:val="auto"/>
                <w:kern w:val="0"/>
                <w:sz w:val="21"/>
                <w:szCs w:val="21"/>
                <w:u w:val="none"/>
                <w:lang w:val="en-US" w:eastAsia="zh-CN" w:bidi="ar"/>
              </w:rPr>
              <w:t>0.002205</w:t>
            </w:r>
          </w:p>
        </w:tc>
      </w:tr>
      <w:tr w14:paraId="5BF0225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61D4BD4E">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330" w:type="pct"/>
            <w:vMerge w:val="continue"/>
            <w:tcBorders>
              <w:tl2br w:val="nil"/>
              <w:tr2bl w:val="nil"/>
            </w:tcBorders>
            <w:vAlign w:val="center"/>
          </w:tcPr>
          <w:p w14:paraId="362D93D0">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hint="eastAsia" w:ascii="Times New Roman" w:eastAsia="宋体"/>
                <w:color w:val="auto"/>
                <w:spacing w:val="0"/>
                <w:kern w:val="0"/>
                <w:sz w:val="21"/>
                <w:szCs w:val="21"/>
              </w:rPr>
            </w:pPr>
          </w:p>
        </w:tc>
        <w:tc>
          <w:tcPr>
            <w:tcW w:w="559" w:type="pct"/>
            <w:tcBorders>
              <w:tl2br w:val="nil"/>
              <w:tr2bl w:val="nil"/>
            </w:tcBorders>
            <w:vAlign w:val="center"/>
          </w:tcPr>
          <w:p w14:paraId="49B4D0D1">
            <w:pPr>
              <w:pStyle w:val="656"/>
              <w:keepNext w:val="0"/>
              <w:keepLines w:val="0"/>
              <w:pageBreakBefore w:val="0"/>
              <w:kinsoku/>
              <w:wordWrap/>
              <w:overflowPunct/>
              <w:topLinePunct w:val="0"/>
              <w:autoSpaceDE/>
              <w:autoSpaceDN/>
              <w:bidi w:val="0"/>
              <w:adjustRightInd w:val="0"/>
              <w:snapToGrid w:val="0"/>
              <w:rPr>
                <w:color w:val="auto"/>
                <w:spacing w:val="0"/>
                <w:kern w:val="0"/>
              </w:rPr>
            </w:pPr>
            <w:r>
              <w:rPr>
                <w:rFonts w:hint="eastAsia" w:eastAsia="宋体"/>
                <w:color w:val="auto"/>
                <w:sz w:val="21"/>
                <w:szCs w:val="21"/>
                <w:lang w:val="en-US" w:eastAsia="zh-CN"/>
              </w:rPr>
              <w:t>颗粒物</w:t>
            </w:r>
          </w:p>
        </w:tc>
        <w:tc>
          <w:tcPr>
            <w:tcW w:w="1116" w:type="dxa"/>
            <w:tcBorders>
              <w:tl2br w:val="nil"/>
              <w:tr2bl w:val="nil"/>
            </w:tcBorders>
            <w:vAlign w:val="center"/>
          </w:tcPr>
          <w:p w14:paraId="2823946A">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sz w:val="21"/>
                <w:szCs w:val="21"/>
                <w:lang w:val="en-US" w:eastAsia="zh-CN"/>
              </w:rPr>
            </w:pPr>
            <w:r>
              <w:rPr>
                <w:rFonts w:hint="eastAsia" w:cs="Times New Roman"/>
                <w:b w:val="0"/>
                <w:bCs w:val="0"/>
                <w:color w:val="auto"/>
                <w:spacing w:val="0"/>
                <w:kern w:val="0"/>
                <w:sz w:val="21"/>
                <w:szCs w:val="21"/>
                <w:highlight w:val="none"/>
                <w:lang w:val="en-US" w:eastAsia="zh-CN"/>
              </w:rPr>
              <w:t>0.106</w:t>
            </w:r>
          </w:p>
        </w:tc>
        <w:tc>
          <w:tcPr>
            <w:tcW w:w="448" w:type="pct"/>
            <w:tcBorders>
              <w:tl2br w:val="nil"/>
              <w:tr2bl w:val="nil"/>
            </w:tcBorders>
            <w:vAlign w:val="center"/>
          </w:tcPr>
          <w:p w14:paraId="5853CCD6">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w:t>
            </w:r>
          </w:p>
        </w:tc>
        <w:tc>
          <w:tcPr>
            <w:tcW w:w="498" w:type="pct"/>
            <w:tcBorders>
              <w:tl2br w:val="nil"/>
              <w:tr2bl w:val="nil"/>
            </w:tcBorders>
            <w:vAlign w:val="center"/>
          </w:tcPr>
          <w:p w14:paraId="3A4D6188">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w:t>
            </w:r>
          </w:p>
        </w:tc>
        <w:tc>
          <w:tcPr>
            <w:tcW w:w="1730" w:type="dxa"/>
            <w:tcBorders>
              <w:tl2br w:val="nil"/>
              <w:tr2bl w:val="nil"/>
            </w:tcBorders>
            <w:vAlign w:val="center"/>
          </w:tcPr>
          <w:p w14:paraId="26E30EC6">
            <w:pPr>
              <w:pStyle w:val="656"/>
              <w:keepNext w:val="0"/>
              <w:keepLines w:val="0"/>
              <w:pageBreakBefore w:val="0"/>
              <w:kinsoku/>
              <w:wordWrap/>
              <w:overflowPunct/>
              <w:topLinePunct w:val="0"/>
              <w:autoSpaceDE/>
              <w:autoSpaceDN/>
              <w:bidi w:val="0"/>
              <w:adjustRightInd w:val="0"/>
              <w:snapToGrid w:val="0"/>
              <w:rPr>
                <w:rFonts w:hint="default" w:eastAsia="宋体"/>
                <w:color w:val="auto"/>
                <w:spacing w:val="0"/>
                <w:kern w:val="0"/>
                <w:sz w:val="21"/>
                <w:szCs w:val="21"/>
                <w:lang w:val="en-US" w:eastAsia="zh-CN" w:bidi="ar"/>
              </w:rPr>
            </w:pPr>
            <w:r>
              <w:rPr>
                <w:rFonts w:hint="eastAsia" w:eastAsia="宋体"/>
                <w:color w:val="auto"/>
                <w:sz w:val="21"/>
                <w:szCs w:val="21"/>
                <w:lang w:val="en-US" w:eastAsia="zh-CN"/>
              </w:rPr>
              <w:t>0.019655</w:t>
            </w:r>
          </w:p>
        </w:tc>
        <w:tc>
          <w:tcPr>
            <w:tcW w:w="1609" w:type="dxa"/>
            <w:tcBorders>
              <w:tl2br w:val="nil"/>
              <w:tr2bl w:val="nil"/>
            </w:tcBorders>
            <w:vAlign w:val="center"/>
          </w:tcPr>
          <w:p w14:paraId="46A9F523">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s="Times New Roman"/>
                <w:b w:val="0"/>
                <w:bCs w:val="0"/>
                <w:color w:val="auto"/>
                <w:spacing w:val="0"/>
                <w:kern w:val="0"/>
                <w:sz w:val="21"/>
                <w:szCs w:val="21"/>
                <w:highlight w:val="none"/>
                <w:lang w:val="en-US" w:eastAsia="zh-CN"/>
              </w:rPr>
              <w:t>0.106</w:t>
            </w:r>
          </w:p>
        </w:tc>
        <w:tc>
          <w:tcPr>
            <w:tcW w:w="1772" w:type="dxa"/>
            <w:tcBorders>
              <w:tl2br w:val="nil"/>
              <w:tr2bl w:val="nil"/>
            </w:tcBorders>
            <w:vAlign w:val="center"/>
          </w:tcPr>
          <w:p w14:paraId="528F1517">
            <w:pPr>
              <w:pStyle w:val="656"/>
              <w:keepNext w:val="0"/>
              <w:keepLines w:val="0"/>
              <w:pageBreakBefore w:val="0"/>
              <w:kinsoku/>
              <w:wordWrap/>
              <w:overflowPunct/>
              <w:topLinePunct w:val="0"/>
              <w:autoSpaceDE/>
              <w:autoSpaceDN/>
              <w:bidi w:val="0"/>
              <w:adjustRightInd w:val="0"/>
              <w:snapToGrid w:val="0"/>
              <w:rPr>
                <w:rFonts w:hint="eastAsia" w:eastAsia="宋体"/>
                <w:color w:val="auto"/>
                <w:spacing w:val="0"/>
                <w:kern w:val="0"/>
                <w:sz w:val="21"/>
                <w:szCs w:val="21"/>
                <w:lang w:val="en-US" w:eastAsia="zh-CN" w:bidi="ar"/>
              </w:rPr>
            </w:pPr>
            <w:r>
              <w:rPr>
                <w:rFonts w:hint="eastAsia" w:eastAsia="宋体"/>
                <w:color w:val="auto"/>
                <w:sz w:val="21"/>
                <w:szCs w:val="21"/>
                <w:lang w:val="en-US" w:eastAsia="zh-CN"/>
              </w:rPr>
              <w:t>0.019655</w:t>
            </w:r>
          </w:p>
        </w:tc>
        <w:tc>
          <w:tcPr>
            <w:tcW w:w="1228" w:type="dxa"/>
            <w:tcBorders>
              <w:tl2br w:val="nil"/>
              <w:tr2bl w:val="nil"/>
            </w:tcBorders>
            <w:vAlign w:val="center"/>
          </w:tcPr>
          <w:p w14:paraId="7EB4F2E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eastAsia="宋体"/>
                <w:color w:val="auto"/>
                <w:spacing w:val="0"/>
                <w:kern w:val="0"/>
                <w:sz w:val="21"/>
                <w:szCs w:val="21"/>
                <w:lang w:val="en-US" w:eastAsia="zh-CN" w:bidi="ar"/>
              </w:rPr>
            </w:pPr>
            <w:r>
              <w:rPr>
                <w:rFonts w:hint="default" w:ascii="Times New Roman" w:hAnsi="Times New Roman" w:eastAsia="宋体" w:cs="Times New Roman"/>
                <w:i w:val="0"/>
                <w:iCs w:val="0"/>
                <w:snapToGrid w:val="0"/>
                <w:color w:val="auto"/>
                <w:kern w:val="0"/>
                <w:sz w:val="21"/>
                <w:szCs w:val="21"/>
                <w:u w:val="none"/>
                <w:lang w:val="en-US" w:eastAsia="zh-CN" w:bidi="ar"/>
              </w:rPr>
              <w:t>-0.0</w:t>
            </w:r>
            <w:r>
              <w:rPr>
                <w:rFonts w:hint="eastAsia" w:cs="Times New Roman"/>
                <w:i w:val="0"/>
                <w:iCs w:val="0"/>
                <w:snapToGrid w:val="0"/>
                <w:color w:val="auto"/>
                <w:kern w:val="0"/>
                <w:sz w:val="21"/>
                <w:szCs w:val="21"/>
                <w:u w:val="none"/>
                <w:lang w:val="en-US" w:eastAsia="zh-CN" w:bidi="ar"/>
              </w:rPr>
              <w:t>86345</w:t>
            </w:r>
          </w:p>
        </w:tc>
      </w:tr>
      <w:tr w14:paraId="592F8CF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45FF27FC">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330" w:type="pct"/>
            <w:vMerge w:val="restart"/>
            <w:tcBorders>
              <w:tl2br w:val="nil"/>
              <w:tr2bl w:val="nil"/>
            </w:tcBorders>
            <w:vAlign w:val="center"/>
          </w:tcPr>
          <w:p w14:paraId="41F1B1B9">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r>
              <w:rPr>
                <w:rFonts w:ascii="Times New Roman" w:eastAsia="宋体"/>
                <w:color w:val="auto"/>
                <w:spacing w:val="0"/>
                <w:kern w:val="0"/>
                <w:sz w:val="21"/>
                <w:szCs w:val="21"/>
              </w:rPr>
              <w:t>无组织</w:t>
            </w:r>
          </w:p>
        </w:tc>
        <w:tc>
          <w:tcPr>
            <w:tcW w:w="559" w:type="pct"/>
            <w:tcBorders>
              <w:tl2br w:val="nil"/>
              <w:tr2bl w:val="nil"/>
            </w:tcBorders>
            <w:vAlign w:val="center"/>
          </w:tcPr>
          <w:p w14:paraId="56B849C2">
            <w:pPr>
              <w:keepNext w:val="0"/>
              <w:keepLines w:val="0"/>
              <w:pageBreakBefore w:val="0"/>
              <w:kinsoku/>
              <w:wordWrap/>
              <w:overflowPunct/>
              <w:topLinePunct w:val="0"/>
              <w:autoSpaceDE/>
              <w:autoSpaceDN/>
              <w:bidi w:val="0"/>
              <w:adjustRightInd w:val="0"/>
              <w:snapToGrid w:val="0"/>
              <w:jc w:val="center"/>
              <w:rPr>
                <w:color w:val="auto"/>
                <w:spacing w:val="0"/>
                <w:kern w:val="0"/>
              </w:rPr>
            </w:pPr>
            <w:r>
              <w:rPr>
                <w:color w:val="auto"/>
              </w:rPr>
              <w:t>非甲烷总烃</w:t>
            </w:r>
          </w:p>
        </w:tc>
        <w:tc>
          <w:tcPr>
            <w:tcW w:w="1116" w:type="dxa"/>
            <w:tcBorders>
              <w:tl2br w:val="nil"/>
              <w:tr2bl w:val="nil"/>
            </w:tcBorders>
            <w:vAlign w:val="center"/>
          </w:tcPr>
          <w:p w14:paraId="1DB52D9E">
            <w:pPr>
              <w:keepNext w:val="0"/>
              <w:keepLines w:val="0"/>
              <w:pageBreakBefore w:val="0"/>
              <w:widowControl/>
              <w:kinsoku/>
              <w:wordWrap/>
              <w:overflowPunct/>
              <w:topLinePunct w:val="0"/>
              <w:autoSpaceDE/>
              <w:autoSpaceDN/>
              <w:bidi w:val="0"/>
              <w:adjustRightInd w:val="0"/>
              <w:snapToGrid w:val="0"/>
              <w:jc w:val="center"/>
              <w:rPr>
                <w:color w:val="auto"/>
                <w:spacing w:val="0"/>
                <w:kern w:val="0"/>
                <w:sz w:val="21"/>
                <w:szCs w:val="21"/>
              </w:rPr>
            </w:pPr>
            <w:r>
              <w:rPr>
                <w:rFonts w:hint="eastAsia" w:cs="Times New Roman"/>
                <w:b w:val="0"/>
                <w:bCs w:val="0"/>
                <w:color w:val="auto"/>
                <w:spacing w:val="0"/>
                <w:kern w:val="0"/>
                <w:sz w:val="21"/>
                <w:szCs w:val="21"/>
                <w:highlight w:val="none"/>
                <w:lang w:val="en-US" w:eastAsia="zh-CN"/>
              </w:rPr>
              <w:t>0.044</w:t>
            </w:r>
          </w:p>
        </w:tc>
        <w:tc>
          <w:tcPr>
            <w:tcW w:w="448" w:type="pct"/>
            <w:tcBorders>
              <w:tl2br w:val="nil"/>
              <w:tr2bl w:val="nil"/>
            </w:tcBorders>
            <w:vAlign w:val="center"/>
          </w:tcPr>
          <w:p w14:paraId="75934F74">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498" w:type="pct"/>
            <w:tcBorders>
              <w:tl2br w:val="nil"/>
              <w:tr2bl w:val="nil"/>
            </w:tcBorders>
            <w:vAlign w:val="center"/>
          </w:tcPr>
          <w:p w14:paraId="4D02CF7F">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1730" w:type="dxa"/>
            <w:tcBorders>
              <w:tl2br w:val="nil"/>
              <w:tr2bl w:val="nil"/>
            </w:tcBorders>
            <w:vAlign w:val="center"/>
          </w:tcPr>
          <w:p w14:paraId="2745FC4D">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spacing w:val="0"/>
                <w:kern w:val="0"/>
                <w:sz w:val="21"/>
                <w:szCs w:val="21"/>
                <w:lang w:val="en-US" w:eastAsia="zh-CN"/>
              </w:rPr>
            </w:pPr>
            <w:r>
              <w:rPr>
                <w:rFonts w:hint="eastAsia" w:eastAsia="宋体" w:cs="Times New Roman"/>
                <w:b w:val="0"/>
                <w:bCs/>
                <w:color w:val="auto"/>
                <w:spacing w:val="0"/>
                <w:kern w:val="0"/>
                <w:sz w:val="21"/>
                <w:szCs w:val="21"/>
                <w:highlight w:val="none"/>
                <w:lang w:val="en-US" w:eastAsia="zh-CN" w:bidi="ar-SA"/>
              </w:rPr>
              <w:t>0.0</w:t>
            </w:r>
            <w:r>
              <w:rPr>
                <w:rFonts w:hint="eastAsia" w:cs="Times New Roman"/>
                <w:b w:val="0"/>
                <w:bCs/>
                <w:color w:val="auto"/>
                <w:spacing w:val="0"/>
                <w:kern w:val="0"/>
                <w:sz w:val="21"/>
                <w:szCs w:val="21"/>
                <w:highlight w:val="none"/>
                <w:lang w:val="en-US" w:eastAsia="zh-CN" w:bidi="ar-SA"/>
              </w:rPr>
              <w:t>518</w:t>
            </w:r>
          </w:p>
        </w:tc>
        <w:tc>
          <w:tcPr>
            <w:tcW w:w="1609" w:type="dxa"/>
            <w:tcBorders>
              <w:tl2br w:val="nil"/>
              <w:tr2bl w:val="nil"/>
            </w:tcBorders>
            <w:vAlign w:val="center"/>
          </w:tcPr>
          <w:p w14:paraId="5F4BF394">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s="Times New Roman"/>
                <w:b w:val="0"/>
                <w:bCs w:val="0"/>
                <w:color w:val="auto"/>
                <w:spacing w:val="0"/>
                <w:kern w:val="0"/>
                <w:sz w:val="21"/>
                <w:szCs w:val="21"/>
                <w:highlight w:val="none"/>
                <w:lang w:val="en-US" w:eastAsia="zh-CN"/>
              </w:rPr>
              <w:t>0.044</w:t>
            </w:r>
          </w:p>
        </w:tc>
        <w:tc>
          <w:tcPr>
            <w:tcW w:w="1772" w:type="dxa"/>
            <w:tcBorders>
              <w:tl2br w:val="nil"/>
              <w:tr2bl w:val="nil"/>
            </w:tcBorders>
            <w:vAlign w:val="center"/>
          </w:tcPr>
          <w:p w14:paraId="2826E524">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spacing w:val="0"/>
                <w:kern w:val="0"/>
                <w:lang w:val="en-US" w:eastAsia="zh-CN"/>
              </w:rPr>
            </w:pPr>
            <w:r>
              <w:rPr>
                <w:rFonts w:hint="eastAsia" w:eastAsia="宋体" w:cs="Times New Roman"/>
                <w:b w:val="0"/>
                <w:bCs/>
                <w:color w:val="auto"/>
                <w:spacing w:val="0"/>
                <w:kern w:val="0"/>
                <w:sz w:val="21"/>
                <w:szCs w:val="21"/>
                <w:highlight w:val="none"/>
                <w:lang w:val="en-US" w:eastAsia="zh-CN" w:bidi="ar-SA"/>
              </w:rPr>
              <w:t>0.0</w:t>
            </w:r>
            <w:r>
              <w:rPr>
                <w:rFonts w:hint="eastAsia" w:cs="Times New Roman"/>
                <w:b w:val="0"/>
                <w:bCs/>
                <w:color w:val="auto"/>
                <w:spacing w:val="0"/>
                <w:kern w:val="0"/>
                <w:sz w:val="21"/>
                <w:szCs w:val="21"/>
                <w:highlight w:val="none"/>
                <w:lang w:val="en-US" w:eastAsia="zh-CN" w:bidi="ar-SA"/>
              </w:rPr>
              <w:t>518</w:t>
            </w:r>
          </w:p>
        </w:tc>
        <w:tc>
          <w:tcPr>
            <w:tcW w:w="1228" w:type="dxa"/>
            <w:tcBorders>
              <w:tl2br w:val="nil"/>
              <w:tr2bl w:val="nil"/>
            </w:tcBorders>
            <w:vAlign w:val="center"/>
          </w:tcPr>
          <w:p w14:paraId="22600A4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eastAsia="宋体"/>
                <w:color w:val="auto"/>
                <w:spacing w:val="0"/>
                <w:kern w:val="0"/>
                <w:lang w:val="en-US"/>
              </w:rPr>
            </w:pPr>
            <w:r>
              <w:rPr>
                <w:rFonts w:hint="eastAsia" w:ascii="Times New Roman" w:hAnsi="Times New Roman" w:cs="Times New Roman"/>
                <w:i w:val="0"/>
                <w:iCs w:val="0"/>
                <w:snapToGrid w:val="0"/>
                <w:color w:val="auto"/>
                <w:kern w:val="0"/>
                <w:sz w:val="21"/>
                <w:szCs w:val="21"/>
                <w:u w:val="none"/>
                <w:lang w:val="en-US" w:eastAsia="zh-CN" w:bidi="ar"/>
              </w:rPr>
              <w:t>+</w:t>
            </w:r>
            <w:r>
              <w:rPr>
                <w:rFonts w:hint="default" w:ascii="Times New Roman" w:hAnsi="Times New Roman" w:eastAsia="宋体" w:cs="Times New Roman"/>
                <w:i w:val="0"/>
                <w:iCs w:val="0"/>
                <w:snapToGrid w:val="0"/>
                <w:color w:val="auto"/>
                <w:kern w:val="0"/>
                <w:sz w:val="21"/>
                <w:szCs w:val="21"/>
                <w:u w:val="none"/>
                <w:lang w:val="en-US" w:eastAsia="zh-CN" w:bidi="ar"/>
              </w:rPr>
              <w:t>0.00</w:t>
            </w:r>
            <w:r>
              <w:rPr>
                <w:rFonts w:hint="eastAsia" w:cs="Times New Roman"/>
                <w:i w:val="0"/>
                <w:iCs w:val="0"/>
                <w:snapToGrid w:val="0"/>
                <w:color w:val="auto"/>
                <w:kern w:val="0"/>
                <w:sz w:val="21"/>
                <w:szCs w:val="21"/>
                <w:u w:val="none"/>
                <w:lang w:val="en-US" w:eastAsia="zh-CN" w:bidi="ar"/>
              </w:rPr>
              <w:t>78</w:t>
            </w:r>
          </w:p>
        </w:tc>
      </w:tr>
      <w:tr w14:paraId="4FCDDB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00C12BE7">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330" w:type="pct"/>
            <w:vMerge w:val="continue"/>
            <w:tcBorders>
              <w:tl2br w:val="nil"/>
              <w:tr2bl w:val="nil"/>
            </w:tcBorders>
            <w:vAlign w:val="center"/>
          </w:tcPr>
          <w:p w14:paraId="1DA37A4E">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559" w:type="pct"/>
            <w:tcBorders>
              <w:tl2br w:val="nil"/>
              <w:tr2bl w:val="nil"/>
            </w:tcBorders>
            <w:vAlign w:val="center"/>
          </w:tcPr>
          <w:p w14:paraId="1EBBA4DB">
            <w:pPr>
              <w:pStyle w:val="656"/>
              <w:keepNext w:val="0"/>
              <w:keepLines w:val="0"/>
              <w:pageBreakBefore w:val="0"/>
              <w:kinsoku/>
              <w:wordWrap/>
              <w:overflowPunct/>
              <w:topLinePunct w:val="0"/>
              <w:autoSpaceDE/>
              <w:autoSpaceDN/>
              <w:bidi w:val="0"/>
              <w:adjustRightInd w:val="0"/>
              <w:snapToGrid w:val="0"/>
              <w:rPr>
                <w:color w:val="auto"/>
                <w:spacing w:val="0"/>
                <w:kern w:val="0"/>
              </w:rPr>
            </w:pPr>
            <w:r>
              <w:rPr>
                <w:rFonts w:hint="eastAsia" w:eastAsia="宋体"/>
                <w:color w:val="auto"/>
                <w:sz w:val="21"/>
                <w:szCs w:val="21"/>
                <w:lang w:val="en-US" w:eastAsia="zh-CN"/>
              </w:rPr>
              <w:t>苯系物</w:t>
            </w:r>
          </w:p>
        </w:tc>
        <w:tc>
          <w:tcPr>
            <w:tcW w:w="1116" w:type="dxa"/>
            <w:tcBorders>
              <w:tl2br w:val="nil"/>
              <w:tr2bl w:val="nil"/>
            </w:tcBorders>
            <w:vAlign w:val="center"/>
          </w:tcPr>
          <w:p w14:paraId="5ED0BD1B">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sz w:val="21"/>
                <w:szCs w:val="21"/>
                <w:lang w:val="en-US" w:eastAsia="zh-CN"/>
              </w:rPr>
            </w:pPr>
            <w:r>
              <w:rPr>
                <w:rFonts w:hint="eastAsia" w:cs="Times New Roman"/>
                <w:b w:val="0"/>
                <w:bCs w:val="0"/>
                <w:color w:val="auto"/>
                <w:spacing w:val="0"/>
                <w:kern w:val="0"/>
                <w:sz w:val="21"/>
                <w:szCs w:val="21"/>
                <w:highlight w:val="none"/>
                <w:lang w:val="en-US" w:eastAsia="zh-CN" w:bidi="ar-SA"/>
              </w:rPr>
              <w:t>0</w:t>
            </w:r>
          </w:p>
        </w:tc>
        <w:tc>
          <w:tcPr>
            <w:tcW w:w="448" w:type="pct"/>
            <w:tcBorders>
              <w:tl2br w:val="nil"/>
              <w:tr2bl w:val="nil"/>
            </w:tcBorders>
            <w:vAlign w:val="center"/>
          </w:tcPr>
          <w:p w14:paraId="15709F6E">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w:t>
            </w:r>
          </w:p>
        </w:tc>
        <w:tc>
          <w:tcPr>
            <w:tcW w:w="498" w:type="pct"/>
            <w:tcBorders>
              <w:tl2br w:val="nil"/>
              <w:tr2bl w:val="nil"/>
            </w:tcBorders>
            <w:vAlign w:val="center"/>
          </w:tcPr>
          <w:p w14:paraId="06F9607D">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w:t>
            </w:r>
          </w:p>
        </w:tc>
        <w:tc>
          <w:tcPr>
            <w:tcW w:w="1730" w:type="dxa"/>
            <w:tcBorders>
              <w:tl2br w:val="nil"/>
              <w:tr2bl w:val="nil"/>
            </w:tcBorders>
            <w:vAlign w:val="center"/>
          </w:tcPr>
          <w:p w14:paraId="55F10C46">
            <w:pPr>
              <w:pStyle w:val="656"/>
              <w:keepNext w:val="0"/>
              <w:keepLines w:val="0"/>
              <w:pageBreakBefore w:val="0"/>
              <w:kinsoku/>
              <w:wordWrap/>
              <w:overflowPunct/>
              <w:topLinePunct w:val="0"/>
              <w:autoSpaceDE/>
              <w:autoSpaceDN/>
              <w:bidi w:val="0"/>
              <w:adjustRightInd w:val="0"/>
              <w:snapToGrid w:val="0"/>
              <w:rPr>
                <w:rFonts w:hint="eastAsia" w:eastAsia="宋体"/>
                <w:color w:val="auto"/>
                <w:spacing w:val="0"/>
                <w:kern w:val="0"/>
                <w:sz w:val="21"/>
                <w:szCs w:val="21"/>
                <w:lang w:val="en-US" w:eastAsia="zh-CN"/>
              </w:rPr>
            </w:pPr>
            <w:r>
              <w:rPr>
                <w:rFonts w:hint="eastAsia" w:eastAsia="宋体"/>
                <w:color w:val="auto"/>
                <w:sz w:val="21"/>
                <w:szCs w:val="21"/>
                <w:lang w:val="en-US" w:eastAsia="zh-CN"/>
              </w:rPr>
              <w:t>0.0121</w:t>
            </w:r>
          </w:p>
        </w:tc>
        <w:tc>
          <w:tcPr>
            <w:tcW w:w="1609" w:type="dxa"/>
            <w:tcBorders>
              <w:tl2br w:val="nil"/>
              <w:tr2bl w:val="nil"/>
            </w:tcBorders>
            <w:vAlign w:val="center"/>
          </w:tcPr>
          <w:p w14:paraId="6CE0BA10">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s="Times New Roman"/>
                <w:b w:val="0"/>
                <w:bCs w:val="0"/>
                <w:color w:val="auto"/>
                <w:spacing w:val="0"/>
                <w:kern w:val="0"/>
                <w:sz w:val="21"/>
                <w:szCs w:val="21"/>
                <w:highlight w:val="none"/>
                <w:lang w:val="en-US" w:eastAsia="zh-CN" w:bidi="ar-SA"/>
              </w:rPr>
              <w:t>0</w:t>
            </w:r>
          </w:p>
        </w:tc>
        <w:tc>
          <w:tcPr>
            <w:tcW w:w="1772" w:type="dxa"/>
            <w:tcBorders>
              <w:tl2br w:val="nil"/>
              <w:tr2bl w:val="nil"/>
            </w:tcBorders>
            <w:vAlign w:val="center"/>
          </w:tcPr>
          <w:p w14:paraId="71F2CB72">
            <w:pPr>
              <w:pStyle w:val="656"/>
              <w:keepNext w:val="0"/>
              <w:keepLines w:val="0"/>
              <w:pageBreakBefore w:val="0"/>
              <w:kinsoku/>
              <w:wordWrap/>
              <w:overflowPunct/>
              <w:topLinePunct w:val="0"/>
              <w:autoSpaceDE/>
              <w:autoSpaceDN/>
              <w:bidi w:val="0"/>
              <w:adjustRightInd w:val="0"/>
              <w:snapToGrid w:val="0"/>
              <w:rPr>
                <w:rFonts w:hint="eastAsia" w:eastAsia="宋体"/>
                <w:color w:val="auto"/>
                <w:spacing w:val="0"/>
                <w:kern w:val="0"/>
                <w:lang w:val="en-US" w:eastAsia="zh-CN"/>
              </w:rPr>
            </w:pPr>
            <w:r>
              <w:rPr>
                <w:rFonts w:hint="eastAsia" w:eastAsia="宋体"/>
                <w:color w:val="auto"/>
                <w:sz w:val="21"/>
                <w:szCs w:val="21"/>
                <w:lang w:val="en-US" w:eastAsia="zh-CN"/>
              </w:rPr>
              <w:t>0.0121</w:t>
            </w:r>
          </w:p>
        </w:tc>
        <w:tc>
          <w:tcPr>
            <w:tcW w:w="1228" w:type="dxa"/>
            <w:tcBorders>
              <w:tl2br w:val="nil"/>
              <w:tr2bl w:val="nil"/>
            </w:tcBorders>
            <w:vAlign w:val="center"/>
          </w:tcPr>
          <w:p w14:paraId="2294F0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eastAsia="宋体"/>
                <w:color w:val="auto"/>
                <w:spacing w:val="0"/>
                <w:kern w:val="0"/>
                <w:lang w:val="en-US" w:eastAsia="zh-CN"/>
              </w:rPr>
            </w:pPr>
            <w:r>
              <w:rPr>
                <w:rFonts w:hint="eastAsia" w:ascii="Times New Roman" w:hAnsi="Times New Roman" w:cs="Times New Roman"/>
                <w:i w:val="0"/>
                <w:iCs w:val="0"/>
                <w:snapToGrid w:val="0"/>
                <w:color w:val="auto"/>
                <w:kern w:val="0"/>
                <w:sz w:val="21"/>
                <w:szCs w:val="21"/>
                <w:u w:val="none"/>
                <w:lang w:val="en-US" w:eastAsia="zh-CN" w:bidi="ar"/>
              </w:rPr>
              <w:t>+</w:t>
            </w:r>
            <w:r>
              <w:rPr>
                <w:rFonts w:hint="default" w:ascii="Times New Roman" w:hAnsi="Times New Roman" w:eastAsia="宋体" w:cs="Times New Roman"/>
                <w:i w:val="0"/>
                <w:iCs w:val="0"/>
                <w:snapToGrid w:val="0"/>
                <w:color w:val="auto"/>
                <w:kern w:val="0"/>
                <w:sz w:val="21"/>
                <w:szCs w:val="21"/>
                <w:u w:val="none"/>
                <w:lang w:val="en-US" w:eastAsia="zh-CN" w:bidi="ar"/>
              </w:rPr>
              <w:t>0.0121</w:t>
            </w:r>
          </w:p>
        </w:tc>
      </w:tr>
      <w:tr w14:paraId="4658F5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59CE852B">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330" w:type="pct"/>
            <w:vMerge w:val="continue"/>
            <w:tcBorders>
              <w:tl2br w:val="nil"/>
              <w:tr2bl w:val="nil"/>
            </w:tcBorders>
            <w:vAlign w:val="center"/>
          </w:tcPr>
          <w:p w14:paraId="5D2C0F34">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559" w:type="pct"/>
            <w:tcBorders>
              <w:tl2br w:val="nil"/>
              <w:tr2bl w:val="nil"/>
            </w:tcBorders>
            <w:vAlign w:val="center"/>
          </w:tcPr>
          <w:p w14:paraId="3DBA1AB7">
            <w:pPr>
              <w:pStyle w:val="656"/>
              <w:keepNext w:val="0"/>
              <w:keepLines w:val="0"/>
              <w:pageBreakBefore w:val="0"/>
              <w:kinsoku/>
              <w:wordWrap/>
              <w:overflowPunct/>
              <w:topLinePunct w:val="0"/>
              <w:autoSpaceDE/>
              <w:autoSpaceDN/>
              <w:bidi w:val="0"/>
              <w:adjustRightInd w:val="0"/>
              <w:snapToGrid w:val="0"/>
              <w:rPr>
                <w:color w:val="auto"/>
                <w:spacing w:val="0"/>
                <w:kern w:val="0"/>
              </w:rPr>
            </w:pPr>
            <w:r>
              <w:rPr>
                <w:rFonts w:hint="eastAsia" w:eastAsia="宋体"/>
                <w:color w:val="auto"/>
                <w:sz w:val="21"/>
                <w:szCs w:val="21"/>
                <w:lang w:val="en-US" w:eastAsia="zh-CN"/>
              </w:rPr>
              <w:t>二甲苯</w:t>
            </w:r>
          </w:p>
        </w:tc>
        <w:tc>
          <w:tcPr>
            <w:tcW w:w="1116" w:type="dxa"/>
            <w:tcBorders>
              <w:tl2br w:val="nil"/>
              <w:tr2bl w:val="nil"/>
            </w:tcBorders>
            <w:vAlign w:val="center"/>
          </w:tcPr>
          <w:p w14:paraId="5D5BBD14">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sz w:val="21"/>
                <w:szCs w:val="21"/>
                <w:lang w:val="en-US" w:eastAsia="zh-CN"/>
              </w:rPr>
            </w:pPr>
            <w:r>
              <w:rPr>
                <w:rFonts w:hint="eastAsia" w:cs="Times New Roman"/>
                <w:b w:val="0"/>
                <w:bCs w:val="0"/>
                <w:color w:val="auto"/>
                <w:spacing w:val="0"/>
                <w:kern w:val="0"/>
                <w:sz w:val="21"/>
                <w:szCs w:val="21"/>
                <w:highlight w:val="none"/>
                <w:lang w:val="en-US" w:eastAsia="zh-CN" w:bidi="ar-SA"/>
              </w:rPr>
              <w:t>0</w:t>
            </w:r>
          </w:p>
        </w:tc>
        <w:tc>
          <w:tcPr>
            <w:tcW w:w="448" w:type="pct"/>
            <w:tcBorders>
              <w:tl2br w:val="nil"/>
              <w:tr2bl w:val="nil"/>
            </w:tcBorders>
            <w:vAlign w:val="center"/>
          </w:tcPr>
          <w:p w14:paraId="29AACFAB">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w:t>
            </w:r>
          </w:p>
        </w:tc>
        <w:tc>
          <w:tcPr>
            <w:tcW w:w="498" w:type="pct"/>
            <w:tcBorders>
              <w:tl2br w:val="nil"/>
              <w:tr2bl w:val="nil"/>
            </w:tcBorders>
            <w:vAlign w:val="center"/>
          </w:tcPr>
          <w:p w14:paraId="48F6F0CD">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w:t>
            </w:r>
          </w:p>
        </w:tc>
        <w:tc>
          <w:tcPr>
            <w:tcW w:w="1730" w:type="dxa"/>
            <w:tcBorders>
              <w:tl2br w:val="nil"/>
              <w:tr2bl w:val="nil"/>
            </w:tcBorders>
            <w:vAlign w:val="center"/>
          </w:tcPr>
          <w:p w14:paraId="6B365EC3">
            <w:pPr>
              <w:pStyle w:val="656"/>
              <w:keepNext w:val="0"/>
              <w:keepLines w:val="0"/>
              <w:pageBreakBefore w:val="0"/>
              <w:kinsoku/>
              <w:wordWrap/>
              <w:overflowPunct/>
              <w:topLinePunct w:val="0"/>
              <w:autoSpaceDE/>
              <w:autoSpaceDN/>
              <w:bidi w:val="0"/>
              <w:adjustRightInd w:val="0"/>
              <w:snapToGrid w:val="0"/>
              <w:rPr>
                <w:rFonts w:hint="eastAsia" w:eastAsia="宋体"/>
                <w:color w:val="auto"/>
                <w:spacing w:val="0"/>
                <w:kern w:val="0"/>
                <w:sz w:val="21"/>
                <w:szCs w:val="21"/>
                <w:lang w:val="en-US" w:eastAsia="zh-CN"/>
              </w:rPr>
            </w:pPr>
            <w:r>
              <w:rPr>
                <w:rFonts w:hint="eastAsia" w:eastAsia="宋体"/>
                <w:color w:val="auto"/>
                <w:sz w:val="21"/>
                <w:szCs w:val="21"/>
                <w:lang w:val="en-US" w:eastAsia="zh-CN"/>
              </w:rPr>
              <w:t>0.012</w:t>
            </w:r>
          </w:p>
        </w:tc>
        <w:tc>
          <w:tcPr>
            <w:tcW w:w="1609" w:type="dxa"/>
            <w:tcBorders>
              <w:tl2br w:val="nil"/>
              <w:tr2bl w:val="nil"/>
            </w:tcBorders>
            <w:vAlign w:val="center"/>
          </w:tcPr>
          <w:p w14:paraId="6891BBF9">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s="Times New Roman"/>
                <w:b w:val="0"/>
                <w:bCs w:val="0"/>
                <w:color w:val="auto"/>
                <w:spacing w:val="0"/>
                <w:kern w:val="0"/>
                <w:sz w:val="21"/>
                <w:szCs w:val="21"/>
                <w:highlight w:val="none"/>
                <w:lang w:val="en-US" w:eastAsia="zh-CN" w:bidi="ar-SA"/>
              </w:rPr>
              <w:t>0</w:t>
            </w:r>
          </w:p>
        </w:tc>
        <w:tc>
          <w:tcPr>
            <w:tcW w:w="1772" w:type="dxa"/>
            <w:tcBorders>
              <w:tl2br w:val="nil"/>
              <w:tr2bl w:val="nil"/>
            </w:tcBorders>
            <w:vAlign w:val="center"/>
          </w:tcPr>
          <w:p w14:paraId="70F2DC40">
            <w:pPr>
              <w:pStyle w:val="656"/>
              <w:keepNext w:val="0"/>
              <w:keepLines w:val="0"/>
              <w:pageBreakBefore w:val="0"/>
              <w:kinsoku/>
              <w:wordWrap/>
              <w:overflowPunct/>
              <w:topLinePunct w:val="0"/>
              <w:autoSpaceDE/>
              <w:autoSpaceDN/>
              <w:bidi w:val="0"/>
              <w:adjustRightInd w:val="0"/>
              <w:snapToGrid w:val="0"/>
              <w:rPr>
                <w:rFonts w:hint="eastAsia" w:eastAsia="宋体"/>
                <w:color w:val="auto"/>
                <w:spacing w:val="0"/>
                <w:kern w:val="0"/>
                <w:lang w:val="en-US" w:eastAsia="zh-CN"/>
              </w:rPr>
            </w:pPr>
            <w:r>
              <w:rPr>
                <w:rFonts w:hint="eastAsia" w:eastAsia="宋体"/>
                <w:color w:val="auto"/>
                <w:sz w:val="21"/>
                <w:szCs w:val="21"/>
                <w:lang w:val="en-US" w:eastAsia="zh-CN"/>
              </w:rPr>
              <w:t>0.012</w:t>
            </w:r>
          </w:p>
        </w:tc>
        <w:tc>
          <w:tcPr>
            <w:tcW w:w="1228" w:type="dxa"/>
            <w:tcBorders>
              <w:tl2br w:val="nil"/>
              <w:tr2bl w:val="nil"/>
            </w:tcBorders>
            <w:vAlign w:val="center"/>
          </w:tcPr>
          <w:p w14:paraId="5C9347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eastAsia="宋体"/>
                <w:color w:val="auto"/>
                <w:spacing w:val="0"/>
                <w:kern w:val="0"/>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0.012</w:t>
            </w:r>
          </w:p>
        </w:tc>
      </w:tr>
      <w:tr w14:paraId="689034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5E1F5096">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330" w:type="pct"/>
            <w:vMerge w:val="continue"/>
            <w:tcBorders>
              <w:tl2br w:val="nil"/>
              <w:tr2bl w:val="nil"/>
            </w:tcBorders>
            <w:vAlign w:val="center"/>
          </w:tcPr>
          <w:p w14:paraId="11121B4E">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559" w:type="pct"/>
            <w:tcBorders>
              <w:tl2br w:val="nil"/>
              <w:tr2bl w:val="nil"/>
            </w:tcBorders>
            <w:vAlign w:val="center"/>
          </w:tcPr>
          <w:p w14:paraId="4EF38138">
            <w:pPr>
              <w:pStyle w:val="656"/>
              <w:keepNext w:val="0"/>
              <w:keepLines w:val="0"/>
              <w:pageBreakBefore w:val="0"/>
              <w:kinsoku/>
              <w:wordWrap/>
              <w:overflowPunct/>
              <w:topLinePunct w:val="0"/>
              <w:autoSpaceDE/>
              <w:autoSpaceDN/>
              <w:bidi w:val="0"/>
              <w:adjustRightInd w:val="0"/>
              <w:snapToGrid w:val="0"/>
              <w:rPr>
                <w:color w:val="auto"/>
                <w:spacing w:val="0"/>
                <w:kern w:val="0"/>
              </w:rPr>
            </w:pPr>
            <w:r>
              <w:rPr>
                <w:rFonts w:hint="eastAsia" w:eastAsia="宋体"/>
                <w:color w:val="auto"/>
                <w:sz w:val="21"/>
                <w:szCs w:val="21"/>
                <w:lang w:val="en-US" w:eastAsia="zh-CN"/>
              </w:rPr>
              <w:t>三甲苯</w:t>
            </w:r>
          </w:p>
        </w:tc>
        <w:tc>
          <w:tcPr>
            <w:tcW w:w="1116" w:type="dxa"/>
            <w:tcBorders>
              <w:tl2br w:val="nil"/>
              <w:tr2bl w:val="nil"/>
            </w:tcBorders>
            <w:vAlign w:val="center"/>
          </w:tcPr>
          <w:p w14:paraId="0AFD2456">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sz w:val="21"/>
                <w:szCs w:val="21"/>
                <w:lang w:val="en-US" w:eastAsia="zh-CN"/>
              </w:rPr>
            </w:pPr>
            <w:r>
              <w:rPr>
                <w:rFonts w:hint="eastAsia" w:cs="Times New Roman"/>
                <w:b w:val="0"/>
                <w:bCs w:val="0"/>
                <w:color w:val="auto"/>
                <w:spacing w:val="0"/>
                <w:kern w:val="0"/>
                <w:sz w:val="21"/>
                <w:szCs w:val="21"/>
                <w:highlight w:val="none"/>
                <w:lang w:val="en-US" w:eastAsia="zh-CN" w:bidi="ar-SA"/>
              </w:rPr>
              <w:t>0</w:t>
            </w:r>
          </w:p>
        </w:tc>
        <w:tc>
          <w:tcPr>
            <w:tcW w:w="448" w:type="pct"/>
            <w:tcBorders>
              <w:tl2br w:val="nil"/>
              <w:tr2bl w:val="nil"/>
            </w:tcBorders>
            <w:vAlign w:val="center"/>
          </w:tcPr>
          <w:p w14:paraId="0BB371BB">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w:t>
            </w:r>
          </w:p>
        </w:tc>
        <w:tc>
          <w:tcPr>
            <w:tcW w:w="498" w:type="pct"/>
            <w:tcBorders>
              <w:tl2br w:val="nil"/>
              <w:tr2bl w:val="nil"/>
            </w:tcBorders>
            <w:vAlign w:val="center"/>
          </w:tcPr>
          <w:p w14:paraId="0A5D6F00">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w:t>
            </w:r>
          </w:p>
        </w:tc>
        <w:tc>
          <w:tcPr>
            <w:tcW w:w="1730" w:type="dxa"/>
            <w:tcBorders>
              <w:tl2br w:val="nil"/>
              <w:tr2bl w:val="nil"/>
            </w:tcBorders>
            <w:vAlign w:val="center"/>
          </w:tcPr>
          <w:p w14:paraId="266C8148">
            <w:pPr>
              <w:pStyle w:val="656"/>
              <w:keepNext w:val="0"/>
              <w:keepLines w:val="0"/>
              <w:pageBreakBefore w:val="0"/>
              <w:kinsoku/>
              <w:wordWrap/>
              <w:overflowPunct/>
              <w:topLinePunct w:val="0"/>
              <w:autoSpaceDE/>
              <w:autoSpaceDN/>
              <w:bidi w:val="0"/>
              <w:adjustRightInd w:val="0"/>
              <w:snapToGrid w:val="0"/>
              <w:rPr>
                <w:rFonts w:hint="eastAsia" w:eastAsia="宋体"/>
                <w:color w:val="auto"/>
                <w:spacing w:val="0"/>
                <w:kern w:val="0"/>
                <w:sz w:val="21"/>
                <w:szCs w:val="21"/>
                <w:lang w:val="en-US" w:eastAsia="zh-CN"/>
              </w:rPr>
            </w:pPr>
            <w:r>
              <w:rPr>
                <w:rFonts w:hint="eastAsia" w:eastAsia="宋体"/>
                <w:color w:val="auto"/>
                <w:sz w:val="21"/>
                <w:szCs w:val="21"/>
                <w:lang w:val="en-US" w:eastAsia="zh-CN"/>
              </w:rPr>
              <w:t>0.00045</w:t>
            </w:r>
          </w:p>
        </w:tc>
        <w:tc>
          <w:tcPr>
            <w:tcW w:w="1609" w:type="dxa"/>
            <w:tcBorders>
              <w:tl2br w:val="nil"/>
              <w:tr2bl w:val="nil"/>
            </w:tcBorders>
            <w:vAlign w:val="center"/>
          </w:tcPr>
          <w:p w14:paraId="0104ED66">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s="Times New Roman"/>
                <w:b w:val="0"/>
                <w:bCs w:val="0"/>
                <w:color w:val="auto"/>
                <w:spacing w:val="0"/>
                <w:kern w:val="0"/>
                <w:sz w:val="21"/>
                <w:szCs w:val="21"/>
                <w:highlight w:val="none"/>
                <w:lang w:val="en-US" w:eastAsia="zh-CN" w:bidi="ar-SA"/>
              </w:rPr>
              <w:t>0</w:t>
            </w:r>
          </w:p>
        </w:tc>
        <w:tc>
          <w:tcPr>
            <w:tcW w:w="1772" w:type="dxa"/>
            <w:tcBorders>
              <w:tl2br w:val="nil"/>
              <w:tr2bl w:val="nil"/>
            </w:tcBorders>
            <w:vAlign w:val="center"/>
          </w:tcPr>
          <w:p w14:paraId="5EF2E501">
            <w:pPr>
              <w:pStyle w:val="656"/>
              <w:keepNext w:val="0"/>
              <w:keepLines w:val="0"/>
              <w:pageBreakBefore w:val="0"/>
              <w:kinsoku/>
              <w:wordWrap/>
              <w:overflowPunct/>
              <w:topLinePunct w:val="0"/>
              <w:autoSpaceDE/>
              <w:autoSpaceDN/>
              <w:bidi w:val="0"/>
              <w:adjustRightInd w:val="0"/>
              <w:snapToGrid w:val="0"/>
              <w:rPr>
                <w:rFonts w:hint="eastAsia" w:eastAsia="宋体"/>
                <w:color w:val="auto"/>
                <w:spacing w:val="0"/>
                <w:kern w:val="0"/>
                <w:lang w:val="en-US" w:eastAsia="zh-CN"/>
              </w:rPr>
            </w:pPr>
            <w:r>
              <w:rPr>
                <w:rFonts w:hint="eastAsia" w:eastAsia="宋体"/>
                <w:color w:val="auto"/>
                <w:sz w:val="21"/>
                <w:szCs w:val="21"/>
                <w:lang w:val="en-US" w:eastAsia="zh-CN"/>
              </w:rPr>
              <w:t>0.00045</w:t>
            </w:r>
          </w:p>
        </w:tc>
        <w:tc>
          <w:tcPr>
            <w:tcW w:w="1228" w:type="dxa"/>
            <w:tcBorders>
              <w:tl2br w:val="nil"/>
              <w:tr2bl w:val="nil"/>
            </w:tcBorders>
            <w:vAlign w:val="center"/>
          </w:tcPr>
          <w:p w14:paraId="32A6F56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eastAsia="宋体"/>
                <w:color w:val="auto"/>
                <w:spacing w:val="0"/>
                <w:kern w:val="0"/>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0.00045</w:t>
            </w:r>
          </w:p>
        </w:tc>
      </w:tr>
      <w:tr w14:paraId="6338170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1A72FDE4">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330" w:type="pct"/>
            <w:vMerge w:val="continue"/>
            <w:tcBorders>
              <w:tl2br w:val="nil"/>
              <w:tr2bl w:val="nil"/>
            </w:tcBorders>
            <w:vAlign w:val="center"/>
          </w:tcPr>
          <w:p w14:paraId="7966EEB6">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559" w:type="pct"/>
            <w:tcBorders>
              <w:tl2br w:val="nil"/>
              <w:tr2bl w:val="nil"/>
            </w:tcBorders>
            <w:vAlign w:val="center"/>
          </w:tcPr>
          <w:p w14:paraId="759F067C">
            <w:pPr>
              <w:keepNext w:val="0"/>
              <w:keepLines w:val="0"/>
              <w:pageBreakBefore w:val="0"/>
              <w:kinsoku/>
              <w:wordWrap/>
              <w:overflowPunct/>
              <w:topLinePunct w:val="0"/>
              <w:autoSpaceDE/>
              <w:autoSpaceDN/>
              <w:bidi w:val="0"/>
              <w:adjustRightInd w:val="0"/>
              <w:snapToGrid w:val="0"/>
              <w:jc w:val="center"/>
              <w:rPr>
                <w:color w:val="auto"/>
                <w:spacing w:val="0"/>
                <w:kern w:val="0"/>
              </w:rPr>
            </w:pPr>
            <w:r>
              <w:rPr>
                <w:rFonts w:hint="eastAsia"/>
                <w:color w:val="auto"/>
              </w:rPr>
              <w:t>颗粒物</w:t>
            </w:r>
          </w:p>
        </w:tc>
        <w:tc>
          <w:tcPr>
            <w:tcW w:w="1116" w:type="dxa"/>
            <w:tcBorders>
              <w:tl2br w:val="nil"/>
              <w:tr2bl w:val="nil"/>
            </w:tcBorders>
            <w:vAlign w:val="center"/>
          </w:tcPr>
          <w:p w14:paraId="2A1F9236">
            <w:pPr>
              <w:keepNext w:val="0"/>
              <w:keepLines w:val="0"/>
              <w:pageBreakBefore w:val="0"/>
              <w:widowControl/>
              <w:kinsoku/>
              <w:wordWrap/>
              <w:overflowPunct/>
              <w:topLinePunct w:val="0"/>
              <w:autoSpaceDE/>
              <w:autoSpaceDN/>
              <w:bidi w:val="0"/>
              <w:adjustRightInd w:val="0"/>
              <w:snapToGrid w:val="0"/>
              <w:jc w:val="center"/>
              <w:rPr>
                <w:color w:val="auto"/>
                <w:spacing w:val="0"/>
                <w:kern w:val="0"/>
                <w:sz w:val="21"/>
                <w:szCs w:val="21"/>
              </w:rPr>
            </w:pPr>
            <w:r>
              <w:rPr>
                <w:rFonts w:hint="eastAsia"/>
                <w:b w:val="0"/>
                <w:bCs w:val="0"/>
                <w:color w:val="auto"/>
                <w:spacing w:val="0"/>
                <w:kern w:val="0"/>
                <w:sz w:val="21"/>
                <w:szCs w:val="21"/>
                <w:lang w:val="en-US" w:eastAsia="zh-CN"/>
              </w:rPr>
              <w:t>0.099</w:t>
            </w:r>
          </w:p>
        </w:tc>
        <w:tc>
          <w:tcPr>
            <w:tcW w:w="448" w:type="pct"/>
            <w:tcBorders>
              <w:tl2br w:val="nil"/>
              <w:tr2bl w:val="nil"/>
            </w:tcBorders>
            <w:vAlign w:val="center"/>
          </w:tcPr>
          <w:p w14:paraId="1DD061C3">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498" w:type="pct"/>
            <w:tcBorders>
              <w:tl2br w:val="nil"/>
              <w:tr2bl w:val="nil"/>
            </w:tcBorders>
            <w:vAlign w:val="center"/>
          </w:tcPr>
          <w:p w14:paraId="06FC3B4C">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1730" w:type="dxa"/>
            <w:tcBorders>
              <w:tl2br w:val="nil"/>
              <w:tr2bl w:val="nil"/>
            </w:tcBorders>
            <w:vAlign w:val="center"/>
          </w:tcPr>
          <w:p w14:paraId="74833BDE">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spacing w:val="0"/>
                <w:kern w:val="0"/>
                <w:sz w:val="21"/>
                <w:szCs w:val="21"/>
                <w:lang w:val="en-US" w:eastAsia="zh-CN"/>
              </w:rPr>
            </w:pPr>
            <w:r>
              <w:rPr>
                <w:rFonts w:hint="eastAsia" w:eastAsia="宋体" w:cs="Times New Roman"/>
                <w:b w:val="0"/>
                <w:bCs/>
                <w:color w:val="auto"/>
                <w:spacing w:val="0"/>
                <w:kern w:val="0"/>
                <w:sz w:val="21"/>
                <w:szCs w:val="21"/>
                <w:highlight w:val="none"/>
                <w:lang w:val="en-US" w:eastAsia="zh-CN"/>
              </w:rPr>
              <w:t>0.03</w:t>
            </w:r>
            <w:r>
              <w:rPr>
                <w:rFonts w:hint="eastAsia" w:cs="Times New Roman"/>
                <w:b w:val="0"/>
                <w:bCs/>
                <w:color w:val="auto"/>
                <w:spacing w:val="0"/>
                <w:kern w:val="0"/>
                <w:sz w:val="21"/>
                <w:szCs w:val="21"/>
                <w:highlight w:val="none"/>
                <w:lang w:val="en-US" w:eastAsia="zh-CN"/>
              </w:rPr>
              <w:t>291</w:t>
            </w:r>
          </w:p>
        </w:tc>
        <w:tc>
          <w:tcPr>
            <w:tcW w:w="1609" w:type="dxa"/>
            <w:tcBorders>
              <w:tl2br w:val="nil"/>
              <w:tr2bl w:val="nil"/>
            </w:tcBorders>
            <w:vAlign w:val="center"/>
          </w:tcPr>
          <w:p w14:paraId="02A4605F">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b w:val="0"/>
                <w:bCs w:val="0"/>
                <w:color w:val="auto"/>
                <w:spacing w:val="0"/>
                <w:kern w:val="0"/>
                <w:sz w:val="21"/>
                <w:szCs w:val="21"/>
                <w:lang w:val="en-US" w:eastAsia="zh-CN"/>
              </w:rPr>
              <w:t>0.099</w:t>
            </w:r>
          </w:p>
        </w:tc>
        <w:tc>
          <w:tcPr>
            <w:tcW w:w="1772" w:type="dxa"/>
            <w:tcBorders>
              <w:tl2br w:val="nil"/>
              <w:tr2bl w:val="nil"/>
            </w:tcBorders>
            <w:vAlign w:val="center"/>
          </w:tcPr>
          <w:p w14:paraId="129B989B">
            <w:pPr>
              <w:keepNext w:val="0"/>
              <w:keepLines w:val="0"/>
              <w:pageBreakBefore w:val="0"/>
              <w:widowControl/>
              <w:kinsoku/>
              <w:wordWrap/>
              <w:overflowPunct/>
              <w:topLinePunct w:val="0"/>
              <w:autoSpaceDE/>
              <w:autoSpaceDN/>
              <w:bidi w:val="0"/>
              <w:adjustRightInd w:val="0"/>
              <w:snapToGrid w:val="0"/>
              <w:jc w:val="center"/>
              <w:rPr>
                <w:rFonts w:hint="default" w:eastAsia="宋体"/>
                <w:color w:val="auto"/>
                <w:spacing w:val="0"/>
                <w:kern w:val="0"/>
                <w:lang w:val="en-US" w:eastAsia="zh-CN"/>
              </w:rPr>
            </w:pPr>
            <w:r>
              <w:rPr>
                <w:rFonts w:hint="eastAsia" w:eastAsia="宋体" w:cs="Times New Roman"/>
                <w:b w:val="0"/>
                <w:bCs/>
                <w:color w:val="auto"/>
                <w:spacing w:val="0"/>
                <w:kern w:val="0"/>
                <w:sz w:val="21"/>
                <w:szCs w:val="21"/>
                <w:highlight w:val="none"/>
                <w:lang w:val="en-US" w:eastAsia="zh-CN"/>
              </w:rPr>
              <w:t>0.03</w:t>
            </w:r>
            <w:r>
              <w:rPr>
                <w:rFonts w:hint="eastAsia" w:cs="Times New Roman"/>
                <w:b w:val="0"/>
                <w:bCs/>
                <w:color w:val="auto"/>
                <w:spacing w:val="0"/>
                <w:kern w:val="0"/>
                <w:sz w:val="21"/>
                <w:szCs w:val="21"/>
                <w:highlight w:val="none"/>
                <w:lang w:val="en-US" w:eastAsia="zh-CN"/>
              </w:rPr>
              <w:t>291</w:t>
            </w:r>
          </w:p>
        </w:tc>
        <w:tc>
          <w:tcPr>
            <w:tcW w:w="1228" w:type="dxa"/>
            <w:tcBorders>
              <w:tl2br w:val="nil"/>
              <w:tr2bl w:val="nil"/>
            </w:tcBorders>
            <w:vAlign w:val="center"/>
          </w:tcPr>
          <w:p w14:paraId="56A475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color w:val="auto"/>
                <w:spacing w:val="0"/>
                <w:kern w:val="0"/>
                <w:lang w:val="en-US"/>
              </w:rPr>
            </w:pPr>
            <w:r>
              <w:rPr>
                <w:rFonts w:hint="default" w:ascii="Times New Roman" w:hAnsi="Times New Roman" w:eastAsia="宋体" w:cs="Times New Roman"/>
                <w:i w:val="0"/>
                <w:iCs w:val="0"/>
                <w:snapToGrid w:val="0"/>
                <w:color w:val="auto"/>
                <w:kern w:val="0"/>
                <w:sz w:val="21"/>
                <w:szCs w:val="21"/>
                <w:u w:val="none"/>
                <w:lang w:val="en-US" w:eastAsia="zh-CN" w:bidi="ar"/>
              </w:rPr>
              <w:t>-0.06</w:t>
            </w:r>
            <w:r>
              <w:rPr>
                <w:rFonts w:hint="eastAsia" w:cs="Times New Roman"/>
                <w:i w:val="0"/>
                <w:iCs w:val="0"/>
                <w:snapToGrid w:val="0"/>
                <w:color w:val="auto"/>
                <w:kern w:val="0"/>
                <w:sz w:val="21"/>
                <w:szCs w:val="21"/>
                <w:u w:val="none"/>
                <w:lang w:val="en-US" w:eastAsia="zh-CN" w:bidi="ar"/>
              </w:rPr>
              <w:t>609</w:t>
            </w:r>
          </w:p>
        </w:tc>
      </w:tr>
      <w:tr w14:paraId="0C18C98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restart"/>
            <w:tcBorders>
              <w:tl2br w:val="nil"/>
              <w:tr2bl w:val="nil"/>
            </w:tcBorders>
            <w:vAlign w:val="center"/>
          </w:tcPr>
          <w:p w14:paraId="0E429475">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r>
              <w:rPr>
                <w:rFonts w:hint="eastAsia" w:ascii="Times New Roman" w:eastAsia="宋体"/>
                <w:color w:val="auto"/>
                <w:spacing w:val="0"/>
                <w:kern w:val="0"/>
                <w:sz w:val="21"/>
                <w:szCs w:val="21"/>
              </w:rPr>
              <w:t>废水</w:t>
            </w:r>
          </w:p>
        </w:tc>
        <w:tc>
          <w:tcPr>
            <w:tcW w:w="889" w:type="pct"/>
            <w:gridSpan w:val="2"/>
            <w:tcBorders>
              <w:tl2br w:val="nil"/>
              <w:tr2bl w:val="nil"/>
            </w:tcBorders>
            <w:vAlign w:val="center"/>
          </w:tcPr>
          <w:p w14:paraId="33E63A24">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rPr>
              <w:t>废水量</w:t>
            </w:r>
          </w:p>
        </w:tc>
        <w:tc>
          <w:tcPr>
            <w:tcW w:w="1116" w:type="dxa"/>
            <w:tcBorders>
              <w:tl2br w:val="nil"/>
              <w:tr2bl w:val="nil"/>
            </w:tcBorders>
            <w:vAlign w:val="center"/>
          </w:tcPr>
          <w:p w14:paraId="6A95EDF6">
            <w:pPr>
              <w:keepNext w:val="0"/>
              <w:keepLines w:val="0"/>
              <w:pageBreakBefore w:val="0"/>
              <w:widowControl/>
              <w:kinsoku/>
              <w:wordWrap/>
              <w:overflowPunct/>
              <w:topLinePunct w:val="0"/>
              <w:autoSpaceDE/>
              <w:autoSpaceDN/>
              <w:bidi w:val="0"/>
              <w:adjustRightInd w:val="0"/>
              <w:snapToGrid w:val="0"/>
              <w:jc w:val="center"/>
              <w:rPr>
                <w:color w:val="auto"/>
                <w:spacing w:val="0"/>
                <w:kern w:val="0"/>
                <w:sz w:val="21"/>
                <w:szCs w:val="21"/>
              </w:rPr>
            </w:pPr>
            <w:r>
              <w:rPr>
                <w:rFonts w:hint="eastAsia"/>
                <w:color w:val="auto"/>
                <w:sz w:val="21"/>
                <w:szCs w:val="21"/>
                <w:lang w:val="en-US" w:eastAsia="zh-CN"/>
              </w:rPr>
              <w:t>420</w:t>
            </w:r>
          </w:p>
        </w:tc>
        <w:tc>
          <w:tcPr>
            <w:tcW w:w="448" w:type="pct"/>
            <w:tcBorders>
              <w:tl2br w:val="nil"/>
              <w:tr2bl w:val="nil"/>
            </w:tcBorders>
            <w:vAlign w:val="center"/>
          </w:tcPr>
          <w:p w14:paraId="55B8A358">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498" w:type="pct"/>
            <w:tcBorders>
              <w:tl2br w:val="nil"/>
              <w:tr2bl w:val="nil"/>
            </w:tcBorders>
            <w:vAlign w:val="center"/>
          </w:tcPr>
          <w:p w14:paraId="120BF15E">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1730" w:type="dxa"/>
            <w:tcBorders>
              <w:tl2br w:val="nil"/>
              <w:tr2bl w:val="nil"/>
            </w:tcBorders>
            <w:vAlign w:val="center"/>
          </w:tcPr>
          <w:p w14:paraId="3CEA78DA">
            <w:pPr>
              <w:keepNext w:val="0"/>
              <w:keepLines w:val="0"/>
              <w:pageBreakBefore w:val="0"/>
              <w:widowControl/>
              <w:kinsoku/>
              <w:wordWrap/>
              <w:overflowPunct/>
              <w:topLinePunct w:val="0"/>
              <w:autoSpaceDE/>
              <w:autoSpaceDN/>
              <w:bidi w:val="0"/>
              <w:adjustRightInd w:val="0"/>
              <w:snapToGrid w:val="0"/>
              <w:jc w:val="center"/>
              <w:textAlignment w:val="center"/>
              <w:rPr>
                <w:color w:val="auto"/>
                <w:spacing w:val="0"/>
                <w:kern w:val="0"/>
                <w:sz w:val="21"/>
                <w:szCs w:val="21"/>
              </w:rPr>
            </w:pPr>
            <w:r>
              <w:rPr>
                <w:rFonts w:hint="eastAsia"/>
                <w:color w:val="auto"/>
                <w:kern w:val="0"/>
                <w:sz w:val="21"/>
                <w:szCs w:val="21"/>
                <w:lang w:val="en-US" w:eastAsia="zh-CN" w:bidi="ar"/>
              </w:rPr>
              <w:t>840</w:t>
            </w:r>
          </w:p>
        </w:tc>
        <w:tc>
          <w:tcPr>
            <w:tcW w:w="1609" w:type="dxa"/>
            <w:tcBorders>
              <w:tl2br w:val="nil"/>
              <w:tr2bl w:val="nil"/>
            </w:tcBorders>
            <w:vAlign w:val="center"/>
          </w:tcPr>
          <w:p w14:paraId="24D077D4">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z w:val="21"/>
                <w:szCs w:val="21"/>
                <w:lang w:val="en-US" w:eastAsia="zh-CN"/>
              </w:rPr>
              <w:t>420</w:t>
            </w:r>
          </w:p>
        </w:tc>
        <w:tc>
          <w:tcPr>
            <w:tcW w:w="1772" w:type="dxa"/>
            <w:tcBorders>
              <w:tl2br w:val="nil"/>
              <w:tr2bl w:val="nil"/>
            </w:tcBorders>
            <w:vAlign w:val="center"/>
          </w:tcPr>
          <w:p w14:paraId="55E1BE60">
            <w:pPr>
              <w:keepNext w:val="0"/>
              <w:keepLines w:val="0"/>
              <w:pageBreakBefore w:val="0"/>
              <w:widowControl/>
              <w:kinsoku/>
              <w:wordWrap/>
              <w:overflowPunct/>
              <w:topLinePunct w:val="0"/>
              <w:autoSpaceDE/>
              <w:autoSpaceDN/>
              <w:bidi w:val="0"/>
              <w:adjustRightInd w:val="0"/>
              <w:snapToGrid w:val="0"/>
              <w:jc w:val="center"/>
              <w:textAlignment w:val="center"/>
              <w:rPr>
                <w:color w:val="auto"/>
                <w:spacing w:val="0"/>
                <w:kern w:val="0"/>
              </w:rPr>
            </w:pPr>
            <w:r>
              <w:rPr>
                <w:rFonts w:hint="eastAsia"/>
                <w:color w:val="auto"/>
                <w:kern w:val="0"/>
                <w:sz w:val="21"/>
                <w:szCs w:val="21"/>
                <w:lang w:val="en-US" w:eastAsia="zh-CN" w:bidi="ar"/>
              </w:rPr>
              <w:t>840</w:t>
            </w:r>
          </w:p>
        </w:tc>
        <w:tc>
          <w:tcPr>
            <w:tcW w:w="1228" w:type="dxa"/>
            <w:tcBorders>
              <w:tl2br w:val="nil"/>
              <w:tr2bl w:val="nil"/>
            </w:tcBorders>
            <w:vAlign w:val="center"/>
          </w:tcPr>
          <w:p w14:paraId="3D572E7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color w:val="auto"/>
                <w:spacing w:val="0"/>
                <w:kern w:val="0"/>
                <w:sz w:val="21"/>
                <w:szCs w:val="21"/>
              </w:rPr>
            </w:pPr>
            <w:r>
              <w:rPr>
                <w:rFonts w:hint="eastAsia" w:cs="Times New Roman"/>
                <w:i w:val="0"/>
                <w:iCs w:val="0"/>
                <w:snapToGrid w:val="0"/>
                <w:color w:val="auto"/>
                <w:kern w:val="0"/>
                <w:sz w:val="21"/>
                <w:szCs w:val="21"/>
                <w:u w:val="none"/>
                <w:lang w:val="en-US" w:eastAsia="zh-CN" w:bidi="ar"/>
              </w:rPr>
              <w:t>+</w:t>
            </w:r>
            <w:r>
              <w:rPr>
                <w:rFonts w:hint="eastAsia" w:ascii="Times New Roman" w:hAnsi="Times New Roman" w:eastAsia="宋体" w:cs="Times New Roman"/>
                <w:i w:val="0"/>
                <w:iCs w:val="0"/>
                <w:snapToGrid w:val="0"/>
                <w:color w:val="auto"/>
                <w:kern w:val="0"/>
                <w:sz w:val="21"/>
                <w:szCs w:val="21"/>
                <w:u w:val="none"/>
                <w:lang w:val="en-US" w:eastAsia="zh-CN" w:bidi="ar"/>
              </w:rPr>
              <w:t>420</w:t>
            </w:r>
          </w:p>
        </w:tc>
      </w:tr>
      <w:tr w14:paraId="61EBF7C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7ADF39A4">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889" w:type="pct"/>
            <w:gridSpan w:val="2"/>
            <w:tcBorders>
              <w:tl2br w:val="nil"/>
              <w:tr2bl w:val="nil"/>
            </w:tcBorders>
            <w:vAlign w:val="center"/>
          </w:tcPr>
          <w:p w14:paraId="44EFBDB2">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COD</w:t>
            </w:r>
          </w:p>
        </w:tc>
        <w:tc>
          <w:tcPr>
            <w:tcW w:w="1116" w:type="dxa"/>
            <w:tcBorders>
              <w:tl2br w:val="nil"/>
              <w:tr2bl w:val="nil"/>
            </w:tcBorders>
            <w:vAlign w:val="center"/>
          </w:tcPr>
          <w:p w14:paraId="2077435E">
            <w:pPr>
              <w:keepNext w:val="0"/>
              <w:keepLines w:val="0"/>
              <w:pageBreakBefore w:val="0"/>
              <w:widowControl/>
              <w:kinsoku/>
              <w:wordWrap/>
              <w:overflowPunct/>
              <w:topLinePunct w:val="0"/>
              <w:autoSpaceDE/>
              <w:autoSpaceDN/>
              <w:bidi w:val="0"/>
              <w:adjustRightInd w:val="0"/>
              <w:snapToGrid w:val="0"/>
              <w:jc w:val="center"/>
              <w:rPr>
                <w:color w:val="auto"/>
                <w:spacing w:val="0"/>
                <w:kern w:val="0"/>
                <w:sz w:val="21"/>
                <w:szCs w:val="21"/>
              </w:rPr>
            </w:pPr>
            <w:r>
              <w:rPr>
                <w:rFonts w:hint="eastAsia"/>
                <w:color w:val="auto"/>
                <w:sz w:val="21"/>
                <w:szCs w:val="21"/>
                <w:lang w:val="en-US" w:eastAsia="zh-CN"/>
              </w:rPr>
              <w:t>0.1428</w:t>
            </w:r>
          </w:p>
        </w:tc>
        <w:tc>
          <w:tcPr>
            <w:tcW w:w="448" w:type="pct"/>
            <w:tcBorders>
              <w:tl2br w:val="nil"/>
              <w:tr2bl w:val="nil"/>
            </w:tcBorders>
            <w:vAlign w:val="center"/>
          </w:tcPr>
          <w:p w14:paraId="260C6ABD">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498" w:type="pct"/>
            <w:tcBorders>
              <w:tl2br w:val="nil"/>
              <w:tr2bl w:val="nil"/>
            </w:tcBorders>
            <w:vAlign w:val="center"/>
          </w:tcPr>
          <w:p w14:paraId="30D52C16">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1730" w:type="dxa"/>
            <w:tcBorders>
              <w:tl2br w:val="nil"/>
              <w:tr2bl w:val="nil"/>
            </w:tcBorders>
            <w:vAlign w:val="center"/>
          </w:tcPr>
          <w:p w14:paraId="2C56656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color w:val="auto"/>
                <w:spacing w:val="0"/>
                <w:kern w:val="0"/>
                <w:sz w:val="21"/>
                <w:szCs w:val="21"/>
              </w:rPr>
            </w:pPr>
            <w:r>
              <w:rPr>
                <w:rFonts w:hint="default" w:ascii="Times New Roman" w:hAnsi="Times New Roman" w:eastAsia="宋体" w:cs="Times New Roman"/>
                <w:i w:val="0"/>
                <w:iCs w:val="0"/>
                <w:snapToGrid w:val="0"/>
                <w:color w:val="auto"/>
                <w:kern w:val="0"/>
                <w:sz w:val="21"/>
                <w:szCs w:val="21"/>
                <w:u w:val="none"/>
                <w:lang w:val="en-US" w:eastAsia="zh-CN" w:bidi="ar"/>
              </w:rPr>
              <w:t>0.336</w:t>
            </w:r>
          </w:p>
        </w:tc>
        <w:tc>
          <w:tcPr>
            <w:tcW w:w="1609" w:type="dxa"/>
            <w:tcBorders>
              <w:tl2br w:val="nil"/>
              <w:tr2bl w:val="nil"/>
            </w:tcBorders>
            <w:vAlign w:val="center"/>
          </w:tcPr>
          <w:p w14:paraId="339685EE">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z w:val="21"/>
                <w:szCs w:val="21"/>
                <w:lang w:val="en-US" w:eastAsia="zh-CN"/>
              </w:rPr>
              <w:t>0.1428</w:t>
            </w:r>
          </w:p>
        </w:tc>
        <w:tc>
          <w:tcPr>
            <w:tcW w:w="1772" w:type="dxa"/>
            <w:tcBorders>
              <w:tl2br w:val="nil"/>
              <w:tr2bl w:val="nil"/>
            </w:tcBorders>
            <w:vAlign w:val="center"/>
          </w:tcPr>
          <w:p w14:paraId="53EB18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eastAsia="宋体"/>
                <w:color w:val="auto"/>
                <w:spacing w:val="0"/>
                <w:kern w:val="0"/>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0.336</w:t>
            </w:r>
          </w:p>
        </w:tc>
        <w:tc>
          <w:tcPr>
            <w:tcW w:w="1228" w:type="dxa"/>
            <w:tcBorders>
              <w:tl2br w:val="nil"/>
              <w:tr2bl w:val="nil"/>
            </w:tcBorders>
            <w:vAlign w:val="center"/>
          </w:tcPr>
          <w:p w14:paraId="034AC9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eastAsia="仿宋"/>
                <w:color w:val="auto"/>
                <w:spacing w:val="0"/>
                <w:kern w:val="0"/>
                <w:sz w:val="21"/>
                <w:szCs w:val="21"/>
                <w:lang w:val="en-US" w:eastAsia="zh-CN"/>
              </w:rPr>
            </w:pPr>
            <w:r>
              <w:rPr>
                <w:rFonts w:hint="eastAsia" w:cs="Times New Roman"/>
                <w:i w:val="0"/>
                <w:iCs w:val="0"/>
                <w:snapToGrid w:val="0"/>
                <w:color w:val="auto"/>
                <w:kern w:val="0"/>
                <w:sz w:val="21"/>
                <w:szCs w:val="21"/>
                <w:u w:val="none"/>
                <w:lang w:val="en-US" w:eastAsia="zh-CN" w:bidi="ar"/>
              </w:rPr>
              <w:t>+</w:t>
            </w:r>
            <w:r>
              <w:rPr>
                <w:rFonts w:hint="default" w:ascii="Times New Roman" w:hAnsi="Times New Roman" w:eastAsia="宋体" w:cs="Times New Roman"/>
                <w:i w:val="0"/>
                <w:iCs w:val="0"/>
                <w:snapToGrid w:val="0"/>
                <w:color w:val="auto"/>
                <w:kern w:val="0"/>
                <w:sz w:val="21"/>
                <w:szCs w:val="21"/>
                <w:u w:val="none"/>
                <w:lang w:val="en-US" w:eastAsia="zh-CN" w:bidi="ar"/>
              </w:rPr>
              <w:t>0.1932</w:t>
            </w:r>
          </w:p>
        </w:tc>
      </w:tr>
      <w:tr w14:paraId="0CD6833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4359963C">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889" w:type="pct"/>
            <w:gridSpan w:val="2"/>
            <w:tcBorders>
              <w:tl2br w:val="nil"/>
              <w:tr2bl w:val="nil"/>
            </w:tcBorders>
            <w:vAlign w:val="center"/>
          </w:tcPr>
          <w:p w14:paraId="4BA3A824">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SS</w:t>
            </w:r>
          </w:p>
        </w:tc>
        <w:tc>
          <w:tcPr>
            <w:tcW w:w="1116" w:type="dxa"/>
            <w:tcBorders>
              <w:tl2br w:val="nil"/>
              <w:tr2bl w:val="nil"/>
            </w:tcBorders>
            <w:vAlign w:val="center"/>
          </w:tcPr>
          <w:p w14:paraId="7281B1FB">
            <w:pPr>
              <w:keepNext w:val="0"/>
              <w:keepLines w:val="0"/>
              <w:pageBreakBefore w:val="0"/>
              <w:widowControl/>
              <w:kinsoku/>
              <w:wordWrap/>
              <w:overflowPunct/>
              <w:topLinePunct w:val="0"/>
              <w:autoSpaceDE/>
              <w:autoSpaceDN/>
              <w:bidi w:val="0"/>
              <w:adjustRightInd w:val="0"/>
              <w:snapToGrid w:val="0"/>
              <w:jc w:val="center"/>
              <w:rPr>
                <w:color w:val="auto"/>
                <w:spacing w:val="0"/>
                <w:kern w:val="0"/>
                <w:sz w:val="21"/>
                <w:szCs w:val="21"/>
              </w:rPr>
            </w:pPr>
            <w:r>
              <w:rPr>
                <w:rFonts w:hint="eastAsia"/>
                <w:color w:val="auto"/>
                <w:sz w:val="21"/>
                <w:szCs w:val="21"/>
                <w:lang w:val="en-US" w:eastAsia="zh-CN"/>
              </w:rPr>
              <w:t>0.0672</w:t>
            </w:r>
          </w:p>
        </w:tc>
        <w:tc>
          <w:tcPr>
            <w:tcW w:w="448" w:type="pct"/>
            <w:tcBorders>
              <w:tl2br w:val="nil"/>
              <w:tr2bl w:val="nil"/>
            </w:tcBorders>
            <w:vAlign w:val="center"/>
          </w:tcPr>
          <w:p w14:paraId="2FEE1495">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498" w:type="pct"/>
            <w:tcBorders>
              <w:tl2br w:val="nil"/>
              <w:tr2bl w:val="nil"/>
            </w:tcBorders>
            <w:vAlign w:val="center"/>
          </w:tcPr>
          <w:p w14:paraId="7ACA296A">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1730" w:type="dxa"/>
            <w:tcBorders>
              <w:tl2br w:val="nil"/>
              <w:tr2bl w:val="nil"/>
            </w:tcBorders>
            <w:vAlign w:val="center"/>
          </w:tcPr>
          <w:p w14:paraId="11B6638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color w:val="auto"/>
                <w:spacing w:val="0"/>
                <w:kern w:val="0"/>
                <w:sz w:val="21"/>
                <w:szCs w:val="21"/>
              </w:rPr>
            </w:pPr>
            <w:r>
              <w:rPr>
                <w:rFonts w:hint="default" w:ascii="Times New Roman" w:hAnsi="Times New Roman" w:eastAsia="宋体" w:cs="Times New Roman"/>
                <w:i w:val="0"/>
                <w:iCs w:val="0"/>
                <w:snapToGrid w:val="0"/>
                <w:color w:val="auto"/>
                <w:kern w:val="0"/>
                <w:sz w:val="21"/>
                <w:szCs w:val="21"/>
                <w:u w:val="none"/>
                <w:lang w:val="en-US" w:eastAsia="zh-CN" w:bidi="ar"/>
              </w:rPr>
              <w:t>0.168</w:t>
            </w:r>
          </w:p>
        </w:tc>
        <w:tc>
          <w:tcPr>
            <w:tcW w:w="1609" w:type="dxa"/>
            <w:tcBorders>
              <w:tl2br w:val="nil"/>
              <w:tr2bl w:val="nil"/>
            </w:tcBorders>
            <w:vAlign w:val="center"/>
          </w:tcPr>
          <w:p w14:paraId="0D0B987C">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z w:val="21"/>
                <w:szCs w:val="21"/>
                <w:lang w:val="en-US" w:eastAsia="zh-CN"/>
              </w:rPr>
              <w:t>0.0672</w:t>
            </w:r>
          </w:p>
        </w:tc>
        <w:tc>
          <w:tcPr>
            <w:tcW w:w="1772" w:type="dxa"/>
            <w:tcBorders>
              <w:tl2br w:val="nil"/>
              <w:tr2bl w:val="nil"/>
            </w:tcBorders>
            <w:vAlign w:val="center"/>
          </w:tcPr>
          <w:p w14:paraId="4B2F416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eastAsia="宋体"/>
                <w:color w:val="auto"/>
                <w:spacing w:val="0"/>
                <w:kern w:val="0"/>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0.168</w:t>
            </w:r>
          </w:p>
        </w:tc>
        <w:tc>
          <w:tcPr>
            <w:tcW w:w="1228" w:type="dxa"/>
            <w:tcBorders>
              <w:tl2br w:val="nil"/>
              <w:tr2bl w:val="nil"/>
            </w:tcBorders>
            <w:vAlign w:val="center"/>
          </w:tcPr>
          <w:p w14:paraId="737D44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eastAsia="仿宋"/>
                <w:color w:val="auto"/>
                <w:spacing w:val="0"/>
                <w:kern w:val="0"/>
                <w:sz w:val="21"/>
                <w:szCs w:val="21"/>
                <w:lang w:val="en-US" w:eastAsia="zh-CN"/>
              </w:rPr>
            </w:pPr>
            <w:r>
              <w:rPr>
                <w:rFonts w:hint="eastAsia" w:cs="Times New Roman"/>
                <w:i w:val="0"/>
                <w:iCs w:val="0"/>
                <w:snapToGrid w:val="0"/>
                <w:color w:val="auto"/>
                <w:kern w:val="0"/>
                <w:sz w:val="21"/>
                <w:szCs w:val="21"/>
                <w:u w:val="none"/>
                <w:lang w:val="en-US" w:eastAsia="zh-CN" w:bidi="ar"/>
              </w:rPr>
              <w:t>+</w:t>
            </w:r>
            <w:r>
              <w:rPr>
                <w:rFonts w:hint="default" w:ascii="Times New Roman" w:hAnsi="Times New Roman" w:eastAsia="宋体" w:cs="Times New Roman"/>
                <w:i w:val="0"/>
                <w:iCs w:val="0"/>
                <w:snapToGrid w:val="0"/>
                <w:color w:val="auto"/>
                <w:kern w:val="0"/>
                <w:sz w:val="21"/>
                <w:szCs w:val="21"/>
                <w:u w:val="none"/>
                <w:lang w:val="en-US" w:eastAsia="zh-CN" w:bidi="ar"/>
              </w:rPr>
              <w:t>0.1008</w:t>
            </w:r>
          </w:p>
        </w:tc>
      </w:tr>
      <w:tr w14:paraId="76ECE10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50F9EA2C">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889" w:type="pct"/>
            <w:gridSpan w:val="2"/>
            <w:tcBorders>
              <w:tl2br w:val="nil"/>
              <w:tr2bl w:val="nil"/>
            </w:tcBorders>
            <w:vAlign w:val="center"/>
          </w:tcPr>
          <w:p w14:paraId="742D1A6C">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color w:val="auto"/>
                <w:spacing w:val="0"/>
                <w:kern w:val="0"/>
              </w:rPr>
              <w:t>NH</w:t>
            </w:r>
            <w:r>
              <w:rPr>
                <w:color w:val="auto"/>
                <w:spacing w:val="0"/>
                <w:kern w:val="0"/>
                <w:vertAlign w:val="subscript"/>
              </w:rPr>
              <w:t>3</w:t>
            </w:r>
            <w:r>
              <w:rPr>
                <w:color w:val="auto"/>
                <w:spacing w:val="0"/>
                <w:kern w:val="0"/>
              </w:rPr>
              <w:t>-N</w:t>
            </w:r>
          </w:p>
        </w:tc>
        <w:tc>
          <w:tcPr>
            <w:tcW w:w="1116" w:type="dxa"/>
            <w:tcBorders>
              <w:tl2br w:val="nil"/>
              <w:tr2bl w:val="nil"/>
            </w:tcBorders>
            <w:vAlign w:val="center"/>
          </w:tcPr>
          <w:p w14:paraId="092B953B">
            <w:pPr>
              <w:keepNext w:val="0"/>
              <w:keepLines w:val="0"/>
              <w:pageBreakBefore w:val="0"/>
              <w:widowControl/>
              <w:kinsoku/>
              <w:wordWrap/>
              <w:overflowPunct/>
              <w:topLinePunct w:val="0"/>
              <w:autoSpaceDE/>
              <w:autoSpaceDN/>
              <w:bidi w:val="0"/>
              <w:adjustRightInd w:val="0"/>
              <w:snapToGrid w:val="0"/>
              <w:jc w:val="center"/>
              <w:rPr>
                <w:color w:val="auto"/>
                <w:spacing w:val="0"/>
                <w:kern w:val="0"/>
                <w:sz w:val="21"/>
                <w:szCs w:val="21"/>
              </w:rPr>
            </w:pPr>
            <w:r>
              <w:rPr>
                <w:rFonts w:hint="eastAsia"/>
                <w:color w:val="auto"/>
                <w:sz w:val="21"/>
                <w:szCs w:val="21"/>
                <w:lang w:val="en-US" w:eastAsia="zh-CN"/>
              </w:rPr>
              <w:t>0.0105</w:t>
            </w:r>
          </w:p>
        </w:tc>
        <w:tc>
          <w:tcPr>
            <w:tcW w:w="448" w:type="pct"/>
            <w:tcBorders>
              <w:tl2br w:val="nil"/>
              <w:tr2bl w:val="nil"/>
            </w:tcBorders>
            <w:vAlign w:val="center"/>
          </w:tcPr>
          <w:p w14:paraId="3A0CAA74">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498" w:type="pct"/>
            <w:tcBorders>
              <w:tl2br w:val="nil"/>
              <w:tr2bl w:val="nil"/>
            </w:tcBorders>
            <w:vAlign w:val="center"/>
          </w:tcPr>
          <w:p w14:paraId="49913210">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1730" w:type="dxa"/>
            <w:tcBorders>
              <w:tl2br w:val="nil"/>
              <w:tr2bl w:val="nil"/>
            </w:tcBorders>
            <w:vAlign w:val="center"/>
          </w:tcPr>
          <w:p w14:paraId="1523EB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color w:val="auto"/>
                <w:spacing w:val="0"/>
                <w:kern w:val="0"/>
                <w:sz w:val="21"/>
                <w:szCs w:val="21"/>
              </w:rPr>
            </w:pPr>
            <w:r>
              <w:rPr>
                <w:rFonts w:hint="default" w:ascii="Times New Roman" w:hAnsi="Times New Roman" w:eastAsia="宋体" w:cs="Times New Roman"/>
                <w:i w:val="0"/>
                <w:iCs w:val="0"/>
                <w:snapToGrid w:val="0"/>
                <w:color w:val="auto"/>
                <w:kern w:val="0"/>
                <w:sz w:val="21"/>
                <w:szCs w:val="21"/>
                <w:u w:val="none"/>
                <w:lang w:val="en-US" w:eastAsia="zh-CN" w:bidi="ar"/>
              </w:rPr>
              <w:t>0.021</w:t>
            </w:r>
          </w:p>
        </w:tc>
        <w:tc>
          <w:tcPr>
            <w:tcW w:w="1609" w:type="dxa"/>
            <w:tcBorders>
              <w:tl2br w:val="nil"/>
              <w:tr2bl w:val="nil"/>
            </w:tcBorders>
            <w:vAlign w:val="center"/>
          </w:tcPr>
          <w:p w14:paraId="5190BD6A">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z w:val="21"/>
                <w:szCs w:val="21"/>
                <w:lang w:val="en-US" w:eastAsia="zh-CN"/>
              </w:rPr>
              <w:t>0.0105</w:t>
            </w:r>
          </w:p>
        </w:tc>
        <w:tc>
          <w:tcPr>
            <w:tcW w:w="1772" w:type="dxa"/>
            <w:tcBorders>
              <w:tl2br w:val="nil"/>
              <w:tr2bl w:val="nil"/>
            </w:tcBorders>
            <w:vAlign w:val="center"/>
          </w:tcPr>
          <w:p w14:paraId="0456441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eastAsia="仿宋"/>
                <w:color w:val="auto"/>
                <w:spacing w:val="0"/>
                <w:kern w:val="0"/>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0.021</w:t>
            </w:r>
          </w:p>
        </w:tc>
        <w:tc>
          <w:tcPr>
            <w:tcW w:w="1228" w:type="dxa"/>
            <w:tcBorders>
              <w:tl2br w:val="nil"/>
              <w:tr2bl w:val="nil"/>
            </w:tcBorders>
            <w:vAlign w:val="center"/>
          </w:tcPr>
          <w:p w14:paraId="4C6FEE9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eastAsia="仿宋"/>
                <w:color w:val="auto"/>
                <w:spacing w:val="0"/>
                <w:kern w:val="0"/>
                <w:sz w:val="21"/>
                <w:szCs w:val="21"/>
                <w:lang w:val="en-US" w:eastAsia="zh-CN"/>
              </w:rPr>
            </w:pPr>
            <w:r>
              <w:rPr>
                <w:rFonts w:hint="eastAsia" w:cs="Times New Roman"/>
                <w:i w:val="0"/>
                <w:iCs w:val="0"/>
                <w:snapToGrid w:val="0"/>
                <w:color w:val="auto"/>
                <w:kern w:val="0"/>
                <w:sz w:val="21"/>
                <w:szCs w:val="21"/>
                <w:u w:val="none"/>
                <w:lang w:val="en-US" w:eastAsia="zh-CN" w:bidi="ar"/>
              </w:rPr>
              <w:t>+</w:t>
            </w:r>
            <w:r>
              <w:rPr>
                <w:rFonts w:hint="default" w:ascii="Times New Roman" w:hAnsi="Times New Roman" w:eastAsia="宋体" w:cs="Times New Roman"/>
                <w:i w:val="0"/>
                <w:iCs w:val="0"/>
                <w:snapToGrid w:val="0"/>
                <w:color w:val="auto"/>
                <w:kern w:val="0"/>
                <w:sz w:val="21"/>
                <w:szCs w:val="21"/>
                <w:u w:val="none"/>
                <w:lang w:val="en-US" w:eastAsia="zh-CN" w:bidi="ar"/>
              </w:rPr>
              <w:t>0.0105</w:t>
            </w:r>
          </w:p>
        </w:tc>
      </w:tr>
      <w:tr w14:paraId="4E2670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74B5EE05">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889" w:type="pct"/>
            <w:gridSpan w:val="2"/>
            <w:tcBorders>
              <w:tl2br w:val="nil"/>
              <w:tr2bl w:val="nil"/>
            </w:tcBorders>
            <w:vAlign w:val="center"/>
          </w:tcPr>
          <w:p w14:paraId="33653F6B">
            <w:pPr>
              <w:keepNext w:val="0"/>
              <w:keepLines w:val="0"/>
              <w:pageBreakBefore w:val="0"/>
              <w:kinsoku/>
              <w:wordWrap/>
              <w:overflowPunct/>
              <w:topLinePunct w:val="0"/>
              <w:autoSpaceDE/>
              <w:autoSpaceDN/>
              <w:bidi w:val="0"/>
              <w:adjustRightInd w:val="0"/>
              <w:snapToGrid w:val="0"/>
              <w:jc w:val="center"/>
              <w:textAlignment w:val="center"/>
              <w:rPr>
                <w:color w:val="auto"/>
                <w:spacing w:val="0"/>
                <w:kern w:val="0"/>
              </w:rPr>
            </w:pPr>
            <w:r>
              <w:rPr>
                <w:color w:val="auto"/>
                <w:spacing w:val="0"/>
                <w:kern w:val="0"/>
              </w:rPr>
              <w:t>TP</w:t>
            </w:r>
          </w:p>
        </w:tc>
        <w:tc>
          <w:tcPr>
            <w:tcW w:w="1116" w:type="dxa"/>
            <w:tcBorders>
              <w:tl2br w:val="nil"/>
              <w:tr2bl w:val="nil"/>
            </w:tcBorders>
            <w:vAlign w:val="center"/>
          </w:tcPr>
          <w:p w14:paraId="0414223C">
            <w:pPr>
              <w:keepNext w:val="0"/>
              <w:keepLines w:val="0"/>
              <w:pageBreakBefore w:val="0"/>
              <w:widowControl/>
              <w:kinsoku/>
              <w:wordWrap/>
              <w:overflowPunct/>
              <w:topLinePunct w:val="0"/>
              <w:autoSpaceDE/>
              <w:autoSpaceDN/>
              <w:bidi w:val="0"/>
              <w:adjustRightInd w:val="0"/>
              <w:snapToGrid w:val="0"/>
              <w:jc w:val="center"/>
              <w:rPr>
                <w:color w:val="auto"/>
                <w:spacing w:val="0"/>
                <w:kern w:val="0"/>
                <w:sz w:val="21"/>
                <w:szCs w:val="21"/>
              </w:rPr>
            </w:pPr>
            <w:r>
              <w:rPr>
                <w:rFonts w:hint="eastAsia"/>
                <w:color w:val="auto"/>
                <w:sz w:val="21"/>
                <w:szCs w:val="21"/>
                <w:lang w:val="en-US" w:eastAsia="zh-CN"/>
              </w:rPr>
              <w:t>0.0013</w:t>
            </w:r>
          </w:p>
        </w:tc>
        <w:tc>
          <w:tcPr>
            <w:tcW w:w="448" w:type="pct"/>
            <w:tcBorders>
              <w:tl2br w:val="nil"/>
              <w:tr2bl w:val="nil"/>
            </w:tcBorders>
            <w:vAlign w:val="center"/>
          </w:tcPr>
          <w:p w14:paraId="324566CC">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498" w:type="pct"/>
            <w:tcBorders>
              <w:tl2br w:val="nil"/>
              <w:tr2bl w:val="nil"/>
            </w:tcBorders>
            <w:vAlign w:val="center"/>
          </w:tcPr>
          <w:p w14:paraId="28B00D4C">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1730" w:type="dxa"/>
            <w:tcBorders>
              <w:tl2br w:val="nil"/>
              <w:tr2bl w:val="nil"/>
            </w:tcBorders>
            <w:vAlign w:val="center"/>
          </w:tcPr>
          <w:p w14:paraId="3C2A6F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color w:val="auto"/>
                <w:spacing w:val="0"/>
                <w:kern w:val="0"/>
                <w:sz w:val="21"/>
                <w:szCs w:val="21"/>
              </w:rPr>
            </w:pPr>
            <w:r>
              <w:rPr>
                <w:rFonts w:hint="default" w:ascii="Times New Roman" w:hAnsi="Times New Roman" w:eastAsia="宋体" w:cs="Times New Roman"/>
                <w:i w:val="0"/>
                <w:iCs w:val="0"/>
                <w:snapToGrid w:val="0"/>
                <w:color w:val="auto"/>
                <w:kern w:val="0"/>
                <w:sz w:val="21"/>
                <w:szCs w:val="21"/>
                <w:u w:val="none"/>
                <w:lang w:val="en-US" w:eastAsia="zh-CN" w:bidi="ar"/>
              </w:rPr>
              <w:t>0.00252</w:t>
            </w:r>
          </w:p>
        </w:tc>
        <w:tc>
          <w:tcPr>
            <w:tcW w:w="1609" w:type="dxa"/>
            <w:tcBorders>
              <w:tl2br w:val="nil"/>
              <w:tr2bl w:val="nil"/>
            </w:tcBorders>
            <w:vAlign w:val="center"/>
          </w:tcPr>
          <w:p w14:paraId="0FDEB68E">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z w:val="21"/>
                <w:szCs w:val="21"/>
                <w:lang w:val="en-US" w:eastAsia="zh-CN"/>
              </w:rPr>
              <w:t>0.0013</w:t>
            </w:r>
          </w:p>
        </w:tc>
        <w:tc>
          <w:tcPr>
            <w:tcW w:w="1772" w:type="dxa"/>
            <w:tcBorders>
              <w:tl2br w:val="nil"/>
              <w:tr2bl w:val="nil"/>
            </w:tcBorders>
            <w:vAlign w:val="center"/>
          </w:tcPr>
          <w:p w14:paraId="7A9FA57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eastAsia="仿宋"/>
                <w:color w:val="auto"/>
                <w:spacing w:val="0"/>
                <w:kern w:val="0"/>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0.00252</w:t>
            </w:r>
          </w:p>
        </w:tc>
        <w:tc>
          <w:tcPr>
            <w:tcW w:w="1228" w:type="dxa"/>
            <w:tcBorders>
              <w:tl2br w:val="nil"/>
              <w:tr2bl w:val="nil"/>
            </w:tcBorders>
            <w:vAlign w:val="center"/>
          </w:tcPr>
          <w:p w14:paraId="2E127A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eastAsia="仿宋"/>
                <w:color w:val="auto"/>
                <w:spacing w:val="0"/>
                <w:kern w:val="0"/>
                <w:sz w:val="21"/>
                <w:szCs w:val="21"/>
                <w:lang w:val="en-US" w:eastAsia="zh-CN"/>
              </w:rPr>
            </w:pPr>
            <w:r>
              <w:rPr>
                <w:rFonts w:hint="eastAsia" w:cs="Times New Roman"/>
                <w:i w:val="0"/>
                <w:iCs w:val="0"/>
                <w:snapToGrid w:val="0"/>
                <w:color w:val="auto"/>
                <w:kern w:val="0"/>
                <w:sz w:val="21"/>
                <w:szCs w:val="21"/>
                <w:u w:val="none"/>
                <w:lang w:val="en-US" w:eastAsia="zh-CN" w:bidi="ar"/>
              </w:rPr>
              <w:t>+</w:t>
            </w:r>
            <w:r>
              <w:rPr>
                <w:rFonts w:hint="default" w:ascii="Times New Roman" w:hAnsi="Times New Roman" w:eastAsia="宋体" w:cs="Times New Roman"/>
                <w:i w:val="0"/>
                <w:iCs w:val="0"/>
                <w:snapToGrid w:val="0"/>
                <w:color w:val="auto"/>
                <w:kern w:val="0"/>
                <w:sz w:val="21"/>
                <w:szCs w:val="21"/>
                <w:u w:val="none"/>
                <w:lang w:val="en-US" w:eastAsia="zh-CN" w:bidi="ar"/>
              </w:rPr>
              <w:t>0.00122</w:t>
            </w:r>
          </w:p>
        </w:tc>
      </w:tr>
      <w:tr w14:paraId="353A3D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31C77BC0">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889" w:type="pct"/>
            <w:gridSpan w:val="2"/>
            <w:tcBorders>
              <w:tl2br w:val="nil"/>
              <w:tr2bl w:val="nil"/>
            </w:tcBorders>
            <w:vAlign w:val="center"/>
          </w:tcPr>
          <w:p w14:paraId="10F16888">
            <w:pPr>
              <w:keepNext w:val="0"/>
              <w:keepLines w:val="0"/>
              <w:pageBreakBefore w:val="0"/>
              <w:kinsoku/>
              <w:wordWrap/>
              <w:overflowPunct/>
              <w:topLinePunct w:val="0"/>
              <w:autoSpaceDE/>
              <w:autoSpaceDN/>
              <w:bidi w:val="0"/>
              <w:adjustRightInd w:val="0"/>
              <w:snapToGrid w:val="0"/>
              <w:jc w:val="center"/>
              <w:textAlignment w:val="center"/>
              <w:rPr>
                <w:color w:val="auto"/>
                <w:spacing w:val="0"/>
                <w:kern w:val="0"/>
              </w:rPr>
            </w:pPr>
            <w:r>
              <w:rPr>
                <w:color w:val="auto"/>
                <w:spacing w:val="0"/>
                <w:kern w:val="0"/>
              </w:rPr>
              <w:t>TN</w:t>
            </w:r>
          </w:p>
        </w:tc>
        <w:tc>
          <w:tcPr>
            <w:tcW w:w="1116" w:type="dxa"/>
            <w:tcBorders>
              <w:tl2br w:val="nil"/>
              <w:tr2bl w:val="nil"/>
            </w:tcBorders>
            <w:vAlign w:val="center"/>
          </w:tcPr>
          <w:p w14:paraId="4E42FA37">
            <w:pPr>
              <w:keepNext w:val="0"/>
              <w:keepLines w:val="0"/>
              <w:pageBreakBefore w:val="0"/>
              <w:widowControl/>
              <w:kinsoku/>
              <w:wordWrap/>
              <w:overflowPunct/>
              <w:topLinePunct w:val="0"/>
              <w:autoSpaceDE/>
              <w:autoSpaceDN/>
              <w:bidi w:val="0"/>
              <w:adjustRightInd w:val="0"/>
              <w:snapToGrid w:val="0"/>
              <w:jc w:val="center"/>
              <w:rPr>
                <w:color w:val="auto"/>
                <w:spacing w:val="0"/>
                <w:kern w:val="0"/>
                <w:sz w:val="21"/>
                <w:szCs w:val="21"/>
              </w:rPr>
            </w:pPr>
            <w:r>
              <w:rPr>
                <w:rFonts w:hint="eastAsia"/>
                <w:color w:val="auto"/>
                <w:sz w:val="21"/>
                <w:szCs w:val="21"/>
                <w:lang w:val="en-US" w:eastAsia="zh-CN"/>
              </w:rPr>
              <w:t>0.0147</w:t>
            </w:r>
          </w:p>
        </w:tc>
        <w:tc>
          <w:tcPr>
            <w:tcW w:w="448" w:type="pct"/>
            <w:tcBorders>
              <w:tl2br w:val="nil"/>
              <w:tr2bl w:val="nil"/>
            </w:tcBorders>
            <w:vAlign w:val="center"/>
          </w:tcPr>
          <w:p w14:paraId="3EAF9A62">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498" w:type="pct"/>
            <w:tcBorders>
              <w:tl2br w:val="nil"/>
              <w:tr2bl w:val="nil"/>
            </w:tcBorders>
            <w:vAlign w:val="center"/>
          </w:tcPr>
          <w:p w14:paraId="41C13A1C">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1730" w:type="dxa"/>
            <w:tcBorders>
              <w:tl2br w:val="nil"/>
              <w:tr2bl w:val="nil"/>
            </w:tcBorders>
            <w:vAlign w:val="center"/>
          </w:tcPr>
          <w:p w14:paraId="100B836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color w:val="auto"/>
                <w:spacing w:val="0"/>
                <w:kern w:val="0"/>
                <w:sz w:val="21"/>
                <w:szCs w:val="21"/>
              </w:rPr>
            </w:pPr>
            <w:r>
              <w:rPr>
                <w:rFonts w:hint="default" w:ascii="Times New Roman" w:hAnsi="Times New Roman" w:eastAsia="宋体" w:cs="Times New Roman"/>
                <w:i w:val="0"/>
                <w:iCs w:val="0"/>
                <w:snapToGrid w:val="0"/>
                <w:color w:val="auto"/>
                <w:kern w:val="0"/>
                <w:sz w:val="21"/>
                <w:szCs w:val="21"/>
                <w:u w:val="none"/>
                <w:lang w:val="en-US" w:eastAsia="zh-CN" w:bidi="ar"/>
              </w:rPr>
              <w:t>0.0294</w:t>
            </w:r>
          </w:p>
        </w:tc>
        <w:tc>
          <w:tcPr>
            <w:tcW w:w="1609" w:type="dxa"/>
            <w:tcBorders>
              <w:tl2br w:val="nil"/>
              <w:tr2bl w:val="nil"/>
            </w:tcBorders>
            <w:vAlign w:val="center"/>
          </w:tcPr>
          <w:p w14:paraId="5BCFD555">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z w:val="21"/>
                <w:szCs w:val="21"/>
                <w:lang w:val="en-US" w:eastAsia="zh-CN"/>
              </w:rPr>
              <w:t>0.0147</w:t>
            </w:r>
          </w:p>
        </w:tc>
        <w:tc>
          <w:tcPr>
            <w:tcW w:w="1772" w:type="dxa"/>
            <w:tcBorders>
              <w:tl2br w:val="nil"/>
              <w:tr2bl w:val="nil"/>
            </w:tcBorders>
            <w:vAlign w:val="center"/>
          </w:tcPr>
          <w:p w14:paraId="4246DDA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eastAsia="仿宋"/>
                <w:color w:val="auto"/>
                <w:spacing w:val="0"/>
                <w:kern w:val="0"/>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0.0294</w:t>
            </w:r>
          </w:p>
        </w:tc>
        <w:tc>
          <w:tcPr>
            <w:tcW w:w="1228" w:type="dxa"/>
            <w:tcBorders>
              <w:tl2br w:val="nil"/>
              <w:tr2bl w:val="nil"/>
            </w:tcBorders>
            <w:vAlign w:val="center"/>
          </w:tcPr>
          <w:p w14:paraId="2EDC12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eastAsia="仿宋"/>
                <w:color w:val="auto"/>
                <w:spacing w:val="0"/>
                <w:kern w:val="0"/>
                <w:sz w:val="21"/>
                <w:szCs w:val="21"/>
                <w:lang w:val="en-US" w:eastAsia="zh-CN"/>
              </w:rPr>
            </w:pPr>
            <w:r>
              <w:rPr>
                <w:rFonts w:hint="eastAsia" w:cs="Times New Roman"/>
                <w:i w:val="0"/>
                <w:iCs w:val="0"/>
                <w:snapToGrid w:val="0"/>
                <w:color w:val="auto"/>
                <w:kern w:val="0"/>
                <w:sz w:val="21"/>
                <w:szCs w:val="21"/>
                <w:u w:val="none"/>
                <w:lang w:val="en-US" w:eastAsia="zh-CN" w:bidi="ar"/>
              </w:rPr>
              <w:t>+</w:t>
            </w:r>
            <w:r>
              <w:rPr>
                <w:rFonts w:hint="default" w:ascii="Times New Roman" w:hAnsi="Times New Roman" w:eastAsia="宋体" w:cs="Times New Roman"/>
                <w:i w:val="0"/>
                <w:iCs w:val="0"/>
                <w:snapToGrid w:val="0"/>
                <w:color w:val="auto"/>
                <w:kern w:val="0"/>
                <w:sz w:val="21"/>
                <w:szCs w:val="21"/>
                <w:u w:val="none"/>
                <w:lang w:val="en-US" w:eastAsia="zh-CN" w:bidi="ar"/>
              </w:rPr>
              <w:t>0.0147</w:t>
            </w:r>
          </w:p>
        </w:tc>
      </w:tr>
      <w:tr w14:paraId="6E9C87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restart"/>
            <w:vAlign w:val="center"/>
          </w:tcPr>
          <w:p w14:paraId="3D4F8967">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r>
              <w:rPr>
                <w:rFonts w:ascii="Times New Roman" w:eastAsia="宋体"/>
                <w:color w:val="auto"/>
                <w:spacing w:val="0"/>
                <w:kern w:val="0"/>
                <w:sz w:val="21"/>
                <w:szCs w:val="21"/>
              </w:rPr>
              <w:t>一般工业</w:t>
            </w:r>
          </w:p>
          <w:p w14:paraId="400DEF31">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r>
              <w:rPr>
                <w:rFonts w:ascii="Times New Roman" w:eastAsia="宋体"/>
                <w:color w:val="auto"/>
                <w:spacing w:val="0"/>
                <w:kern w:val="0"/>
                <w:sz w:val="21"/>
                <w:szCs w:val="21"/>
              </w:rPr>
              <w:t>固体废物</w:t>
            </w:r>
          </w:p>
        </w:tc>
        <w:tc>
          <w:tcPr>
            <w:tcW w:w="889" w:type="pct"/>
            <w:gridSpan w:val="2"/>
            <w:vAlign w:val="center"/>
          </w:tcPr>
          <w:p w14:paraId="0EB82203">
            <w:pPr>
              <w:pStyle w:val="5"/>
              <w:keepNext w:val="0"/>
              <w:keepLines w:val="0"/>
              <w:pageBreakBefore w:val="0"/>
              <w:kinsoku/>
              <w:wordWrap/>
              <w:overflowPunct/>
              <w:topLinePunct w:val="0"/>
              <w:autoSpaceDE/>
              <w:autoSpaceDN/>
              <w:bidi w:val="0"/>
              <w:adjustRightInd w:val="0"/>
              <w:snapToGrid w:val="0"/>
              <w:ind w:firstLine="0" w:firstLineChars="0"/>
              <w:jc w:val="center"/>
              <w:rPr>
                <w:color w:val="auto"/>
                <w:spacing w:val="0"/>
                <w:kern w:val="0"/>
                <w:szCs w:val="21"/>
              </w:rPr>
            </w:pPr>
            <w:r>
              <w:rPr>
                <w:rFonts w:hint="eastAsia"/>
                <w:bCs/>
                <w:color w:val="auto"/>
                <w:kern w:val="0"/>
                <w:szCs w:val="21"/>
                <w:lang w:val="en-US" w:eastAsia="zh-CN"/>
              </w:rPr>
              <w:t>木屑</w:t>
            </w:r>
          </w:p>
        </w:tc>
        <w:tc>
          <w:tcPr>
            <w:tcW w:w="1116" w:type="dxa"/>
            <w:vAlign w:val="center"/>
          </w:tcPr>
          <w:p w14:paraId="162B4429">
            <w:pPr>
              <w:pStyle w:val="5"/>
              <w:keepNext w:val="0"/>
              <w:keepLines w:val="0"/>
              <w:pageBreakBefore w:val="0"/>
              <w:kinsoku/>
              <w:wordWrap/>
              <w:overflowPunct/>
              <w:topLinePunct w:val="0"/>
              <w:autoSpaceDE/>
              <w:autoSpaceDN/>
              <w:bidi w:val="0"/>
              <w:adjustRightInd w:val="0"/>
              <w:snapToGrid w:val="0"/>
              <w:ind w:firstLine="0" w:firstLineChars="0"/>
              <w:jc w:val="center"/>
              <w:rPr>
                <w:color w:val="auto"/>
                <w:spacing w:val="0"/>
                <w:kern w:val="0"/>
              </w:rPr>
            </w:pPr>
            <w:r>
              <w:rPr>
                <w:rFonts w:hint="eastAsia"/>
                <w:color w:val="auto"/>
                <w:kern w:val="0"/>
                <w:szCs w:val="21"/>
                <w:lang w:val="en-US" w:eastAsia="zh-CN"/>
              </w:rPr>
              <w:t>0.65</w:t>
            </w:r>
          </w:p>
        </w:tc>
        <w:tc>
          <w:tcPr>
            <w:tcW w:w="448" w:type="pct"/>
            <w:vAlign w:val="center"/>
          </w:tcPr>
          <w:p w14:paraId="0E70B023">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498" w:type="pct"/>
            <w:vAlign w:val="center"/>
          </w:tcPr>
          <w:p w14:paraId="751AFAF3">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617" w:type="pct"/>
            <w:vAlign w:val="center"/>
          </w:tcPr>
          <w:p w14:paraId="640E6BE8">
            <w:pPr>
              <w:pStyle w:val="5"/>
              <w:keepNext w:val="0"/>
              <w:keepLines w:val="0"/>
              <w:pageBreakBefore w:val="0"/>
              <w:kinsoku/>
              <w:wordWrap/>
              <w:overflowPunct/>
              <w:topLinePunct w:val="0"/>
              <w:autoSpaceDE/>
              <w:autoSpaceDN/>
              <w:bidi w:val="0"/>
              <w:adjustRightInd w:val="0"/>
              <w:snapToGrid w:val="0"/>
              <w:ind w:firstLine="0" w:firstLineChars="0"/>
              <w:jc w:val="center"/>
              <w:rPr>
                <w:color w:val="auto"/>
                <w:spacing w:val="0"/>
                <w:kern w:val="0"/>
              </w:rPr>
            </w:pPr>
            <w:r>
              <w:rPr>
                <w:rFonts w:hint="eastAsia"/>
                <w:color w:val="auto"/>
                <w:kern w:val="0"/>
                <w:szCs w:val="21"/>
                <w:lang w:val="en-US" w:eastAsia="zh-CN"/>
              </w:rPr>
              <w:t>0.65</w:t>
            </w:r>
          </w:p>
        </w:tc>
        <w:tc>
          <w:tcPr>
            <w:tcW w:w="1609" w:type="dxa"/>
            <w:vAlign w:val="center"/>
          </w:tcPr>
          <w:p w14:paraId="1147FD76">
            <w:pPr>
              <w:pStyle w:val="5"/>
              <w:keepNext w:val="0"/>
              <w:keepLines w:val="0"/>
              <w:pageBreakBefore w:val="0"/>
              <w:kinsoku/>
              <w:wordWrap/>
              <w:overflowPunct/>
              <w:topLinePunct w:val="0"/>
              <w:autoSpaceDE/>
              <w:autoSpaceDN/>
              <w:bidi w:val="0"/>
              <w:adjustRightInd w:val="0"/>
              <w:snapToGrid w:val="0"/>
              <w:ind w:firstLine="0" w:firstLineChars="0"/>
              <w:jc w:val="center"/>
              <w:rPr>
                <w:color w:val="auto"/>
                <w:spacing w:val="0"/>
                <w:kern w:val="0"/>
              </w:rPr>
            </w:pPr>
            <w:r>
              <w:rPr>
                <w:rFonts w:hint="eastAsia"/>
                <w:color w:val="auto"/>
                <w:kern w:val="0"/>
                <w:szCs w:val="21"/>
                <w:lang w:val="en-US" w:eastAsia="zh-CN"/>
              </w:rPr>
              <w:t>0.65</w:t>
            </w:r>
          </w:p>
        </w:tc>
        <w:tc>
          <w:tcPr>
            <w:tcW w:w="632" w:type="pct"/>
            <w:vAlign w:val="center"/>
          </w:tcPr>
          <w:p w14:paraId="18550AF3">
            <w:pPr>
              <w:pStyle w:val="5"/>
              <w:keepNext w:val="0"/>
              <w:keepLines w:val="0"/>
              <w:pageBreakBefore w:val="0"/>
              <w:kinsoku/>
              <w:wordWrap/>
              <w:overflowPunct/>
              <w:topLinePunct w:val="0"/>
              <w:autoSpaceDE/>
              <w:autoSpaceDN/>
              <w:bidi w:val="0"/>
              <w:adjustRightInd w:val="0"/>
              <w:snapToGrid w:val="0"/>
              <w:ind w:firstLine="0" w:firstLineChars="0"/>
              <w:jc w:val="center"/>
              <w:rPr>
                <w:color w:val="auto"/>
                <w:spacing w:val="0"/>
                <w:kern w:val="0"/>
              </w:rPr>
            </w:pPr>
            <w:r>
              <w:rPr>
                <w:rFonts w:hint="eastAsia"/>
                <w:color w:val="auto"/>
                <w:kern w:val="0"/>
                <w:szCs w:val="21"/>
                <w:lang w:val="en-US" w:eastAsia="zh-CN"/>
              </w:rPr>
              <w:t>0.65</w:t>
            </w:r>
          </w:p>
        </w:tc>
        <w:tc>
          <w:tcPr>
            <w:tcW w:w="1228" w:type="dxa"/>
            <w:vAlign w:val="center"/>
          </w:tcPr>
          <w:p w14:paraId="418193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color w:val="auto"/>
                <w:spacing w:val="0"/>
                <w:kern w:val="0"/>
              </w:rPr>
            </w:pPr>
            <w:r>
              <w:rPr>
                <w:rFonts w:hint="default" w:ascii="Times New Roman" w:hAnsi="Times New Roman" w:eastAsia="宋体" w:cs="Times New Roman"/>
                <w:i w:val="0"/>
                <w:iCs w:val="0"/>
                <w:snapToGrid w:val="0"/>
                <w:color w:val="auto"/>
                <w:kern w:val="0"/>
                <w:sz w:val="21"/>
                <w:szCs w:val="21"/>
                <w:u w:val="none"/>
                <w:lang w:val="en-US" w:eastAsia="zh-CN" w:bidi="ar"/>
              </w:rPr>
              <w:t>0</w:t>
            </w:r>
          </w:p>
        </w:tc>
      </w:tr>
      <w:tr w14:paraId="7DFD6B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vAlign w:val="center"/>
          </w:tcPr>
          <w:p w14:paraId="3BBD6C24">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889" w:type="pct"/>
            <w:gridSpan w:val="2"/>
            <w:vAlign w:val="center"/>
          </w:tcPr>
          <w:p w14:paraId="54F5513C">
            <w:pPr>
              <w:pStyle w:val="5"/>
              <w:keepNext w:val="0"/>
              <w:keepLines w:val="0"/>
              <w:pageBreakBefore w:val="0"/>
              <w:kinsoku/>
              <w:wordWrap/>
              <w:overflowPunct/>
              <w:topLinePunct w:val="0"/>
              <w:autoSpaceDE/>
              <w:autoSpaceDN/>
              <w:bidi w:val="0"/>
              <w:adjustRightInd w:val="0"/>
              <w:snapToGrid w:val="0"/>
              <w:ind w:firstLine="0" w:firstLineChars="0"/>
              <w:jc w:val="center"/>
              <w:rPr>
                <w:bCs/>
                <w:color w:val="auto"/>
                <w:spacing w:val="0"/>
                <w:kern w:val="0"/>
                <w:szCs w:val="21"/>
              </w:rPr>
            </w:pPr>
            <w:r>
              <w:rPr>
                <w:rFonts w:hint="eastAsia"/>
                <w:bCs/>
                <w:color w:val="auto"/>
                <w:kern w:val="0"/>
                <w:szCs w:val="21"/>
                <w:lang w:val="en-US" w:eastAsia="zh-CN"/>
              </w:rPr>
              <w:t>边角料</w:t>
            </w:r>
          </w:p>
        </w:tc>
        <w:tc>
          <w:tcPr>
            <w:tcW w:w="1116" w:type="dxa"/>
            <w:vAlign w:val="center"/>
          </w:tcPr>
          <w:p w14:paraId="645C93E6">
            <w:pPr>
              <w:pStyle w:val="5"/>
              <w:keepNext w:val="0"/>
              <w:keepLines w:val="0"/>
              <w:pageBreakBefore w:val="0"/>
              <w:kinsoku/>
              <w:wordWrap/>
              <w:overflowPunct/>
              <w:topLinePunct w:val="0"/>
              <w:autoSpaceDE/>
              <w:autoSpaceDN/>
              <w:bidi w:val="0"/>
              <w:adjustRightInd w:val="0"/>
              <w:snapToGrid w:val="0"/>
              <w:ind w:firstLine="0" w:firstLineChars="0"/>
              <w:jc w:val="center"/>
              <w:rPr>
                <w:color w:val="auto"/>
                <w:spacing w:val="0"/>
                <w:kern w:val="0"/>
              </w:rPr>
            </w:pPr>
            <w:r>
              <w:rPr>
                <w:rFonts w:hint="eastAsia"/>
                <w:color w:val="auto"/>
                <w:kern w:val="0"/>
                <w:szCs w:val="21"/>
                <w:lang w:val="en-US" w:eastAsia="zh-CN"/>
              </w:rPr>
              <w:t>6.55</w:t>
            </w:r>
          </w:p>
        </w:tc>
        <w:tc>
          <w:tcPr>
            <w:tcW w:w="448" w:type="pct"/>
            <w:vAlign w:val="center"/>
          </w:tcPr>
          <w:p w14:paraId="52D3E869">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498" w:type="pct"/>
            <w:vAlign w:val="center"/>
          </w:tcPr>
          <w:p w14:paraId="6BCADEBC">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617" w:type="pct"/>
            <w:vAlign w:val="center"/>
          </w:tcPr>
          <w:p w14:paraId="026B7632">
            <w:pPr>
              <w:pStyle w:val="5"/>
              <w:keepNext w:val="0"/>
              <w:keepLines w:val="0"/>
              <w:pageBreakBefore w:val="0"/>
              <w:kinsoku/>
              <w:wordWrap/>
              <w:overflowPunct/>
              <w:topLinePunct w:val="0"/>
              <w:autoSpaceDE/>
              <w:autoSpaceDN/>
              <w:bidi w:val="0"/>
              <w:adjustRightInd w:val="0"/>
              <w:snapToGrid w:val="0"/>
              <w:ind w:firstLine="0" w:firstLineChars="0"/>
              <w:jc w:val="center"/>
              <w:rPr>
                <w:color w:val="auto"/>
                <w:spacing w:val="0"/>
                <w:kern w:val="0"/>
              </w:rPr>
            </w:pPr>
            <w:r>
              <w:rPr>
                <w:rFonts w:hint="eastAsia"/>
                <w:color w:val="auto"/>
                <w:kern w:val="0"/>
                <w:szCs w:val="21"/>
                <w:lang w:val="en-US" w:eastAsia="zh-CN"/>
              </w:rPr>
              <w:t>6.55</w:t>
            </w:r>
          </w:p>
        </w:tc>
        <w:tc>
          <w:tcPr>
            <w:tcW w:w="1609" w:type="dxa"/>
            <w:vAlign w:val="center"/>
          </w:tcPr>
          <w:p w14:paraId="68D658AA">
            <w:pPr>
              <w:pStyle w:val="5"/>
              <w:keepNext w:val="0"/>
              <w:keepLines w:val="0"/>
              <w:pageBreakBefore w:val="0"/>
              <w:kinsoku/>
              <w:wordWrap/>
              <w:overflowPunct/>
              <w:topLinePunct w:val="0"/>
              <w:autoSpaceDE/>
              <w:autoSpaceDN/>
              <w:bidi w:val="0"/>
              <w:adjustRightInd w:val="0"/>
              <w:snapToGrid w:val="0"/>
              <w:ind w:firstLine="0" w:firstLineChars="0"/>
              <w:jc w:val="center"/>
              <w:rPr>
                <w:color w:val="auto"/>
                <w:spacing w:val="0"/>
                <w:kern w:val="0"/>
              </w:rPr>
            </w:pPr>
            <w:r>
              <w:rPr>
                <w:rFonts w:hint="eastAsia"/>
                <w:color w:val="auto"/>
                <w:kern w:val="0"/>
                <w:szCs w:val="21"/>
                <w:lang w:val="en-US" w:eastAsia="zh-CN"/>
              </w:rPr>
              <w:t>6.55</w:t>
            </w:r>
          </w:p>
        </w:tc>
        <w:tc>
          <w:tcPr>
            <w:tcW w:w="632" w:type="pct"/>
            <w:vAlign w:val="center"/>
          </w:tcPr>
          <w:p w14:paraId="70604B8F">
            <w:pPr>
              <w:pStyle w:val="5"/>
              <w:keepNext w:val="0"/>
              <w:keepLines w:val="0"/>
              <w:pageBreakBefore w:val="0"/>
              <w:kinsoku/>
              <w:wordWrap/>
              <w:overflowPunct/>
              <w:topLinePunct w:val="0"/>
              <w:autoSpaceDE/>
              <w:autoSpaceDN/>
              <w:bidi w:val="0"/>
              <w:adjustRightInd w:val="0"/>
              <w:snapToGrid w:val="0"/>
              <w:ind w:firstLine="0" w:firstLineChars="0"/>
              <w:jc w:val="center"/>
              <w:rPr>
                <w:color w:val="auto"/>
                <w:spacing w:val="0"/>
                <w:kern w:val="0"/>
              </w:rPr>
            </w:pPr>
            <w:r>
              <w:rPr>
                <w:rFonts w:hint="eastAsia"/>
                <w:color w:val="auto"/>
                <w:kern w:val="0"/>
                <w:szCs w:val="21"/>
                <w:lang w:val="en-US" w:eastAsia="zh-CN"/>
              </w:rPr>
              <w:t>6.55</w:t>
            </w:r>
          </w:p>
        </w:tc>
        <w:tc>
          <w:tcPr>
            <w:tcW w:w="1228" w:type="dxa"/>
            <w:vAlign w:val="center"/>
          </w:tcPr>
          <w:p w14:paraId="7D0B5E6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color w:val="auto"/>
                <w:spacing w:val="0"/>
                <w:kern w:val="0"/>
              </w:rPr>
            </w:pPr>
            <w:r>
              <w:rPr>
                <w:rFonts w:hint="default" w:ascii="Times New Roman" w:hAnsi="Times New Roman" w:eastAsia="宋体" w:cs="Times New Roman"/>
                <w:i w:val="0"/>
                <w:iCs w:val="0"/>
                <w:snapToGrid w:val="0"/>
                <w:color w:val="auto"/>
                <w:kern w:val="0"/>
                <w:sz w:val="21"/>
                <w:szCs w:val="21"/>
                <w:u w:val="none"/>
                <w:lang w:val="en-US" w:eastAsia="zh-CN" w:bidi="ar"/>
              </w:rPr>
              <w:t>0</w:t>
            </w:r>
          </w:p>
        </w:tc>
      </w:tr>
      <w:tr w14:paraId="2A692C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vAlign w:val="center"/>
          </w:tcPr>
          <w:p w14:paraId="18450E43">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889" w:type="pct"/>
            <w:gridSpan w:val="2"/>
            <w:vAlign w:val="center"/>
          </w:tcPr>
          <w:p w14:paraId="446620C8">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bCs/>
                <w:color w:val="auto"/>
                <w:spacing w:val="0"/>
                <w:kern w:val="0"/>
                <w:szCs w:val="21"/>
              </w:rPr>
            </w:pPr>
            <w:r>
              <w:rPr>
                <w:rFonts w:hint="eastAsia"/>
                <w:bCs/>
                <w:color w:val="auto"/>
                <w:kern w:val="0"/>
                <w:szCs w:val="21"/>
                <w:lang w:val="en-US" w:eastAsia="zh-CN"/>
              </w:rPr>
              <w:t>废抹布</w:t>
            </w:r>
          </w:p>
        </w:tc>
        <w:tc>
          <w:tcPr>
            <w:tcW w:w="1116" w:type="dxa"/>
            <w:vAlign w:val="center"/>
          </w:tcPr>
          <w:p w14:paraId="310909B2">
            <w:pPr>
              <w:pStyle w:val="5"/>
              <w:keepNext w:val="0"/>
              <w:keepLines w:val="0"/>
              <w:pageBreakBefore w:val="0"/>
              <w:kinsoku/>
              <w:wordWrap/>
              <w:overflowPunct/>
              <w:topLinePunct w:val="0"/>
              <w:autoSpaceDE/>
              <w:autoSpaceDN/>
              <w:bidi w:val="0"/>
              <w:adjustRightInd w:val="0"/>
              <w:snapToGrid w:val="0"/>
              <w:ind w:firstLine="0" w:firstLineChars="0"/>
              <w:jc w:val="center"/>
              <w:rPr>
                <w:color w:val="auto"/>
                <w:spacing w:val="0"/>
                <w:kern w:val="0"/>
              </w:rPr>
            </w:pPr>
            <w:r>
              <w:rPr>
                <w:rFonts w:hint="eastAsia"/>
                <w:color w:val="auto"/>
                <w:kern w:val="0"/>
                <w:szCs w:val="21"/>
                <w:lang w:val="en-US" w:eastAsia="zh-CN"/>
              </w:rPr>
              <w:t>0.6</w:t>
            </w:r>
          </w:p>
        </w:tc>
        <w:tc>
          <w:tcPr>
            <w:tcW w:w="448" w:type="pct"/>
            <w:shd w:val="clear" w:color="auto" w:fill="auto"/>
            <w:vAlign w:val="center"/>
          </w:tcPr>
          <w:p w14:paraId="174AE2B8">
            <w:pPr>
              <w:keepNext w:val="0"/>
              <w:keepLines w:val="0"/>
              <w:pageBreakBefore w:val="0"/>
              <w:widowControl/>
              <w:kinsoku/>
              <w:wordWrap/>
              <w:overflowPunct/>
              <w:topLinePunct w:val="0"/>
              <w:autoSpaceDE/>
              <w:autoSpaceDN/>
              <w:bidi w:val="0"/>
              <w:adjustRightInd w:val="0"/>
              <w:snapToGrid w:val="0"/>
              <w:jc w:val="center"/>
              <w:rPr>
                <w:rFonts w:ascii="Times New Roman" w:hAnsi="Times New Roman" w:eastAsia="宋体" w:cs="Times New Roman"/>
                <w:snapToGrid w:val="0"/>
                <w:color w:val="auto"/>
                <w:spacing w:val="0"/>
                <w:kern w:val="0"/>
                <w:sz w:val="21"/>
                <w:szCs w:val="21"/>
                <w:lang w:val="en-US" w:eastAsia="zh-CN" w:bidi="ar-SA"/>
              </w:rPr>
            </w:pPr>
            <w:r>
              <w:rPr>
                <w:rFonts w:hint="eastAsia"/>
                <w:color w:val="auto"/>
                <w:spacing w:val="0"/>
                <w:kern w:val="0"/>
                <w:lang w:val="en-US" w:eastAsia="zh-CN"/>
              </w:rPr>
              <w:t>--</w:t>
            </w:r>
          </w:p>
        </w:tc>
        <w:tc>
          <w:tcPr>
            <w:tcW w:w="498" w:type="pct"/>
            <w:shd w:val="clear" w:color="auto" w:fill="auto"/>
            <w:vAlign w:val="center"/>
          </w:tcPr>
          <w:p w14:paraId="31550F36">
            <w:pPr>
              <w:keepNext w:val="0"/>
              <w:keepLines w:val="0"/>
              <w:pageBreakBefore w:val="0"/>
              <w:widowControl/>
              <w:kinsoku/>
              <w:wordWrap/>
              <w:overflowPunct/>
              <w:topLinePunct w:val="0"/>
              <w:autoSpaceDE/>
              <w:autoSpaceDN/>
              <w:bidi w:val="0"/>
              <w:adjustRightInd w:val="0"/>
              <w:snapToGrid w:val="0"/>
              <w:jc w:val="center"/>
              <w:rPr>
                <w:rFonts w:ascii="Times New Roman" w:hAnsi="Times New Roman" w:eastAsia="宋体" w:cs="Times New Roman"/>
                <w:snapToGrid w:val="0"/>
                <w:color w:val="auto"/>
                <w:spacing w:val="0"/>
                <w:kern w:val="0"/>
                <w:sz w:val="21"/>
                <w:szCs w:val="21"/>
                <w:lang w:val="en-US" w:eastAsia="zh-CN" w:bidi="ar-SA"/>
              </w:rPr>
            </w:pPr>
            <w:r>
              <w:rPr>
                <w:rFonts w:hint="eastAsia"/>
                <w:color w:val="auto"/>
                <w:spacing w:val="0"/>
                <w:kern w:val="0"/>
                <w:lang w:val="en-US" w:eastAsia="zh-CN"/>
              </w:rPr>
              <w:t>--</w:t>
            </w:r>
          </w:p>
        </w:tc>
        <w:tc>
          <w:tcPr>
            <w:tcW w:w="617" w:type="pct"/>
            <w:vAlign w:val="center"/>
          </w:tcPr>
          <w:p w14:paraId="4320A8EA">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color w:val="auto"/>
                <w:spacing w:val="0"/>
                <w:kern w:val="0"/>
              </w:rPr>
            </w:pPr>
            <w:r>
              <w:rPr>
                <w:rFonts w:hint="eastAsia"/>
                <w:color w:val="auto"/>
                <w:kern w:val="0"/>
                <w:szCs w:val="21"/>
                <w:lang w:val="en-US" w:eastAsia="zh-CN"/>
              </w:rPr>
              <w:t>0.6</w:t>
            </w:r>
          </w:p>
        </w:tc>
        <w:tc>
          <w:tcPr>
            <w:tcW w:w="1609" w:type="dxa"/>
            <w:shd w:val="clear" w:color="auto" w:fill="auto"/>
            <w:vAlign w:val="center"/>
          </w:tcPr>
          <w:p w14:paraId="1F14B996">
            <w:pPr>
              <w:pStyle w:val="5"/>
              <w:keepNext w:val="0"/>
              <w:keepLines w:val="0"/>
              <w:pageBreakBefore w:val="0"/>
              <w:kinsoku/>
              <w:wordWrap/>
              <w:overflowPunct/>
              <w:topLinePunct w:val="0"/>
              <w:autoSpaceDE/>
              <w:autoSpaceDN/>
              <w:bidi w:val="0"/>
              <w:adjustRightInd w:val="0"/>
              <w:snapToGrid w:val="0"/>
              <w:ind w:firstLine="0" w:firstLineChars="0"/>
              <w:jc w:val="center"/>
              <w:rPr>
                <w:rFonts w:ascii="Times New Roman" w:hAnsi="Times New Roman" w:eastAsia="宋体" w:cs="Times New Roman"/>
                <w:snapToGrid w:val="0"/>
                <w:color w:val="auto"/>
                <w:spacing w:val="0"/>
                <w:kern w:val="0"/>
                <w:sz w:val="21"/>
                <w:szCs w:val="21"/>
                <w:lang w:val="en-US" w:eastAsia="zh-CN" w:bidi="ar-SA"/>
              </w:rPr>
            </w:pPr>
            <w:r>
              <w:rPr>
                <w:rFonts w:hint="eastAsia"/>
                <w:color w:val="auto"/>
                <w:kern w:val="0"/>
                <w:szCs w:val="21"/>
                <w:lang w:val="en-US" w:eastAsia="zh-CN"/>
              </w:rPr>
              <w:t>0.6</w:t>
            </w:r>
          </w:p>
        </w:tc>
        <w:tc>
          <w:tcPr>
            <w:tcW w:w="632" w:type="pct"/>
            <w:vAlign w:val="center"/>
          </w:tcPr>
          <w:p w14:paraId="306E64DB">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color w:val="auto"/>
                <w:spacing w:val="0"/>
                <w:kern w:val="0"/>
              </w:rPr>
            </w:pPr>
            <w:r>
              <w:rPr>
                <w:rFonts w:hint="eastAsia"/>
                <w:color w:val="auto"/>
                <w:kern w:val="0"/>
                <w:szCs w:val="21"/>
                <w:lang w:val="en-US" w:eastAsia="zh-CN"/>
              </w:rPr>
              <w:t>0.6</w:t>
            </w:r>
          </w:p>
        </w:tc>
        <w:tc>
          <w:tcPr>
            <w:tcW w:w="1228" w:type="dxa"/>
            <w:vAlign w:val="center"/>
          </w:tcPr>
          <w:p w14:paraId="498FC8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color w:val="auto"/>
                <w:spacing w:val="0"/>
                <w:kern w:val="0"/>
              </w:rPr>
            </w:pPr>
            <w:r>
              <w:rPr>
                <w:rFonts w:hint="default" w:ascii="Times New Roman" w:hAnsi="Times New Roman" w:eastAsia="宋体" w:cs="Times New Roman"/>
                <w:i w:val="0"/>
                <w:iCs w:val="0"/>
                <w:snapToGrid w:val="0"/>
                <w:color w:val="auto"/>
                <w:kern w:val="0"/>
                <w:sz w:val="21"/>
                <w:szCs w:val="21"/>
                <w:u w:val="none"/>
                <w:lang w:val="en-US" w:eastAsia="zh-CN" w:bidi="ar"/>
              </w:rPr>
              <w:t>0</w:t>
            </w:r>
          </w:p>
        </w:tc>
      </w:tr>
      <w:tr w14:paraId="03C065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vAlign w:val="center"/>
          </w:tcPr>
          <w:p w14:paraId="1BE818ED">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889" w:type="pct"/>
            <w:gridSpan w:val="2"/>
            <w:vAlign w:val="center"/>
          </w:tcPr>
          <w:p w14:paraId="17474388">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bCs/>
                <w:color w:val="auto"/>
                <w:spacing w:val="0"/>
                <w:kern w:val="0"/>
                <w:szCs w:val="21"/>
                <w:lang w:val="en-US" w:eastAsia="zh-CN"/>
              </w:rPr>
            </w:pPr>
            <w:r>
              <w:rPr>
                <w:rFonts w:hint="eastAsia"/>
                <w:bCs/>
                <w:color w:val="auto"/>
                <w:kern w:val="0"/>
                <w:szCs w:val="21"/>
                <w:lang w:val="en-US" w:eastAsia="zh-CN"/>
              </w:rPr>
              <w:t>废砂纸</w:t>
            </w:r>
          </w:p>
        </w:tc>
        <w:tc>
          <w:tcPr>
            <w:tcW w:w="1116" w:type="dxa"/>
            <w:shd w:val="clear" w:color="auto" w:fill="auto"/>
            <w:vAlign w:val="center"/>
          </w:tcPr>
          <w:p w14:paraId="0DCB08B3">
            <w:pPr>
              <w:pStyle w:val="5"/>
              <w:keepNext w:val="0"/>
              <w:keepLines w:val="0"/>
              <w:pageBreakBefore w:val="0"/>
              <w:kinsoku/>
              <w:wordWrap/>
              <w:overflowPunct/>
              <w:topLinePunct w:val="0"/>
              <w:autoSpaceDE/>
              <w:autoSpaceDN/>
              <w:bidi w:val="0"/>
              <w:adjustRightInd w:val="0"/>
              <w:snapToGrid w:val="0"/>
              <w:ind w:firstLine="0" w:firstLineChars="0"/>
              <w:jc w:val="center"/>
              <w:rPr>
                <w:rFonts w:ascii="Times New Roman" w:hAnsi="Times New Roman" w:eastAsia="宋体" w:cs="Times New Roman"/>
                <w:snapToGrid w:val="0"/>
                <w:color w:val="auto"/>
                <w:spacing w:val="0"/>
                <w:kern w:val="0"/>
                <w:sz w:val="21"/>
                <w:szCs w:val="21"/>
                <w:lang w:val="en-US" w:eastAsia="zh-CN" w:bidi="ar-SA"/>
              </w:rPr>
            </w:pPr>
            <w:r>
              <w:rPr>
                <w:rFonts w:hint="eastAsia"/>
                <w:color w:val="auto"/>
                <w:kern w:val="0"/>
                <w:szCs w:val="21"/>
                <w:lang w:val="en-US" w:eastAsia="zh-CN"/>
              </w:rPr>
              <w:t>2</w:t>
            </w:r>
          </w:p>
        </w:tc>
        <w:tc>
          <w:tcPr>
            <w:tcW w:w="448" w:type="pct"/>
            <w:shd w:val="clear" w:color="auto" w:fill="auto"/>
            <w:vAlign w:val="center"/>
          </w:tcPr>
          <w:p w14:paraId="072381FF">
            <w:pPr>
              <w:keepNext w:val="0"/>
              <w:keepLines w:val="0"/>
              <w:pageBreakBefore w:val="0"/>
              <w:widowControl/>
              <w:kinsoku/>
              <w:wordWrap/>
              <w:overflowPunct/>
              <w:topLinePunct w:val="0"/>
              <w:autoSpaceDE/>
              <w:autoSpaceDN/>
              <w:bidi w:val="0"/>
              <w:adjustRightInd w:val="0"/>
              <w:snapToGrid w:val="0"/>
              <w:jc w:val="center"/>
              <w:rPr>
                <w:rFonts w:ascii="Times New Roman" w:hAnsi="Times New Roman" w:eastAsia="宋体" w:cs="Times New Roman"/>
                <w:snapToGrid w:val="0"/>
                <w:color w:val="auto"/>
                <w:spacing w:val="0"/>
                <w:kern w:val="0"/>
                <w:sz w:val="21"/>
                <w:szCs w:val="21"/>
                <w:lang w:val="en-US" w:eastAsia="zh-CN" w:bidi="ar-SA"/>
              </w:rPr>
            </w:pPr>
            <w:r>
              <w:rPr>
                <w:rFonts w:hint="eastAsia"/>
                <w:color w:val="auto"/>
                <w:spacing w:val="0"/>
                <w:kern w:val="0"/>
                <w:lang w:val="en-US" w:eastAsia="zh-CN"/>
              </w:rPr>
              <w:t>--</w:t>
            </w:r>
          </w:p>
        </w:tc>
        <w:tc>
          <w:tcPr>
            <w:tcW w:w="498" w:type="pct"/>
            <w:shd w:val="clear" w:color="auto" w:fill="auto"/>
            <w:vAlign w:val="center"/>
          </w:tcPr>
          <w:p w14:paraId="4D5D79FC">
            <w:pPr>
              <w:keepNext w:val="0"/>
              <w:keepLines w:val="0"/>
              <w:pageBreakBefore w:val="0"/>
              <w:widowControl/>
              <w:kinsoku/>
              <w:wordWrap/>
              <w:overflowPunct/>
              <w:topLinePunct w:val="0"/>
              <w:autoSpaceDE/>
              <w:autoSpaceDN/>
              <w:bidi w:val="0"/>
              <w:adjustRightInd w:val="0"/>
              <w:snapToGrid w:val="0"/>
              <w:jc w:val="center"/>
              <w:rPr>
                <w:rFonts w:ascii="Times New Roman" w:hAnsi="Times New Roman" w:eastAsia="宋体" w:cs="Times New Roman"/>
                <w:snapToGrid w:val="0"/>
                <w:color w:val="auto"/>
                <w:spacing w:val="0"/>
                <w:kern w:val="0"/>
                <w:sz w:val="21"/>
                <w:szCs w:val="21"/>
                <w:lang w:val="en-US" w:eastAsia="zh-CN" w:bidi="ar-SA"/>
              </w:rPr>
            </w:pPr>
            <w:r>
              <w:rPr>
                <w:rFonts w:hint="eastAsia"/>
                <w:color w:val="auto"/>
                <w:spacing w:val="0"/>
                <w:kern w:val="0"/>
                <w:lang w:val="en-US" w:eastAsia="zh-CN"/>
              </w:rPr>
              <w:t>--</w:t>
            </w:r>
          </w:p>
        </w:tc>
        <w:tc>
          <w:tcPr>
            <w:tcW w:w="617" w:type="pct"/>
            <w:shd w:val="clear" w:color="auto" w:fill="auto"/>
            <w:vAlign w:val="center"/>
          </w:tcPr>
          <w:p w14:paraId="5A954439">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snapToGrid w:val="0"/>
                <w:color w:val="auto"/>
                <w:spacing w:val="0"/>
                <w:kern w:val="0"/>
                <w:sz w:val="21"/>
                <w:szCs w:val="20"/>
                <w:lang w:val="en-US" w:eastAsia="zh-CN" w:bidi="ar-SA"/>
              </w:rPr>
            </w:pPr>
            <w:r>
              <w:rPr>
                <w:rFonts w:hint="eastAsia"/>
                <w:color w:val="auto"/>
                <w:kern w:val="0"/>
                <w:szCs w:val="21"/>
                <w:lang w:val="en-US" w:eastAsia="zh-CN"/>
              </w:rPr>
              <w:t>2</w:t>
            </w:r>
          </w:p>
        </w:tc>
        <w:tc>
          <w:tcPr>
            <w:tcW w:w="1609" w:type="dxa"/>
            <w:shd w:val="clear" w:color="auto" w:fill="auto"/>
            <w:vAlign w:val="center"/>
          </w:tcPr>
          <w:p w14:paraId="286EAB05">
            <w:pPr>
              <w:pStyle w:val="5"/>
              <w:keepNext w:val="0"/>
              <w:keepLines w:val="0"/>
              <w:pageBreakBefore w:val="0"/>
              <w:kinsoku/>
              <w:wordWrap/>
              <w:overflowPunct/>
              <w:topLinePunct w:val="0"/>
              <w:autoSpaceDE/>
              <w:autoSpaceDN/>
              <w:bidi w:val="0"/>
              <w:adjustRightInd w:val="0"/>
              <w:snapToGrid w:val="0"/>
              <w:ind w:firstLine="0" w:firstLineChars="0"/>
              <w:jc w:val="center"/>
              <w:rPr>
                <w:rFonts w:ascii="Times New Roman" w:hAnsi="Times New Roman" w:eastAsia="宋体" w:cs="Times New Roman"/>
                <w:snapToGrid w:val="0"/>
                <w:color w:val="auto"/>
                <w:spacing w:val="0"/>
                <w:kern w:val="0"/>
                <w:sz w:val="21"/>
                <w:szCs w:val="21"/>
                <w:lang w:val="en-US" w:eastAsia="zh-CN" w:bidi="ar-SA"/>
              </w:rPr>
            </w:pPr>
            <w:r>
              <w:rPr>
                <w:rFonts w:hint="eastAsia"/>
                <w:color w:val="auto"/>
                <w:kern w:val="0"/>
                <w:szCs w:val="21"/>
                <w:lang w:val="en-US" w:eastAsia="zh-CN"/>
              </w:rPr>
              <w:t>2</w:t>
            </w:r>
          </w:p>
        </w:tc>
        <w:tc>
          <w:tcPr>
            <w:tcW w:w="632" w:type="pct"/>
            <w:shd w:val="clear" w:color="auto" w:fill="auto"/>
            <w:vAlign w:val="center"/>
          </w:tcPr>
          <w:p w14:paraId="6C280DF2">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ascii="Times New Roman" w:hAnsi="Times New Roman" w:eastAsia="宋体" w:cs="Times New Roman"/>
                <w:snapToGrid w:val="0"/>
                <w:color w:val="auto"/>
                <w:spacing w:val="0"/>
                <w:kern w:val="0"/>
                <w:sz w:val="21"/>
                <w:szCs w:val="20"/>
                <w:lang w:val="en-US" w:eastAsia="zh-CN" w:bidi="ar-SA"/>
              </w:rPr>
            </w:pPr>
            <w:r>
              <w:rPr>
                <w:rFonts w:hint="eastAsia"/>
                <w:color w:val="auto"/>
                <w:kern w:val="0"/>
                <w:szCs w:val="21"/>
                <w:lang w:val="en-US" w:eastAsia="zh-CN"/>
              </w:rPr>
              <w:t>2</w:t>
            </w:r>
          </w:p>
        </w:tc>
        <w:tc>
          <w:tcPr>
            <w:tcW w:w="1228" w:type="dxa"/>
            <w:shd w:val="clear" w:color="auto" w:fill="auto"/>
            <w:vAlign w:val="center"/>
          </w:tcPr>
          <w:p w14:paraId="77ADD7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snapToGrid w:val="0"/>
                <w:color w:val="auto"/>
                <w:spacing w:val="0"/>
                <w:kern w:val="0"/>
                <w:sz w:val="21"/>
                <w:szCs w:val="20"/>
                <w:lang w:val="en-US" w:eastAsia="zh-CN" w:bidi="ar-SA"/>
              </w:rPr>
            </w:pPr>
            <w:r>
              <w:rPr>
                <w:rFonts w:hint="default" w:ascii="Times New Roman" w:hAnsi="Times New Roman" w:eastAsia="宋体" w:cs="Times New Roman"/>
                <w:i w:val="0"/>
                <w:iCs w:val="0"/>
                <w:snapToGrid w:val="0"/>
                <w:color w:val="auto"/>
                <w:kern w:val="0"/>
                <w:sz w:val="21"/>
                <w:szCs w:val="21"/>
                <w:u w:val="none"/>
                <w:lang w:val="en-US" w:eastAsia="zh-CN" w:bidi="ar"/>
              </w:rPr>
              <w:t>0</w:t>
            </w:r>
          </w:p>
        </w:tc>
      </w:tr>
      <w:tr w14:paraId="07E2332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vAlign w:val="center"/>
          </w:tcPr>
          <w:p w14:paraId="02B905A3">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889" w:type="pct"/>
            <w:gridSpan w:val="2"/>
            <w:vAlign w:val="center"/>
          </w:tcPr>
          <w:p w14:paraId="07746F83">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bCs/>
                <w:color w:val="auto"/>
                <w:spacing w:val="0"/>
                <w:kern w:val="0"/>
                <w:szCs w:val="21"/>
                <w:lang w:val="en-US" w:eastAsia="zh-CN"/>
              </w:rPr>
            </w:pPr>
            <w:r>
              <w:rPr>
                <w:rFonts w:hint="eastAsia"/>
                <w:bCs/>
                <w:color w:val="auto"/>
                <w:kern w:val="0"/>
                <w:szCs w:val="21"/>
                <w:lang w:val="en-US" w:eastAsia="zh-CN"/>
              </w:rPr>
              <w:t>收集尘</w:t>
            </w:r>
          </w:p>
        </w:tc>
        <w:tc>
          <w:tcPr>
            <w:tcW w:w="1116" w:type="dxa"/>
            <w:shd w:val="clear" w:color="auto" w:fill="auto"/>
            <w:vAlign w:val="center"/>
          </w:tcPr>
          <w:p w14:paraId="2C15E62D">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color w:val="auto"/>
                <w:spacing w:val="0"/>
                <w:kern w:val="0"/>
                <w:lang w:val="en-US" w:eastAsia="zh-CN"/>
              </w:rPr>
            </w:pPr>
            <w:r>
              <w:rPr>
                <w:rFonts w:hint="eastAsia"/>
                <w:color w:val="auto"/>
                <w:kern w:val="0"/>
                <w:szCs w:val="21"/>
                <w:lang w:val="en-US" w:eastAsia="zh-CN"/>
              </w:rPr>
              <w:t>0.718</w:t>
            </w:r>
          </w:p>
        </w:tc>
        <w:tc>
          <w:tcPr>
            <w:tcW w:w="448" w:type="pct"/>
            <w:shd w:val="clear" w:color="auto" w:fill="auto"/>
            <w:vAlign w:val="center"/>
          </w:tcPr>
          <w:p w14:paraId="4D243159">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w:t>
            </w:r>
          </w:p>
        </w:tc>
        <w:tc>
          <w:tcPr>
            <w:tcW w:w="498" w:type="pct"/>
            <w:shd w:val="clear" w:color="auto" w:fill="auto"/>
            <w:vAlign w:val="center"/>
          </w:tcPr>
          <w:p w14:paraId="470C3E30">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w:t>
            </w:r>
          </w:p>
        </w:tc>
        <w:tc>
          <w:tcPr>
            <w:tcW w:w="617" w:type="pct"/>
            <w:shd w:val="clear" w:color="auto" w:fill="auto"/>
            <w:vAlign w:val="center"/>
          </w:tcPr>
          <w:p w14:paraId="69CDCD97">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color w:val="auto"/>
                <w:spacing w:val="0"/>
                <w:kern w:val="0"/>
                <w:szCs w:val="21"/>
                <w:lang w:val="en-US" w:eastAsia="zh-CN"/>
              </w:rPr>
            </w:pPr>
            <w:r>
              <w:rPr>
                <w:rFonts w:hint="eastAsia"/>
                <w:color w:val="auto"/>
                <w:kern w:val="0"/>
                <w:szCs w:val="21"/>
                <w:lang w:val="en-US" w:eastAsia="zh-CN"/>
              </w:rPr>
              <w:t>0.168</w:t>
            </w:r>
          </w:p>
        </w:tc>
        <w:tc>
          <w:tcPr>
            <w:tcW w:w="1609" w:type="dxa"/>
            <w:shd w:val="clear" w:color="auto" w:fill="auto"/>
            <w:vAlign w:val="center"/>
          </w:tcPr>
          <w:p w14:paraId="6B8FB168">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color w:val="auto"/>
                <w:spacing w:val="0"/>
                <w:kern w:val="0"/>
                <w:lang w:val="en-US" w:eastAsia="zh-CN"/>
              </w:rPr>
            </w:pPr>
            <w:r>
              <w:rPr>
                <w:rFonts w:hint="eastAsia"/>
                <w:color w:val="auto"/>
                <w:kern w:val="0"/>
                <w:szCs w:val="21"/>
                <w:lang w:val="en-US" w:eastAsia="zh-CN"/>
              </w:rPr>
              <w:t>0.718</w:t>
            </w:r>
          </w:p>
        </w:tc>
        <w:tc>
          <w:tcPr>
            <w:tcW w:w="632" w:type="pct"/>
            <w:shd w:val="clear" w:color="auto" w:fill="auto"/>
            <w:vAlign w:val="center"/>
          </w:tcPr>
          <w:p w14:paraId="7F84A4CC">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color w:val="auto"/>
                <w:spacing w:val="0"/>
                <w:kern w:val="0"/>
                <w:szCs w:val="21"/>
                <w:lang w:val="en-US" w:eastAsia="zh-CN"/>
              </w:rPr>
            </w:pPr>
            <w:r>
              <w:rPr>
                <w:rFonts w:hint="eastAsia"/>
                <w:color w:val="auto"/>
                <w:kern w:val="0"/>
                <w:szCs w:val="21"/>
                <w:lang w:val="en-US" w:eastAsia="zh-CN"/>
              </w:rPr>
              <w:t>0.168</w:t>
            </w:r>
          </w:p>
        </w:tc>
        <w:tc>
          <w:tcPr>
            <w:tcW w:w="1228" w:type="dxa"/>
            <w:shd w:val="clear" w:color="auto" w:fill="auto"/>
            <w:vAlign w:val="center"/>
          </w:tcPr>
          <w:p w14:paraId="260B2F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color w:val="auto"/>
                <w:spacing w:val="0"/>
                <w:kern w:val="0"/>
                <w:szCs w:val="21"/>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-0.55</w:t>
            </w:r>
          </w:p>
        </w:tc>
      </w:tr>
      <w:tr w14:paraId="078287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008836ED">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889" w:type="pct"/>
            <w:gridSpan w:val="2"/>
            <w:tcBorders>
              <w:tl2br w:val="nil"/>
              <w:tr2bl w:val="nil"/>
            </w:tcBorders>
            <w:vAlign w:val="center"/>
          </w:tcPr>
          <w:p w14:paraId="5F9544ED">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bCs/>
                <w:color w:val="auto"/>
                <w:spacing w:val="0"/>
                <w:kern w:val="0"/>
                <w:szCs w:val="21"/>
                <w:lang w:val="en-US" w:eastAsia="zh-CN"/>
              </w:rPr>
            </w:pPr>
            <w:r>
              <w:rPr>
                <w:rFonts w:hint="eastAsia"/>
                <w:bCs/>
                <w:color w:val="auto"/>
                <w:kern w:val="0"/>
                <w:szCs w:val="21"/>
                <w:lang w:val="en-US" w:eastAsia="zh-CN"/>
              </w:rPr>
              <w:t>废布袋</w:t>
            </w:r>
          </w:p>
        </w:tc>
        <w:tc>
          <w:tcPr>
            <w:tcW w:w="398" w:type="pct"/>
            <w:tcBorders>
              <w:tl2br w:val="nil"/>
              <w:tr2bl w:val="nil"/>
            </w:tcBorders>
            <w:shd w:val="clear" w:color="auto" w:fill="auto"/>
            <w:vAlign w:val="center"/>
          </w:tcPr>
          <w:p w14:paraId="1DD009A5">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0</w:t>
            </w:r>
          </w:p>
        </w:tc>
        <w:tc>
          <w:tcPr>
            <w:tcW w:w="448" w:type="pct"/>
            <w:tcBorders>
              <w:tl2br w:val="nil"/>
              <w:tr2bl w:val="nil"/>
            </w:tcBorders>
            <w:shd w:val="clear" w:color="auto" w:fill="auto"/>
            <w:vAlign w:val="center"/>
          </w:tcPr>
          <w:p w14:paraId="22BF6CD5">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w:t>
            </w:r>
          </w:p>
        </w:tc>
        <w:tc>
          <w:tcPr>
            <w:tcW w:w="498" w:type="pct"/>
            <w:tcBorders>
              <w:tl2br w:val="nil"/>
              <w:tr2bl w:val="nil"/>
            </w:tcBorders>
            <w:shd w:val="clear" w:color="auto" w:fill="auto"/>
            <w:vAlign w:val="center"/>
          </w:tcPr>
          <w:p w14:paraId="4D9EB776">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w:t>
            </w:r>
          </w:p>
        </w:tc>
        <w:tc>
          <w:tcPr>
            <w:tcW w:w="617" w:type="pct"/>
            <w:tcBorders>
              <w:tl2br w:val="nil"/>
              <w:tr2bl w:val="nil"/>
            </w:tcBorders>
            <w:shd w:val="clear" w:color="auto" w:fill="auto"/>
            <w:vAlign w:val="center"/>
          </w:tcPr>
          <w:p w14:paraId="269B1401">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color w:val="auto"/>
                <w:spacing w:val="0"/>
                <w:kern w:val="0"/>
                <w:szCs w:val="21"/>
                <w:lang w:val="en-US" w:eastAsia="zh-CN"/>
              </w:rPr>
            </w:pPr>
            <w:r>
              <w:rPr>
                <w:rFonts w:hint="eastAsia"/>
                <w:color w:val="auto"/>
                <w:kern w:val="0"/>
                <w:szCs w:val="21"/>
                <w:lang w:val="en-US" w:eastAsia="zh-CN"/>
              </w:rPr>
              <w:t>0.1</w:t>
            </w:r>
          </w:p>
        </w:tc>
        <w:tc>
          <w:tcPr>
            <w:tcW w:w="1609" w:type="dxa"/>
            <w:tcBorders>
              <w:tl2br w:val="nil"/>
              <w:tr2bl w:val="nil"/>
            </w:tcBorders>
            <w:shd w:val="clear" w:color="auto" w:fill="auto"/>
            <w:vAlign w:val="center"/>
          </w:tcPr>
          <w:p w14:paraId="1CBC35BF">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0</w:t>
            </w:r>
          </w:p>
        </w:tc>
        <w:tc>
          <w:tcPr>
            <w:tcW w:w="632" w:type="pct"/>
            <w:tcBorders>
              <w:tl2br w:val="nil"/>
              <w:tr2bl w:val="nil"/>
            </w:tcBorders>
            <w:shd w:val="clear" w:color="auto" w:fill="auto"/>
            <w:vAlign w:val="center"/>
          </w:tcPr>
          <w:p w14:paraId="72078049">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color w:val="auto"/>
                <w:spacing w:val="0"/>
                <w:kern w:val="0"/>
                <w:szCs w:val="21"/>
                <w:lang w:val="en-US" w:eastAsia="zh-CN"/>
              </w:rPr>
            </w:pPr>
            <w:r>
              <w:rPr>
                <w:rFonts w:hint="eastAsia"/>
                <w:color w:val="auto"/>
                <w:kern w:val="0"/>
                <w:szCs w:val="21"/>
                <w:lang w:val="en-US" w:eastAsia="zh-CN"/>
              </w:rPr>
              <w:t>0.1</w:t>
            </w:r>
          </w:p>
        </w:tc>
        <w:tc>
          <w:tcPr>
            <w:tcW w:w="1228" w:type="dxa"/>
            <w:tcBorders>
              <w:tl2br w:val="nil"/>
              <w:tr2bl w:val="nil"/>
            </w:tcBorders>
            <w:shd w:val="clear" w:color="auto" w:fill="auto"/>
            <w:vAlign w:val="center"/>
          </w:tcPr>
          <w:p w14:paraId="44FC0CA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color w:val="auto"/>
                <w:spacing w:val="0"/>
                <w:kern w:val="0"/>
                <w:szCs w:val="21"/>
                <w:lang w:val="en-US" w:eastAsia="zh-CN"/>
              </w:rPr>
            </w:pPr>
            <w:r>
              <w:rPr>
                <w:rFonts w:hint="eastAsia" w:ascii="Times New Roman" w:hAnsi="Times New Roman" w:cs="Times New Roman"/>
                <w:i w:val="0"/>
                <w:iCs w:val="0"/>
                <w:snapToGrid w:val="0"/>
                <w:color w:val="auto"/>
                <w:kern w:val="0"/>
                <w:sz w:val="21"/>
                <w:szCs w:val="21"/>
                <w:u w:val="none"/>
                <w:lang w:val="en-US" w:eastAsia="zh-CN" w:bidi="ar"/>
              </w:rPr>
              <w:t>+</w:t>
            </w:r>
            <w:r>
              <w:rPr>
                <w:rFonts w:hint="default" w:ascii="Times New Roman" w:hAnsi="Times New Roman" w:eastAsia="宋体" w:cs="Times New Roman"/>
                <w:i w:val="0"/>
                <w:iCs w:val="0"/>
                <w:snapToGrid w:val="0"/>
                <w:color w:val="auto"/>
                <w:kern w:val="0"/>
                <w:sz w:val="21"/>
                <w:szCs w:val="21"/>
                <w:u w:val="none"/>
                <w:lang w:val="en-US" w:eastAsia="zh-CN" w:bidi="ar"/>
              </w:rPr>
              <w:t>0.1</w:t>
            </w:r>
          </w:p>
        </w:tc>
      </w:tr>
      <w:tr w14:paraId="015A47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restart"/>
            <w:tcBorders>
              <w:tl2br w:val="nil"/>
              <w:tr2bl w:val="nil"/>
            </w:tcBorders>
            <w:vAlign w:val="center"/>
          </w:tcPr>
          <w:p w14:paraId="783A360A">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r>
              <w:rPr>
                <w:rFonts w:ascii="Times New Roman" w:eastAsia="宋体"/>
                <w:color w:val="auto"/>
                <w:spacing w:val="0"/>
                <w:kern w:val="0"/>
                <w:sz w:val="21"/>
                <w:szCs w:val="21"/>
              </w:rPr>
              <w:t>危险废物</w:t>
            </w:r>
          </w:p>
        </w:tc>
        <w:tc>
          <w:tcPr>
            <w:tcW w:w="889" w:type="pct"/>
            <w:gridSpan w:val="2"/>
            <w:tcBorders>
              <w:tl2br w:val="nil"/>
              <w:tr2bl w:val="nil"/>
            </w:tcBorders>
            <w:vAlign w:val="center"/>
          </w:tcPr>
          <w:p w14:paraId="329F8BE6">
            <w:pPr>
              <w:pStyle w:val="5"/>
              <w:keepNext w:val="0"/>
              <w:keepLines w:val="0"/>
              <w:pageBreakBefore w:val="0"/>
              <w:kinsoku/>
              <w:wordWrap/>
              <w:overflowPunct/>
              <w:topLinePunct w:val="0"/>
              <w:autoSpaceDE/>
              <w:autoSpaceDN/>
              <w:bidi w:val="0"/>
              <w:adjustRightInd w:val="0"/>
              <w:snapToGrid w:val="0"/>
              <w:ind w:firstLine="0" w:firstLineChars="0"/>
              <w:jc w:val="center"/>
              <w:rPr>
                <w:color w:val="auto"/>
                <w:spacing w:val="0"/>
                <w:kern w:val="0"/>
                <w:szCs w:val="21"/>
              </w:rPr>
            </w:pPr>
            <w:r>
              <w:rPr>
                <w:rFonts w:hint="eastAsia"/>
                <w:bCs/>
                <w:color w:val="auto"/>
                <w:kern w:val="0"/>
                <w:szCs w:val="21"/>
                <w:lang w:val="en-US" w:eastAsia="zh-CN"/>
              </w:rPr>
              <w:t>擦色废物</w:t>
            </w:r>
          </w:p>
        </w:tc>
        <w:tc>
          <w:tcPr>
            <w:tcW w:w="1116" w:type="dxa"/>
            <w:tcBorders>
              <w:tl2br w:val="nil"/>
              <w:tr2bl w:val="nil"/>
            </w:tcBorders>
            <w:vAlign w:val="center"/>
          </w:tcPr>
          <w:p w14:paraId="4265106D">
            <w:pPr>
              <w:pStyle w:val="5"/>
              <w:keepNext w:val="0"/>
              <w:keepLines w:val="0"/>
              <w:pageBreakBefore w:val="0"/>
              <w:kinsoku/>
              <w:wordWrap/>
              <w:overflowPunct/>
              <w:topLinePunct w:val="0"/>
              <w:autoSpaceDE/>
              <w:autoSpaceDN/>
              <w:bidi w:val="0"/>
              <w:adjustRightInd w:val="0"/>
              <w:snapToGrid w:val="0"/>
              <w:ind w:firstLine="0" w:firstLineChars="0"/>
              <w:jc w:val="center"/>
              <w:rPr>
                <w:color w:val="auto"/>
                <w:spacing w:val="0"/>
                <w:kern w:val="0"/>
              </w:rPr>
            </w:pPr>
            <w:r>
              <w:rPr>
                <w:rFonts w:hint="eastAsia"/>
                <w:color w:val="auto"/>
                <w:kern w:val="0"/>
                <w:szCs w:val="21"/>
                <w:lang w:val="en-US" w:eastAsia="zh-CN"/>
              </w:rPr>
              <w:t>0.3</w:t>
            </w:r>
          </w:p>
        </w:tc>
        <w:tc>
          <w:tcPr>
            <w:tcW w:w="448" w:type="pct"/>
            <w:tcBorders>
              <w:tl2br w:val="nil"/>
              <w:tr2bl w:val="nil"/>
            </w:tcBorders>
            <w:vAlign w:val="center"/>
          </w:tcPr>
          <w:p w14:paraId="2D5954B7">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498" w:type="pct"/>
            <w:tcBorders>
              <w:tl2br w:val="nil"/>
              <w:tr2bl w:val="nil"/>
            </w:tcBorders>
            <w:vAlign w:val="center"/>
          </w:tcPr>
          <w:p w14:paraId="339AF585">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617" w:type="pct"/>
            <w:tcBorders>
              <w:tl2br w:val="nil"/>
              <w:tr2bl w:val="nil"/>
            </w:tcBorders>
            <w:vAlign w:val="center"/>
          </w:tcPr>
          <w:p w14:paraId="2327F6BE">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eastAsia="宋体"/>
                <w:color w:val="auto"/>
                <w:spacing w:val="0"/>
                <w:kern w:val="0"/>
                <w:lang w:val="en-US" w:eastAsia="zh-CN"/>
              </w:rPr>
            </w:pPr>
            <w:r>
              <w:rPr>
                <w:rFonts w:hint="eastAsia"/>
                <w:color w:val="auto"/>
                <w:kern w:val="0"/>
                <w:szCs w:val="21"/>
                <w:lang w:val="en-US" w:eastAsia="zh-CN"/>
              </w:rPr>
              <w:t>0.3</w:t>
            </w:r>
          </w:p>
        </w:tc>
        <w:tc>
          <w:tcPr>
            <w:tcW w:w="1609" w:type="dxa"/>
            <w:tcBorders>
              <w:tl2br w:val="nil"/>
              <w:tr2bl w:val="nil"/>
            </w:tcBorders>
            <w:vAlign w:val="center"/>
          </w:tcPr>
          <w:p w14:paraId="42B1E1A7">
            <w:pPr>
              <w:pStyle w:val="5"/>
              <w:keepNext w:val="0"/>
              <w:keepLines w:val="0"/>
              <w:pageBreakBefore w:val="0"/>
              <w:kinsoku/>
              <w:wordWrap/>
              <w:overflowPunct/>
              <w:topLinePunct w:val="0"/>
              <w:autoSpaceDE/>
              <w:autoSpaceDN/>
              <w:bidi w:val="0"/>
              <w:adjustRightInd w:val="0"/>
              <w:snapToGrid w:val="0"/>
              <w:ind w:firstLine="0" w:firstLineChars="0"/>
              <w:jc w:val="center"/>
              <w:rPr>
                <w:color w:val="auto"/>
                <w:spacing w:val="0"/>
                <w:kern w:val="0"/>
              </w:rPr>
            </w:pPr>
            <w:r>
              <w:rPr>
                <w:rFonts w:hint="eastAsia"/>
                <w:color w:val="auto"/>
                <w:kern w:val="0"/>
                <w:szCs w:val="21"/>
                <w:lang w:val="en-US" w:eastAsia="zh-CN"/>
              </w:rPr>
              <w:t>0.3</w:t>
            </w:r>
          </w:p>
        </w:tc>
        <w:tc>
          <w:tcPr>
            <w:tcW w:w="632" w:type="pct"/>
            <w:tcBorders>
              <w:tl2br w:val="nil"/>
              <w:tr2bl w:val="nil"/>
            </w:tcBorders>
            <w:vAlign w:val="center"/>
          </w:tcPr>
          <w:p w14:paraId="457F4819">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eastAsia="宋体"/>
                <w:color w:val="auto"/>
                <w:spacing w:val="0"/>
                <w:kern w:val="0"/>
                <w:lang w:val="en-US" w:eastAsia="zh-CN"/>
              </w:rPr>
            </w:pPr>
            <w:r>
              <w:rPr>
                <w:rFonts w:hint="eastAsia"/>
                <w:color w:val="auto"/>
                <w:kern w:val="0"/>
                <w:szCs w:val="21"/>
                <w:lang w:val="en-US" w:eastAsia="zh-CN"/>
              </w:rPr>
              <w:t>0.3</w:t>
            </w:r>
          </w:p>
        </w:tc>
        <w:tc>
          <w:tcPr>
            <w:tcW w:w="1228" w:type="dxa"/>
            <w:tcBorders>
              <w:tl2br w:val="nil"/>
              <w:tr2bl w:val="nil"/>
            </w:tcBorders>
            <w:vAlign w:val="center"/>
          </w:tcPr>
          <w:p w14:paraId="7C67CF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eastAsia="宋体"/>
                <w:color w:val="auto"/>
                <w:spacing w:val="0"/>
                <w:kern w:val="0"/>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0</w:t>
            </w:r>
          </w:p>
        </w:tc>
      </w:tr>
      <w:tr w14:paraId="3F66678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00909CD3">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889" w:type="pct"/>
            <w:gridSpan w:val="2"/>
            <w:tcBorders>
              <w:tl2br w:val="nil"/>
              <w:tr2bl w:val="nil"/>
            </w:tcBorders>
            <w:vAlign w:val="center"/>
          </w:tcPr>
          <w:p w14:paraId="591C4636">
            <w:pPr>
              <w:pStyle w:val="5"/>
              <w:keepNext w:val="0"/>
              <w:keepLines w:val="0"/>
              <w:pageBreakBefore w:val="0"/>
              <w:kinsoku/>
              <w:wordWrap/>
              <w:overflowPunct/>
              <w:topLinePunct w:val="0"/>
              <w:autoSpaceDE/>
              <w:autoSpaceDN/>
              <w:bidi w:val="0"/>
              <w:adjustRightInd w:val="0"/>
              <w:snapToGrid w:val="0"/>
              <w:ind w:firstLine="0" w:firstLineChars="0"/>
              <w:jc w:val="center"/>
              <w:rPr>
                <w:bCs/>
                <w:color w:val="auto"/>
                <w:spacing w:val="0"/>
                <w:kern w:val="0"/>
                <w:szCs w:val="18"/>
              </w:rPr>
            </w:pPr>
            <w:r>
              <w:rPr>
                <w:rFonts w:hint="eastAsia"/>
                <w:bCs/>
                <w:color w:val="auto"/>
                <w:kern w:val="0"/>
                <w:szCs w:val="21"/>
                <w:lang w:val="en-US" w:eastAsia="zh-CN"/>
              </w:rPr>
              <w:t>含漆废物</w:t>
            </w:r>
          </w:p>
        </w:tc>
        <w:tc>
          <w:tcPr>
            <w:tcW w:w="1116" w:type="dxa"/>
            <w:tcBorders>
              <w:tl2br w:val="nil"/>
              <w:tr2bl w:val="nil"/>
            </w:tcBorders>
            <w:vAlign w:val="center"/>
          </w:tcPr>
          <w:p w14:paraId="1E28E3F5">
            <w:pPr>
              <w:pStyle w:val="5"/>
              <w:keepNext w:val="0"/>
              <w:keepLines w:val="0"/>
              <w:pageBreakBefore w:val="0"/>
              <w:kinsoku/>
              <w:wordWrap/>
              <w:overflowPunct/>
              <w:topLinePunct w:val="0"/>
              <w:autoSpaceDE/>
              <w:autoSpaceDN/>
              <w:bidi w:val="0"/>
              <w:adjustRightInd w:val="0"/>
              <w:snapToGrid w:val="0"/>
              <w:ind w:firstLine="0" w:firstLineChars="0"/>
              <w:jc w:val="center"/>
              <w:rPr>
                <w:color w:val="auto"/>
                <w:spacing w:val="0"/>
                <w:kern w:val="0"/>
              </w:rPr>
            </w:pPr>
            <w:r>
              <w:rPr>
                <w:rFonts w:hint="eastAsia"/>
                <w:color w:val="auto"/>
                <w:kern w:val="0"/>
                <w:szCs w:val="21"/>
                <w:lang w:val="en-US" w:eastAsia="zh-CN"/>
              </w:rPr>
              <w:t>0.5</w:t>
            </w:r>
          </w:p>
        </w:tc>
        <w:tc>
          <w:tcPr>
            <w:tcW w:w="448" w:type="pct"/>
            <w:tcBorders>
              <w:tl2br w:val="nil"/>
              <w:tr2bl w:val="nil"/>
            </w:tcBorders>
            <w:vAlign w:val="center"/>
          </w:tcPr>
          <w:p w14:paraId="611F7A9D">
            <w:pPr>
              <w:keepNext w:val="0"/>
              <w:keepLines w:val="0"/>
              <w:pageBreakBefore w:val="0"/>
              <w:widowControl/>
              <w:kinsoku/>
              <w:wordWrap/>
              <w:overflowPunct/>
              <w:topLinePunct w:val="0"/>
              <w:autoSpaceDE/>
              <w:autoSpaceDN/>
              <w:bidi w:val="0"/>
              <w:adjustRightInd w:val="0"/>
              <w:snapToGrid w:val="0"/>
              <w:jc w:val="center"/>
              <w:rPr>
                <w:color w:val="auto"/>
                <w:spacing w:val="0"/>
                <w:kern w:val="0"/>
                <w:szCs w:val="18"/>
              </w:rPr>
            </w:pPr>
            <w:r>
              <w:rPr>
                <w:rFonts w:hint="eastAsia"/>
                <w:color w:val="auto"/>
                <w:spacing w:val="0"/>
                <w:kern w:val="0"/>
                <w:lang w:val="en-US" w:eastAsia="zh-CN"/>
              </w:rPr>
              <w:t>--</w:t>
            </w:r>
          </w:p>
        </w:tc>
        <w:tc>
          <w:tcPr>
            <w:tcW w:w="498" w:type="pct"/>
            <w:tcBorders>
              <w:tl2br w:val="nil"/>
              <w:tr2bl w:val="nil"/>
            </w:tcBorders>
            <w:vAlign w:val="center"/>
          </w:tcPr>
          <w:p w14:paraId="429198E5">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617" w:type="pct"/>
            <w:tcBorders>
              <w:tl2br w:val="nil"/>
              <w:tr2bl w:val="nil"/>
            </w:tcBorders>
            <w:vAlign w:val="center"/>
          </w:tcPr>
          <w:p w14:paraId="099BFC42">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color w:val="auto"/>
                <w:spacing w:val="0"/>
                <w:kern w:val="0"/>
                <w:szCs w:val="21"/>
                <w:lang w:val="en-US"/>
              </w:rPr>
            </w:pPr>
            <w:r>
              <w:rPr>
                <w:rFonts w:hint="eastAsia"/>
                <w:color w:val="auto"/>
                <w:kern w:val="0"/>
                <w:szCs w:val="21"/>
                <w:lang w:val="en-US" w:eastAsia="zh-CN"/>
              </w:rPr>
              <w:t>0.5</w:t>
            </w:r>
          </w:p>
        </w:tc>
        <w:tc>
          <w:tcPr>
            <w:tcW w:w="1609" w:type="dxa"/>
            <w:tcBorders>
              <w:tl2br w:val="nil"/>
              <w:tr2bl w:val="nil"/>
            </w:tcBorders>
            <w:vAlign w:val="center"/>
          </w:tcPr>
          <w:p w14:paraId="4E8F924B">
            <w:pPr>
              <w:pStyle w:val="5"/>
              <w:keepNext w:val="0"/>
              <w:keepLines w:val="0"/>
              <w:pageBreakBefore w:val="0"/>
              <w:kinsoku/>
              <w:wordWrap/>
              <w:overflowPunct/>
              <w:topLinePunct w:val="0"/>
              <w:autoSpaceDE/>
              <w:autoSpaceDN/>
              <w:bidi w:val="0"/>
              <w:adjustRightInd w:val="0"/>
              <w:snapToGrid w:val="0"/>
              <w:ind w:firstLine="0" w:firstLineChars="0"/>
              <w:jc w:val="center"/>
              <w:rPr>
                <w:color w:val="auto"/>
                <w:spacing w:val="0"/>
                <w:kern w:val="0"/>
              </w:rPr>
            </w:pPr>
            <w:r>
              <w:rPr>
                <w:rFonts w:hint="eastAsia"/>
                <w:color w:val="auto"/>
                <w:kern w:val="0"/>
                <w:szCs w:val="21"/>
                <w:lang w:val="en-US" w:eastAsia="zh-CN"/>
              </w:rPr>
              <w:t>0.5</w:t>
            </w:r>
          </w:p>
        </w:tc>
        <w:tc>
          <w:tcPr>
            <w:tcW w:w="632" w:type="pct"/>
            <w:tcBorders>
              <w:tl2br w:val="nil"/>
              <w:tr2bl w:val="nil"/>
            </w:tcBorders>
            <w:vAlign w:val="center"/>
          </w:tcPr>
          <w:p w14:paraId="7AE99A22">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color w:val="auto"/>
                <w:spacing w:val="0"/>
                <w:kern w:val="0"/>
                <w:szCs w:val="21"/>
                <w:lang w:val="en-US"/>
              </w:rPr>
            </w:pPr>
            <w:r>
              <w:rPr>
                <w:rFonts w:hint="eastAsia"/>
                <w:color w:val="auto"/>
                <w:kern w:val="0"/>
                <w:szCs w:val="21"/>
                <w:lang w:val="en-US" w:eastAsia="zh-CN"/>
              </w:rPr>
              <w:t>0.5</w:t>
            </w:r>
          </w:p>
        </w:tc>
        <w:tc>
          <w:tcPr>
            <w:tcW w:w="1228" w:type="dxa"/>
            <w:tcBorders>
              <w:tl2br w:val="nil"/>
              <w:tr2bl w:val="nil"/>
            </w:tcBorders>
            <w:vAlign w:val="center"/>
          </w:tcPr>
          <w:p w14:paraId="76C563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color w:val="auto"/>
                <w:spacing w:val="0"/>
                <w:kern w:val="0"/>
                <w:szCs w:val="21"/>
                <w:lang w:val="en-US"/>
              </w:rPr>
            </w:pPr>
            <w:r>
              <w:rPr>
                <w:rFonts w:hint="default" w:ascii="Times New Roman" w:hAnsi="Times New Roman" w:eastAsia="宋体" w:cs="Times New Roman"/>
                <w:i w:val="0"/>
                <w:iCs w:val="0"/>
                <w:snapToGrid w:val="0"/>
                <w:color w:val="auto"/>
                <w:kern w:val="0"/>
                <w:sz w:val="21"/>
                <w:szCs w:val="21"/>
                <w:u w:val="none"/>
                <w:lang w:val="en-US" w:eastAsia="zh-CN" w:bidi="ar"/>
              </w:rPr>
              <w:t>0</w:t>
            </w:r>
          </w:p>
        </w:tc>
      </w:tr>
      <w:tr w14:paraId="533637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2621A340">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889" w:type="pct"/>
            <w:gridSpan w:val="2"/>
            <w:tcBorders>
              <w:tl2br w:val="nil"/>
              <w:tr2bl w:val="nil"/>
            </w:tcBorders>
            <w:vAlign w:val="center"/>
          </w:tcPr>
          <w:p w14:paraId="79EAECD4">
            <w:pPr>
              <w:pStyle w:val="5"/>
              <w:keepNext w:val="0"/>
              <w:keepLines w:val="0"/>
              <w:pageBreakBefore w:val="0"/>
              <w:kinsoku/>
              <w:wordWrap/>
              <w:overflowPunct/>
              <w:topLinePunct w:val="0"/>
              <w:autoSpaceDE/>
              <w:autoSpaceDN/>
              <w:bidi w:val="0"/>
              <w:adjustRightInd w:val="0"/>
              <w:snapToGrid w:val="0"/>
              <w:ind w:firstLine="0" w:firstLineChars="0"/>
              <w:jc w:val="center"/>
              <w:rPr>
                <w:bCs/>
                <w:color w:val="auto"/>
                <w:spacing w:val="0"/>
                <w:kern w:val="0"/>
                <w:szCs w:val="18"/>
              </w:rPr>
            </w:pPr>
            <w:r>
              <w:rPr>
                <w:rFonts w:hint="eastAsia"/>
                <w:bCs/>
                <w:color w:val="auto"/>
                <w:kern w:val="0"/>
                <w:szCs w:val="21"/>
                <w:lang w:val="en-US" w:eastAsia="zh-CN"/>
              </w:rPr>
              <w:t>漆渣</w:t>
            </w:r>
          </w:p>
        </w:tc>
        <w:tc>
          <w:tcPr>
            <w:tcW w:w="1116" w:type="dxa"/>
            <w:tcBorders>
              <w:tl2br w:val="nil"/>
              <w:tr2bl w:val="nil"/>
            </w:tcBorders>
            <w:vAlign w:val="center"/>
          </w:tcPr>
          <w:p w14:paraId="492AF7F4">
            <w:pPr>
              <w:pStyle w:val="5"/>
              <w:keepNext w:val="0"/>
              <w:keepLines w:val="0"/>
              <w:pageBreakBefore w:val="0"/>
              <w:kinsoku/>
              <w:wordWrap/>
              <w:overflowPunct/>
              <w:topLinePunct w:val="0"/>
              <w:autoSpaceDE/>
              <w:autoSpaceDN/>
              <w:bidi w:val="0"/>
              <w:adjustRightInd w:val="0"/>
              <w:snapToGrid w:val="0"/>
              <w:ind w:firstLine="0" w:firstLineChars="0"/>
              <w:jc w:val="center"/>
              <w:rPr>
                <w:color w:val="auto"/>
                <w:spacing w:val="0"/>
                <w:kern w:val="0"/>
              </w:rPr>
            </w:pPr>
            <w:r>
              <w:rPr>
                <w:rFonts w:hint="eastAsia"/>
                <w:color w:val="auto"/>
                <w:kern w:val="0"/>
                <w:szCs w:val="21"/>
                <w:lang w:val="en-US" w:eastAsia="zh-CN"/>
              </w:rPr>
              <w:t>1.15</w:t>
            </w:r>
          </w:p>
        </w:tc>
        <w:tc>
          <w:tcPr>
            <w:tcW w:w="448" w:type="pct"/>
            <w:tcBorders>
              <w:tl2br w:val="nil"/>
              <w:tr2bl w:val="nil"/>
            </w:tcBorders>
            <w:vAlign w:val="center"/>
          </w:tcPr>
          <w:p w14:paraId="206262F0">
            <w:pPr>
              <w:keepNext w:val="0"/>
              <w:keepLines w:val="0"/>
              <w:pageBreakBefore w:val="0"/>
              <w:widowControl/>
              <w:kinsoku/>
              <w:wordWrap/>
              <w:overflowPunct/>
              <w:topLinePunct w:val="0"/>
              <w:autoSpaceDE/>
              <w:autoSpaceDN/>
              <w:bidi w:val="0"/>
              <w:adjustRightInd w:val="0"/>
              <w:snapToGrid w:val="0"/>
              <w:jc w:val="center"/>
              <w:rPr>
                <w:color w:val="auto"/>
                <w:spacing w:val="0"/>
                <w:kern w:val="0"/>
                <w:szCs w:val="18"/>
              </w:rPr>
            </w:pPr>
            <w:r>
              <w:rPr>
                <w:rFonts w:hint="eastAsia"/>
                <w:color w:val="auto"/>
                <w:spacing w:val="0"/>
                <w:kern w:val="0"/>
                <w:lang w:val="en-US" w:eastAsia="zh-CN"/>
              </w:rPr>
              <w:t>--</w:t>
            </w:r>
          </w:p>
        </w:tc>
        <w:tc>
          <w:tcPr>
            <w:tcW w:w="498" w:type="pct"/>
            <w:tcBorders>
              <w:tl2br w:val="nil"/>
              <w:tr2bl w:val="nil"/>
            </w:tcBorders>
            <w:vAlign w:val="center"/>
          </w:tcPr>
          <w:p w14:paraId="10BF10CE">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617" w:type="pct"/>
            <w:tcBorders>
              <w:tl2br w:val="nil"/>
              <w:tr2bl w:val="nil"/>
            </w:tcBorders>
            <w:vAlign w:val="center"/>
          </w:tcPr>
          <w:p w14:paraId="4FC90A23">
            <w:pPr>
              <w:pStyle w:val="5"/>
              <w:keepNext w:val="0"/>
              <w:keepLines w:val="0"/>
              <w:pageBreakBefore w:val="0"/>
              <w:kinsoku/>
              <w:wordWrap/>
              <w:overflowPunct/>
              <w:topLinePunct w:val="0"/>
              <w:autoSpaceDE/>
              <w:autoSpaceDN/>
              <w:bidi w:val="0"/>
              <w:adjustRightInd w:val="0"/>
              <w:snapToGrid w:val="0"/>
              <w:ind w:firstLine="0" w:firstLineChars="0"/>
              <w:jc w:val="center"/>
              <w:rPr>
                <w:color w:val="auto"/>
                <w:spacing w:val="0"/>
                <w:kern w:val="0"/>
                <w:szCs w:val="21"/>
              </w:rPr>
            </w:pPr>
            <w:r>
              <w:rPr>
                <w:rFonts w:hint="eastAsia"/>
                <w:color w:val="auto"/>
                <w:kern w:val="0"/>
                <w:szCs w:val="21"/>
                <w:lang w:val="en-US" w:eastAsia="zh-CN"/>
              </w:rPr>
              <w:t>0.05014</w:t>
            </w:r>
          </w:p>
        </w:tc>
        <w:tc>
          <w:tcPr>
            <w:tcW w:w="1609" w:type="dxa"/>
            <w:tcBorders>
              <w:tl2br w:val="nil"/>
              <w:tr2bl w:val="nil"/>
            </w:tcBorders>
            <w:vAlign w:val="center"/>
          </w:tcPr>
          <w:p w14:paraId="39D20F6D">
            <w:pPr>
              <w:pStyle w:val="5"/>
              <w:keepNext w:val="0"/>
              <w:keepLines w:val="0"/>
              <w:pageBreakBefore w:val="0"/>
              <w:kinsoku/>
              <w:wordWrap/>
              <w:overflowPunct/>
              <w:topLinePunct w:val="0"/>
              <w:autoSpaceDE/>
              <w:autoSpaceDN/>
              <w:bidi w:val="0"/>
              <w:adjustRightInd w:val="0"/>
              <w:snapToGrid w:val="0"/>
              <w:ind w:firstLine="0" w:firstLineChars="0"/>
              <w:jc w:val="center"/>
              <w:rPr>
                <w:color w:val="auto"/>
                <w:spacing w:val="0"/>
                <w:kern w:val="0"/>
              </w:rPr>
            </w:pPr>
            <w:r>
              <w:rPr>
                <w:rFonts w:hint="eastAsia"/>
                <w:color w:val="auto"/>
                <w:kern w:val="0"/>
                <w:szCs w:val="21"/>
                <w:lang w:val="en-US" w:eastAsia="zh-CN"/>
              </w:rPr>
              <w:t>1.15</w:t>
            </w:r>
          </w:p>
        </w:tc>
        <w:tc>
          <w:tcPr>
            <w:tcW w:w="632" w:type="pct"/>
            <w:tcBorders>
              <w:tl2br w:val="nil"/>
              <w:tr2bl w:val="nil"/>
            </w:tcBorders>
            <w:vAlign w:val="center"/>
          </w:tcPr>
          <w:p w14:paraId="7F18ACBA">
            <w:pPr>
              <w:pStyle w:val="5"/>
              <w:keepNext w:val="0"/>
              <w:keepLines w:val="0"/>
              <w:pageBreakBefore w:val="0"/>
              <w:kinsoku/>
              <w:wordWrap/>
              <w:overflowPunct/>
              <w:topLinePunct w:val="0"/>
              <w:autoSpaceDE/>
              <w:autoSpaceDN/>
              <w:bidi w:val="0"/>
              <w:adjustRightInd w:val="0"/>
              <w:snapToGrid w:val="0"/>
              <w:ind w:firstLine="0" w:firstLineChars="0"/>
              <w:jc w:val="center"/>
              <w:rPr>
                <w:color w:val="auto"/>
                <w:spacing w:val="0"/>
                <w:kern w:val="0"/>
                <w:szCs w:val="21"/>
              </w:rPr>
            </w:pPr>
            <w:r>
              <w:rPr>
                <w:rFonts w:hint="eastAsia"/>
                <w:color w:val="auto"/>
                <w:kern w:val="0"/>
                <w:szCs w:val="21"/>
                <w:lang w:val="en-US" w:eastAsia="zh-CN"/>
              </w:rPr>
              <w:t>0.05014</w:t>
            </w:r>
          </w:p>
        </w:tc>
        <w:tc>
          <w:tcPr>
            <w:tcW w:w="1228" w:type="dxa"/>
            <w:tcBorders>
              <w:tl2br w:val="nil"/>
              <w:tr2bl w:val="nil"/>
            </w:tcBorders>
            <w:vAlign w:val="center"/>
          </w:tcPr>
          <w:p w14:paraId="623FB1E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color w:val="auto"/>
                <w:spacing w:val="0"/>
                <w:kern w:val="0"/>
                <w:szCs w:val="21"/>
                <w:lang w:val="en-US"/>
              </w:rPr>
            </w:pPr>
            <w:r>
              <w:rPr>
                <w:rFonts w:hint="default" w:ascii="Times New Roman" w:hAnsi="Times New Roman" w:eastAsia="宋体" w:cs="Times New Roman"/>
                <w:i w:val="0"/>
                <w:iCs w:val="0"/>
                <w:snapToGrid w:val="0"/>
                <w:color w:val="auto"/>
                <w:kern w:val="0"/>
                <w:sz w:val="21"/>
                <w:szCs w:val="21"/>
                <w:u w:val="none"/>
                <w:lang w:val="en-US" w:eastAsia="zh-CN" w:bidi="ar"/>
              </w:rPr>
              <w:t>-1.0</w:t>
            </w:r>
            <w:r>
              <w:rPr>
                <w:rFonts w:hint="eastAsia" w:cs="Times New Roman"/>
                <w:i w:val="0"/>
                <w:iCs w:val="0"/>
                <w:snapToGrid w:val="0"/>
                <w:color w:val="auto"/>
                <w:kern w:val="0"/>
                <w:sz w:val="21"/>
                <w:szCs w:val="21"/>
                <w:u w:val="none"/>
                <w:lang w:val="en-US" w:eastAsia="zh-CN" w:bidi="ar"/>
              </w:rPr>
              <w:t>9986</w:t>
            </w:r>
          </w:p>
        </w:tc>
      </w:tr>
      <w:tr w14:paraId="71FF2B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35C10D51">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889" w:type="pct"/>
            <w:gridSpan w:val="2"/>
            <w:tcBorders>
              <w:tl2br w:val="nil"/>
              <w:tr2bl w:val="nil"/>
            </w:tcBorders>
            <w:vAlign w:val="center"/>
          </w:tcPr>
          <w:p w14:paraId="5FD076A1">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bCs/>
                <w:color w:val="auto"/>
                <w:spacing w:val="0"/>
                <w:kern w:val="0"/>
                <w:szCs w:val="21"/>
                <w:lang w:val="en-US" w:eastAsia="zh-CN"/>
              </w:rPr>
            </w:pPr>
            <w:r>
              <w:rPr>
                <w:rFonts w:hint="eastAsia"/>
                <w:bCs/>
                <w:color w:val="auto"/>
                <w:kern w:val="0"/>
                <w:szCs w:val="21"/>
                <w:lang w:val="en-US" w:eastAsia="zh-CN"/>
              </w:rPr>
              <w:t>水帘废液</w:t>
            </w:r>
          </w:p>
        </w:tc>
        <w:tc>
          <w:tcPr>
            <w:tcW w:w="1116" w:type="dxa"/>
            <w:tcBorders>
              <w:tl2br w:val="nil"/>
              <w:tr2bl w:val="nil"/>
            </w:tcBorders>
            <w:shd w:val="clear" w:color="auto" w:fill="auto"/>
            <w:vAlign w:val="center"/>
          </w:tcPr>
          <w:p w14:paraId="02162772">
            <w:pPr>
              <w:pStyle w:val="5"/>
              <w:keepNext w:val="0"/>
              <w:keepLines w:val="0"/>
              <w:pageBreakBefore w:val="0"/>
              <w:kinsoku/>
              <w:wordWrap/>
              <w:overflowPunct/>
              <w:topLinePunct w:val="0"/>
              <w:autoSpaceDE/>
              <w:autoSpaceDN/>
              <w:bidi w:val="0"/>
              <w:adjustRightInd w:val="0"/>
              <w:snapToGrid w:val="0"/>
              <w:ind w:firstLine="0" w:firstLineChars="0"/>
              <w:jc w:val="center"/>
              <w:rPr>
                <w:rFonts w:ascii="Times New Roman" w:hAnsi="Times New Roman" w:eastAsia="宋体" w:cs="Times New Roman"/>
                <w:snapToGrid w:val="0"/>
                <w:color w:val="auto"/>
                <w:spacing w:val="0"/>
                <w:kern w:val="0"/>
                <w:sz w:val="21"/>
                <w:szCs w:val="21"/>
                <w:lang w:val="en-US" w:eastAsia="zh-CN" w:bidi="ar-SA"/>
              </w:rPr>
            </w:pPr>
            <w:r>
              <w:rPr>
                <w:rFonts w:hint="eastAsia"/>
                <w:color w:val="auto"/>
                <w:kern w:val="0"/>
                <w:szCs w:val="21"/>
                <w:lang w:val="en-US" w:eastAsia="zh-CN"/>
              </w:rPr>
              <w:t>3</w:t>
            </w:r>
          </w:p>
        </w:tc>
        <w:tc>
          <w:tcPr>
            <w:tcW w:w="448" w:type="pct"/>
            <w:tcBorders>
              <w:tl2br w:val="nil"/>
              <w:tr2bl w:val="nil"/>
            </w:tcBorders>
            <w:shd w:val="clear" w:color="auto" w:fill="auto"/>
            <w:vAlign w:val="center"/>
          </w:tcPr>
          <w:p w14:paraId="3B6896A9">
            <w:pPr>
              <w:keepNext w:val="0"/>
              <w:keepLines w:val="0"/>
              <w:pageBreakBefore w:val="0"/>
              <w:widowControl/>
              <w:kinsoku/>
              <w:wordWrap/>
              <w:overflowPunct/>
              <w:topLinePunct w:val="0"/>
              <w:autoSpaceDE/>
              <w:autoSpaceDN/>
              <w:bidi w:val="0"/>
              <w:adjustRightInd w:val="0"/>
              <w:snapToGrid w:val="0"/>
              <w:jc w:val="center"/>
              <w:rPr>
                <w:rFonts w:ascii="Times New Roman" w:hAnsi="Times New Roman" w:eastAsia="宋体" w:cs="Times New Roman"/>
                <w:snapToGrid w:val="0"/>
                <w:color w:val="auto"/>
                <w:spacing w:val="0"/>
                <w:kern w:val="0"/>
                <w:sz w:val="21"/>
                <w:szCs w:val="18"/>
                <w:lang w:val="en-US" w:eastAsia="zh-CN" w:bidi="ar-SA"/>
              </w:rPr>
            </w:pPr>
            <w:r>
              <w:rPr>
                <w:rFonts w:hint="eastAsia"/>
                <w:color w:val="auto"/>
                <w:spacing w:val="0"/>
                <w:kern w:val="0"/>
                <w:lang w:val="en-US" w:eastAsia="zh-CN"/>
              </w:rPr>
              <w:t>--</w:t>
            </w:r>
          </w:p>
        </w:tc>
        <w:tc>
          <w:tcPr>
            <w:tcW w:w="498" w:type="pct"/>
            <w:tcBorders>
              <w:tl2br w:val="nil"/>
              <w:tr2bl w:val="nil"/>
            </w:tcBorders>
            <w:shd w:val="clear" w:color="auto" w:fill="auto"/>
            <w:vAlign w:val="center"/>
          </w:tcPr>
          <w:p w14:paraId="2505EC03">
            <w:pPr>
              <w:keepNext w:val="0"/>
              <w:keepLines w:val="0"/>
              <w:pageBreakBefore w:val="0"/>
              <w:widowControl/>
              <w:kinsoku/>
              <w:wordWrap/>
              <w:overflowPunct/>
              <w:topLinePunct w:val="0"/>
              <w:autoSpaceDE/>
              <w:autoSpaceDN/>
              <w:bidi w:val="0"/>
              <w:adjustRightInd w:val="0"/>
              <w:snapToGrid w:val="0"/>
              <w:jc w:val="center"/>
              <w:rPr>
                <w:rFonts w:ascii="Times New Roman" w:hAnsi="Times New Roman" w:eastAsia="宋体" w:cs="Times New Roman"/>
                <w:snapToGrid w:val="0"/>
                <w:color w:val="auto"/>
                <w:spacing w:val="0"/>
                <w:kern w:val="0"/>
                <w:sz w:val="21"/>
                <w:szCs w:val="21"/>
                <w:lang w:val="en-US" w:eastAsia="zh-CN" w:bidi="ar-SA"/>
              </w:rPr>
            </w:pPr>
            <w:r>
              <w:rPr>
                <w:rFonts w:hint="eastAsia"/>
                <w:color w:val="auto"/>
                <w:spacing w:val="0"/>
                <w:kern w:val="0"/>
                <w:lang w:val="en-US" w:eastAsia="zh-CN"/>
              </w:rPr>
              <w:t>--</w:t>
            </w:r>
          </w:p>
        </w:tc>
        <w:tc>
          <w:tcPr>
            <w:tcW w:w="617" w:type="pct"/>
            <w:tcBorders>
              <w:tl2br w:val="nil"/>
              <w:tr2bl w:val="nil"/>
            </w:tcBorders>
            <w:vAlign w:val="center"/>
          </w:tcPr>
          <w:p w14:paraId="6358F615">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color w:val="auto"/>
                <w:spacing w:val="0"/>
                <w:kern w:val="0"/>
                <w:szCs w:val="21"/>
                <w:lang w:val="en-US" w:eastAsia="zh-CN"/>
              </w:rPr>
            </w:pPr>
            <w:r>
              <w:rPr>
                <w:rFonts w:hint="eastAsia"/>
                <w:color w:val="auto"/>
                <w:kern w:val="0"/>
                <w:szCs w:val="21"/>
                <w:lang w:val="en-US" w:eastAsia="zh-CN"/>
              </w:rPr>
              <w:t>3</w:t>
            </w:r>
          </w:p>
        </w:tc>
        <w:tc>
          <w:tcPr>
            <w:tcW w:w="1609" w:type="dxa"/>
            <w:tcBorders>
              <w:tl2br w:val="nil"/>
              <w:tr2bl w:val="nil"/>
            </w:tcBorders>
            <w:vAlign w:val="center"/>
          </w:tcPr>
          <w:p w14:paraId="7250A3AC">
            <w:pPr>
              <w:pStyle w:val="5"/>
              <w:keepNext w:val="0"/>
              <w:keepLines w:val="0"/>
              <w:pageBreakBefore w:val="0"/>
              <w:kinsoku/>
              <w:wordWrap/>
              <w:overflowPunct/>
              <w:topLinePunct w:val="0"/>
              <w:autoSpaceDE/>
              <w:autoSpaceDN/>
              <w:bidi w:val="0"/>
              <w:adjustRightInd w:val="0"/>
              <w:snapToGrid w:val="0"/>
              <w:ind w:firstLine="0" w:firstLineChars="0"/>
              <w:jc w:val="center"/>
              <w:rPr>
                <w:color w:val="auto"/>
                <w:spacing w:val="0"/>
                <w:kern w:val="0"/>
              </w:rPr>
            </w:pPr>
            <w:r>
              <w:rPr>
                <w:rFonts w:hint="eastAsia"/>
                <w:color w:val="auto"/>
                <w:kern w:val="0"/>
                <w:szCs w:val="21"/>
                <w:lang w:val="en-US" w:eastAsia="zh-CN"/>
              </w:rPr>
              <w:t>3</w:t>
            </w:r>
          </w:p>
        </w:tc>
        <w:tc>
          <w:tcPr>
            <w:tcW w:w="632" w:type="pct"/>
            <w:tcBorders>
              <w:tl2br w:val="nil"/>
              <w:tr2bl w:val="nil"/>
            </w:tcBorders>
            <w:vAlign w:val="center"/>
          </w:tcPr>
          <w:p w14:paraId="7A089853">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color w:val="auto"/>
                <w:spacing w:val="0"/>
                <w:kern w:val="0"/>
                <w:szCs w:val="21"/>
                <w:lang w:val="en-US" w:eastAsia="zh-CN"/>
              </w:rPr>
            </w:pPr>
            <w:r>
              <w:rPr>
                <w:rFonts w:hint="eastAsia"/>
                <w:color w:val="auto"/>
                <w:kern w:val="0"/>
                <w:szCs w:val="21"/>
                <w:lang w:val="en-US" w:eastAsia="zh-CN"/>
              </w:rPr>
              <w:t>3</w:t>
            </w:r>
          </w:p>
        </w:tc>
        <w:tc>
          <w:tcPr>
            <w:tcW w:w="1228" w:type="dxa"/>
            <w:tcBorders>
              <w:tl2br w:val="nil"/>
              <w:tr2bl w:val="nil"/>
            </w:tcBorders>
            <w:vAlign w:val="center"/>
          </w:tcPr>
          <w:p w14:paraId="482549C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color w:val="auto"/>
                <w:spacing w:val="0"/>
                <w:kern w:val="0"/>
                <w:szCs w:val="21"/>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0</w:t>
            </w:r>
          </w:p>
        </w:tc>
      </w:tr>
      <w:tr w14:paraId="18782C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754C6792">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889" w:type="pct"/>
            <w:gridSpan w:val="2"/>
            <w:tcBorders>
              <w:tl2br w:val="nil"/>
              <w:tr2bl w:val="nil"/>
            </w:tcBorders>
            <w:vAlign w:val="center"/>
          </w:tcPr>
          <w:p w14:paraId="487E1912">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bCs/>
                <w:color w:val="auto"/>
                <w:spacing w:val="0"/>
                <w:kern w:val="0"/>
                <w:szCs w:val="21"/>
                <w:lang w:val="en-US" w:eastAsia="zh-CN"/>
              </w:rPr>
            </w:pPr>
            <w:r>
              <w:rPr>
                <w:rFonts w:hint="eastAsia"/>
                <w:bCs/>
                <w:color w:val="auto"/>
                <w:kern w:val="0"/>
                <w:szCs w:val="21"/>
                <w:lang w:val="en-US" w:eastAsia="zh-CN"/>
              </w:rPr>
              <w:t>喷枪清洗废液</w:t>
            </w:r>
          </w:p>
        </w:tc>
        <w:tc>
          <w:tcPr>
            <w:tcW w:w="1116" w:type="dxa"/>
            <w:tcBorders>
              <w:tl2br w:val="nil"/>
              <w:tr2bl w:val="nil"/>
            </w:tcBorders>
            <w:shd w:val="clear" w:color="auto" w:fill="auto"/>
            <w:vAlign w:val="center"/>
          </w:tcPr>
          <w:p w14:paraId="7953630C">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color w:val="auto"/>
                <w:spacing w:val="0"/>
                <w:kern w:val="0"/>
                <w:lang w:val="en-US" w:eastAsia="zh-CN"/>
              </w:rPr>
            </w:pPr>
            <w:r>
              <w:rPr>
                <w:rFonts w:hint="eastAsia"/>
                <w:color w:val="auto"/>
                <w:kern w:val="0"/>
                <w:szCs w:val="21"/>
                <w:lang w:val="en-US" w:eastAsia="zh-CN"/>
              </w:rPr>
              <w:t>0.36</w:t>
            </w:r>
          </w:p>
        </w:tc>
        <w:tc>
          <w:tcPr>
            <w:tcW w:w="448" w:type="pct"/>
            <w:tcBorders>
              <w:tl2br w:val="nil"/>
              <w:tr2bl w:val="nil"/>
            </w:tcBorders>
            <w:shd w:val="clear" w:color="auto" w:fill="auto"/>
            <w:vAlign w:val="center"/>
          </w:tcPr>
          <w:p w14:paraId="7904702D">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w:t>
            </w:r>
          </w:p>
        </w:tc>
        <w:tc>
          <w:tcPr>
            <w:tcW w:w="498" w:type="pct"/>
            <w:tcBorders>
              <w:tl2br w:val="nil"/>
              <w:tr2bl w:val="nil"/>
            </w:tcBorders>
            <w:shd w:val="clear" w:color="auto" w:fill="auto"/>
            <w:vAlign w:val="center"/>
          </w:tcPr>
          <w:p w14:paraId="5BBB2697">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w:t>
            </w:r>
          </w:p>
        </w:tc>
        <w:tc>
          <w:tcPr>
            <w:tcW w:w="617" w:type="pct"/>
            <w:tcBorders>
              <w:tl2br w:val="nil"/>
              <w:tr2bl w:val="nil"/>
            </w:tcBorders>
            <w:vAlign w:val="center"/>
          </w:tcPr>
          <w:p w14:paraId="6C64EE0C">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color w:val="auto"/>
                <w:spacing w:val="0"/>
                <w:kern w:val="0"/>
                <w:szCs w:val="21"/>
                <w:lang w:val="en-US" w:eastAsia="zh-CN"/>
              </w:rPr>
            </w:pPr>
            <w:r>
              <w:rPr>
                <w:rFonts w:hint="eastAsia"/>
                <w:color w:val="auto"/>
                <w:kern w:val="0"/>
                <w:szCs w:val="21"/>
                <w:lang w:val="en-US" w:eastAsia="zh-CN"/>
              </w:rPr>
              <w:t>0.05</w:t>
            </w:r>
          </w:p>
        </w:tc>
        <w:tc>
          <w:tcPr>
            <w:tcW w:w="1609" w:type="dxa"/>
            <w:tcBorders>
              <w:tl2br w:val="nil"/>
              <w:tr2bl w:val="nil"/>
            </w:tcBorders>
            <w:vAlign w:val="center"/>
          </w:tcPr>
          <w:p w14:paraId="7EBBA61B">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color w:val="auto"/>
                <w:spacing w:val="0"/>
                <w:kern w:val="0"/>
                <w:lang w:val="en-US" w:eastAsia="zh-CN"/>
              </w:rPr>
            </w:pPr>
            <w:r>
              <w:rPr>
                <w:rFonts w:hint="eastAsia"/>
                <w:color w:val="auto"/>
                <w:kern w:val="0"/>
                <w:szCs w:val="21"/>
                <w:lang w:val="en-US" w:eastAsia="zh-CN"/>
              </w:rPr>
              <w:t>0.36</w:t>
            </w:r>
          </w:p>
        </w:tc>
        <w:tc>
          <w:tcPr>
            <w:tcW w:w="632" w:type="pct"/>
            <w:tcBorders>
              <w:tl2br w:val="nil"/>
              <w:tr2bl w:val="nil"/>
            </w:tcBorders>
            <w:vAlign w:val="center"/>
          </w:tcPr>
          <w:p w14:paraId="027D9CFA">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color w:val="auto"/>
                <w:spacing w:val="0"/>
                <w:kern w:val="0"/>
                <w:szCs w:val="21"/>
                <w:lang w:val="en-US" w:eastAsia="zh-CN"/>
              </w:rPr>
            </w:pPr>
            <w:r>
              <w:rPr>
                <w:rFonts w:hint="eastAsia"/>
                <w:color w:val="auto"/>
                <w:kern w:val="0"/>
                <w:szCs w:val="21"/>
                <w:lang w:val="en-US" w:eastAsia="zh-CN"/>
              </w:rPr>
              <w:t>0.05</w:t>
            </w:r>
          </w:p>
        </w:tc>
        <w:tc>
          <w:tcPr>
            <w:tcW w:w="1228" w:type="dxa"/>
            <w:tcBorders>
              <w:tl2br w:val="nil"/>
              <w:tr2bl w:val="nil"/>
            </w:tcBorders>
            <w:vAlign w:val="center"/>
          </w:tcPr>
          <w:p w14:paraId="71456A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color w:val="auto"/>
                <w:spacing w:val="0"/>
                <w:kern w:val="0"/>
                <w:szCs w:val="21"/>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-0.31</w:t>
            </w:r>
          </w:p>
        </w:tc>
      </w:tr>
      <w:tr w14:paraId="183DA3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1F0DDB92">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889" w:type="pct"/>
            <w:gridSpan w:val="2"/>
            <w:tcBorders>
              <w:tl2br w:val="nil"/>
              <w:tr2bl w:val="nil"/>
            </w:tcBorders>
            <w:vAlign w:val="center"/>
          </w:tcPr>
          <w:p w14:paraId="2D6273D5">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bCs/>
                <w:color w:val="auto"/>
                <w:spacing w:val="0"/>
                <w:kern w:val="0"/>
                <w:szCs w:val="21"/>
                <w:lang w:val="en-US" w:eastAsia="zh-CN"/>
              </w:rPr>
            </w:pPr>
            <w:r>
              <w:rPr>
                <w:rFonts w:hint="eastAsia"/>
                <w:bCs/>
                <w:color w:val="auto"/>
                <w:kern w:val="0"/>
                <w:szCs w:val="21"/>
                <w:lang w:val="en-US" w:eastAsia="zh-CN"/>
              </w:rPr>
              <w:t>废包装桶</w:t>
            </w:r>
          </w:p>
        </w:tc>
        <w:tc>
          <w:tcPr>
            <w:tcW w:w="1116" w:type="dxa"/>
            <w:tcBorders>
              <w:tl2br w:val="nil"/>
              <w:tr2bl w:val="nil"/>
            </w:tcBorders>
            <w:shd w:val="clear" w:color="auto" w:fill="auto"/>
            <w:vAlign w:val="center"/>
          </w:tcPr>
          <w:p w14:paraId="5E2D9714">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color w:val="auto"/>
                <w:spacing w:val="0"/>
                <w:kern w:val="0"/>
                <w:lang w:val="en-US" w:eastAsia="zh-CN"/>
              </w:rPr>
            </w:pPr>
            <w:r>
              <w:rPr>
                <w:rFonts w:hint="eastAsia"/>
                <w:color w:val="auto"/>
                <w:kern w:val="0"/>
                <w:szCs w:val="21"/>
                <w:lang w:val="en-US" w:eastAsia="zh-CN"/>
              </w:rPr>
              <w:t>1</w:t>
            </w:r>
          </w:p>
        </w:tc>
        <w:tc>
          <w:tcPr>
            <w:tcW w:w="448" w:type="pct"/>
            <w:tcBorders>
              <w:tl2br w:val="nil"/>
              <w:tr2bl w:val="nil"/>
            </w:tcBorders>
            <w:shd w:val="clear" w:color="auto" w:fill="auto"/>
            <w:vAlign w:val="center"/>
          </w:tcPr>
          <w:p w14:paraId="0E7851EF">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w:t>
            </w:r>
          </w:p>
        </w:tc>
        <w:tc>
          <w:tcPr>
            <w:tcW w:w="498" w:type="pct"/>
            <w:tcBorders>
              <w:tl2br w:val="nil"/>
              <w:tr2bl w:val="nil"/>
            </w:tcBorders>
            <w:shd w:val="clear" w:color="auto" w:fill="auto"/>
            <w:vAlign w:val="center"/>
          </w:tcPr>
          <w:p w14:paraId="1F596656">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w:t>
            </w:r>
          </w:p>
        </w:tc>
        <w:tc>
          <w:tcPr>
            <w:tcW w:w="617" w:type="pct"/>
            <w:tcBorders>
              <w:tl2br w:val="nil"/>
              <w:tr2bl w:val="nil"/>
            </w:tcBorders>
            <w:vAlign w:val="center"/>
          </w:tcPr>
          <w:p w14:paraId="4A567DDA">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color w:val="auto"/>
                <w:spacing w:val="0"/>
                <w:kern w:val="0"/>
                <w:szCs w:val="21"/>
                <w:lang w:val="en-US" w:eastAsia="zh-CN"/>
              </w:rPr>
            </w:pPr>
            <w:r>
              <w:rPr>
                <w:rFonts w:hint="eastAsia"/>
                <w:color w:val="auto"/>
                <w:kern w:val="0"/>
                <w:szCs w:val="21"/>
                <w:lang w:val="en-US" w:eastAsia="zh-CN"/>
              </w:rPr>
              <w:t>0.332</w:t>
            </w:r>
          </w:p>
        </w:tc>
        <w:tc>
          <w:tcPr>
            <w:tcW w:w="1609" w:type="dxa"/>
            <w:tcBorders>
              <w:tl2br w:val="nil"/>
              <w:tr2bl w:val="nil"/>
            </w:tcBorders>
            <w:vAlign w:val="center"/>
          </w:tcPr>
          <w:p w14:paraId="672C29D6">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color w:val="auto"/>
                <w:spacing w:val="0"/>
                <w:kern w:val="0"/>
                <w:lang w:val="en-US" w:eastAsia="zh-CN"/>
              </w:rPr>
            </w:pPr>
            <w:r>
              <w:rPr>
                <w:rFonts w:hint="eastAsia"/>
                <w:color w:val="auto"/>
                <w:kern w:val="0"/>
                <w:szCs w:val="21"/>
                <w:lang w:val="en-US" w:eastAsia="zh-CN"/>
              </w:rPr>
              <w:t>1</w:t>
            </w:r>
          </w:p>
        </w:tc>
        <w:tc>
          <w:tcPr>
            <w:tcW w:w="632" w:type="pct"/>
            <w:tcBorders>
              <w:tl2br w:val="nil"/>
              <w:tr2bl w:val="nil"/>
            </w:tcBorders>
            <w:vAlign w:val="center"/>
          </w:tcPr>
          <w:p w14:paraId="6326FBB7">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color w:val="auto"/>
                <w:spacing w:val="0"/>
                <w:kern w:val="0"/>
                <w:szCs w:val="21"/>
                <w:lang w:val="en-US" w:eastAsia="zh-CN"/>
              </w:rPr>
            </w:pPr>
            <w:r>
              <w:rPr>
                <w:rFonts w:hint="eastAsia"/>
                <w:color w:val="auto"/>
                <w:kern w:val="0"/>
                <w:szCs w:val="21"/>
                <w:lang w:val="en-US" w:eastAsia="zh-CN"/>
              </w:rPr>
              <w:t>0.332</w:t>
            </w:r>
          </w:p>
        </w:tc>
        <w:tc>
          <w:tcPr>
            <w:tcW w:w="1228" w:type="dxa"/>
            <w:tcBorders>
              <w:tl2br w:val="nil"/>
              <w:tr2bl w:val="nil"/>
            </w:tcBorders>
            <w:vAlign w:val="center"/>
          </w:tcPr>
          <w:p w14:paraId="21C516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color w:val="auto"/>
                <w:spacing w:val="0"/>
                <w:kern w:val="0"/>
                <w:szCs w:val="21"/>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-0.668</w:t>
            </w:r>
          </w:p>
        </w:tc>
      </w:tr>
      <w:tr w14:paraId="27B2406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072AC673">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889" w:type="pct"/>
            <w:gridSpan w:val="2"/>
            <w:tcBorders>
              <w:tl2br w:val="nil"/>
              <w:tr2bl w:val="nil"/>
            </w:tcBorders>
            <w:vAlign w:val="center"/>
          </w:tcPr>
          <w:p w14:paraId="04EB69F7">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bCs/>
                <w:color w:val="auto"/>
                <w:spacing w:val="0"/>
                <w:kern w:val="0"/>
                <w:szCs w:val="21"/>
                <w:lang w:val="en-US" w:eastAsia="zh-CN"/>
              </w:rPr>
            </w:pPr>
            <w:r>
              <w:rPr>
                <w:rFonts w:hint="eastAsia"/>
                <w:bCs/>
                <w:color w:val="auto"/>
                <w:kern w:val="0"/>
                <w:szCs w:val="21"/>
                <w:lang w:val="en-US" w:eastAsia="zh-CN"/>
              </w:rPr>
              <w:t>干式内循环打磨处理器收集尘</w:t>
            </w:r>
          </w:p>
        </w:tc>
        <w:tc>
          <w:tcPr>
            <w:tcW w:w="1116" w:type="dxa"/>
            <w:tcBorders>
              <w:tl2br w:val="nil"/>
              <w:tr2bl w:val="nil"/>
            </w:tcBorders>
            <w:shd w:val="clear" w:color="auto" w:fill="auto"/>
            <w:vAlign w:val="center"/>
          </w:tcPr>
          <w:p w14:paraId="006D3C7B">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color w:val="auto"/>
                <w:spacing w:val="0"/>
                <w:kern w:val="0"/>
                <w:lang w:val="en-US" w:eastAsia="zh-CN"/>
              </w:rPr>
            </w:pPr>
            <w:r>
              <w:rPr>
                <w:rFonts w:hint="eastAsia"/>
                <w:color w:val="auto"/>
                <w:kern w:val="0"/>
                <w:szCs w:val="21"/>
                <w:lang w:val="en-US" w:eastAsia="zh-CN"/>
              </w:rPr>
              <w:t>0.024</w:t>
            </w:r>
          </w:p>
        </w:tc>
        <w:tc>
          <w:tcPr>
            <w:tcW w:w="448" w:type="pct"/>
            <w:tcBorders>
              <w:tl2br w:val="nil"/>
              <w:tr2bl w:val="nil"/>
            </w:tcBorders>
            <w:shd w:val="clear" w:color="auto" w:fill="auto"/>
            <w:vAlign w:val="center"/>
          </w:tcPr>
          <w:p w14:paraId="30161F25">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w:t>
            </w:r>
          </w:p>
        </w:tc>
        <w:tc>
          <w:tcPr>
            <w:tcW w:w="498" w:type="pct"/>
            <w:tcBorders>
              <w:tl2br w:val="nil"/>
              <w:tr2bl w:val="nil"/>
            </w:tcBorders>
            <w:shd w:val="clear" w:color="auto" w:fill="auto"/>
            <w:vAlign w:val="center"/>
          </w:tcPr>
          <w:p w14:paraId="37B9B864">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w:t>
            </w:r>
          </w:p>
        </w:tc>
        <w:tc>
          <w:tcPr>
            <w:tcW w:w="617" w:type="pct"/>
            <w:tcBorders>
              <w:tl2br w:val="nil"/>
              <w:tr2bl w:val="nil"/>
            </w:tcBorders>
            <w:vAlign w:val="center"/>
          </w:tcPr>
          <w:p w14:paraId="04A3D0DD">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color w:val="auto"/>
                <w:spacing w:val="0"/>
                <w:kern w:val="0"/>
                <w:szCs w:val="21"/>
                <w:lang w:val="en-US" w:eastAsia="zh-CN"/>
              </w:rPr>
            </w:pPr>
            <w:r>
              <w:rPr>
                <w:rFonts w:hint="eastAsia"/>
                <w:color w:val="auto"/>
                <w:kern w:val="0"/>
                <w:szCs w:val="21"/>
                <w:lang w:val="en-US" w:eastAsia="zh-CN"/>
              </w:rPr>
              <w:t>0.0172</w:t>
            </w:r>
          </w:p>
        </w:tc>
        <w:tc>
          <w:tcPr>
            <w:tcW w:w="1609" w:type="dxa"/>
            <w:tcBorders>
              <w:tl2br w:val="nil"/>
              <w:tr2bl w:val="nil"/>
            </w:tcBorders>
            <w:vAlign w:val="center"/>
          </w:tcPr>
          <w:p w14:paraId="13DC0BF9">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color w:val="auto"/>
                <w:spacing w:val="0"/>
                <w:kern w:val="0"/>
                <w:lang w:val="en-US" w:eastAsia="zh-CN"/>
              </w:rPr>
            </w:pPr>
            <w:r>
              <w:rPr>
                <w:rFonts w:hint="eastAsia"/>
                <w:color w:val="auto"/>
                <w:kern w:val="0"/>
                <w:szCs w:val="21"/>
                <w:lang w:val="en-US" w:eastAsia="zh-CN"/>
              </w:rPr>
              <w:t>0.024</w:t>
            </w:r>
          </w:p>
        </w:tc>
        <w:tc>
          <w:tcPr>
            <w:tcW w:w="632" w:type="pct"/>
            <w:tcBorders>
              <w:tl2br w:val="nil"/>
              <w:tr2bl w:val="nil"/>
            </w:tcBorders>
            <w:vAlign w:val="center"/>
          </w:tcPr>
          <w:p w14:paraId="5DD67FEA">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color w:val="auto"/>
                <w:spacing w:val="0"/>
                <w:kern w:val="0"/>
                <w:szCs w:val="21"/>
                <w:lang w:val="en-US" w:eastAsia="zh-CN"/>
              </w:rPr>
            </w:pPr>
            <w:r>
              <w:rPr>
                <w:rFonts w:hint="eastAsia"/>
                <w:color w:val="auto"/>
                <w:kern w:val="0"/>
                <w:szCs w:val="21"/>
                <w:lang w:val="en-US" w:eastAsia="zh-CN"/>
              </w:rPr>
              <w:t>0.0172</w:t>
            </w:r>
          </w:p>
        </w:tc>
        <w:tc>
          <w:tcPr>
            <w:tcW w:w="1228" w:type="dxa"/>
            <w:tcBorders>
              <w:tl2br w:val="nil"/>
              <w:tr2bl w:val="nil"/>
            </w:tcBorders>
            <w:vAlign w:val="center"/>
          </w:tcPr>
          <w:p w14:paraId="220A17D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color w:val="auto"/>
                <w:spacing w:val="0"/>
                <w:kern w:val="0"/>
                <w:szCs w:val="21"/>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-0.0068</w:t>
            </w:r>
          </w:p>
        </w:tc>
      </w:tr>
      <w:tr w14:paraId="41F0D6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4E7052D3">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p>
        </w:tc>
        <w:tc>
          <w:tcPr>
            <w:tcW w:w="889" w:type="pct"/>
            <w:gridSpan w:val="2"/>
            <w:tcBorders>
              <w:tl2br w:val="nil"/>
              <w:tr2bl w:val="nil"/>
            </w:tcBorders>
            <w:vAlign w:val="center"/>
          </w:tcPr>
          <w:p w14:paraId="4714C64E">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bCs/>
                <w:color w:val="auto"/>
                <w:spacing w:val="0"/>
                <w:kern w:val="0"/>
                <w:szCs w:val="21"/>
                <w:lang w:val="en-US" w:eastAsia="zh-CN"/>
              </w:rPr>
            </w:pPr>
            <w:r>
              <w:rPr>
                <w:rFonts w:hint="eastAsia"/>
                <w:bCs/>
                <w:color w:val="auto"/>
                <w:kern w:val="0"/>
                <w:szCs w:val="21"/>
                <w:lang w:val="en-US" w:eastAsia="zh-CN"/>
              </w:rPr>
              <w:t>废活性炭</w:t>
            </w:r>
          </w:p>
        </w:tc>
        <w:tc>
          <w:tcPr>
            <w:tcW w:w="1116" w:type="dxa"/>
            <w:tcBorders>
              <w:tl2br w:val="nil"/>
              <w:tr2bl w:val="nil"/>
            </w:tcBorders>
            <w:shd w:val="clear" w:color="auto" w:fill="auto"/>
            <w:vAlign w:val="center"/>
          </w:tcPr>
          <w:p w14:paraId="41D1C938">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color w:val="auto"/>
                <w:spacing w:val="0"/>
                <w:kern w:val="0"/>
                <w:lang w:val="en-US" w:eastAsia="zh-CN"/>
              </w:rPr>
            </w:pPr>
            <w:r>
              <w:rPr>
                <w:rFonts w:hint="eastAsia"/>
                <w:color w:val="auto"/>
                <w:kern w:val="0"/>
                <w:szCs w:val="21"/>
                <w:lang w:val="en-US" w:eastAsia="zh-CN"/>
              </w:rPr>
              <w:t>2.387</w:t>
            </w:r>
          </w:p>
        </w:tc>
        <w:tc>
          <w:tcPr>
            <w:tcW w:w="448" w:type="pct"/>
            <w:tcBorders>
              <w:tl2br w:val="nil"/>
              <w:tr2bl w:val="nil"/>
            </w:tcBorders>
            <w:shd w:val="clear" w:color="auto" w:fill="auto"/>
            <w:vAlign w:val="center"/>
          </w:tcPr>
          <w:p w14:paraId="2F4AEEEE">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w:t>
            </w:r>
          </w:p>
        </w:tc>
        <w:tc>
          <w:tcPr>
            <w:tcW w:w="498" w:type="pct"/>
            <w:tcBorders>
              <w:tl2br w:val="nil"/>
              <w:tr2bl w:val="nil"/>
            </w:tcBorders>
            <w:shd w:val="clear" w:color="auto" w:fill="auto"/>
            <w:vAlign w:val="center"/>
          </w:tcPr>
          <w:p w14:paraId="3513516C">
            <w:pPr>
              <w:keepNext w:val="0"/>
              <w:keepLines w:val="0"/>
              <w:pageBreakBefore w:val="0"/>
              <w:widowControl/>
              <w:kinsoku/>
              <w:wordWrap/>
              <w:overflowPunct/>
              <w:topLinePunct w:val="0"/>
              <w:autoSpaceDE/>
              <w:autoSpaceDN/>
              <w:bidi w:val="0"/>
              <w:adjustRightInd w:val="0"/>
              <w:snapToGrid w:val="0"/>
              <w:jc w:val="center"/>
              <w:rPr>
                <w:rFonts w:hint="eastAsia"/>
                <w:color w:val="auto"/>
                <w:spacing w:val="0"/>
                <w:kern w:val="0"/>
                <w:lang w:val="en-US" w:eastAsia="zh-CN"/>
              </w:rPr>
            </w:pPr>
            <w:r>
              <w:rPr>
                <w:rFonts w:hint="eastAsia"/>
                <w:color w:val="auto"/>
                <w:spacing w:val="0"/>
                <w:kern w:val="0"/>
                <w:lang w:val="en-US" w:eastAsia="zh-CN"/>
              </w:rPr>
              <w:t>--</w:t>
            </w:r>
          </w:p>
        </w:tc>
        <w:tc>
          <w:tcPr>
            <w:tcW w:w="617" w:type="pct"/>
            <w:tcBorders>
              <w:tl2br w:val="nil"/>
              <w:tr2bl w:val="nil"/>
            </w:tcBorders>
            <w:vAlign w:val="center"/>
          </w:tcPr>
          <w:p w14:paraId="3C1B1C6C">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color w:val="auto"/>
                <w:spacing w:val="0"/>
                <w:kern w:val="0"/>
                <w:szCs w:val="21"/>
                <w:lang w:val="en-US" w:eastAsia="zh-CN"/>
              </w:rPr>
            </w:pPr>
            <w:r>
              <w:rPr>
                <w:rFonts w:hint="eastAsia"/>
                <w:color w:val="auto"/>
                <w:kern w:val="0"/>
                <w:szCs w:val="21"/>
                <w:lang w:val="en-US" w:eastAsia="zh-CN"/>
              </w:rPr>
              <w:t>10.57</w:t>
            </w:r>
          </w:p>
        </w:tc>
        <w:tc>
          <w:tcPr>
            <w:tcW w:w="1609" w:type="dxa"/>
            <w:tcBorders>
              <w:tl2br w:val="nil"/>
              <w:tr2bl w:val="nil"/>
            </w:tcBorders>
            <w:vAlign w:val="center"/>
          </w:tcPr>
          <w:p w14:paraId="110BEDD6">
            <w:pPr>
              <w:pStyle w:val="5"/>
              <w:keepNext w:val="0"/>
              <w:keepLines w:val="0"/>
              <w:pageBreakBefore w:val="0"/>
              <w:kinsoku/>
              <w:wordWrap/>
              <w:overflowPunct/>
              <w:topLinePunct w:val="0"/>
              <w:autoSpaceDE/>
              <w:autoSpaceDN/>
              <w:bidi w:val="0"/>
              <w:adjustRightInd w:val="0"/>
              <w:snapToGrid w:val="0"/>
              <w:ind w:firstLine="0" w:firstLineChars="0"/>
              <w:jc w:val="center"/>
              <w:rPr>
                <w:rFonts w:hint="eastAsia"/>
                <w:color w:val="auto"/>
                <w:spacing w:val="0"/>
                <w:kern w:val="0"/>
                <w:lang w:val="en-US" w:eastAsia="zh-CN"/>
              </w:rPr>
            </w:pPr>
            <w:r>
              <w:rPr>
                <w:rFonts w:hint="eastAsia"/>
                <w:color w:val="auto"/>
                <w:kern w:val="0"/>
                <w:szCs w:val="21"/>
                <w:lang w:val="en-US" w:eastAsia="zh-CN"/>
              </w:rPr>
              <w:t>2.387</w:t>
            </w:r>
          </w:p>
        </w:tc>
        <w:tc>
          <w:tcPr>
            <w:tcW w:w="632" w:type="pct"/>
            <w:tcBorders>
              <w:tl2br w:val="nil"/>
              <w:tr2bl w:val="nil"/>
            </w:tcBorders>
            <w:vAlign w:val="center"/>
          </w:tcPr>
          <w:p w14:paraId="3CE673A9">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color w:val="auto"/>
                <w:spacing w:val="0"/>
                <w:kern w:val="0"/>
                <w:szCs w:val="21"/>
                <w:lang w:val="en-US" w:eastAsia="zh-CN"/>
              </w:rPr>
            </w:pPr>
            <w:r>
              <w:rPr>
                <w:rFonts w:hint="eastAsia"/>
                <w:color w:val="auto"/>
                <w:kern w:val="0"/>
                <w:szCs w:val="21"/>
                <w:lang w:val="en-US" w:eastAsia="zh-CN"/>
              </w:rPr>
              <w:t>10.57</w:t>
            </w:r>
          </w:p>
        </w:tc>
        <w:tc>
          <w:tcPr>
            <w:tcW w:w="1228" w:type="dxa"/>
            <w:tcBorders>
              <w:tl2br w:val="nil"/>
              <w:tr2bl w:val="nil"/>
            </w:tcBorders>
            <w:vAlign w:val="center"/>
          </w:tcPr>
          <w:p w14:paraId="626B40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color w:val="auto"/>
                <w:spacing w:val="0"/>
                <w:kern w:val="0"/>
                <w:szCs w:val="21"/>
                <w:lang w:val="en-US" w:eastAsia="zh-CN"/>
              </w:rPr>
            </w:pPr>
            <w:r>
              <w:rPr>
                <w:rFonts w:hint="eastAsia" w:ascii="Times New Roman" w:hAnsi="Times New Roman" w:cs="Times New Roman"/>
                <w:i w:val="0"/>
                <w:iCs w:val="0"/>
                <w:snapToGrid w:val="0"/>
                <w:color w:val="auto"/>
                <w:kern w:val="0"/>
                <w:sz w:val="21"/>
                <w:szCs w:val="21"/>
                <w:u w:val="none"/>
                <w:lang w:val="en-US" w:eastAsia="zh-CN" w:bidi="ar"/>
              </w:rPr>
              <w:t>+</w:t>
            </w:r>
            <w:r>
              <w:rPr>
                <w:rFonts w:hint="default" w:ascii="Times New Roman" w:hAnsi="Times New Roman" w:eastAsia="宋体" w:cs="Times New Roman"/>
                <w:i w:val="0"/>
                <w:iCs w:val="0"/>
                <w:snapToGrid w:val="0"/>
                <w:color w:val="auto"/>
                <w:kern w:val="0"/>
                <w:sz w:val="21"/>
                <w:szCs w:val="21"/>
                <w:u w:val="none"/>
                <w:lang w:val="en-US" w:eastAsia="zh-CN" w:bidi="ar"/>
              </w:rPr>
              <w:t>8.183</w:t>
            </w:r>
          </w:p>
        </w:tc>
      </w:tr>
      <w:tr w14:paraId="2AAAC2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tcBorders>
              <w:tl2br w:val="nil"/>
              <w:tr2bl w:val="nil"/>
            </w:tcBorders>
            <w:vAlign w:val="center"/>
          </w:tcPr>
          <w:p w14:paraId="2FFDF8ED">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spacing w:val="0"/>
                <w:kern w:val="0"/>
                <w:sz w:val="21"/>
                <w:szCs w:val="21"/>
              </w:rPr>
            </w:pPr>
            <w:r>
              <w:rPr>
                <w:rFonts w:hint="eastAsia" w:ascii="Times New Roman" w:eastAsia="宋体"/>
                <w:color w:val="auto"/>
                <w:spacing w:val="0"/>
                <w:kern w:val="0"/>
                <w:sz w:val="21"/>
                <w:szCs w:val="21"/>
              </w:rPr>
              <w:t>生活垃圾</w:t>
            </w:r>
          </w:p>
        </w:tc>
        <w:tc>
          <w:tcPr>
            <w:tcW w:w="889" w:type="pct"/>
            <w:gridSpan w:val="2"/>
            <w:tcBorders>
              <w:tl2br w:val="nil"/>
              <w:tr2bl w:val="nil"/>
            </w:tcBorders>
            <w:vAlign w:val="center"/>
          </w:tcPr>
          <w:p w14:paraId="1D2FD879">
            <w:pPr>
              <w:keepNext w:val="0"/>
              <w:keepLines w:val="0"/>
              <w:pageBreakBefore w:val="0"/>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rPr>
              <w:t>生活垃圾</w:t>
            </w:r>
          </w:p>
        </w:tc>
        <w:tc>
          <w:tcPr>
            <w:tcW w:w="1116" w:type="dxa"/>
            <w:tcBorders>
              <w:tl2br w:val="nil"/>
              <w:tr2bl w:val="nil"/>
            </w:tcBorders>
            <w:vAlign w:val="center"/>
          </w:tcPr>
          <w:p w14:paraId="7B577359">
            <w:pPr>
              <w:pStyle w:val="5"/>
              <w:keepNext w:val="0"/>
              <w:keepLines w:val="0"/>
              <w:pageBreakBefore w:val="0"/>
              <w:kinsoku/>
              <w:wordWrap/>
              <w:overflowPunct/>
              <w:topLinePunct w:val="0"/>
              <w:autoSpaceDE/>
              <w:autoSpaceDN/>
              <w:bidi w:val="0"/>
              <w:adjustRightInd w:val="0"/>
              <w:snapToGrid w:val="0"/>
              <w:ind w:firstLine="0" w:firstLineChars="0"/>
              <w:jc w:val="center"/>
              <w:rPr>
                <w:color w:val="auto"/>
                <w:spacing w:val="0"/>
                <w:kern w:val="0"/>
              </w:rPr>
            </w:pPr>
            <w:r>
              <w:rPr>
                <w:rFonts w:hint="eastAsia"/>
                <w:color w:val="auto"/>
                <w:kern w:val="0"/>
                <w:szCs w:val="21"/>
                <w:lang w:val="en-US" w:eastAsia="zh-CN"/>
              </w:rPr>
              <w:t>5.25</w:t>
            </w:r>
          </w:p>
        </w:tc>
        <w:tc>
          <w:tcPr>
            <w:tcW w:w="448" w:type="pct"/>
            <w:tcBorders>
              <w:tl2br w:val="nil"/>
              <w:tr2bl w:val="nil"/>
            </w:tcBorders>
            <w:vAlign w:val="center"/>
          </w:tcPr>
          <w:p w14:paraId="66CE8917">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498" w:type="pct"/>
            <w:tcBorders>
              <w:tl2br w:val="nil"/>
              <w:tr2bl w:val="nil"/>
            </w:tcBorders>
            <w:vAlign w:val="center"/>
          </w:tcPr>
          <w:p w14:paraId="10F621F5">
            <w:pPr>
              <w:keepNext w:val="0"/>
              <w:keepLines w:val="0"/>
              <w:pageBreakBefore w:val="0"/>
              <w:widowControl/>
              <w:kinsoku/>
              <w:wordWrap/>
              <w:overflowPunct/>
              <w:topLinePunct w:val="0"/>
              <w:autoSpaceDE/>
              <w:autoSpaceDN/>
              <w:bidi w:val="0"/>
              <w:adjustRightInd w:val="0"/>
              <w:snapToGrid w:val="0"/>
              <w:jc w:val="center"/>
              <w:rPr>
                <w:color w:val="auto"/>
                <w:spacing w:val="0"/>
                <w:kern w:val="0"/>
              </w:rPr>
            </w:pPr>
            <w:r>
              <w:rPr>
                <w:rFonts w:hint="eastAsia"/>
                <w:color w:val="auto"/>
                <w:spacing w:val="0"/>
                <w:kern w:val="0"/>
                <w:lang w:val="en-US" w:eastAsia="zh-CN"/>
              </w:rPr>
              <w:t>--</w:t>
            </w:r>
          </w:p>
        </w:tc>
        <w:tc>
          <w:tcPr>
            <w:tcW w:w="617" w:type="pct"/>
            <w:tcBorders>
              <w:tl2br w:val="nil"/>
              <w:tr2bl w:val="nil"/>
            </w:tcBorders>
            <w:vAlign w:val="center"/>
          </w:tcPr>
          <w:p w14:paraId="61AD1E49">
            <w:pPr>
              <w:pStyle w:val="5"/>
              <w:keepNext w:val="0"/>
              <w:keepLines w:val="0"/>
              <w:pageBreakBefore w:val="0"/>
              <w:kinsoku/>
              <w:wordWrap/>
              <w:overflowPunct/>
              <w:topLinePunct w:val="0"/>
              <w:autoSpaceDE/>
              <w:autoSpaceDN/>
              <w:bidi w:val="0"/>
              <w:adjustRightInd w:val="0"/>
              <w:snapToGrid w:val="0"/>
              <w:ind w:firstLine="0" w:firstLineChars="0"/>
              <w:jc w:val="center"/>
              <w:rPr>
                <w:color w:val="auto"/>
                <w:spacing w:val="0"/>
                <w:kern w:val="0"/>
                <w:szCs w:val="21"/>
              </w:rPr>
            </w:pPr>
            <w:r>
              <w:rPr>
                <w:rFonts w:hint="eastAsia"/>
                <w:color w:val="auto"/>
                <w:kern w:val="0"/>
                <w:szCs w:val="21"/>
                <w:lang w:val="en-US" w:eastAsia="zh-CN"/>
              </w:rPr>
              <w:t>9</w:t>
            </w:r>
          </w:p>
        </w:tc>
        <w:tc>
          <w:tcPr>
            <w:tcW w:w="1609" w:type="dxa"/>
            <w:tcBorders>
              <w:tl2br w:val="nil"/>
              <w:tr2bl w:val="nil"/>
            </w:tcBorders>
            <w:vAlign w:val="center"/>
          </w:tcPr>
          <w:p w14:paraId="544954AA">
            <w:pPr>
              <w:pStyle w:val="5"/>
              <w:keepNext w:val="0"/>
              <w:keepLines w:val="0"/>
              <w:pageBreakBefore w:val="0"/>
              <w:kinsoku/>
              <w:wordWrap/>
              <w:overflowPunct/>
              <w:topLinePunct w:val="0"/>
              <w:autoSpaceDE/>
              <w:autoSpaceDN/>
              <w:bidi w:val="0"/>
              <w:adjustRightInd w:val="0"/>
              <w:snapToGrid w:val="0"/>
              <w:ind w:firstLine="0" w:firstLineChars="0"/>
              <w:jc w:val="center"/>
              <w:rPr>
                <w:color w:val="auto"/>
                <w:spacing w:val="0"/>
                <w:kern w:val="0"/>
              </w:rPr>
            </w:pPr>
            <w:r>
              <w:rPr>
                <w:rFonts w:hint="eastAsia"/>
                <w:color w:val="auto"/>
                <w:kern w:val="0"/>
                <w:szCs w:val="21"/>
                <w:lang w:val="en-US" w:eastAsia="zh-CN"/>
              </w:rPr>
              <w:t>5.25</w:t>
            </w:r>
          </w:p>
        </w:tc>
        <w:tc>
          <w:tcPr>
            <w:tcW w:w="632" w:type="pct"/>
            <w:tcBorders>
              <w:tl2br w:val="nil"/>
              <w:tr2bl w:val="nil"/>
            </w:tcBorders>
            <w:vAlign w:val="center"/>
          </w:tcPr>
          <w:p w14:paraId="78501E19">
            <w:pPr>
              <w:pStyle w:val="5"/>
              <w:keepNext w:val="0"/>
              <w:keepLines w:val="0"/>
              <w:pageBreakBefore w:val="0"/>
              <w:kinsoku/>
              <w:wordWrap/>
              <w:overflowPunct/>
              <w:topLinePunct w:val="0"/>
              <w:autoSpaceDE/>
              <w:autoSpaceDN/>
              <w:bidi w:val="0"/>
              <w:adjustRightInd w:val="0"/>
              <w:snapToGrid w:val="0"/>
              <w:ind w:firstLine="0" w:firstLineChars="0"/>
              <w:jc w:val="center"/>
              <w:rPr>
                <w:color w:val="auto"/>
                <w:spacing w:val="0"/>
                <w:kern w:val="0"/>
                <w:szCs w:val="21"/>
              </w:rPr>
            </w:pPr>
            <w:r>
              <w:rPr>
                <w:rFonts w:hint="eastAsia"/>
                <w:color w:val="auto"/>
                <w:kern w:val="0"/>
                <w:szCs w:val="21"/>
                <w:lang w:val="en-US" w:eastAsia="zh-CN"/>
              </w:rPr>
              <w:t>9</w:t>
            </w:r>
          </w:p>
        </w:tc>
        <w:tc>
          <w:tcPr>
            <w:tcW w:w="1228" w:type="dxa"/>
            <w:tcBorders>
              <w:tl2br w:val="nil"/>
              <w:tr2bl w:val="nil"/>
            </w:tcBorders>
            <w:vAlign w:val="center"/>
          </w:tcPr>
          <w:p w14:paraId="3CFACC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color w:val="auto"/>
                <w:spacing w:val="0"/>
                <w:kern w:val="0"/>
                <w:szCs w:val="21"/>
              </w:rPr>
            </w:pPr>
            <w:r>
              <w:rPr>
                <w:rFonts w:hint="eastAsia" w:ascii="Times New Roman" w:hAnsi="Times New Roman" w:cs="Times New Roman"/>
                <w:i w:val="0"/>
                <w:iCs w:val="0"/>
                <w:snapToGrid w:val="0"/>
                <w:color w:val="auto"/>
                <w:kern w:val="0"/>
                <w:sz w:val="21"/>
                <w:szCs w:val="21"/>
                <w:u w:val="none"/>
                <w:lang w:val="en-US" w:eastAsia="zh-CN" w:bidi="ar"/>
              </w:rPr>
              <w:t>+</w:t>
            </w:r>
            <w:r>
              <w:rPr>
                <w:rFonts w:hint="default" w:ascii="Times New Roman" w:hAnsi="Times New Roman" w:eastAsia="宋体" w:cs="Times New Roman"/>
                <w:i w:val="0"/>
                <w:iCs w:val="0"/>
                <w:snapToGrid w:val="0"/>
                <w:color w:val="auto"/>
                <w:kern w:val="0"/>
                <w:sz w:val="21"/>
                <w:szCs w:val="21"/>
                <w:u w:val="none"/>
                <w:lang w:val="en-US" w:eastAsia="zh-CN" w:bidi="ar"/>
              </w:rPr>
              <w:t>3.75</w:t>
            </w:r>
          </w:p>
        </w:tc>
      </w:tr>
    </w:tbl>
    <w:p w14:paraId="2E08A0C6">
      <w:pPr>
        <w:pStyle w:val="72"/>
        <w:adjustRightInd w:val="0"/>
        <w:snapToGrid w:val="0"/>
        <w:spacing w:line="240" w:lineRule="auto"/>
        <w:rPr>
          <w:color w:val="auto"/>
          <w:spacing w:val="-16"/>
          <w:kern w:val="21"/>
          <w:sz w:val="24"/>
          <w:szCs w:val="24"/>
        </w:rPr>
      </w:pPr>
      <w:r>
        <w:rPr>
          <w:color w:val="auto"/>
          <w:kern w:val="21"/>
          <w:sz w:val="24"/>
          <w:szCs w:val="24"/>
        </w:rPr>
        <w:t>注：</w:t>
      </w:r>
      <w:r>
        <w:rPr>
          <w:color w:val="auto"/>
          <w:spacing w:val="-16"/>
          <w:kern w:val="21"/>
          <w:sz w:val="24"/>
          <w:szCs w:val="24"/>
        </w:rPr>
        <w:fldChar w:fldCharType="begin"/>
      </w:r>
      <w:r>
        <w:rPr>
          <w:color w:val="auto"/>
          <w:spacing w:val="-16"/>
          <w:kern w:val="21"/>
          <w:sz w:val="24"/>
          <w:szCs w:val="24"/>
        </w:rPr>
        <w:instrText xml:space="preserve"> = 6 \* GB3 \* MERGEFORMAT </w:instrText>
      </w:r>
      <w:r>
        <w:rPr>
          <w:color w:val="auto"/>
          <w:spacing w:val="-16"/>
          <w:kern w:val="21"/>
          <w:sz w:val="24"/>
          <w:szCs w:val="24"/>
        </w:rPr>
        <w:fldChar w:fldCharType="separate"/>
      </w:r>
      <w:r>
        <w:rPr>
          <w:color w:val="auto"/>
          <w:sz w:val="24"/>
          <w:szCs w:val="24"/>
        </w:rPr>
        <w:t>⑥</w:t>
      </w:r>
      <w:r>
        <w:rPr>
          <w:color w:val="auto"/>
          <w:spacing w:val="-16"/>
          <w:kern w:val="21"/>
          <w:sz w:val="24"/>
          <w:szCs w:val="24"/>
        </w:rPr>
        <w:fldChar w:fldCharType="end"/>
      </w:r>
      <w:r>
        <w:rPr>
          <w:color w:val="auto"/>
          <w:spacing w:val="-16"/>
          <w:kern w:val="21"/>
          <w:sz w:val="24"/>
          <w:szCs w:val="24"/>
        </w:rPr>
        <w:t>=</w:t>
      </w:r>
      <w:r>
        <w:rPr>
          <w:color w:val="auto"/>
          <w:spacing w:val="-6"/>
          <w:kern w:val="21"/>
          <w:sz w:val="24"/>
          <w:szCs w:val="24"/>
        </w:rPr>
        <w:fldChar w:fldCharType="begin"/>
      </w:r>
      <w:r>
        <w:rPr>
          <w:color w:val="auto"/>
          <w:spacing w:val="-6"/>
          <w:kern w:val="21"/>
          <w:sz w:val="24"/>
          <w:szCs w:val="24"/>
        </w:rPr>
        <w:instrText xml:space="preserve"> = 1 \* GB3 \* MERGEFORMAT </w:instrText>
      </w:r>
      <w:r>
        <w:rPr>
          <w:color w:val="auto"/>
          <w:spacing w:val="-6"/>
          <w:kern w:val="21"/>
          <w:sz w:val="24"/>
          <w:szCs w:val="24"/>
        </w:rPr>
        <w:fldChar w:fldCharType="separate"/>
      </w:r>
      <w:r>
        <w:rPr>
          <w:color w:val="auto"/>
          <w:sz w:val="24"/>
          <w:szCs w:val="24"/>
        </w:rPr>
        <w:t>①</w:t>
      </w:r>
      <w:r>
        <w:rPr>
          <w:color w:val="auto"/>
          <w:spacing w:val="-6"/>
          <w:kern w:val="21"/>
          <w:sz w:val="24"/>
          <w:szCs w:val="24"/>
        </w:rPr>
        <w:fldChar w:fldCharType="end"/>
      </w:r>
      <w:r>
        <w:rPr>
          <w:color w:val="auto"/>
          <w:spacing w:val="-6"/>
          <w:kern w:val="21"/>
          <w:sz w:val="24"/>
          <w:szCs w:val="24"/>
        </w:rPr>
        <w:t>+</w:t>
      </w:r>
      <w:r>
        <w:rPr>
          <w:color w:val="auto"/>
          <w:spacing w:val="-6"/>
          <w:kern w:val="21"/>
          <w:sz w:val="24"/>
          <w:szCs w:val="24"/>
        </w:rPr>
        <w:fldChar w:fldCharType="begin"/>
      </w:r>
      <w:r>
        <w:rPr>
          <w:color w:val="auto"/>
          <w:spacing w:val="-6"/>
          <w:kern w:val="21"/>
          <w:sz w:val="24"/>
          <w:szCs w:val="24"/>
        </w:rPr>
        <w:instrText xml:space="preserve"> = 3 \* GB3 \* MERGEFORMAT </w:instrText>
      </w:r>
      <w:r>
        <w:rPr>
          <w:color w:val="auto"/>
          <w:spacing w:val="-6"/>
          <w:kern w:val="21"/>
          <w:sz w:val="24"/>
          <w:szCs w:val="24"/>
        </w:rPr>
        <w:fldChar w:fldCharType="separate"/>
      </w:r>
      <w:r>
        <w:rPr>
          <w:color w:val="auto"/>
          <w:sz w:val="24"/>
          <w:szCs w:val="24"/>
        </w:rPr>
        <w:t>③</w:t>
      </w:r>
      <w:r>
        <w:rPr>
          <w:color w:val="auto"/>
          <w:spacing w:val="-6"/>
          <w:kern w:val="21"/>
          <w:sz w:val="24"/>
          <w:szCs w:val="24"/>
        </w:rPr>
        <w:fldChar w:fldCharType="end"/>
      </w:r>
      <w:r>
        <w:rPr>
          <w:color w:val="auto"/>
          <w:spacing w:val="-6"/>
          <w:kern w:val="21"/>
          <w:sz w:val="24"/>
          <w:szCs w:val="24"/>
        </w:rPr>
        <w:t>+</w:t>
      </w:r>
      <w:r>
        <w:rPr>
          <w:color w:val="auto"/>
          <w:spacing w:val="-6"/>
          <w:kern w:val="21"/>
          <w:sz w:val="24"/>
          <w:szCs w:val="24"/>
        </w:rPr>
        <w:fldChar w:fldCharType="begin"/>
      </w:r>
      <w:r>
        <w:rPr>
          <w:color w:val="auto"/>
          <w:spacing w:val="-6"/>
          <w:kern w:val="21"/>
          <w:sz w:val="24"/>
          <w:szCs w:val="24"/>
        </w:rPr>
        <w:instrText xml:space="preserve"> = 4 \* GB3 \* MERGEFORMAT </w:instrText>
      </w:r>
      <w:r>
        <w:rPr>
          <w:color w:val="auto"/>
          <w:spacing w:val="-6"/>
          <w:kern w:val="21"/>
          <w:sz w:val="24"/>
          <w:szCs w:val="24"/>
        </w:rPr>
        <w:fldChar w:fldCharType="separate"/>
      </w:r>
      <w:r>
        <w:rPr>
          <w:color w:val="auto"/>
          <w:sz w:val="24"/>
          <w:szCs w:val="24"/>
        </w:rPr>
        <w:t>④</w:t>
      </w:r>
      <w:r>
        <w:rPr>
          <w:color w:val="auto"/>
          <w:spacing w:val="-6"/>
          <w:kern w:val="21"/>
          <w:sz w:val="24"/>
          <w:szCs w:val="24"/>
        </w:rPr>
        <w:fldChar w:fldCharType="end"/>
      </w:r>
      <w:r>
        <w:rPr>
          <w:color w:val="auto"/>
          <w:spacing w:val="-6"/>
          <w:kern w:val="21"/>
          <w:sz w:val="24"/>
          <w:szCs w:val="24"/>
        </w:rPr>
        <w:t>-</w:t>
      </w:r>
      <w:r>
        <w:rPr>
          <w:color w:val="auto"/>
          <w:spacing w:val="-16"/>
          <w:kern w:val="21"/>
          <w:sz w:val="24"/>
          <w:szCs w:val="24"/>
        </w:rPr>
        <w:fldChar w:fldCharType="begin"/>
      </w:r>
      <w:r>
        <w:rPr>
          <w:color w:val="auto"/>
          <w:spacing w:val="-16"/>
          <w:kern w:val="21"/>
          <w:sz w:val="24"/>
          <w:szCs w:val="24"/>
        </w:rPr>
        <w:instrText xml:space="preserve"> = 5 \* GB3 \* MERGEFORMAT </w:instrText>
      </w:r>
      <w:r>
        <w:rPr>
          <w:color w:val="auto"/>
          <w:spacing w:val="-16"/>
          <w:kern w:val="21"/>
          <w:sz w:val="24"/>
          <w:szCs w:val="24"/>
        </w:rPr>
        <w:fldChar w:fldCharType="separate"/>
      </w:r>
      <w:r>
        <w:rPr>
          <w:color w:val="auto"/>
          <w:sz w:val="24"/>
          <w:szCs w:val="24"/>
        </w:rPr>
        <w:t>⑤</w:t>
      </w:r>
      <w:r>
        <w:rPr>
          <w:color w:val="auto"/>
          <w:spacing w:val="-16"/>
          <w:kern w:val="21"/>
          <w:sz w:val="24"/>
          <w:szCs w:val="24"/>
        </w:rPr>
        <w:fldChar w:fldCharType="end"/>
      </w:r>
      <w:r>
        <w:rPr>
          <w:color w:val="auto"/>
          <w:spacing w:val="-16"/>
          <w:kern w:val="21"/>
          <w:sz w:val="24"/>
          <w:szCs w:val="24"/>
        </w:rPr>
        <w:t>；</w:t>
      </w:r>
      <w:r>
        <w:rPr>
          <w:color w:val="auto"/>
          <w:spacing w:val="-6"/>
          <w:kern w:val="21"/>
          <w:sz w:val="24"/>
          <w:szCs w:val="24"/>
        </w:rPr>
        <w:fldChar w:fldCharType="begin"/>
      </w:r>
      <w:r>
        <w:rPr>
          <w:color w:val="auto"/>
          <w:spacing w:val="-6"/>
          <w:kern w:val="21"/>
          <w:sz w:val="24"/>
          <w:szCs w:val="24"/>
        </w:rPr>
        <w:instrText xml:space="preserve"> = 7 \* GB3 \* MERGEFORMAT </w:instrText>
      </w:r>
      <w:r>
        <w:rPr>
          <w:color w:val="auto"/>
          <w:spacing w:val="-6"/>
          <w:kern w:val="21"/>
          <w:sz w:val="24"/>
          <w:szCs w:val="24"/>
        </w:rPr>
        <w:fldChar w:fldCharType="separate"/>
      </w:r>
      <w:r>
        <w:rPr>
          <w:color w:val="auto"/>
          <w:sz w:val="24"/>
          <w:szCs w:val="24"/>
        </w:rPr>
        <w:t>⑦</w:t>
      </w:r>
      <w:r>
        <w:rPr>
          <w:color w:val="auto"/>
          <w:spacing w:val="-6"/>
          <w:kern w:val="21"/>
          <w:sz w:val="24"/>
          <w:szCs w:val="24"/>
        </w:rPr>
        <w:fldChar w:fldCharType="end"/>
      </w:r>
      <w:r>
        <w:rPr>
          <w:color w:val="auto"/>
          <w:spacing w:val="-6"/>
          <w:kern w:val="21"/>
          <w:sz w:val="24"/>
          <w:szCs w:val="24"/>
        </w:rPr>
        <w:t>=</w:t>
      </w:r>
      <w:r>
        <w:rPr>
          <w:color w:val="auto"/>
          <w:spacing w:val="-16"/>
          <w:kern w:val="21"/>
          <w:sz w:val="24"/>
          <w:szCs w:val="24"/>
        </w:rPr>
        <w:fldChar w:fldCharType="begin"/>
      </w:r>
      <w:r>
        <w:rPr>
          <w:color w:val="auto"/>
          <w:spacing w:val="-16"/>
          <w:kern w:val="21"/>
          <w:sz w:val="24"/>
          <w:szCs w:val="24"/>
        </w:rPr>
        <w:instrText xml:space="preserve"> = 6 \* GB3 \* MERGEFORMAT </w:instrText>
      </w:r>
      <w:r>
        <w:rPr>
          <w:color w:val="auto"/>
          <w:spacing w:val="-16"/>
          <w:kern w:val="21"/>
          <w:sz w:val="24"/>
          <w:szCs w:val="24"/>
        </w:rPr>
        <w:fldChar w:fldCharType="separate"/>
      </w:r>
      <w:r>
        <w:rPr>
          <w:color w:val="auto"/>
          <w:sz w:val="24"/>
          <w:szCs w:val="24"/>
        </w:rPr>
        <w:t>⑥</w:t>
      </w:r>
      <w:r>
        <w:rPr>
          <w:color w:val="auto"/>
          <w:spacing w:val="-16"/>
          <w:kern w:val="21"/>
          <w:sz w:val="24"/>
          <w:szCs w:val="24"/>
        </w:rPr>
        <w:fldChar w:fldCharType="end"/>
      </w:r>
      <w:r>
        <w:rPr>
          <w:rFonts w:hint="eastAsia"/>
          <w:color w:val="auto"/>
          <w:spacing w:val="-16"/>
          <w:kern w:val="21"/>
          <w:sz w:val="24"/>
          <w:szCs w:val="24"/>
        </w:rPr>
        <w:t>-①</w:t>
      </w:r>
    </w:p>
    <w:p w14:paraId="5EDF767A">
      <w:pPr>
        <w:pStyle w:val="72"/>
        <w:rPr>
          <w:color w:val="auto"/>
          <w:spacing w:val="-16"/>
          <w:kern w:val="21"/>
          <w:sz w:val="24"/>
          <w:szCs w:val="24"/>
        </w:rPr>
      </w:pPr>
    </w:p>
    <w:p w14:paraId="7178343B">
      <w:pPr>
        <w:pStyle w:val="72"/>
        <w:rPr>
          <w:color w:val="auto"/>
          <w:spacing w:val="-16"/>
          <w:kern w:val="21"/>
          <w:sz w:val="24"/>
          <w:szCs w:val="24"/>
        </w:rPr>
        <w:sectPr>
          <w:footerReference r:id="rId5" w:type="default"/>
          <w:pgSz w:w="16838" w:h="11906" w:orient="landscape"/>
          <w:pgMar w:top="1803" w:right="1440" w:bottom="1803" w:left="1440" w:header="851" w:footer="992" w:gutter="0"/>
          <w:pgBorders>
            <w:top w:val="none" w:sz="0" w:space="0"/>
            <w:left w:val="none" w:sz="0" w:space="0"/>
            <w:bottom w:val="none" w:sz="0" w:space="0"/>
            <w:right w:val="none" w:sz="0" w:space="0"/>
          </w:pgBorders>
          <w:cols w:space="720" w:num="1"/>
          <w:docGrid w:type="lines" w:linePitch="319" w:charSpace="0"/>
        </w:sectPr>
      </w:pPr>
    </w:p>
    <w:p w14:paraId="247583A3">
      <w:pPr>
        <w:pStyle w:val="72"/>
        <w:adjustRightInd w:val="0"/>
        <w:snapToGrid w:val="0"/>
        <w:spacing w:line="360" w:lineRule="auto"/>
        <w:rPr>
          <w:b/>
          <w:bCs/>
          <w:color w:val="auto"/>
        </w:rPr>
      </w:pPr>
      <w:bookmarkStart w:id="34" w:name="_Toc137559026"/>
      <w:bookmarkStart w:id="35" w:name="_Toc31937"/>
      <w:r>
        <w:rPr>
          <w:b/>
          <w:bCs/>
          <w:color w:val="auto"/>
        </w:rPr>
        <w:t>附图</w:t>
      </w:r>
      <w:bookmarkEnd w:id="34"/>
      <w:bookmarkEnd w:id="35"/>
    </w:p>
    <w:p w14:paraId="26E9B76B">
      <w:pPr>
        <w:pStyle w:val="72"/>
        <w:adjustRightInd w:val="0"/>
        <w:snapToGrid w:val="0"/>
        <w:spacing w:line="360" w:lineRule="auto"/>
        <w:rPr>
          <w:color w:val="auto"/>
        </w:rPr>
      </w:pPr>
      <w:bookmarkStart w:id="36" w:name="_Toc5636"/>
      <w:bookmarkStart w:id="37" w:name="_Toc137559027"/>
      <w:bookmarkStart w:id="38" w:name="_Toc16842"/>
      <w:r>
        <w:rPr>
          <w:color w:val="auto"/>
        </w:rPr>
        <w:t>1、项目所在地示意图</w:t>
      </w:r>
    </w:p>
    <w:p w14:paraId="460ED1E8">
      <w:pPr>
        <w:pStyle w:val="72"/>
        <w:adjustRightInd w:val="0"/>
        <w:snapToGrid w:val="0"/>
        <w:spacing w:line="360" w:lineRule="auto"/>
        <w:rPr>
          <w:color w:val="auto"/>
        </w:rPr>
      </w:pPr>
      <w:r>
        <w:rPr>
          <w:color w:val="auto"/>
        </w:rPr>
        <w:t>2、周边500米概况图</w:t>
      </w:r>
    </w:p>
    <w:p w14:paraId="3ACFC695">
      <w:pPr>
        <w:pStyle w:val="72"/>
        <w:adjustRightInd w:val="0"/>
        <w:snapToGrid w:val="0"/>
        <w:spacing w:line="360" w:lineRule="auto"/>
        <w:rPr>
          <w:color w:val="auto"/>
        </w:rPr>
      </w:pPr>
      <w:r>
        <w:rPr>
          <w:color w:val="auto"/>
        </w:rPr>
        <w:t>3、</w:t>
      </w:r>
      <w:r>
        <w:rPr>
          <w:rFonts w:hint="eastAsia"/>
          <w:color w:val="auto"/>
          <w:lang w:val="en-US" w:eastAsia="zh-CN"/>
        </w:rPr>
        <w:t>车间</w:t>
      </w:r>
      <w:r>
        <w:rPr>
          <w:color w:val="auto"/>
        </w:rPr>
        <w:t>平面布置图</w:t>
      </w:r>
    </w:p>
    <w:p w14:paraId="2D231CA8">
      <w:pPr>
        <w:pStyle w:val="72"/>
        <w:adjustRightInd w:val="0"/>
        <w:snapToGrid w:val="0"/>
        <w:spacing w:line="360" w:lineRule="auto"/>
        <w:rPr>
          <w:rFonts w:hint="default"/>
          <w:color w:val="auto"/>
          <w:lang w:val="en-US" w:eastAsia="zh-CN"/>
        </w:rPr>
      </w:pPr>
      <w:r>
        <w:rPr>
          <w:rFonts w:hint="eastAsia"/>
          <w:color w:val="auto"/>
          <w:lang w:val="en-US" w:eastAsia="zh-CN"/>
        </w:rPr>
        <w:t>4、厂区雨污管网图</w:t>
      </w:r>
    </w:p>
    <w:p w14:paraId="7BBCBB9A">
      <w:pPr>
        <w:pStyle w:val="72"/>
        <w:adjustRightInd w:val="0"/>
        <w:snapToGrid w:val="0"/>
        <w:spacing w:line="360" w:lineRule="auto"/>
        <w:rPr>
          <w:color w:val="auto"/>
        </w:rPr>
      </w:pPr>
      <w:r>
        <w:rPr>
          <w:rFonts w:hint="eastAsia"/>
          <w:color w:val="auto"/>
          <w:lang w:val="en-US" w:eastAsia="zh-CN"/>
        </w:rPr>
        <w:t>5</w:t>
      </w:r>
      <w:r>
        <w:rPr>
          <w:color w:val="auto"/>
        </w:rPr>
        <w:t>、用地规划图</w:t>
      </w:r>
    </w:p>
    <w:p w14:paraId="7E6BC13E">
      <w:pPr>
        <w:pStyle w:val="72"/>
        <w:adjustRightInd w:val="0"/>
        <w:snapToGrid w:val="0"/>
        <w:spacing w:line="360" w:lineRule="auto"/>
        <w:rPr>
          <w:color w:val="auto"/>
        </w:rPr>
      </w:pPr>
      <w:r>
        <w:rPr>
          <w:rFonts w:hint="eastAsia"/>
          <w:color w:val="auto"/>
          <w:lang w:val="en-US" w:eastAsia="zh-CN"/>
        </w:rPr>
        <w:t>6</w:t>
      </w:r>
      <w:r>
        <w:rPr>
          <w:color w:val="auto"/>
        </w:rPr>
        <w:t>、</w:t>
      </w:r>
      <w:r>
        <w:rPr>
          <w:rFonts w:hint="eastAsia"/>
          <w:color w:val="auto"/>
          <w:lang w:val="en-US" w:eastAsia="zh-CN"/>
        </w:rPr>
        <w:t>常州市</w:t>
      </w:r>
      <w:r>
        <w:rPr>
          <w:color w:val="auto"/>
        </w:rPr>
        <w:t>生态空间</w:t>
      </w:r>
      <w:r>
        <w:rPr>
          <w:rFonts w:hint="eastAsia"/>
          <w:color w:val="auto"/>
          <w:lang w:val="en-US" w:eastAsia="zh-CN"/>
        </w:rPr>
        <w:t>保护</w:t>
      </w:r>
      <w:r>
        <w:rPr>
          <w:color w:val="auto"/>
        </w:rPr>
        <w:t>区域</w:t>
      </w:r>
      <w:r>
        <w:rPr>
          <w:rFonts w:hint="eastAsia"/>
          <w:color w:val="auto"/>
          <w:lang w:val="en-US" w:eastAsia="zh-CN"/>
        </w:rPr>
        <w:t>分布</w:t>
      </w:r>
      <w:r>
        <w:rPr>
          <w:color w:val="auto"/>
        </w:rPr>
        <w:t>图</w:t>
      </w:r>
    </w:p>
    <w:p w14:paraId="0DA0B44C">
      <w:pPr>
        <w:pStyle w:val="72"/>
        <w:adjustRightInd w:val="0"/>
        <w:snapToGrid w:val="0"/>
        <w:spacing w:line="360" w:lineRule="auto"/>
        <w:rPr>
          <w:rFonts w:hint="default" w:eastAsia="宋体"/>
          <w:color w:val="auto"/>
          <w:lang w:val="en-US" w:eastAsia="zh-CN"/>
        </w:rPr>
      </w:pPr>
      <w:r>
        <w:rPr>
          <w:rFonts w:hint="eastAsia"/>
          <w:color w:val="auto"/>
          <w:lang w:val="en-US" w:eastAsia="zh-CN"/>
        </w:rPr>
        <w:t>7、声环境功能区划图</w:t>
      </w:r>
    </w:p>
    <w:p w14:paraId="7354DD3A">
      <w:pPr>
        <w:pStyle w:val="72"/>
        <w:adjustRightInd w:val="0"/>
        <w:snapToGrid w:val="0"/>
        <w:spacing w:line="360" w:lineRule="auto"/>
        <w:rPr>
          <w:rFonts w:hint="eastAsia"/>
          <w:color w:val="auto"/>
          <w:lang w:val="en-US" w:eastAsia="zh-CN"/>
        </w:rPr>
      </w:pPr>
      <w:r>
        <w:rPr>
          <w:rFonts w:hint="eastAsia"/>
          <w:color w:val="auto"/>
          <w:lang w:val="en-US" w:eastAsia="zh-CN"/>
        </w:rPr>
        <w:t>8、周边水系图</w:t>
      </w:r>
    </w:p>
    <w:p w14:paraId="70475DB0">
      <w:pPr>
        <w:pStyle w:val="72"/>
        <w:adjustRightInd w:val="0"/>
        <w:snapToGrid w:val="0"/>
        <w:spacing w:line="360" w:lineRule="auto"/>
        <w:rPr>
          <w:rFonts w:hint="default"/>
          <w:color w:val="auto"/>
          <w:lang w:val="en-US" w:eastAsia="zh-CN"/>
        </w:rPr>
      </w:pPr>
      <w:r>
        <w:rPr>
          <w:rFonts w:hint="eastAsia"/>
          <w:color w:val="auto"/>
          <w:lang w:val="en-US" w:eastAsia="zh-CN"/>
        </w:rPr>
        <w:t>9、市域国土空间控制线规划图</w:t>
      </w:r>
    </w:p>
    <w:p w14:paraId="4C634B01">
      <w:pPr>
        <w:pStyle w:val="72"/>
        <w:adjustRightInd w:val="0"/>
        <w:snapToGrid w:val="0"/>
        <w:spacing w:line="360" w:lineRule="auto"/>
        <w:rPr>
          <w:rFonts w:hint="default"/>
          <w:color w:val="auto"/>
          <w:lang w:val="en-US" w:eastAsia="zh-CN"/>
        </w:rPr>
      </w:pPr>
      <w:r>
        <w:rPr>
          <w:rFonts w:hint="eastAsia"/>
          <w:color w:val="auto"/>
          <w:lang w:val="en-US" w:eastAsia="zh-CN"/>
        </w:rPr>
        <w:t>10、市辖区国土空间规划分区图</w:t>
      </w:r>
    </w:p>
    <w:p w14:paraId="46796D1D">
      <w:pPr>
        <w:adjustRightInd w:val="0"/>
        <w:snapToGrid w:val="0"/>
        <w:spacing w:line="360" w:lineRule="auto"/>
        <w:outlineLvl w:val="0"/>
        <w:rPr>
          <w:color w:val="auto"/>
        </w:rPr>
      </w:pPr>
      <w:r>
        <w:rPr>
          <w:b/>
          <w:bCs/>
          <w:color w:val="auto"/>
        </w:rPr>
        <w:t>附件</w:t>
      </w:r>
      <w:bookmarkEnd w:id="36"/>
      <w:bookmarkEnd w:id="37"/>
      <w:bookmarkEnd w:id="38"/>
    </w:p>
    <w:p w14:paraId="7CF61136">
      <w:pPr>
        <w:pStyle w:val="72"/>
        <w:adjustRightInd w:val="0"/>
        <w:snapToGrid w:val="0"/>
        <w:spacing w:line="360" w:lineRule="auto"/>
        <w:rPr>
          <w:color w:val="auto"/>
        </w:rPr>
      </w:pPr>
      <w:r>
        <w:rPr>
          <w:color w:val="auto"/>
        </w:rPr>
        <w:t>1、</w:t>
      </w:r>
      <w:r>
        <w:rPr>
          <w:rFonts w:hint="eastAsia"/>
          <w:color w:val="auto"/>
        </w:rPr>
        <w:t>华罗庚高新技术产业开发区规划环评审查意见</w:t>
      </w:r>
    </w:p>
    <w:p w14:paraId="61E09EF3">
      <w:pPr>
        <w:pStyle w:val="72"/>
        <w:adjustRightInd w:val="0"/>
        <w:snapToGrid w:val="0"/>
        <w:spacing w:line="360" w:lineRule="auto"/>
        <w:rPr>
          <w:color w:val="auto"/>
        </w:rPr>
      </w:pPr>
      <w:r>
        <w:rPr>
          <w:color w:val="auto"/>
        </w:rPr>
        <w:t>2、备案证</w:t>
      </w:r>
    </w:p>
    <w:p w14:paraId="29F8783A">
      <w:pPr>
        <w:pStyle w:val="72"/>
        <w:adjustRightInd w:val="0"/>
        <w:snapToGrid w:val="0"/>
        <w:spacing w:line="360" w:lineRule="auto"/>
        <w:rPr>
          <w:color w:val="auto"/>
        </w:rPr>
      </w:pPr>
      <w:r>
        <w:rPr>
          <w:color w:val="auto"/>
        </w:rPr>
        <w:t>3、营业执照</w:t>
      </w:r>
    </w:p>
    <w:p w14:paraId="0183FB69">
      <w:pPr>
        <w:pStyle w:val="72"/>
        <w:adjustRightInd w:val="0"/>
        <w:snapToGrid w:val="0"/>
        <w:spacing w:line="360" w:lineRule="auto"/>
        <w:rPr>
          <w:color w:val="auto"/>
        </w:rPr>
      </w:pPr>
      <w:r>
        <w:rPr>
          <w:color w:val="auto"/>
        </w:rPr>
        <w:t>4、法人身份证</w:t>
      </w:r>
    </w:p>
    <w:p w14:paraId="6231F283">
      <w:pPr>
        <w:pStyle w:val="72"/>
        <w:adjustRightInd w:val="0"/>
        <w:snapToGrid w:val="0"/>
        <w:spacing w:line="360" w:lineRule="auto"/>
        <w:rPr>
          <w:rFonts w:hint="eastAsia" w:eastAsia="宋体"/>
          <w:color w:val="auto"/>
          <w:lang w:eastAsia="zh-CN"/>
        </w:rPr>
      </w:pPr>
      <w:r>
        <w:rPr>
          <w:color w:val="auto"/>
        </w:rPr>
        <w:t>5、</w:t>
      </w:r>
      <w:r>
        <w:rPr>
          <w:rFonts w:hint="eastAsia"/>
          <w:color w:val="auto"/>
          <w:lang w:val="en-US" w:eastAsia="zh-CN"/>
        </w:rPr>
        <w:t>厂房租赁合同</w:t>
      </w:r>
    </w:p>
    <w:p w14:paraId="77971A7B">
      <w:pPr>
        <w:pStyle w:val="72"/>
        <w:adjustRightInd w:val="0"/>
        <w:snapToGrid w:val="0"/>
        <w:spacing w:line="360" w:lineRule="auto"/>
        <w:rPr>
          <w:color w:val="auto"/>
        </w:rPr>
      </w:pPr>
      <w:r>
        <w:rPr>
          <w:color w:val="auto"/>
        </w:rPr>
        <w:t>6、不动产权证</w:t>
      </w:r>
    </w:p>
    <w:p w14:paraId="39D730BF">
      <w:pPr>
        <w:pStyle w:val="72"/>
        <w:adjustRightInd w:val="0"/>
        <w:snapToGrid w:val="0"/>
        <w:spacing w:line="360" w:lineRule="auto"/>
        <w:rPr>
          <w:color w:val="auto"/>
        </w:rPr>
      </w:pPr>
      <w:r>
        <w:rPr>
          <w:color w:val="auto"/>
        </w:rPr>
        <w:t>7、环评公示</w:t>
      </w:r>
    </w:p>
    <w:p w14:paraId="43D5ADC2">
      <w:pPr>
        <w:pStyle w:val="72"/>
        <w:adjustRightInd w:val="0"/>
        <w:snapToGrid w:val="0"/>
        <w:spacing w:line="360" w:lineRule="auto"/>
        <w:rPr>
          <w:color w:val="auto"/>
        </w:rPr>
      </w:pPr>
      <w:r>
        <w:rPr>
          <w:color w:val="auto"/>
        </w:rPr>
        <w:t>8、咨询合同</w:t>
      </w:r>
    </w:p>
    <w:p w14:paraId="1E6258E5">
      <w:pPr>
        <w:pStyle w:val="72"/>
        <w:adjustRightInd w:val="0"/>
        <w:snapToGrid w:val="0"/>
        <w:spacing w:line="360" w:lineRule="auto"/>
        <w:rPr>
          <w:color w:val="auto"/>
        </w:rPr>
      </w:pPr>
      <w:r>
        <w:rPr>
          <w:color w:val="auto"/>
        </w:rPr>
        <w:t>9、工程师现场踏勘照片</w:t>
      </w:r>
    </w:p>
    <w:p w14:paraId="25DD1FEC">
      <w:pPr>
        <w:pStyle w:val="72"/>
        <w:adjustRightInd w:val="0"/>
        <w:snapToGrid w:val="0"/>
        <w:spacing w:line="360" w:lineRule="auto"/>
        <w:rPr>
          <w:rFonts w:hint="default" w:eastAsia="宋体"/>
          <w:color w:val="auto"/>
          <w:lang w:val="en-US" w:eastAsia="zh-CN"/>
        </w:rPr>
      </w:pPr>
      <w:r>
        <w:rPr>
          <w:color w:val="auto"/>
        </w:rPr>
        <w:t>10、</w:t>
      </w:r>
      <w:r>
        <w:rPr>
          <w:rFonts w:hint="eastAsia"/>
          <w:color w:val="auto"/>
          <w:lang w:val="en-US" w:eastAsia="zh-CN"/>
        </w:rPr>
        <w:t>现状</w:t>
      </w:r>
      <w:r>
        <w:rPr>
          <w:color w:val="auto"/>
        </w:rPr>
        <w:t>检测报告</w:t>
      </w:r>
      <w:r>
        <w:rPr>
          <w:rFonts w:hint="eastAsia"/>
          <w:color w:val="auto"/>
          <w:lang w:val="en-US" w:eastAsia="zh-CN"/>
        </w:rPr>
        <w:t>和引用说明</w:t>
      </w:r>
    </w:p>
    <w:p w14:paraId="0F7590ED">
      <w:pPr>
        <w:pStyle w:val="72"/>
        <w:adjustRightInd w:val="0"/>
        <w:snapToGrid w:val="0"/>
        <w:spacing w:line="360" w:lineRule="auto"/>
        <w:rPr>
          <w:color w:val="auto"/>
        </w:rPr>
      </w:pPr>
      <w:r>
        <w:rPr>
          <w:color w:val="auto"/>
        </w:rPr>
        <w:t>1</w:t>
      </w:r>
      <w:r>
        <w:rPr>
          <w:rFonts w:hint="eastAsia"/>
          <w:color w:val="auto"/>
        </w:rPr>
        <w:t>1</w:t>
      </w:r>
      <w:r>
        <w:rPr>
          <w:color w:val="auto"/>
        </w:rPr>
        <w:t>、环境影响评价委托书</w:t>
      </w:r>
    </w:p>
    <w:p w14:paraId="13B771FA">
      <w:pPr>
        <w:pStyle w:val="72"/>
        <w:adjustRightInd w:val="0"/>
        <w:snapToGrid w:val="0"/>
        <w:spacing w:line="360" w:lineRule="auto"/>
        <w:rPr>
          <w:color w:val="auto"/>
        </w:rPr>
      </w:pPr>
      <w:r>
        <w:rPr>
          <w:color w:val="auto"/>
        </w:rPr>
        <w:t>1</w:t>
      </w:r>
      <w:r>
        <w:rPr>
          <w:rFonts w:hint="eastAsia"/>
          <w:color w:val="auto"/>
        </w:rPr>
        <w:t>2</w:t>
      </w:r>
      <w:r>
        <w:rPr>
          <w:color w:val="auto"/>
        </w:rPr>
        <w:t>、建设单位承诺函</w:t>
      </w:r>
    </w:p>
    <w:p w14:paraId="0F15820E">
      <w:pPr>
        <w:pStyle w:val="72"/>
        <w:adjustRightInd w:val="0"/>
        <w:snapToGrid w:val="0"/>
        <w:spacing w:line="360" w:lineRule="auto"/>
        <w:rPr>
          <w:color w:val="auto"/>
        </w:rPr>
      </w:pPr>
      <w:r>
        <w:rPr>
          <w:color w:val="auto"/>
        </w:rPr>
        <w:t>1</w:t>
      </w:r>
      <w:r>
        <w:rPr>
          <w:rFonts w:hint="eastAsia"/>
          <w:color w:val="auto"/>
        </w:rPr>
        <w:t>3</w:t>
      </w:r>
      <w:r>
        <w:rPr>
          <w:color w:val="auto"/>
        </w:rPr>
        <w:t>、建设单位环评单位承诺函</w:t>
      </w:r>
    </w:p>
    <w:p w14:paraId="6BBBD2FE">
      <w:pPr>
        <w:pStyle w:val="72"/>
        <w:adjustRightInd w:val="0"/>
        <w:snapToGrid w:val="0"/>
        <w:spacing w:line="360" w:lineRule="auto"/>
        <w:rPr>
          <w:color w:val="auto"/>
        </w:rPr>
      </w:pPr>
      <w:r>
        <w:rPr>
          <w:color w:val="auto"/>
        </w:rPr>
        <w:t>1</w:t>
      </w:r>
      <w:r>
        <w:rPr>
          <w:rFonts w:hint="eastAsia"/>
          <w:color w:val="auto"/>
        </w:rPr>
        <w:t>4</w:t>
      </w:r>
      <w:r>
        <w:rPr>
          <w:color w:val="auto"/>
        </w:rPr>
        <w:t>、声明确认单</w:t>
      </w:r>
    </w:p>
    <w:p w14:paraId="5CAC813A">
      <w:pPr>
        <w:pStyle w:val="72"/>
        <w:adjustRightInd w:val="0"/>
        <w:snapToGrid w:val="0"/>
        <w:spacing w:line="360" w:lineRule="auto"/>
        <w:rPr>
          <w:rFonts w:hint="eastAsia" w:eastAsia="宋体"/>
          <w:color w:val="auto"/>
          <w:lang w:eastAsia="zh-CN"/>
        </w:rPr>
      </w:pPr>
      <w:r>
        <w:rPr>
          <w:color w:val="auto"/>
        </w:rPr>
        <w:t>1</w:t>
      </w:r>
      <w:r>
        <w:rPr>
          <w:rFonts w:hint="eastAsia"/>
          <w:color w:val="auto"/>
        </w:rPr>
        <w:t>5</w:t>
      </w:r>
      <w:r>
        <w:rPr>
          <w:color w:val="auto"/>
        </w:rPr>
        <w:t>、危废处置</w:t>
      </w:r>
      <w:r>
        <w:rPr>
          <w:rFonts w:hint="eastAsia"/>
          <w:color w:val="auto"/>
          <w:lang w:val="en-US" w:eastAsia="zh-CN"/>
        </w:rPr>
        <w:t>承诺书</w:t>
      </w:r>
    </w:p>
    <w:p w14:paraId="2E39202C">
      <w:pPr>
        <w:pStyle w:val="72"/>
        <w:adjustRightInd w:val="0"/>
        <w:snapToGrid w:val="0"/>
        <w:spacing w:line="360" w:lineRule="auto"/>
        <w:rPr>
          <w:color w:val="auto"/>
        </w:rPr>
      </w:pPr>
      <w:r>
        <w:rPr>
          <w:rFonts w:hint="eastAsia"/>
          <w:color w:val="auto"/>
        </w:rPr>
        <w:t>16</w:t>
      </w:r>
      <w:r>
        <w:rPr>
          <w:rFonts w:hint="eastAsia"/>
          <w:color w:val="auto"/>
          <w:lang w:val="en-US" w:eastAsia="zh-CN"/>
        </w:rPr>
        <w:t>.1</w:t>
      </w:r>
      <w:r>
        <w:rPr>
          <w:rFonts w:hint="eastAsia"/>
          <w:color w:val="auto"/>
        </w:rPr>
        <w:t>、</w:t>
      </w:r>
      <w:r>
        <w:rPr>
          <w:rFonts w:hint="eastAsia"/>
          <w:color w:val="auto"/>
          <w:lang w:val="en-US" w:eastAsia="zh-CN"/>
        </w:rPr>
        <w:t>白乳胶</w:t>
      </w:r>
      <w:r>
        <w:rPr>
          <w:rFonts w:hint="eastAsia"/>
          <w:color w:val="auto"/>
        </w:rPr>
        <w:t>MSDS</w:t>
      </w:r>
    </w:p>
    <w:p w14:paraId="3171F62A">
      <w:pPr>
        <w:pStyle w:val="72"/>
        <w:adjustRightInd w:val="0"/>
        <w:snapToGrid w:val="0"/>
        <w:spacing w:line="360" w:lineRule="auto"/>
        <w:rPr>
          <w:rFonts w:hint="eastAsia"/>
          <w:color w:val="auto"/>
          <w:lang w:val="en-US" w:eastAsia="zh-CN"/>
        </w:rPr>
      </w:pPr>
      <w:r>
        <w:rPr>
          <w:rFonts w:hint="eastAsia"/>
          <w:color w:val="auto"/>
        </w:rPr>
        <w:t>1</w:t>
      </w:r>
      <w:r>
        <w:rPr>
          <w:rFonts w:hint="eastAsia"/>
          <w:color w:val="auto"/>
          <w:lang w:val="en-US" w:eastAsia="zh-CN"/>
        </w:rPr>
        <w:t>6.2</w:t>
      </w:r>
      <w:r>
        <w:rPr>
          <w:rFonts w:hint="eastAsia"/>
          <w:color w:val="auto"/>
        </w:rPr>
        <w:t>、</w:t>
      </w:r>
      <w:r>
        <w:rPr>
          <w:rFonts w:hint="eastAsia"/>
          <w:color w:val="auto"/>
          <w:lang w:val="en-US" w:eastAsia="zh-CN"/>
        </w:rPr>
        <w:t>白乳胶VOC检测报告</w:t>
      </w:r>
    </w:p>
    <w:p w14:paraId="37B536DB">
      <w:pPr>
        <w:pStyle w:val="72"/>
        <w:adjustRightInd w:val="0"/>
        <w:snapToGrid w:val="0"/>
        <w:spacing w:line="360" w:lineRule="auto"/>
        <w:rPr>
          <w:rFonts w:hint="default"/>
          <w:color w:val="auto"/>
          <w:lang w:val="en-US" w:eastAsia="zh-CN"/>
        </w:rPr>
      </w:pPr>
      <w:r>
        <w:rPr>
          <w:rFonts w:hint="eastAsia"/>
          <w:color w:val="auto"/>
          <w:lang w:val="en-US" w:eastAsia="zh-CN"/>
        </w:rPr>
        <w:t>17.1、热熔胶MSDS</w:t>
      </w:r>
    </w:p>
    <w:p w14:paraId="2DB48995">
      <w:pPr>
        <w:pStyle w:val="72"/>
        <w:adjustRightInd w:val="0"/>
        <w:snapToGrid w:val="0"/>
        <w:spacing w:line="360" w:lineRule="auto"/>
        <w:rPr>
          <w:rFonts w:hint="default"/>
          <w:color w:val="auto"/>
          <w:lang w:val="en-US" w:eastAsia="zh-CN"/>
        </w:rPr>
      </w:pPr>
      <w:r>
        <w:rPr>
          <w:rFonts w:hint="eastAsia"/>
          <w:color w:val="auto"/>
          <w:lang w:val="en-US" w:eastAsia="zh-CN"/>
        </w:rPr>
        <w:t>17.2、热熔胶VOC检测报告</w:t>
      </w:r>
    </w:p>
    <w:p w14:paraId="056FCFCE">
      <w:pPr>
        <w:pStyle w:val="72"/>
        <w:adjustRightInd w:val="0"/>
        <w:snapToGrid w:val="0"/>
        <w:spacing w:line="360" w:lineRule="auto"/>
        <w:rPr>
          <w:rFonts w:hint="eastAsia"/>
          <w:color w:val="auto"/>
          <w:lang w:val="en-US" w:eastAsia="zh-CN"/>
        </w:rPr>
      </w:pPr>
      <w:r>
        <w:rPr>
          <w:rFonts w:hint="eastAsia"/>
          <w:color w:val="auto"/>
          <w:lang w:val="en-US" w:eastAsia="zh-CN"/>
        </w:rPr>
        <w:t>18.1、水性漆MSDS</w:t>
      </w:r>
    </w:p>
    <w:p w14:paraId="540EA896">
      <w:pPr>
        <w:pStyle w:val="72"/>
        <w:adjustRightInd w:val="0"/>
        <w:snapToGrid w:val="0"/>
        <w:spacing w:line="360" w:lineRule="auto"/>
        <w:rPr>
          <w:rFonts w:hint="default"/>
          <w:color w:val="auto"/>
          <w:lang w:val="en-US" w:eastAsia="zh-CN"/>
        </w:rPr>
      </w:pPr>
      <w:r>
        <w:rPr>
          <w:rFonts w:hint="eastAsia"/>
          <w:color w:val="auto"/>
          <w:lang w:val="en-US" w:eastAsia="zh-CN"/>
        </w:rPr>
        <w:t>18.2、水性漆VOC检测报告</w:t>
      </w:r>
    </w:p>
    <w:p w14:paraId="60822083">
      <w:pPr>
        <w:pStyle w:val="72"/>
        <w:adjustRightInd w:val="0"/>
        <w:snapToGrid w:val="0"/>
        <w:spacing w:line="360" w:lineRule="auto"/>
        <w:rPr>
          <w:rFonts w:hint="eastAsia"/>
          <w:color w:val="auto"/>
          <w:lang w:val="en-US" w:eastAsia="zh-CN"/>
        </w:rPr>
      </w:pPr>
      <w:r>
        <w:rPr>
          <w:rFonts w:hint="eastAsia"/>
          <w:color w:val="auto"/>
          <w:lang w:val="en-US" w:eastAsia="zh-CN"/>
        </w:rPr>
        <w:t>19.1、油性漆MSDS</w:t>
      </w:r>
    </w:p>
    <w:p w14:paraId="49FB644A">
      <w:pPr>
        <w:pStyle w:val="72"/>
        <w:adjustRightInd w:val="0"/>
        <w:snapToGrid w:val="0"/>
        <w:spacing w:line="360" w:lineRule="auto"/>
        <w:rPr>
          <w:rFonts w:hint="default"/>
          <w:color w:val="auto"/>
          <w:lang w:val="en-US" w:eastAsia="zh-CN"/>
        </w:rPr>
      </w:pPr>
      <w:r>
        <w:rPr>
          <w:rFonts w:hint="eastAsia"/>
          <w:color w:val="auto"/>
          <w:lang w:val="en-US" w:eastAsia="zh-CN"/>
        </w:rPr>
        <w:t>19.2、油性漆VOC检测报告</w:t>
      </w:r>
    </w:p>
    <w:p w14:paraId="7C7C4935">
      <w:pPr>
        <w:pStyle w:val="72"/>
        <w:adjustRightInd w:val="0"/>
        <w:snapToGrid w:val="0"/>
        <w:spacing w:line="360" w:lineRule="auto"/>
        <w:rPr>
          <w:rFonts w:hint="eastAsia"/>
          <w:color w:val="auto"/>
          <w:lang w:val="en-US" w:eastAsia="zh-CN"/>
        </w:rPr>
      </w:pPr>
      <w:r>
        <w:rPr>
          <w:rFonts w:hint="eastAsia"/>
          <w:color w:val="auto"/>
          <w:lang w:val="en-US" w:eastAsia="zh-CN"/>
        </w:rPr>
        <w:t>20、固化剂MSDS</w:t>
      </w:r>
    </w:p>
    <w:p w14:paraId="6D30F9E1">
      <w:pPr>
        <w:pStyle w:val="72"/>
        <w:adjustRightInd w:val="0"/>
        <w:snapToGrid w:val="0"/>
        <w:spacing w:line="360" w:lineRule="auto"/>
        <w:rPr>
          <w:rFonts w:hint="eastAsia"/>
          <w:color w:val="auto"/>
          <w:lang w:val="en-US" w:eastAsia="zh-CN"/>
        </w:rPr>
      </w:pPr>
      <w:r>
        <w:rPr>
          <w:rFonts w:hint="eastAsia"/>
          <w:color w:val="auto"/>
          <w:lang w:val="en-US" w:eastAsia="zh-CN"/>
        </w:rPr>
        <w:t>21、稀释剂MSDS</w:t>
      </w:r>
    </w:p>
    <w:p w14:paraId="3CAC9B34">
      <w:pPr>
        <w:pStyle w:val="72"/>
        <w:adjustRightInd w:val="0"/>
        <w:snapToGrid w:val="0"/>
        <w:spacing w:line="360" w:lineRule="auto"/>
        <w:rPr>
          <w:rFonts w:hint="default"/>
          <w:color w:val="auto"/>
          <w:lang w:val="en-US" w:eastAsia="zh-CN"/>
        </w:rPr>
      </w:pPr>
      <w:r>
        <w:rPr>
          <w:rFonts w:hint="eastAsia"/>
          <w:color w:val="auto"/>
          <w:lang w:val="en-US" w:eastAsia="zh-CN"/>
        </w:rPr>
        <w:t>22、不可替代论证专家意见</w:t>
      </w:r>
    </w:p>
    <w:p w14:paraId="04669D46">
      <w:pPr>
        <w:pStyle w:val="72"/>
        <w:adjustRightInd w:val="0"/>
        <w:snapToGrid w:val="0"/>
        <w:spacing w:line="360" w:lineRule="auto"/>
        <w:rPr>
          <w:rFonts w:hint="default"/>
          <w:color w:val="auto"/>
          <w:lang w:val="en-US" w:eastAsia="zh-CN"/>
        </w:rPr>
      </w:pPr>
    </w:p>
    <w:p w14:paraId="2FEB1533">
      <w:pPr>
        <w:pStyle w:val="5"/>
        <w:ind w:firstLine="0"/>
        <w:rPr>
          <w:color w:val="auto"/>
        </w:rPr>
        <w:sectPr>
          <w:pgSz w:w="11906" w:h="16838"/>
          <w:pgMar w:top="1440" w:right="1803" w:bottom="1440" w:left="1803" w:header="851" w:footer="992" w:gutter="0"/>
          <w:pgBorders>
            <w:top w:val="none" w:sz="0" w:space="0"/>
            <w:left w:val="none" w:sz="0" w:space="0"/>
            <w:bottom w:val="none" w:sz="0" w:space="0"/>
            <w:right w:val="none" w:sz="0" w:space="0"/>
          </w:pgBorders>
          <w:cols w:space="720" w:num="1"/>
          <w:docGrid w:type="lines" w:linePitch="319" w:charSpace="0"/>
        </w:sectPr>
      </w:pPr>
    </w:p>
    <w:p w14:paraId="543DF884">
      <w:pPr>
        <w:adjustRightInd w:val="0"/>
        <w:snapToGrid w:val="0"/>
        <w:spacing w:line="360" w:lineRule="auto"/>
        <w:rPr>
          <w:color w:val="auto"/>
        </w:rPr>
      </w:pPr>
    </w:p>
    <w:sectPr>
      <w:pgSz w:w="11906" w:h="16838"/>
      <w:pgMar w:top="1440" w:right="1803" w:bottom="1440" w:left="1803" w:header="851" w:footer="992" w:gutter="0"/>
      <w:pgBorders>
        <w:top w:val="none" w:sz="0" w:space="0"/>
        <w:left w:val="none" w:sz="0" w:space="0"/>
        <w:bottom w:val="none" w:sz="0" w:space="0"/>
        <w:right w:val="none" w:sz="0" w:space="0"/>
      </w:pgBorders>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0D"/>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_x000B__x000C_">
    <w:altName w:val="Times New Roman"/>
    <w:panose1 w:val="00000000000000000000"/>
    <w:charset w:val="00"/>
    <w:family w:val="roman"/>
    <w:pitch w:val="default"/>
    <w:sig w:usb0="00000000" w:usb1="00000000" w:usb2="00000000" w:usb3="00000000" w:csb0="00040001" w:csb1="00000000"/>
  </w:font>
  <w:font w:name="Microsoft YaHei UI">
    <w:altName w:val="宋体"/>
    <w:panose1 w:val="020B0503020204020204"/>
    <w:charset w:val="86"/>
    <w:family w:val="swiss"/>
    <w:pitch w:val="default"/>
    <w:sig w:usb0="00000000" w:usb1="00000000" w:usb2="00000016" w:usb3="00000000" w:csb0="0004001F" w:csb1="00000000"/>
  </w:font>
  <w:font w:name="Arial Unicode MS">
    <w:altName w:val="宋体"/>
    <w:panose1 w:val="020B0604020202020204"/>
    <w:charset w:val="86"/>
    <w:family w:val="swiss"/>
    <w:pitch w:val="default"/>
    <w:sig w:usb0="00000000" w:usb1="00000000" w:usb2="0000007F" w:usb3="00000000" w:csb0="203F01FF" w:csb1="DFFF0000"/>
  </w:font>
  <w:font w:name="Calibri Light">
    <w:panose1 w:val="020F0302020204030204"/>
    <w:charset w:val="00"/>
    <w:family w:val="swiss"/>
    <w:pitch w:val="default"/>
    <w:sig w:usb0="A00002EF" w:usb1="4000207B" w:usb2="00000000" w:usb3="00000000" w:csb0="2000019F" w:csb1="00000000"/>
  </w:font>
  <w:font w:name="新宋体">
    <w:panose1 w:val="02010609030101010101"/>
    <w:charset w:val="86"/>
    <w:family w:val="modern"/>
    <w:pitch w:val="default"/>
    <w:sig w:usb0="00000003" w:usb1="288F0000" w:usb2="00000006" w:usb3="00000000" w:csb0="00040001" w:csb1="00000000"/>
  </w:font>
  <w:font w:name="time">
    <w:altName w:val="Segoe Print"/>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TimesNewRomanPSMT">
    <w:altName w:val="Times New Roman"/>
    <w:panose1 w:val="00000000000000000000"/>
    <w:charset w:val="00"/>
    <w:family w:val="auto"/>
    <w:pitch w:val="default"/>
    <w:sig w:usb0="00000000" w:usb1="00000000" w:usb2="00000010" w:usb3="00000000" w:csb0="00060001" w:csb1="00000000"/>
  </w:font>
  <w:font w:name="Tahoma">
    <w:panose1 w:val="020B0604030504040204"/>
    <w:charset w:val="00"/>
    <w:family w:val="swiss"/>
    <w:pitch w:val="default"/>
    <w:sig w:usb0="E1002EFF" w:usb1="C000605B" w:usb2="00000029" w:usb3="00000000" w:csb0="200101FF" w:csb1="20280000"/>
  </w:font>
  <w:font w:name="华文新魏">
    <w:panose1 w:val="02010800040101010101"/>
    <w:charset w:val="86"/>
    <w:family w:val="auto"/>
    <w:pitch w:val="default"/>
    <w:sig w:usb0="00000001" w:usb1="080F0000" w:usb2="00000000" w:usb3="00000000" w:csb0="00040000" w:csb1="00000000"/>
  </w:font>
  <w:font w:name="Brush Script MT">
    <w:altName w:val="Mongolian Baiti"/>
    <w:panose1 w:val="03060802040406070304"/>
    <w:charset w:val="00"/>
    <w:family w:val="script"/>
    <w:pitch w:val="default"/>
    <w:sig w:usb0="00000000" w:usb1="00000000" w:usb2="00000000" w:usb3="00000000" w:csb0="20000001" w:csb1="00000000"/>
  </w:font>
  <w:font w:name="”“Times New Roman”“">
    <w:altName w:val="宋体"/>
    <w:panose1 w:val="00000000000000000000"/>
    <w:charset w:val="86"/>
    <w:family w:val="roman"/>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CG Times (W1)">
    <w:altName w:val="Segoe Print"/>
    <w:panose1 w:val="00000000000000000000"/>
    <w:charset w:val="00"/>
    <w:family w:val="roman"/>
    <w:pitch w:val="default"/>
    <w:sig w:usb0="00000000"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Mongolian Baiti">
    <w:panose1 w:val="03000500000000000000"/>
    <w:charset w:val="00"/>
    <w:family w:val="auto"/>
    <w:pitch w:val="default"/>
    <w:sig w:usb0="80000023" w:usb1="00000000" w:usb2="00020000" w:usb3="00000000" w:csb0="0000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34A3C">
    <w:pPr>
      <w:pStyle w:val="3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52B02">
    <w:pPr>
      <w:pStyle w:val="38"/>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align>outside</wp:align>
              </wp:positionV>
              <wp:extent cx="1828800" cy="1828800"/>
              <wp:effectExtent l="0" t="0" r="0" b="0"/>
              <wp:wrapNone/>
              <wp:docPr id="12"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7FFA46">
                          <w:pPr>
                            <w:pStyle w:val="38"/>
                            <w:rPr>
                              <w:rStyle w:val="66"/>
                              <w:rFonts w:ascii="宋体" w:hAnsi="宋体"/>
                              <w:sz w:val="21"/>
                              <w:szCs w:val="21"/>
                            </w:rPr>
                          </w:pPr>
                          <w:r>
                            <w:rPr>
                              <w:rStyle w:val="66"/>
                              <w:rFonts w:hint="eastAsia" w:ascii="宋体" w:hAnsi="宋体"/>
                              <w:sz w:val="21"/>
                              <w:szCs w:val="21"/>
                            </w:rPr>
                            <w:t xml:space="preserve">—  </w:t>
                          </w:r>
                          <w:r>
                            <w:rPr>
                              <w:rFonts w:ascii="宋体" w:hAnsi="宋体"/>
                              <w:sz w:val="21"/>
                              <w:szCs w:val="21"/>
                            </w:rPr>
                            <w:fldChar w:fldCharType="begin"/>
                          </w:r>
                          <w:r>
                            <w:rPr>
                              <w:rStyle w:val="66"/>
                              <w:rFonts w:ascii="宋体" w:hAnsi="宋体"/>
                              <w:sz w:val="21"/>
                              <w:szCs w:val="21"/>
                            </w:rPr>
                            <w:instrText xml:space="preserve">PAGE  </w:instrText>
                          </w:r>
                          <w:r>
                            <w:rPr>
                              <w:rFonts w:ascii="宋体" w:hAnsi="宋体"/>
                              <w:sz w:val="21"/>
                              <w:szCs w:val="21"/>
                            </w:rPr>
                            <w:fldChar w:fldCharType="separate"/>
                          </w:r>
                          <w:r>
                            <w:rPr>
                              <w:rStyle w:val="66"/>
                              <w:rFonts w:ascii="宋体" w:hAnsi="宋体"/>
                              <w:sz w:val="21"/>
                              <w:szCs w:val="21"/>
                            </w:rPr>
                            <w:t>11</w:t>
                          </w:r>
                          <w:r>
                            <w:rPr>
                              <w:rFonts w:ascii="宋体" w:hAnsi="宋体"/>
                              <w:sz w:val="21"/>
                              <w:szCs w:val="21"/>
                            </w:rPr>
                            <w:fldChar w:fldCharType="end"/>
                          </w:r>
                          <w:r>
                            <w:rPr>
                              <w:rStyle w:val="66"/>
                              <w:rFonts w:hint="eastAsia" w:ascii="宋体" w:hAnsi="宋体"/>
                              <w:sz w:val="21"/>
                              <w:szCs w:val="21"/>
                            </w:rPr>
                            <w:t xml:space="preserve">  —</w:t>
                          </w:r>
                        </w:p>
                      </w:txbxContent>
                    </wps:txbx>
                    <wps:bodyPr wrap="none" lIns="0" tIns="0" rIns="0" bIns="0" upright="1">
                      <a:spAutoFit/>
                    </wps:bodyPr>
                  </wps:wsp>
                </a:graphicData>
              </a:graphic>
            </wp:anchor>
          </w:drawing>
        </mc:Choice>
        <mc:Fallback>
          <w:pict>
            <v:shape id="文本框 1025" o:spid="_x0000_s1026" o:spt="202" type="#_x0000_t202" style="position:absolute;left:0pt;height:144pt;width:144pt;mso-position-horizontal:center;mso-position-horizontal-relative:margin;mso-position-vertical:outside;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j4ehswBAACdAwAADgAAAGRycy9lMm9Eb2MueG1srVNLbtswEN0XyB0I&#10;7mPKAloYguUggZEiQNAWSHsAmqIsAvyBQ1vyBdobdNVN9z2Xz9EhJTltusmiG2o4M3zz3sxofTMY&#10;TY4ygHK2pstFQYm0wjXK7mv65fP99YoSiNw2XDsra3qSQG82V2/Wva9k6TqnGxkIglioel/TLkZf&#10;MQaik4bDwnlpMdi6YHjEa9izJvAe0Y1mZVG8Y70LjQ9OSAD0bscgnRDDawBd2yoht04cjLRxRA1S&#10;84iSoFMe6CazbVsp4se2BRmJrikqjfnEImjv0sk2a17tA/edEhMF/hoKLzQZriwWvUBteeTkENQ/&#10;UEaJ4MC1cSGcYaOQ3BFUsSxe9Oap415mLdhq8Jemw/+DFR+OnwJRDW5CSYnlBid+/v7t/OPX+edX&#10;sizKt6lFvYcKM5885sbhzg2YPvsBnUn50AaTvqiJYBwbfLo0WA6RiPRoVa5WBYYExuYL4rPn5z5A&#10;fC+dIcmoacAJ5sby4yPEMXVOSdWsu1da5ylq+5cDMZOHJe4jx2TFYTdMgnauOaGeHodfU4u7Tol+&#10;sNjbtCezEWZjNxsHH9S+Q2rLzAv87SEiicwtVRhhp8I4taxu2rC0Fn/ec9bzX7X5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DePh6GzAEAAJ0DAAAOAAAAAAAAAAEAIAAAAB4BAABkcnMvZTJv&#10;RG9jLnhtbFBLBQYAAAAABgAGAFkBAABcBQAAAAA=&#10;">
              <v:fill on="f" focussize="0,0"/>
              <v:stroke on="f"/>
              <v:imagedata o:title=""/>
              <o:lock v:ext="edit" aspectratio="f"/>
              <v:textbox inset="0mm,0mm,0mm,0mm" style="mso-fit-shape-to-text:t;">
                <w:txbxContent>
                  <w:p w14:paraId="237FFA46">
                    <w:pPr>
                      <w:pStyle w:val="38"/>
                      <w:rPr>
                        <w:rStyle w:val="66"/>
                        <w:rFonts w:ascii="宋体" w:hAnsi="宋体"/>
                        <w:sz w:val="21"/>
                        <w:szCs w:val="21"/>
                      </w:rPr>
                    </w:pPr>
                    <w:r>
                      <w:rPr>
                        <w:rStyle w:val="66"/>
                        <w:rFonts w:hint="eastAsia" w:ascii="宋体" w:hAnsi="宋体"/>
                        <w:sz w:val="21"/>
                        <w:szCs w:val="21"/>
                      </w:rPr>
                      <w:t xml:space="preserve">—  </w:t>
                    </w:r>
                    <w:r>
                      <w:rPr>
                        <w:rFonts w:ascii="宋体" w:hAnsi="宋体"/>
                        <w:sz w:val="21"/>
                        <w:szCs w:val="21"/>
                      </w:rPr>
                      <w:fldChar w:fldCharType="begin"/>
                    </w:r>
                    <w:r>
                      <w:rPr>
                        <w:rStyle w:val="66"/>
                        <w:rFonts w:ascii="宋体" w:hAnsi="宋体"/>
                        <w:sz w:val="21"/>
                        <w:szCs w:val="21"/>
                      </w:rPr>
                      <w:instrText xml:space="preserve">PAGE  </w:instrText>
                    </w:r>
                    <w:r>
                      <w:rPr>
                        <w:rFonts w:ascii="宋体" w:hAnsi="宋体"/>
                        <w:sz w:val="21"/>
                        <w:szCs w:val="21"/>
                      </w:rPr>
                      <w:fldChar w:fldCharType="separate"/>
                    </w:r>
                    <w:r>
                      <w:rPr>
                        <w:rStyle w:val="66"/>
                        <w:rFonts w:ascii="宋体" w:hAnsi="宋体"/>
                        <w:sz w:val="21"/>
                        <w:szCs w:val="21"/>
                      </w:rPr>
                      <w:t>11</w:t>
                    </w:r>
                    <w:r>
                      <w:rPr>
                        <w:rFonts w:ascii="宋体" w:hAnsi="宋体"/>
                        <w:sz w:val="21"/>
                        <w:szCs w:val="21"/>
                      </w:rPr>
                      <w:fldChar w:fldCharType="end"/>
                    </w:r>
                    <w:r>
                      <w:rPr>
                        <w:rStyle w:val="66"/>
                        <w:rFonts w:hint="eastAsia" w:ascii="宋体" w:hAnsi="宋体"/>
                        <w:sz w:val="21"/>
                        <w:szCs w:val="21"/>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87DE7">
    <w:pPr>
      <w:pStyle w:val="38"/>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6"/>
      <w:lvlText w:val="%1."/>
      <w:lvlJc w:val="left"/>
      <w:pPr>
        <w:tabs>
          <w:tab w:val="left" w:pos="1788"/>
        </w:tabs>
        <w:ind w:left="1788" w:hanging="360"/>
      </w:pPr>
    </w:lvl>
  </w:abstractNum>
  <w:abstractNum w:abstractNumId="1">
    <w:nsid w:val="0D147AAC"/>
    <w:multiLevelType w:val="multilevel"/>
    <w:tmpl w:val="0D147AAC"/>
    <w:lvl w:ilvl="0" w:tentative="0">
      <w:start w:val="1"/>
      <w:numFmt w:val="decimal"/>
      <w:pStyle w:val="11"/>
      <w:lvlText w:val="C%1 -"/>
      <w:lvlJc w:val="left"/>
      <w:pPr>
        <w:tabs>
          <w:tab w:val="left" w:pos="567"/>
        </w:tabs>
        <w:ind w:left="567" w:hanging="567"/>
      </w:pPr>
      <w:rPr>
        <w:rFonts w:hint="default"/>
      </w:rPr>
    </w:lvl>
    <w:lvl w:ilvl="1" w:tentative="0">
      <w:start w:val="1"/>
      <w:numFmt w:val="decimal"/>
      <w:lvlText w:val="%1.%2 -"/>
      <w:lvlJc w:val="left"/>
      <w:pPr>
        <w:tabs>
          <w:tab w:val="left" w:pos="510"/>
        </w:tabs>
        <w:ind w:left="1077" w:hanging="567"/>
      </w:pPr>
      <w:rPr>
        <w:rFonts w:hint="default"/>
      </w:rPr>
    </w:lvl>
    <w:lvl w:ilvl="2" w:tentative="0">
      <w:start w:val="1"/>
      <w:numFmt w:val="decimal"/>
      <w:lvlText w:val="%1.%2.%3 -"/>
      <w:lvlJc w:val="left"/>
      <w:pPr>
        <w:tabs>
          <w:tab w:val="left" w:pos="1077"/>
        </w:tabs>
        <w:ind w:left="1985" w:hanging="908"/>
      </w:pPr>
      <w:rPr>
        <w:rFonts w:hint="default"/>
      </w:rPr>
    </w:lvl>
    <w:lvl w:ilvl="3" w:tentative="0">
      <w:start w:val="1"/>
      <w:numFmt w:val="decimal"/>
      <w:lvlText w:val="%1.%2.%3.%4."/>
      <w:lvlJc w:val="left"/>
      <w:pPr>
        <w:tabs>
          <w:tab w:val="left" w:pos="1800"/>
        </w:tabs>
        <w:ind w:left="1728" w:hanging="648"/>
      </w:pPr>
      <w:rPr>
        <w:rFonts w:hint="default"/>
      </w:rPr>
    </w:lvl>
    <w:lvl w:ilvl="4" w:tentative="0">
      <w:start w:val="1"/>
      <w:numFmt w:val="decimal"/>
      <w:lvlText w:val="%1.%2.%3.%4.%5."/>
      <w:lvlJc w:val="left"/>
      <w:pPr>
        <w:tabs>
          <w:tab w:val="left" w:pos="2520"/>
        </w:tabs>
        <w:ind w:left="2232" w:hanging="792"/>
      </w:pPr>
      <w:rPr>
        <w:rFonts w:hint="default"/>
      </w:rPr>
    </w:lvl>
    <w:lvl w:ilvl="5" w:tentative="0">
      <w:start w:val="1"/>
      <w:numFmt w:val="decimal"/>
      <w:lvlText w:val="%1.%2.%3.%4.%5.%6."/>
      <w:lvlJc w:val="left"/>
      <w:pPr>
        <w:tabs>
          <w:tab w:val="left" w:pos="2880"/>
        </w:tabs>
        <w:ind w:left="2736" w:hanging="936"/>
      </w:pPr>
      <w:rPr>
        <w:rFonts w:hint="default"/>
      </w:rPr>
    </w:lvl>
    <w:lvl w:ilvl="6" w:tentative="0">
      <w:start w:val="1"/>
      <w:numFmt w:val="decimal"/>
      <w:lvlText w:val="%1.%2.%3.%4.%5.%6.%7."/>
      <w:lvlJc w:val="left"/>
      <w:pPr>
        <w:tabs>
          <w:tab w:val="left" w:pos="3600"/>
        </w:tabs>
        <w:ind w:left="3240" w:hanging="1080"/>
      </w:pPr>
      <w:rPr>
        <w:rFonts w:hint="default"/>
      </w:rPr>
    </w:lvl>
    <w:lvl w:ilvl="7" w:tentative="0">
      <w:start w:val="1"/>
      <w:numFmt w:val="decimal"/>
      <w:lvlText w:val="%1.%2.%3.%4.%5.%6.%7.%8."/>
      <w:lvlJc w:val="left"/>
      <w:pPr>
        <w:tabs>
          <w:tab w:val="left" w:pos="3960"/>
        </w:tabs>
        <w:ind w:left="3744" w:hanging="1224"/>
      </w:pPr>
      <w:rPr>
        <w:rFonts w:hint="default"/>
      </w:rPr>
    </w:lvl>
    <w:lvl w:ilvl="8" w:tentative="0">
      <w:start w:val="1"/>
      <w:numFmt w:val="decimal"/>
      <w:lvlText w:val="%1.%2.%3.%4.%5.%6.%7.%8.%9."/>
      <w:lvlJc w:val="left"/>
      <w:pPr>
        <w:tabs>
          <w:tab w:val="left" w:pos="4680"/>
        </w:tabs>
        <w:ind w:left="4320" w:hanging="1440"/>
      </w:pPr>
      <w:rPr>
        <w:rFonts w:hint="default"/>
      </w:rPr>
    </w:lvl>
  </w:abstractNum>
  <w:abstractNum w:abstractNumId="2">
    <w:nsid w:val="2D9AC9AD"/>
    <w:multiLevelType w:val="singleLevel"/>
    <w:tmpl w:val="2D9AC9AD"/>
    <w:lvl w:ilvl="0" w:tentative="0">
      <w:start w:val="1"/>
      <w:numFmt w:val="bullet"/>
      <w:pStyle w:val="33"/>
      <w:lvlText w:val=""/>
      <w:lvlJc w:val="left"/>
      <w:pPr>
        <w:tabs>
          <w:tab w:val="left" w:pos="2040"/>
        </w:tabs>
        <w:ind w:left="2040" w:hanging="360"/>
      </w:pPr>
      <w:rPr>
        <w:rFonts w:hint="default" w:ascii="Wingdings" w:hAnsi="Wingdings"/>
      </w:rPr>
    </w:lvl>
  </w:abstractNum>
  <w:abstractNum w:abstractNumId="3">
    <w:nsid w:val="791A2E70"/>
    <w:multiLevelType w:val="multilevel"/>
    <w:tmpl w:val="791A2E70"/>
    <w:lvl w:ilvl="0" w:tentative="0">
      <w:start w:val="1"/>
      <w:numFmt w:val="decimal"/>
      <w:pStyle w:val="649"/>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420"/>
  <w:doNotHyphenateCaps/>
  <w:drawingGridVerticalSpacing w:val="159"/>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RjY2RmZWQwODBhMjJkMTUzY2RkYjFlZjUxMmI1ZmQifQ=="/>
    <w:docVar w:name="KSO_WPS_MARK_KEY" w:val="97171b80-204e-47b9-86aa-cb27ad78f31a"/>
  </w:docVars>
  <w:rsids>
    <w:rsidRoot w:val="00172A27"/>
    <w:rsid w:val="000000EC"/>
    <w:rsid w:val="00000A9D"/>
    <w:rsid w:val="00002D3B"/>
    <w:rsid w:val="00002E64"/>
    <w:rsid w:val="000040A1"/>
    <w:rsid w:val="000060B3"/>
    <w:rsid w:val="00015B06"/>
    <w:rsid w:val="0001713D"/>
    <w:rsid w:val="000174AB"/>
    <w:rsid w:val="00020D06"/>
    <w:rsid w:val="00020F94"/>
    <w:rsid w:val="000249FD"/>
    <w:rsid w:val="000255EB"/>
    <w:rsid w:val="00026A97"/>
    <w:rsid w:val="00033EFB"/>
    <w:rsid w:val="00034DEF"/>
    <w:rsid w:val="000425D0"/>
    <w:rsid w:val="0004364B"/>
    <w:rsid w:val="00050BAB"/>
    <w:rsid w:val="00051D99"/>
    <w:rsid w:val="00054A2E"/>
    <w:rsid w:val="00056428"/>
    <w:rsid w:val="00057BB4"/>
    <w:rsid w:val="00060376"/>
    <w:rsid w:val="00061B1F"/>
    <w:rsid w:val="00063270"/>
    <w:rsid w:val="0006457B"/>
    <w:rsid w:val="00073169"/>
    <w:rsid w:val="000733C4"/>
    <w:rsid w:val="000739AB"/>
    <w:rsid w:val="00074783"/>
    <w:rsid w:val="00074969"/>
    <w:rsid w:val="000750C2"/>
    <w:rsid w:val="00077AE8"/>
    <w:rsid w:val="00077FEC"/>
    <w:rsid w:val="0008070B"/>
    <w:rsid w:val="000810AC"/>
    <w:rsid w:val="00081290"/>
    <w:rsid w:val="00081A02"/>
    <w:rsid w:val="00082231"/>
    <w:rsid w:val="00082356"/>
    <w:rsid w:val="000857CB"/>
    <w:rsid w:val="0008723B"/>
    <w:rsid w:val="00090C0E"/>
    <w:rsid w:val="00091CEC"/>
    <w:rsid w:val="00092AD2"/>
    <w:rsid w:val="00092D38"/>
    <w:rsid w:val="0009377B"/>
    <w:rsid w:val="00093A45"/>
    <w:rsid w:val="000A1825"/>
    <w:rsid w:val="000A20C9"/>
    <w:rsid w:val="000A33EC"/>
    <w:rsid w:val="000A4334"/>
    <w:rsid w:val="000A4DB9"/>
    <w:rsid w:val="000A5CF0"/>
    <w:rsid w:val="000A6930"/>
    <w:rsid w:val="000A6F32"/>
    <w:rsid w:val="000B058F"/>
    <w:rsid w:val="000B124E"/>
    <w:rsid w:val="000B1FD4"/>
    <w:rsid w:val="000B4467"/>
    <w:rsid w:val="000B4DB9"/>
    <w:rsid w:val="000B7BC5"/>
    <w:rsid w:val="000B7DFB"/>
    <w:rsid w:val="000C09AC"/>
    <w:rsid w:val="000C32D0"/>
    <w:rsid w:val="000C4710"/>
    <w:rsid w:val="000C672C"/>
    <w:rsid w:val="000C767F"/>
    <w:rsid w:val="000D1B9B"/>
    <w:rsid w:val="000D2046"/>
    <w:rsid w:val="000D287F"/>
    <w:rsid w:val="000D5A44"/>
    <w:rsid w:val="000E34C0"/>
    <w:rsid w:val="000E3ED2"/>
    <w:rsid w:val="000E4371"/>
    <w:rsid w:val="000F0FE4"/>
    <w:rsid w:val="000F2B34"/>
    <w:rsid w:val="000F4BA7"/>
    <w:rsid w:val="000F59D1"/>
    <w:rsid w:val="00101541"/>
    <w:rsid w:val="001025CE"/>
    <w:rsid w:val="00102925"/>
    <w:rsid w:val="001052DF"/>
    <w:rsid w:val="00111458"/>
    <w:rsid w:val="001116BB"/>
    <w:rsid w:val="00113186"/>
    <w:rsid w:val="001240C3"/>
    <w:rsid w:val="00126A68"/>
    <w:rsid w:val="00127A0B"/>
    <w:rsid w:val="0013021D"/>
    <w:rsid w:val="0013077E"/>
    <w:rsid w:val="00131F42"/>
    <w:rsid w:val="001357F1"/>
    <w:rsid w:val="00135DBC"/>
    <w:rsid w:val="00136188"/>
    <w:rsid w:val="00136DE3"/>
    <w:rsid w:val="00137D9E"/>
    <w:rsid w:val="00140FA8"/>
    <w:rsid w:val="00140FCF"/>
    <w:rsid w:val="00141B56"/>
    <w:rsid w:val="00142FEB"/>
    <w:rsid w:val="0014316C"/>
    <w:rsid w:val="00143A2D"/>
    <w:rsid w:val="0014531C"/>
    <w:rsid w:val="00145A41"/>
    <w:rsid w:val="00146B74"/>
    <w:rsid w:val="00147848"/>
    <w:rsid w:val="00151675"/>
    <w:rsid w:val="00151E0A"/>
    <w:rsid w:val="0015307D"/>
    <w:rsid w:val="001537CB"/>
    <w:rsid w:val="001551BF"/>
    <w:rsid w:val="00157435"/>
    <w:rsid w:val="00163FBD"/>
    <w:rsid w:val="001671E0"/>
    <w:rsid w:val="001706AD"/>
    <w:rsid w:val="00172228"/>
    <w:rsid w:val="00172A27"/>
    <w:rsid w:val="00172F4F"/>
    <w:rsid w:val="0017382F"/>
    <w:rsid w:val="00173C91"/>
    <w:rsid w:val="00174422"/>
    <w:rsid w:val="001744C6"/>
    <w:rsid w:val="0017504D"/>
    <w:rsid w:val="0017671A"/>
    <w:rsid w:val="00177422"/>
    <w:rsid w:val="00180526"/>
    <w:rsid w:val="001818C5"/>
    <w:rsid w:val="00183B77"/>
    <w:rsid w:val="00184590"/>
    <w:rsid w:val="001870D1"/>
    <w:rsid w:val="0018781E"/>
    <w:rsid w:val="00187FE1"/>
    <w:rsid w:val="001916B0"/>
    <w:rsid w:val="00191A43"/>
    <w:rsid w:val="0019262D"/>
    <w:rsid w:val="00194559"/>
    <w:rsid w:val="00195B71"/>
    <w:rsid w:val="001A1B35"/>
    <w:rsid w:val="001A4819"/>
    <w:rsid w:val="001A48A2"/>
    <w:rsid w:val="001A5071"/>
    <w:rsid w:val="001A5FA6"/>
    <w:rsid w:val="001A6F61"/>
    <w:rsid w:val="001B3AD8"/>
    <w:rsid w:val="001B557B"/>
    <w:rsid w:val="001B72B8"/>
    <w:rsid w:val="001B7F2C"/>
    <w:rsid w:val="001C14E6"/>
    <w:rsid w:val="001C215D"/>
    <w:rsid w:val="001C650B"/>
    <w:rsid w:val="001C69B3"/>
    <w:rsid w:val="001C6F81"/>
    <w:rsid w:val="001D02D5"/>
    <w:rsid w:val="001D04CE"/>
    <w:rsid w:val="001D1913"/>
    <w:rsid w:val="001D3601"/>
    <w:rsid w:val="001D5595"/>
    <w:rsid w:val="001D6198"/>
    <w:rsid w:val="001D6359"/>
    <w:rsid w:val="001D6688"/>
    <w:rsid w:val="001D785C"/>
    <w:rsid w:val="001D7874"/>
    <w:rsid w:val="001D7F22"/>
    <w:rsid w:val="001E2703"/>
    <w:rsid w:val="001E5914"/>
    <w:rsid w:val="001F0F17"/>
    <w:rsid w:val="001F1CD0"/>
    <w:rsid w:val="001F3347"/>
    <w:rsid w:val="001F5E4A"/>
    <w:rsid w:val="001F697F"/>
    <w:rsid w:val="001F69E4"/>
    <w:rsid w:val="00206A83"/>
    <w:rsid w:val="00211B4C"/>
    <w:rsid w:val="002125B4"/>
    <w:rsid w:val="00212F70"/>
    <w:rsid w:val="00213307"/>
    <w:rsid w:val="002155B8"/>
    <w:rsid w:val="00215FBE"/>
    <w:rsid w:val="00216453"/>
    <w:rsid w:val="0022098D"/>
    <w:rsid w:val="00221688"/>
    <w:rsid w:val="00221FF1"/>
    <w:rsid w:val="002223D6"/>
    <w:rsid w:val="0022453E"/>
    <w:rsid w:val="00224839"/>
    <w:rsid w:val="002249B2"/>
    <w:rsid w:val="00226574"/>
    <w:rsid w:val="002278EC"/>
    <w:rsid w:val="00230688"/>
    <w:rsid w:val="0023280E"/>
    <w:rsid w:val="0023404A"/>
    <w:rsid w:val="00236C10"/>
    <w:rsid w:val="00236C85"/>
    <w:rsid w:val="0023732E"/>
    <w:rsid w:val="002377D1"/>
    <w:rsid w:val="00237A7E"/>
    <w:rsid w:val="00237FA9"/>
    <w:rsid w:val="00240123"/>
    <w:rsid w:val="00242D05"/>
    <w:rsid w:val="00244097"/>
    <w:rsid w:val="0024674C"/>
    <w:rsid w:val="002506BC"/>
    <w:rsid w:val="0025145C"/>
    <w:rsid w:val="00251BDD"/>
    <w:rsid w:val="0025263D"/>
    <w:rsid w:val="00254345"/>
    <w:rsid w:val="00255BC2"/>
    <w:rsid w:val="00262BB3"/>
    <w:rsid w:val="00264557"/>
    <w:rsid w:val="00270AB6"/>
    <w:rsid w:val="00274C88"/>
    <w:rsid w:val="002771BB"/>
    <w:rsid w:val="002779DF"/>
    <w:rsid w:val="00280456"/>
    <w:rsid w:val="002805AB"/>
    <w:rsid w:val="0028157F"/>
    <w:rsid w:val="002828CB"/>
    <w:rsid w:val="00282B13"/>
    <w:rsid w:val="00284204"/>
    <w:rsid w:val="002843DE"/>
    <w:rsid w:val="00284612"/>
    <w:rsid w:val="0028480B"/>
    <w:rsid w:val="002869C5"/>
    <w:rsid w:val="0028781E"/>
    <w:rsid w:val="0029123A"/>
    <w:rsid w:val="00291773"/>
    <w:rsid w:val="00296148"/>
    <w:rsid w:val="002A168C"/>
    <w:rsid w:val="002A1C12"/>
    <w:rsid w:val="002A1ED7"/>
    <w:rsid w:val="002A3DC7"/>
    <w:rsid w:val="002A471A"/>
    <w:rsid w:val="002A65EA"/>
    <w:rsid w:val="002A6E59"/>
    <w:rsid w:val="002B090F"/>
    <w:rsid w:val="002B20A8"/>
    <w:rsid w:val="002B4003"/>
    <w:rsid w:val="002B49E2"/>
    <w:rsid w:val="002B7B00"/>
    <w:rsid w:val="002B7C44"/>
    <w:rsid w:val="002C03CA"/>
    <w:rsid w:val="002C0DDF"/>
    <w:rsid w:val="002C2B17"/>
    <w:rsid w:val="002C392B"/>
    <w:rsid w:val="002C3D19"/>
    <w:rsid w:val="002C63EF"/>
    <w:rsid w:val="002C7A11"/>
    <w:rsid w:val="002D2974"/>
    <w:rsid w:val="002D3DD0"/>
    <w:rsid w:val="002D6239"/>
    <w:rsid w:val="002D75AF"/>
    <w:rsid w:val="002E1F3A"/>
    <w:rsid w:val="002E24E7"/>
    <w:rsid w:val="002E298A"/>
    <w:rsid w:val="002E4F5F"/>
    <w:rsid w:val="002E6149"/>
    <w:rsid w:val="002F0EA2"/>
    <w:rsid w:val="002F246D"/>
    <w:rsid w:val="002F48B6"/>
    <w:rsid w:val="002F73E7"/>
    <w:rsid w:val="002F76C4"/>
    <w:rsid w:val="00300419"/>
    <w:rsid w:val="00301978"/>
    <w:rsid w:val="0030332C"/>
    <w:rsid w:val="00304FE9"/>
    <w:rsid w:val="003051C2"/>
    <w:rsid w:val="003108CF"/>
    <w:rsid w:val="00310C93"/>
    <w:rsid w:val="0031190E"/>
    <w:rsid w:val="00312296"/>
    <w:rsid w:val="00312755"/>
    <w:rsid w:val="003133DD"/>
    <w:rsid w:val="0031433B"/>
    <w:rsid w:val="00314F0E"/>
    <w:rsid w:val="00321D8E"/>
    <w:rsid w:val="00321FAF"/>
    <w:rsid w:val="00322D6A"/>
    <w:rsid w:val="00325928"/>
    <w:rsid w:val="00325C66"/>
    <w:rsid w:val="00326566"/>
    <w:rsid w:val="00330615"/>
    <w:rsid w:val="003308E4"/>
    <w:rsid w:val="00331802"/>
    <w:rsid w:val="00332863"/>
    <w:rsid w:val="00334A37"/>
    <w:rsid w:val="0033684D"/>
    <w:rsid w:val="00337B42"/>
    <w:rsid w:val="00341B42"/>
    <w:rsid w:val="0034348F"/>
    <w:rsid w:val="00346029"/>
    <w:rsid w:val="00350008"/>
    <w:rsid w:val="003530CA"/>
    <w:rsid w:val="00356653"/>
    <w:rsid w:val="0035743F"/>
    <w:rsid w:val="00357AAF"/>
    <w:rsid w:val="00357BE2"/>
    <w:rsid w:val="00360D21"/>
    <w:rsid w:val="0036170C"/>
    <w:rsid w:val="00361993"/>
    <w:rsid w:val="003645E8"/>
    <w:rsid w:val="003654AE"/>
    <w:rsid w:val="00365A0E"/>
    <w:rsid w:val="00366CF2"/>
    <w:rsid w:val="00366E0F"/>
    <w:rsid w:val="00371E27"/>
    <w:rsid w:val="00377E18"/>
    <w:rsid w:val="00380563"/>
    <w:rsid w:val="00381A72"/>
    <w:rsid w:val="00382A68"/>
    <w:rsid w:val="00384676"/>
    <w:rsid w:val="0038470F"/>
    <w:rsid w:val="00385353"/>
    <w:rsid w:val="00385620"/>
    <w:rsid w:val="00385A02"/>
    <w:rsid w:val="00386CA3"/>
    <w:rsid w:val="00387236"/>
    <w:rsid w:val="00390857"/>
    <w:rsid w:val="003914E8"/>
    <w:rsid w:val="003914F0"/>
    <w:rsid w:val="0039556E"/>
    <w:rsid w:val="00397467"/>
    <w:rsid w:val="003A0019"/>
    <w:rsid w:val="003A205D"/>
    <w:rsid w:val="003A27EF"/>
    <w:rsid w:val="003A4BF3"/>
    <w:rsid w:val="003A7E48"/>
    <w:rsid w:val="003B0DF0"/>
    <w:rsid w:val="003B3AF5"/>
    <w:rsid w:val="003B420D"/>
    <w:rsid w:val="003B51C1"/>
    <w:rsid w:val="003B575D"/>
    <w:rsid w:val="003B70D4"/>
    <w:rsid w:val="003B750C"/>
    <w:rsid w:val="003C09DD"/>
    <w:rsid w:val="003C3A40"/>
    <w:rsid w:val="003C410F"/>
    <w:rsid w:val="003C48EA"/>
    <w:rsid w:val="003C4B57"/>
    <w:rsid w:val="003C521D"/>
    <w:rsid w:val="003C5767"/>
    <w:rsid w:val="003C6C16"/>
    <w:rsid w:val="003C7185"/>
    <w:rsid w:val="003C7DD9"/>
    <w:rsid w:val="003D1FF8"/>
    <w:rsid w:val="003D40B8"/>
    <w:rsid w:val="003D47F5"/>
    <w:rsid w:val="003D794D"/>
    <w:rsid w:val="003E0E5D"/>
    <w:rsid w:val="003E3058"/>
    <w:rsid w:val="003E5811"/>
    <w:rsid w:val="003E76A9"/>
    <w:rsid w:val="003F0809"/>
    <w:rsid w:val="003F11E8"/>
    <w:rsid w:val="003F471C"/>
    <w:rsid w:val="003F5FEC"/>
    <w:rsid w:val="003F6A8C"/>
    <w:rsid w:val="003F755C"/>
    <w:rsid w:val="00401A47"/>
    <w:rsid w:val="00403A7F"/>
    <w:rsid w:val="00404364"/>
    <w:rsid w:val="00405DFC"/>
    <w:rsid w:val="00406F01"/>
    <w:rsid w:val="00412B0A"/>
    <w:rsid w:val="00412BDE"/>
    <w:rsid w:val="004165B8"/>
    <w:rsid w:val="00416D50"/>
    <w:rsid w:val="00416FD5"/>
    <w:rsid w:val="00417772"/>
    <w:rsid w:val="00420C3F"/>
    <w:rsid w:val="00420E6A"/>
    <w:rsid w:val="00422FEA"/>
    <w:rsid w:val="00423E56"/>
    <w:rsid w:val="00425A9E"/>
    <w:rsid w:val="00426720"/>
    <w:rsid w:val="00426D6B"/>
    <w:rsid w:val="00430BAE"/>
    <w:rsid w:val="004318A9"/>
    <w:rsid w:val="00431E6C"/>
    <w:rsid w:val="0043246B"/>
    <w:rsid w:val="00433188"/>
    <w:rsid w:val="00433CE7"/>
    <w:rsid w:val="00434AFA"/>
    <w:rsid w:val="00435254"/>
    <w:rsid w:val="004368D6"/>
    <w:rsid w:val="00436923"/>
    <w:rsid w:val="00440135"/>
    <w:rsid w:val="00440CAC"/>
    <w:rsid w:val="00444885"/>
    <w:rsid w:val="00445166"/>
    <w:rsid w:val="00447190"/>
    <w:rsid w:val="0045049F"/>
    <w:rsid w:val="0045109E"/>
    <w:rsid w:val="004523B4"/>
    <w:rsid w:val="00452738"/>
    <w:rsid w:val="0045298E"/>
    <w:rsid w:val="00456091"/>
    <w:rsid w:val="00457747"/>
    <w:rsid w:val="00457C38"/>
    <w:rsid w:val="0046026D"/>
    <w:rsid w:val="00460620"/>
    <w:rsid w:val="00462EDE"/>
    <w:rsid w:val="00465483"/>
    <w:rsid w:val="00466321"/>
    <w:rsid w:val="00467C15"/>
    <w:rsid w:val="0047132B"/>
    <w:rsid w:val="004769B7"/>
    <w:rsid w:val="004809BC"/>
    <w:rsid w:val="00482F61"/>
    <w:rsid w:val="00484B46"/>
    <w:rsid w:val="00484B9B"/>
    <w:rsid w:val="00484D6E"/>
    <w:rsid w:val="004855F6"/>
    <w:rsid w:val="0048661E"/>
    <w:rsid w:val="00486A04"/>
    <w:rsid w:val="00490234"/>
    <w:rsid w:val="004908D1"/>
    <w:rsid w:val="00490C92"/>
    <w:rsid w:val="00491146"/>
    <w:rsid w:val="00494670"/>
    <w:rsid w:val="0049563D"/>
    <w:rsid w:val="00497377"/>
    <w:rsid w:val="004A0175"/>
    <w:rsid w:val="004A2843"/>
    <w:rsid w:val="004A3823"/>
    <w:rsid w:val="004A464E"/>
    <w:rsid w:val="004B0A0F"/>
    <w:rsid w:val="004B0D82"/>
    <w:rsid w:val="004B172B"/>
    <w:rsid w:val="004B1985"/>
    <w:rsid w:val="004B2030"/>
    <w:rsid w:val="004B44C2"/>
    <w:rsid w:val="004B7163"/>
    <w:rsid w:val="004C4821"/>
    <w:rsid w:val="004C62AA"/>
    <w:rsid w:val="004C6480"/>
    <w:rsid w:val="004D08C4"/>
    <w:rsid w:val="004D40BC"/>
    <w:rsid w:val="004D6084"/>
    <w:rsid w:val="004D631A"/>
    <w:rsid w:val="004D7BDA"/>
    <w:rsid w:val="004E099D"/>
    <w:rsid w:val="004E13FF"/>
    <w:rsid w:val="004E2747"/>
    <w:rsid w:val="004E2968"/>
    <w:rsid w:val="004E5490"/>
    <w:rsid w:val="004E5748"/>
    <w:rsid w:val="004E6946"/>
    <w:rsid w:val="004E6C40"/>
    <w:rsid w:val="004F1AD8"/>
    <w:rsid w:val="004F1FC3"/>
    <w:rsid w:val="004F3AE8"/>
    <w:rsid w:val="004F5902"/>
    <w:rsid w:val="004F73D5"/>
    <w:rsid w:val="005039CB"/>
    <w:rsid w:val="0050558F"/>
    <w:rsid w:val="00506286"/>
    <w:rsid w:val="005068AC"/>
    <w:rsid w:val="005077FD"/>
    <w:rsid w:val="00507D3B"/>
    <w:rsid w:val="00510813"/>
    <w:rsid w:val="00510B60"/>
    <w:rsid w:val="00511990"/>
    <w:rsid w:val="00511DE0"/>
    <w:rsid w:val="00511F19"/>
    <w:rsid w:val="00513E52"/>
    <w:rsid w:val="00514870"/>
    <w:rsid w:val="00514B9B"/>
    <w:rsid w:val="005150D0"/>
    <w:rsid w:val="00517501"/>
    <w:rsid w:val="00517BA1"/>
    <w:rsid w:val="00517F02"/>
    <w:rsid w:val="00524303"/>
    <w:rsid w:val="005258A2"/>
    <w:rsid w:val="00531253"/>
    <w:rsid w:val="00535812"/>
    <w:rsid w:val="005401AE"/>
    <w:rsid w:val="00540492"/>
    <w:rsid w:val="00542E07"/>
    <w:rsid w:val="00545424"/>
    <w:rsid w:val="00546915"/>
    <w:rsid w:val="0054732A"/>
    <w:rsid w:val="00551727"/>
    <w:rsid w:val="00554A7B"/>
    <w:rsid w:val="00554FD5"/>
    <w:rsid w:val="0055500B"/>
    <w:rsid w:val="0055572C"/>
    <w:rsid w:val="0055653E"/>
    <w:rsid w:val="0055659A"/>
    <w:rsid w:val="00560103"/>
    <w:rsid w:val="00560B71"/>
    <w:rsid w:val="0056106A"/>
    <w:rsid w:val="00563FD3"/>
    <w:rsid w:val="005650C2"/>
    <w:rsid w:val="005720AE"/>
    <w:rsid w:val="005721A4"/>
    <w:rsid w:val="005726CE"/>
    <w:rsid w:val="00573396"/>
    <w:rsid w:val="00574870"/>
    <w:rsid w:val="00577CEE"/>
    <w:rsid w:val="00580365"/>
    <w:rsid w:val="0058153E"/>
    <w:rsid w:val="00583C51"/>
    <w:rsid w:val="00584F9B"/>
    <w:rsid w:val="005874AB"/>
    <w:rsid w:val="00587A59"/>
    <w:rsid w:val="00591856"/>
    <w:rsid w:val="00594D77"/>
    <w:rsid w:val="00595D43"/>
    <w:rsid w:val="005969E4"/>
    <w:rsid w:val="005A06B7"/>
    <w:rsid w:val="005A1759"/>
    <w:rsid w:val="005A232C"/>
    <w:rsid w:val="005A5326"/>
    <w:rsid w:val="005A5E23"/>
    <w:rsid w:val="005A68A7"/>
    <w:rsid w:val="005B184E"/>
    <w:rsid w:val="005B1920"/>
    <w:rsid w:val="005B1CD4"/>
    <w:rsid w:val="005B478E"/>
    <w:rsid w:val="005C065B"/>
    <w:rsid w:val="005C0756"/>
    <w:rsid w:val="005C2A5D"/>
    <w:rsid w:val="005C3647"/>
    <w:rsid w:val="005C40C8"/>
    <w:rsid w:val="005C7014"/>
    <w:rsid w:val="005C7470"/>
    <w:rsid w:val="005D25E7"/>
    <w:rsid w:val="005D2742"/>
    <w:rsid w:val="005D36AB"/>
    <w:rsid w:val="005D3850"/>
    <w:rsid w:val="005D5984"/>
    <w:rsid w:val="005D67C0"/>
    <w:rsid w:val="005D6974"/>
    <w:rsid w:val="005D7883"/>
    <w:rsid w:val="005D7C0A"/>
    <w:rsid w:val="005E0476"/>
    <w:rsid w:val="005E126E"/>
    <w:rsid w:val="005E1337"/>
    <w:rsid w:val="005E53A5"/>
    <w:rsid w:val="005E5F07"/>
    <w:rsid w:val="005E6EDA"/>
    <w:rsid w:val="00600530"/>
    <w:rsid w:val="00600CBD"/>
    <w:rsid w:val="00612579"/>
    <w:rsid w:val="006144C1"/>
    <w:rsid w:val="00617CC3"/>
    <w:rsid w:val="00626724"/>
    <w:rsid w:val="00627E08"/>
    <w:rsid w:val="0063085A"/>
    <w:rsid w:val="00630C6D"/>
    <w:rsid w:val="00632F5E"/>
    <w:rsid w:val="00635414"/>
    <w:rsid w:val="006377A6"/>
    <w:rsid w:val="00637A3D"/>
    <w:rsid w:val="006407AA"/>
    <w:rsid w:val="00640D56"/>
    <w:rsid w:val="006411EF"/>
    <w:rsid w:val="00641C91"/>
    <w:rsid w:val="00643891"/>
    <w:rsid w:val="00643DA6"/>
    <w:rsid w:val="00650A00"/>
    <w:rsid w:val="00651A21"/>
    <w:rsid w:val="006564AA"/>
    <w:rsid w:val="00663D10"/>
    <w:rsid w:val="00663E0E"/>
    <w:rsid w:val="00665703"/>
    <w:rsid w:val="00667196"/>
    <w:rsid w:val="00667FEF"/>
    <w:rsid w:val="006722A3"/>
    <w:rsid w:val="00673B5A"/>
    <w:rsid w:val="006748B8"/>
    <w:rsid w:val="006775C3"/>
    <w:rsid w:val="00681841"/>
    <w:rsid w:val="00681A48"/>
    <w:rsid w:val="006831ED"/>
    <w:rsid w:val="006843C6"/>
    <w:rsid w:val="00686B04"/>
    <w:rsid w:val="00690440"/>
    <w:rsid w:val="00691B9C"/>
    <w:rsid w:val="0069290A"/>
    <w:rsid w:val="0069679E"/>
    <w:rsid w:val="0069775A"/>
    <w:rsid w:val="00697813"/>
    <w:rsid w:val="006A00D8"/>
    <w:rsid w:val="006A042D"/>
    <w:rsid w:val="006A1798"/>
    <w:rsid w:val="006A18BD"/>
    <w:rsid w:val="006A3EE8"/>
    <w:rsid w:val="006A44E0"/>
    <w:rsid w:val="006A4562"/>
    <w:rsid w:val="006A667A"/>
    <w:rsid w:val="006A72BF"/>
    <w:rsid w:val="006B03F2"/>
    <w:rsid w:val="006B0D33"/>
    <w:rsid w:val="006B2749"/>
    <w:rsid w:val="006B37DC"/>
    <w:rsid w:val="006B43BF"/>
    <w:rsid w:val="006B4482"/>
    <w:rsid w:val="006B4DC6"/>
    <w:rsid w:val="006B4F68"/>
    <w:rsid w:val="006B58CB"/>
    <w:rsid w:val="006B682C"/>
    <w:rsid w:val="006B68C9"/>
    <w:rsid w:val="006C0592"/>
    <w:rsid w:val="006C1B8F"/>
    <w:rsid w:val="006C272E"/>
    <w:rsid w:val="006C369E"/>
    <w:rsid w:val="006C4131"/>
    <w:rsid w:val="006C5479"/>
    <w:rsid w:val="006C56C6"/>
    <w:rsid w:val="006C63DE"/>
    <w:rsid w:val="006C6E63"/>
    <w:rsid w:val="006D1281"/>
    <w:rsid w:val="006D13B5"/>
    <w:rsid w:val="006D2755"/>
    <w:rsid w:val="006D370E"/>
    <w:rsid w:val="006D3A97"/>
    <w:rsid w:val="006D50DF"/>
    <w:rsid w:val="006D5AD1"/>
    <w:rsid w:val="006D6CFF"/>
    <w:rsid w:val="006E12FF"/>
    <w:rsid w:val="006E165C"/>
    <w:rsid w:val="006E1916"/>
    <w:rsid w:val="006E31C9"/>
    <w:rsid w:val="006E607E"/>
    <w:rsid w:val="006F1E02"/>
    <w:rsid w:val="006F1E38"/>
    <w:rsid w:val="006F272C"/>
    <w:rsid w:val="006F32F1"/>
    <w:rsid w:val="006F3B4E"/>
    <w:rsid w:val="006F4E3E"/>
    <w:rsid w:val="00701782"/>
    <w:rsid w:val="007035AF"/>
    <w:rsid w:val="007062C4"/>
    <w:rsid w:val="007062F9"/>
    <w:rsid w:val="00706C5D"/>
    <w:rsid w:val="007119A0"/>
    <w:rsid w:val="0071680A"/>
    <w:rsid w:val="00720940"/>
    <w:rsid w:val="00721C27"/>
    <w:rsid w:val="007245D0"/>
    <w:rsid w:val="00725C84"/>
    <w:rsid w:val="00726040"/>
    <w:rsid w:val="00726E7B"/>
    <w:rsid w:val="00726FD4"/>
    <w:rsid w:val="00732922"/>
    <w:rsid w:val="00734B85"/>
    <w:rsid w:val="007351B6"/>
    <w:rsid w:val="00735AD8"/>
    <w:rsid w:val="00737FD3"/>
    <w:rsid w:val="007425C8"/>
    <w:rsid w:val="007441A9"/>
    <w:rsid w:val="007444BE"/>
    <w:rsid w:val="00744A1B"/>
    <w:rsid w:val="007453A9"/>
    <w:rsid w:val="00746F07"/>
    <w:rsid w:val="0075162E"/>
    <w:rsid w:val="0075372A"/>
    <w:rsid w:val="00754034"/>
    <w:rsid w:val="00756556"/>
    <w:rsid w:val="00757136"/>
    <w:rsid w:val="007607D6"/>
    <w:rsid w:val="00760F8C"/>
    <w:rsid w:val="00761436"/>
    <w:rsid w:val="00761547"/>
    <w:rsid w:val="007618C4"/>
    <w:rsid w:val="00762525"/>
    <w:rsid w:val="00763635"/>
    <w:rsid w:val="007648FC"/>
    <w:rsid w:val="00765325"/>
    <w:rsid w:val="00765F63"/>
    <w:rsid w:val="00766923"/>
    <w:rsid w:val="00767980"/>
    <w:rsid w:val="00767BC7"/>
    <w:rsid w:val="00770B19"/>
    <w:rsid w:val="00771DE1"/>
    <w:rsid w:val="0077463F"/>
    <w:rsid w:val="00777403"/>
    <w:rsid w:val="00780D5E"/>
    <w:rsid w:val="007836EA"/>
    <w:rsid w:val="00783D62"/>
    <w:rsid w:val="007841DD"/>
    <w:rsid w:val="00784CDA"/>
    <w:rsid w:val="007858DC"/>
    <w:rsid w:val="007859A0"/>
    <w:rsid w:val="00787565"/>
    <w:rsid w:val="007902DB"/>
    <w:rsid w:val="007906C4"/>
    <w:rsid w:val="007908F4"/>
    <w:rsid w:val="00790E22"/>
    <w:rsid w:val="00791526"/>
    <w:rsid w:val="007940EA"/>
    <w:rsid w:val="007944D6"/>
    <w:rsid w:val="007967E8"/>
    <w:rsid w:val="007A0A70"/>
    <w:rsid w:val="007A18BA"/>
    <w:rsid w:val="007A2170"/>
    <w:rsid w:val="007A22BF"/>
    <w:rsid w:val="007A3323"/>
    <w:rsid w:val="007A63AE"/>
    <w:rsid w:val="007A6A04"/>
    <w:rsid w:val="007B0B27"/>
    <w:rsid w:val="007B0D32"/>
    <w:rsid w:val="007B15DD"/>
    <w:rsid w:val="007B3822"/>
    <w:rsid w:val="007B47D4"/>
    <w:rsid w:val="007B72B8"/>
    <w:rsid w:val="007B78BC"/>
    <w:rsid w:val="007B7A58"/>
    <w:rsid w:val="007C1128"/>
    <w:rsid w:val="007C1262"/>
    <w:rsid w:val="007C1789"/>
    <w:rsid w:val="007C21B5"/>
    <w:rsid w:val="007C3416"/>
    <w:rsid w:val="007C3998"/>
    <w:rsid w:val="007C6C91"/>
    <w:rsid w:val="007D0817"/>
    <w:rsid w:val="007D2791"/>
    <w:rsid w:val="007D3593"/>
    <w:rsid w:val="007D634F"/>
    <w:rsid w:val="007D6871"/>
    <w:rsid w:val="007E2FF2"/>
    <w:rsid w:val="007E4BD2"/>
    <w:rsid w:val="007E62E3"/>
    <w:rsid w:val="007F26C5"/>
    <w:rsid w:val="007F46CD"/>
    <w:rsid w:val="007F5871"/>
    <w:rsid w:val="0080088E"/>
    <w:rsid w:val="00801312"/>
    <w:rsid w:val="00801393"/>
    <w:rsid w:val="00802613"/>
    <w:rsid w:val="00802F88"/>
    <w:rsid w:val="00804036"/>
    <w:rsid w:val="00804D59"/>
    <w:rsid w:val="0081293E"/>
    <w:rsid w:val="00815465"/>
    <w:rsid w:val="00817E9A"/>
    <w:rsid w:val="00820989"/>
    <w:rsid w:val="00820C0D"/>
    <w:rsid w:val="00826B92"/>
    <w:rsid w:val="008306BD"/>
    <w:rsid w:val="00830B93"/>
    <w:rsid w:val="00831A80"/>
    <w:rsid w:val="00832A08"/>
    <w:rsid w:val="00833442"/>
    <w:rsid w:val="00833700"/>
    <w:rsid w:val="00833743"/>
    <w:rsid w:val="0083392E"/>
    <w:rsid w:val="008340A4"/>
    <w:rsid w:val="00834739"/>
    <w:rsid w:val="00834A54"/>
    <w:rsid w:val="00835F9B"/>
    <w:rsid w:val="0084270A"/>
    <w:rsid w:val="00843159"/>
    <w:rsid w:val="00844A8D"/>
    <w:rsid w:val="00855533"/>
    <w:rsid w:val="0086103E"/>
    <w:rsid w:val="00862EE5"/>
    <w:rsid w:val="0086701D"/>
    <w:rsid w:val="0087135F"/>
    <w:rsid w:val="00872D94"/>
    <w:rsid w:val="008741B5"/>
    <w:rsid w:val="00875061"/>
    <w:rsid w:val="00876D39"/>
    <w:rsid w:val="00880364"/>
    <w:rsid w:val="00881071"/>
    <w:rsid w:val="00882708"/>
    <w:rsid w:val="0088333F"/>
    <w:rsid w:val="00883767"/>
    <w:rsid w:val="00884D60"/>
    <w:rsid w:val="00890C8B"/>
    <w:rsid w:val="00891592"/>
    <w:rsid w:val="00891E9E"/>
    <w:rsid w:val="00892871"/>
    <w:rsid w:val="00893649"/>
    <w:rsid w:val="0089440A"/>
    <w:rsid w:val="00894516"/>
    <w:rsid w:val="00894D2D"/>
    <w:rsid w:val="0089647A"/>
    <w:rsid w:val="0089744B"/>
    <w:rsid w:val="00897F9E"/>
    <w:rsid w:val="008A07B1"/>
    <w:rsid w:val="008A1138"/>
    <w:rsid w:val="008A2F68"/>
    <w:rsid w:val="008A4141"/>
    <w:rsid w:val="008A48D4"/>
    <w:rsid w:val="008A6278"/>
    <w:rsid w:val="008B45A4"/>
    <w:rsid w:val="008B4FA6"/>
    <w:rsid w:val="008B5282"/>
    <w:rsid w:val="008B59B8"/>
    <w:rsid w:val="008B5D08"/>
    <w:rsid w:val="008B6ADE"/>
    <w:rsid w:val="008B6E79"/>
    <w:rsid w:val="008B7BC6"/>
    <w:rsid w:val="008B7C17"/>
    <w:rsid w:val="008C2D01"/>
    <w:rsid w:val="008C334E"/>
    <w:rsid w:val="008C3836"/>
    <w:rsid w:val="008C3D27"/>
    <w:rsid w:val="008C40E6"/>
    <w:rsid w:val="008C4840"/>
    <w:rsid w:val="008C7D22"/>
    <w:rsid w:val="008D0322"/>
    <w:rsid w:val="008D03D4"/>
    <w:rsid w:val="008D096E"/>
    <w:rsid w:val="008D0F7A"/>
    <w:rsid w:val="008D3826"/>
    <w:rsid w:val="008D51D0"/>
    <w:rsid w:val="008D68E4"/>
    <w:rsid w:val="008D7764"/>
    <w:rsid w:val="008E0506"/>
    <w:rsid w:val="008E0CFF"/>
    <w:rsid w:val="008E5D6B"/>
    <w:rsid w:val="008E76F0"/>
    <w:rsid w:val="008E7BAC"/>
    <w:rsid w:val="008F06C3"/>
    <w:rsid w:val="008F07B5"/>
    <w:rsid w:val="008F15FE"/>
    <w:rsid w:val="008F2D29"/>
    <w:rsid w:val="008F309F"/>
    <w:rsid w:val="008F3960"/>
    <w:rsid w:val="008F5187"/>
    <w:rsid w:val="008F55BC"/>
    <w:rsid w:val="008F5DC8"/>
    <w:rsid w:val="008F60D8"/>
    <w:rsid w:val="008F6BEE"/>
    <w:rsid w:val="008F6F3F"/>
    <w:rsid w:val="008F7C11"/>
    <w:rsid w:val="00900A73"/>
    <w:rsid w:val="009019B2"/>
    <w:rsid w:val="00902727"/>
    <w:rsid w:val="0090291E"/>
    <w:rsid w:val="0090312B"/>
    <w:rsid w:val="00906608"/>
    <w:rsid w:val="0090754B"/>
    <w:rsid w:val="0090779C"/>
    <w:rsid w:val="00907F49"/>
    <w:rsid w:val="00910849"/>
    <w:rsid w:val="009113C2"/>
    <w:rsid w:val="00911841"/>
    <w:rsid w:val="00911FCD"/>
    <w:rsid w:val="00912B6D"/>
    <w:rsid w:val="0091736D"/>
    <w:rsid w:val="0091793B"/>
    <w:rsid w:val="00920823"/>
    <w:rsid w:val="00926FA7"/>
    <w:rsid w:val="0092753A"/>
    <w:rsid w:val="0093037A"/>
    <w:rsid w:val="009310EB"/>
    <w:rsid w:val="00934F4B"/>
    <w:rsid w:val="0094154D"/>
    <w:rsid w:val="00942C40"/>
    <w:rsid w:val="00943D9D"/>
    <w:rsid w:val="009443EC"/>
    <w:rsid w:val="0094569B"/>
    <w:rsid w:val="00946571"/>
    <w:rsid w:val="0095155F"/>
    <w:rsid w:val="00954429"/>
    <w:rsid w:val="009563CE"/>
    <w:rsid w:val="009564B7"/>
    <w:rsid w:val="00960EB6"/>
    <w:rsid w:val="009616F3"/>
    <w:rsid w:val="009631B7"/>
    <w:rsid w:val="00966BA2"/>
    <w:rsid w:val="0096721C"/>
    <w:rsid w:val="0097156B"/>
    <w:rsid w:val="0097166A"/>
    <w:rsid w:val="0097308E"/>
    <w:rsid w:val="00974CD8"/>
    <w:rsid w:val="00976328"/>
    <w:rsid w:val="0097680D"/>
    <w:rsid w:val="00980377"/>
    <w:rsid w:val="009805D8"/>
    <w:rsid w:val="00980B3A"/>
    <w:rsid w:val="009812FA"/>
    <w:rsid w:val="00981653"/>
    <w:rsid w:val="00982438"/>
    <w:rsid w:val="0098404C"/>
    <w:rsid w:val="00985283"/>
    <w:rsid w:val="0098530C"/>
    <w:rsid w:val="009933E6"/>
    <w:rsid w:val="0099368D"/>
    <w:rsid w:val="00995992"/>
    <w:rsid w:val="0099721B"/>
    <w:rsid w:val="009A03E5"/>
    <w:rsid w:val="009A073B"/>
    <w:rsid w:val="009A0869"/>
    <w:rsid w:val="009A0F3B"/>
    <w:rsid w:val="009A1BB4"/>
    <w:rsid w:val="009A2077"/>
    <w:rsid w:val="009A2628"/>
    <w:rsid w:val="009A30E7"/>
    <w:rsid w:val="009A3200"/>
    <w:rsid w:val="009A7413"/>
    <w:rsid w:val="009B0897"/>
    <w:rsid w:val="009B1398"/>
    <w:rsid w:val="009B2A06"/>
    <w:rsid w:val="009B40F4"/>
    <w:rsid w:val="009B4BA3"/>
    <w:rsid w:val="009B7BC1"/>
    <w:rsid w:val="009B7BD9"/>
    <w:rsid w:val="009C0178"/>
    <w:rsid w:val="009C0981"/>
    <w:rsid w:val="009C21EE"/>
    <w:rsid w:val="009C718C"/>
    <w:rsid w:val="009C7622"/>
    <w:rsid w:val="009C7DD5"/>
    <w:rsid w:val="009D4AD0"/>
    <w:rsid w:val="009D63A9"/>
    <w:rsid w:val="009D649B"/>
    <w:rsid w:val="009D71CA"/>
    <w:rsid w:val="009E227D"/>
    <w:rsid w:val="009E5019"/>
    <w:rsid w:val="009E6CF9"/>
    <w:rsid w:val="009E7408"/>
    <w:rsid w:val="009F1EC2"/>
    <w:rsid w:val="009F2174"/>
    <w:rsid w:val="009F6FB1"/>
    <w:rsid w:val="00A01DEE"/>
    <w:rsid w:val="00A03442"/>
    <w:rsid w:val="00A03778"/>
    <w:rsid w:val="00A04025"/>
    <w:rsid w:val="00A04F1B"/>
    <w:rsid w:val="00A0501B"/>
    <w:rsid w:val="00A07B51"/>
    <w:rsid w:val="00A121BD"/>
    <w:rsid w:val="00A145D7"/>
    <w:rsid w:val="00A14947"/>
    <w:rsid w:val="00A214A7"/>
    <w:rsid w:val="00A2360C"/>
    <w:rsid w:val="00A23929"/>
    <w:rsid w:val="00A243A6"/>
    <w:rsid w:val="00A2782E"/>
    <w:rsid w:val="00A31A59"/>
    <w:rsid w:val="00A32A83"/>
    <w:rsid w:val="00A368DB"/>
    <w:rsid w:val="00A37429"/>
    <w:rsid w:val="00A37DF1"/>
    <w:rsid w:val="00A423AA"/>
    <w:rsid w:val="00A51702"/>
    <w:rsid w:val="00A519C5"/>
    <w:rsid w:val="00A519E2"/>
    <w:rsid w:val="00A5291E"/>
    <w:rsid w:val="00A53EC6"/>
    <w:rsid w:val="00A54BA0"/>
    <w:rsid w:val="00A55C0F"/>
    <w:rsid w:val="00A566D3"/>
    <w:rsid w:val="00A6469B"/>
    <w:rsid w:val="00A64F6D"/>
    <w:rsid w:val="00A6517C"/>
    <w:rsid w:val="00A70830"/>
    <w:rsid w:val="00A738E5"/>
    <w:rsid w:val="00A74540"/>
    <w:rsid w:val="00A74AC3"/>
    <w:rsid w:val="00A76D5A"/>
    <w:rsid w:val="00A776F2"/>
    <w:rsid w:val="00A81075"/>
    <w:rsid w:val="00A81307"/>
    <w:rsid w:val="00A81A5B"/>
    <w:rsid w:val="00A8256A"/>
    <w:rsid w:val="00A827B3"/>
    <w:rsid w:val="00A82D00"/>
    <w:rsid w:val="00A8523F"/>
    <w:rsid w:val="00A85B11"/>
    <w:rsid w:val="00A8713F"/>
    <w:rsid w:val="00A87CD0"/>
    <w:rsid w:val="00A901DA"/>
    <w:rsid w:val="00A90BA1"/>
    <w:rsid w:val="00A916AB"/>
    <w:rsid w:val="00A91956"/>
    <w:rsid w:val="00A92294"/>
    <w:rsid w:val="00A939DC"/>
    <w:rsid w:val="00A93BEE"/>
    <w:rsid w:val="00A93EFD"/>
    <w:rsid w:val="00A94FAE"/>
    <w:rsid w:val="00A97A9A"/>
    <w:rsid w:val="00AA0671"/>
    <w:rsid w:val="00AA1B25"/>
    <w:rsid w:val="00AA2531"/>
    <w:rsid w:val="00AA43C0"/>
    <w:rsid w:val="00AB1E09"/>
    <w:rsid w:val="00AB1ECD"/>
    <w:rsid w:val="00AB248B"/>
    <w:rsid w:val="00AB31FD"/>
    <w:rsid w:val="00AB4BF8"/>
    <w:rsid w:val="00AB5330"/>
    <w:rsid w:val="00AB56FA"/>
    <w:rsid w:val="00AB7747"/>
    <w:rsid w:val="00AB7BEB"/>
    <w:rsid w:val="00AC0D6D"/>
    <w:rsid w:val="00AC14CE"/>
    <w:rsid w:val="00AC2A56"/>
    <w:rsid w:val="00AC41AA"/>
    <w:rsid w:val="00AC6A4E"/>
    <w:rsid w:val="00AC6F9C"/>
    <w:rsid w:val="00AC794F"/>
    <w:rsid w:val="00AD055E"/>
    <w:rsid w:val="00AD08BC"/>
    <w:rsid w:val="00AD47A7"/>
    <w:rsid w:val="00AD76DE"/>
    <w:rsid w:val="00AD7E57"/>
    <w:rsid w:val="00AE1C1B"/>
    <w:rsid w:val="00AE22F4"/>
    <w:rsid w:val="00AE2CA1"/>
    <w:rsid w:val="00AE382D"/>
    <w:rsid w:val="00AE41EE"/>
    <w:rsid w:val="00AE513D"/>
    <w:rsid w:val="00AE700E"/>
    <w:rsid w:val="00AF0CBF"/>
    <w:rsid w:val="00AF257F"/>
    <w:rsid w:val="00AF33CF"/>
    <w:rsid w:val="00AF3E55"/>
    <w:rsid w:val="00AF4D50"/>
    <w:rsid w:val="00AF5BE4"/>
    <w:rsid w:val="00AF6179"/>
    <w:rsid w:val="00B0016C"/>
    <w:rsid w:val="00B005C6"/>
    <w:rsid w:val="00B00E49"/>
    <w:rsid w:val="00B02676"/>
    <w:rsid w:val="00B03779"/>
    <w:rsid w:val="00B04A6F"/>
    <w:rsid w:val="00B11541"/>
    <w:rsid w:val="00B11F0E"/>
    <w:rsid w:val="00B12490"/>
    <w:rsid w:val="00B1295A"/>
    <w:rsid w:val="00B13425"/>
    <w:rsid w:val="00B13BE8"/>
    <w:rsid w:val="00B14A99"/>
    <w:rsid w:val="00B15C4E"/>
    <w:rsid w:val="00B20877"/>
    <w:rsid w:val="00B20A45"/>
    <w:rsid w:val="00B22211"/>
    <w:rsid w:val="00B22C5C"/>
    <w:rsid w:val="00B2465D"/>
    <w:rsid w:val="00B24F30"/>
    <w:rsid w:val="00B25695"/>
    <w:rsid w:val="00B273B1"/>
    <w:rsid w:val="00B275F3"/>
    <w:rsid w:val="00B278E7"/>
    <w:rsid w:val="00B3072F"/>
    <w:rsid w:val="00B31ABF"/>
    <w:rsid w:val="00B33BE3"/>
    <w:rsid w:val="00B47195"/>
    <w:rsid w:val="00B4744C"/>
    <w:rsid w:val="00B47741"/>
    <w:rsid w:val="00B477F4"/>
    <w:rsid w:val="00B5036F"/>
    <w:rsid w:val="00B513BB"/>
    <w:rsid w:val="00B52BBF"/>
    <w:rsid w:val="00B53B5D"/>
    <w:rsid w:val="00B546C1"/>
    <w:rsid w:val="00B6055E"/>
    <w:rsid w:val="00B6317D"/>
    <w:rsid w:val="00B64B46"/>
    <w:rsid w:val="00B64FF9"/>
    <w:rsid w:val="00B667F8"/>
    <w:rsid w:val="00B73BDD"/>
    <w:rsid w:val="00B746AF"/>
    <w:rsid w:val="00B74BEE"/>
    <w:rsid w:val="00B7723F"/>
    <w:rsid w:val="00B80534"/>
    <w:rsid w:val="00B8061E"/>
    <w:rsid w:val="00B8183F"/>
    <w:rsid w:val="00B83B6A"/>
    <w:rsid w:val="00B8433C"/>
    <w:rsid w:val="00B84B39"/>
    <w:rsid w:val="00B851CA"/>
    <w:rsid w:val="00B85BC0"/>
    <w:rsid w:val="00B87491"/>
    <w:rsid w:val="00B906D4"/>
    <w:rsid w:val="00B95E0F"/>
    <w:rsid w:val="00B96636"/>
    <w:rsid w:val="00BA0CBB"/>
    <w:rsid w:val="00BA232B"/>
    <w:rsid w:val="00BA29E9"/>
    <w:rsid w:val="00BA3FB7"/>
    <w:rsid w:val="00BA40BD"/>
    <w:rsid w:val="00BA47FF"/>
    <w:rsid w:val="00BA6957"/>
    <w:rsid w:val="00BA7142"/>
    <w:rsid w:val="00BB01D4"/>
    <w:rsid w:val="00BB17A3"/>
    <w:rsid w:val="00BB1E03"/>
    <w:rsid w:val="00BB237C"/>
    <w:rsid w:val="00BB26AB"/>
    <w:rsid w:val="00BB41A3"/>
    <w:rsid w:val="00BB54A2"/>
    <w:rsid w:val="00BC32DC"/>
    <w:rsid w:val="00BC35B6"/>
    <w:rsid w:val="00BC4137"/>
    <w:rsid w:val="00BC47F0"/>
    <w:rsid w:val="00BC5212"/>
    <w:rsid w:val="00BC5C6E"/>
    <w:rsid w:val="00BC78F6"/>
    <w:rsid w:val="00BC7D79"/>
    <w:rsid w:val="00BD1B51"/>
    <w:rsid w:val="00BD2171"/>
    <w:rsid w:val="00BD3B34"/>
    <w:rsid w:val="00BD4596"/>
    <w:rsid w:val="00BD67BC"/>
    <w:rsid w:val="00BE027B"/>
    <w:rsid w:val="00BE0467"/>
    <w:rsid w:val="00BE09F8"/>
    <w:rsid w:val="00BE1405"/>
    <w:rsid w:val="00BE1E88"/>
    <w:rsid w:val="00BE215B"/>
    <w:rsid w:val="00BE312D"/>
    <w:rsid w:val="00BE4ACF"/>
    <w:rsid w:val="00BE5D58"/>
    <w:rsid w:val="00BE6A15"/>
    <w:rsid w:val="00BF1B75"/>
    <w:rsid w:val="00BF1C20"/>
    <w:rsid w:val="00BF217B"/>
    <w:rsid w:val="00BF3050"/>
    <w:rsid w:val="00BF4723"/>
    <w:rsid w:val="00C00F2D"/>
    <w:rsid w:val="00C01DE5"/>
    <w:rsid w:val="00C02905"/>
    <w:rsid w:val="00C0589B"/>
    <w:rsid w:val="00C07B42"/>
    <w:rsid w:val="00C10578"/>
    <w:rsid w:val="00C10627"/>
    <w:rsid w:val="00C116C8"/>
    <w:rsid w:val="00C127E1"/>
    <w:rsid w:val="00C135BC"/>
    <w:rsid w:val="00C135D6"/>
    <w:rsid w:val="00C15C95"/>
    <w:rsid w:val="00C16477"/>
    <w:rsid w:val="00C16743"/>
    <w:rsid w:val="00C171B0"/>
    <w:rsid w:val="00C175B1"/>
    <w:rsid w:val="00C177DE"/>
    <w:rsid w:val="00C17A6F"/>
    <w:rsid w:val="00C22BE2"/>
    <w:rsid w:val="00C237DB"/>
    <w:rsid w:val="00C23B88"/>
    <w:rsid w:val="00C2596A"/>
    <w:rsid w:val="00C2662B"/>
    <w:rsid w:val="00C26E02"/>
    <w:rsid w:val="00C27537"/>
    <w:rsid w:val="00C30894"/>
    <w:rsid w:val="00C328FE"/>
    <w:rsid w:val="00C333CE"/>
    <w:rsid w:val="00C33507"/>
    <w:rsid w:val="00C33897"/>
    <w:rsid w:val="00C3476B"/>
    <w:rsid w:val="00C34CF0"/>
    <w:rsid w:val="00C42B1B"/>
    <w:rsid w:val="00C4409D"/>
    <w:rsid w:val="00C44E72"/>
    <w:rsid w:val="00C45A06"/>
    <w:rsid w:val="00C4717D"/>
    <w:rsid w:val="00C47E5B"/>
    <w:rsid w:val="00C51DFD"/>
    <w:rsid w:val="00C5667C"/>
    <w:rsid w:val="00C61E4B"/>
    <w:rsid w:val="00C61F57"/>
    <w:rsid w:val="00C640E9"/>
    <w:rsid w:val="00C64BFF"/>
    <w:rsid w:val="00C67741"/>
    <w:rsid w:val="00C704E9"/>
    <w:rsid w:val="00C713E3"/>
    <w:rsid w:val="00C7298E"/>
    <w:rsid w:val="00C72E17"/>
    <w:rsid w:val="00C73067"/>
    <w:rsid w:val="00C735F5"/>
    <w:rsid w:val="00C746DF"/>
    <w:rsid w:val="00C763C9"/>
    <w:rsid w:val="00C80057"/>
    <w:rsid w:val="00C82232"/>
    <w:rsid w:val="00C82913"/>
    <w:rsid w:val="00C8355B"/>
    <w:rsid w:val="00C83D63"/>
    <w:rsid w:val="00C868C8"/>
    <w:rsid w:val="00C872AC"/>
    <w:rsid w:val="00C87415"/>
    <w:rsid w:val="00C877E7"/>
    <w:rsid w:val="00C91F2D"/>
    <w:rsid w:val="00C949FB"/>
    <w:rsid w:val="00C972B1"/>
    <w:rsid w:val="00C972EF"/>
    <w:rsid w:val="00C97D8F"/>
    <w:rsid w:val="00CA2CCE"/>
    <w:rsid w:val="00CA43FD"/>
    <w:rsid w:val="00CA4A08"/>
    <w:rsid w:val="00CA68B2"/>
    <w:rsid w:val="00CA698F"/>
    <w:rsid w:val="00CA6B96"/>
    <w:rsid w:val="00CA72FF"/>
    <w:rsid w:val="00CA74C9"/>
    <w:rsid w:val="00CA7EF8"/>
    <w:rsid w:val="00CB0778"/>
    <w:rsid w:val="00CB328E"/>
    <w:rsid w:val="00CB38C4"/>
    <w:rsid w:val="00CC093F"/>
    <w:rsid w:val="00CC130D"/>
    <w:rsid w:val="00CC18BD"/>
    <w:rsid w:val="00CC1B2D"/>
    <w:rsid w:val="00CC1FDB"/>
    <w:rsid w:val="00CC489B"/>
    <w:rsid w:val="00CC4B3E"/>
    <w:rsid w:val="00CC61F9"/>
    <w:rsid w:val="00CC6AE3"/>
    <w:rsid w:val="00CC6F17"/>
    <w:rsid w:val="00CD070C"/>
    <w:rsid w:val="00CD2BCD"/>
    <w:rsid w:val="00CD3A4C"/>
    <w:rsid w:val="00CD4008"/>
    <w:rsid w:val="00CD57DF"/>
    <w:rsid w:val="00CD79DA"/>
    <w:rsid w:val="00CE10E9"/>
    <w:rsid w:val="00CE2910"/>
    <w:rsid w:val="00CE2F17"/>
    <w:rsid w:val="00CE349D"/>
    <w:rsid w:val="00CE5393"/>
    <w:rsid w:val="00CF36BE"/>
    <w:rsid w:val="00CF44E8"/>
    <w:rsid w:val="00CF465F"/>
    <w:rsid w:val="00CF6000"/>
    <w:rsid w:val="00CF65B7"/>
    <w:rsid w:val="00D003F3"/>
    <w:rsid w:val="00D0364F"/>
    <w:rsid w:val="00D03F31"/>
    <w:rsid w:val="00D04C0B"/>
    <w:rsid w:val="00D059B3"/>
    <w:rsid w:val="00D06834"/>
    <w:rsid w:val="00D117C7"/>
    <w:rsid w:val="00D119E5"/>
    <w:rsid w:val="00D14040"/>
    <w:rsid w:val="00D14340"/>
    <w:rsid w:val="00D151F0"/>
    <w:rsid w:val="00D15950"/>
    <w:rsid w:val="00D20C3D"/>
    <w:rsid w:val="00D2141B"/>
    <w:rsid w:val="00D23F6C"/>
    <w:rsid w:val="00D247D4"/>
    <w:rsid w:val="00D26EFA"/>
    <w:rsid w:val="00D2752B"/>
    <w:rsid w:val="00D308ED"/>
    <w:rsid w:val="00D34224"/>
    <w:rsid w:val="00D36D86"/>
    <w:rsid w:val="00D4032B"/>
    <w:rsid w:val="00D428AA"/>
    <w:rsid w:val="00D50A34"/>
    <w:rsid w:val="00D50F59"/>
    <w:rsid w:val="00D53EFA"/>
    <w:rsid w:val="00D61971"/>
    <w:rsid w:val="00D619B2"/>
    <w:rsid w:val="00D6245D"/>
    <w:rsid w:val="00D64DA3"/>
    <w:rsid w:val="00D66461"/>
    <w:rsid w:val="00D70E36"/>
    <w:rsid w:val="00D71F55"/>
    <w:rsid w:val="00D74348"/>
    <w:rsid w:val="00D748D3"/>
    <w:rsid w:val="00D764F2"/>
    <w:rsid w:val="00D77401"/>
    <w:rsid w:val="00D8183E"/>
    <w:rsid w:val="00D82E53"/>
    <w:rsid w:val="00D860B5"/>
    <w:rsid w:val="00D86EC7"/>
    <w:rsid w:val="00D901DB"/>
    <w:rsid w:val="00D92801"/>
    <w:rsid w:val="00D935EE"/>
    <w:rsid w:val="00D93D61"/>
    <w:rsid w:val="00D93E7A"/>
    <w:rsid w:val="00D93FB1"/>
    <w:rsid w:val="00D94A7C"/>
    <w:rsid w:val="00D95896"/>
    <w:rsid w:val="00D96712"/>
    <w:rsid w:val="00DA1EA6"/>
    <w:rsid w:val="00DA5803"/>
    <w:rsid w:val="00DB181A"/>
    <w:rsid w:val="00DB2983"/>
    <w:rsid w:val="00DB462B"/>
    <w:rsid w:val="00DB4D25"/>
    <w:rsid w:val="00DC03F9"/>
    <w:rsid w:val="00DC1257"/>
    <w:rsid w:val="00DC3DC0"/>
    <w:rsid w:val="00DC5383"/>
    <w:rsid w:val="00DC5B2B"/>
    <w:rsid w:val="00DC70B9"/>
    <w:rsid w:val="00DC7FE7"/>
    <w:rsid w:val="00DD0D02"/>
    <w:rsid w:val="00DD0F07"/>
    <w:rsid w:val="00DD2318"/>
    <w:rsid w:val="00DD318D"/>
    <w:rsid w:val="00DD32A7"/>
    <w:rsid w:val="00DD4DE0"/>
    <w:rsid w:val="00DD54BE"/>
    <w:rsid w:val="00DD5994"/>
    <w:rsid w:val="00DE0A4A"/>
    <w:rsid w:val="00DE4987"/>
    <w:rsid w:val="00DE4A69"/>
    <w:rsid w:val="00DE5568"/>
    <w:rsid w:val="00DE5FE7"/>
    <w:rsid w:val="00DF2E12"/>
    <w:rsid w:val="00DF2E6E"/>
    <w:rsid w:val="00DF464B"/>
    <w:rsid w:val="00DF514A"/>
    <w:rsid w:val="00DF55E0"/>
    <w:rsid w:val="00DF6690"/>
    <w:rsid w:val="00DF6804"/>
    <w:rsid w:val="00DF6BBB"/>
    <w:rsid w:val="00E024B8"/>
    <w:rsid w:val="00E0358D"/>
    <w:rsid w:val="00E04323"/>
    <w:rsid w:val="00E04522"/>
    <w:rsid w:val="00E04BB6"/>
    <w:rsid w:val="00E065A4"/>
    <w:rsid w:val="00E070A2"/>
    <w:rsid w:val="00E1684E"/>
    <w:rsid w:val="00E16B31"/>
    <w:rsid w:val="00E17477"/>
    <w:rsid w:val="00E20C91"/>
    <w:rsid w:val="00E22DA8"/>
    <w:rsid w:val="00E2656A"/>
    <w:rsid w:val="00E318DF"/>
    <w:rsid w:val="00E32B23"/>
    <w:rsid w:val="00E32E10"/>
    <w:rsid w:val="00E35C6F"/>
    <w:rsid w:val="00E406AE"/>
    <w:rsid w:val="00E407A7"/>
    <w:rsid w:val="00E412D0"/>
    <w:rsid w:val="00E44897"/>
    <w:rsid w:val="00E44C0C"/>
    <w:rsid w:val="00E47059"/>
    <w:rsid w:val="00E5028F"/>
    <w:rsid w:val="00E5137A"/>
    <w:rsid w:val="00E53A0D"/>
    <w:rsid w:val="00E56322"/>
    <w:rsid w:val="00E56F99"/>
    <w:rsid w:val="00E572F4"/>
    <w:rsid w:val="00E57B80"/>
    <w:rsid w:val="00E60982"/>
    <w:rsid w:val="00E62019"/>
    <w:rsid w:val="00E62C62"/>
    <w:rsid w:val="00E6512F"/>
    <w:rsid w:val="00E654C1"/>
    <w:rsid w:val="00E65722"/>
    <w:rsid w:val="00E65D97"/>
    <w:rsid w:val="00E6772F"/>
    <w:rsid w:val="00E71D14"/>
    <w:rsid w:val="00E721B5"/>
    <w:rsid w:val="00E72A5A"/>
    <w:rsid w:val="00E73354"/>
    <w:rsid w:val="00E759C2"/>
    <w:rsid w:val="00E81552"/>
    <w:rsid w:val="00E82E4C"/>
    <w:rsid w:val="00E85B1D"/>
    <w:rsid w:val="00E86D67"/>
    <w:rsid w:val="00E8729E"/>
    <w:rsid w:val="00E9242D"/>
    <w:rsid w:val="00E953AC"/>
    <w:rsid w:val="00E97C11"/>
    <w:rsid w:val="00EA62BA"/>
    <w:rsid w:val="00EA660F"/>
    <w:rsid w:val="00EA70D3"/>
    <w:rsid w:val="00EB0CD4"/>
    <w:rsid w:val="00EB18C7"/>
    <w:rsid w:val="00EB247E"/>
    <w:rsid w:val="00EB4036"/>
    <w:rsid w:val="00EB5255"/>
    <w:rsid w:val="00EB5C47"/>
    <w:rsid w:val="00EB7D13"/>
    <w:rsid w:val="00EC0961"/>
    <w:rsid w:val="00EC3FFD"/>
    <w:rsid w:val="00EC6112"/>
    <w:rsid w:val="00EC691F"/>
    <w:rsid w:val="00EC78F8"/>
    <w:rsid w:val="00ED0639"/>
    <w:rsid w:val="00ED0BAD"/>
    <w:rsid w:val="00ED5B0B"/>
    <w:rsid w:val="00ED5E7C"/>
    <w:rsid w:val="00EE11EC"/>
    <w:rsid w:val="00EE1477"/>
    <w:rsid w:val="00EE16E3"/>
    <w:rsid w:val="00EE3C83"/>
    <w:rsid w:val="00EE6B6E"/>
    <w:rsid w:val="00EE7F4C"/>
    <w:rsid w:val="00EF14DF"/>
    <w:rsid w:val="00EF18B4"/>
    <w:rsid w:val="00EF2752"/>
    <w:rsid w:val="00EF4755"/>
    <w:rsid w:val="00EF4DEB"/>
    <w:rsid w:val="00EF7135"/>
    <w:rsid w:val="00EF7F18"/>
    <w:rsid w:val="00F00AF3"/>
    <w:rsid w:val="00F027DB"/>
    <w:rsid w:val="00F12A77"/>
    <w:rsid w:val="00F1470A"/>
    <w:rsid w:val="00F14A7A"/>
    <w:rsid w:val="00F15593"/>
    <w:rsid w:val="00F1702C"/>
    <w:rsid w:val="00F21B21"/>
    <w:rsid w:val="00F22985"/>
    <w:rsid w:val="00F251A4"/>
    <w:rsid w:val="00F26ECF"/>
    <w:rsid w:val="00F27485"/>
    <w:rsid w:val="00F278B1"/>
    <w:rsid w:val="00F279BA"/>
    <w:rsid w:val="00F27A33"/>
    <w:rsid w:val="00F32358"/>
    <w:rsid w:val="00F3383E"/>
    <w:rsid w:val="00F35693"/>
    <w:rsid w:val="00F3750F"/>
    <w:rsid w:val="00F416E2"/>
    <w:rsid w:val="00F447CF"/>
    <w:rsid w:val="00F46475"/>
    <w:rsid w:val="00F465A7"/>
    <w:rsid w:val="00F50B7C"/>
    <w:rsid w:val="00F516E3"/>
    <w:rsid w:val="00F54622"/>
    <w:rsid w:val="00F54B22"/>
    <w:rsid w:val="00F550E6"/>
    <w:rsid w:val="00F55989"/>
    <w:rsid w:val="00F56E6A"/>
    <w:rsid w:val="00F57C42"/>
    <w:rsid w:val="00F628FF"/>
    <w:rsid w:val="00F64EEE"/>
    <w:rsid w:val="00F66F93"/>
    <w:rsid w:val="00F67EE0"/>
    <w:rsid w:val="00F715F1"/>
    <w:rsid w:val="00F74345"/>
    <w:rsid w:val="00F774E0"/>
    <w:rsid w:val="00F8049D"/>
    <w:rsid w:val="00F80A0A"/>
    <w:rsid w:val="00F8171A"/>
    <w:rsid w:val="00F81F4F"/>
    <w:rsid w:val="00F82B19"/>
    <w:rsid w:val="00F8692F"/>
    <w:rsid w:val="00F872A4"/>
    <w:rsid w:val="00F90453"/>
    <w:rsid w:val="00F913CF"/>
    <w:rsid w:val="00F9212D"/>
    <w:rsid w:val="00F94040"/>
    <w:rsid w:val="00F9430A"/>
    <w:rsid w:val="00F965DA"/>
    <w:rsid w:val="00F9727A"/>
    <w:rsid w:val="00FA181B"/>
    <w:rsid w:val="00FA209E"/>
    <w:rsid w:val="00FA290B"/>
    <w:rsid w:val="00FA406A"/>
    <w:rsid w:val="00FA4D38"/>
    <w:rsid w:val="00FB0DE7"/>
    <w:rsid w:val="00FB16E0"/>
    <w:rsid w:val="00FB213E"/>
    <w:rsid w:val="00FB4547"/>
    <w:rsid w:val="00FB4A89"/>
    <w:rsid w:val="00FB4D72"/>
    <w:rsid w:val="00FB503A"/>
    <w:rsid w:val="00FB516C"/>
    <w:rsid w:val="00FB5A9D"/>
    <w:rsid w:val="00FB7058"/>
    <w:rsid w:val="00FC1DEA"/>
    <w:rsid w:val="00FC5868"/>
    <w:rsid w:val="00FC7071"/>
    <w:rsid w:val="00FC7BEF"/>
    <w:rsid w:val="00FD0236"/>
    <w:rsid w:val="00FD18F4"/>
    <w:rsid w:val="00FD3E3C"/>
    <w:rsid w:val="00FD54DB"/>
    <w:rsid w:val="00FD619F"/>
    <w:rsid w:val="00FD68B3"/>
    <w:rsid w:val="00FD6F02"/>
    <w:rsid w:val="00FD7C48"/>
    <w:rsid w:val="00FE09F0"/>
    <w:rsid w:val="00FE263E"/>
    <w:rsid w:val="00FE3C6C"/>
    <w:rsid w:val="00FE451F"/>
    <w:rsid w:val="00FE4B2D"/>
    <w:rsid w:val="00FE5FD9"/>
    <w:rsid w:val="00FE62C1"/>
    <w:rsid w:val="00FE6F26"/>
    <w:rsid w:val="00FE72EB"/>
    <w:rsid w:val="00FF1A5F"/>
    <w:rsid w:val="00FF579F"/>
    <w:rsid w:val="00FF618E"/>
    <w:rsid w:val="011B277A"/>
    <w:rsid w:val="01200ACA"/>
    <w:rsid w:val="01215EDE"/>
    <w:rsid w:val="012375FA"/>
    <w:rsid w:val="01290F7E"/>
    <w:rsid w:val="012B0A66"/>
    <w:rsid w:val="012D1688"/>
    <w:rsid w:val="01461CAA"/>
    <w:rsid w:val="014706D9"/>
    <w:rsid w:val="015422C1"/>
    <w:rsid w:val="015D1E09"/>
    <w:rsid w:val="015D3F64"/>
    <w:rsid w:val="01663478"/>
    <w:rsid w:val="0194631B"/>
    <w:rsid w:val="01A61BE6"/>
    <w:rsid w:val="01C4410E"/>
    <w:rsid w:val="01CA1CDE"/>
    <w:rsid w:val="01D6466C"/>
    <w:rsid w:val="01EA5390"/>
    <w:rsid w:val="021249DF"/>
    <w:rsid w:val="022842F2"/>
    <w:rsid w:val="02346E2A"/>
    <w:rsid w:val="02560E0E"/>
    <w:rsid w:val="02613039"/>
    <w:rsid w:val="02680A93"/>
    <w:rsid w:val="02681256"/>
    <w:rsid w:val="02697903"/>
    <w:rsid w:val="029660FC"/>
    <w:rsid w:val="02AC1275"/>
    <w:rsid w:val="02B75E8A"/>
    <w:rsid w:val="02B77950"/>
    <w:rsid w:val="02BF1E30"/>
    <w:rsid w:val="02C848FD"/>
    <w:rsid w:val="02CA1054"/>
    <w:rsid w:val="02CA5C73"/>
    <w:rsid w:val="02CF525E"/>
    <w:rsid w:val="02DF3456"/>
    <w:rsid w:val="02E31735"/>
    <w:rsid w:val="02F96569"/>
    <w:rsid w:val="032167B8"/>
    <w:rsid w:val="032E3E76"/>
    <w:rsid w:val="0338792E"/>
    <w:rsid w:val="03437920"/>
    <w:rsid w:val="03463EF0"/>
    <w:rsid w:val="03485512"/>
    <w:rsid w:val="035463F1"/>
    <w:rsid w:val="03787A27"/>
    <w:rsid w:val="038D16A3"/>
    <w:rsid w:val="03993BA4"/>
    <w:rsid w:val="03B92498"/>
    <w:rsid w:val="03C6212D"/>
    <w:rsid w:val="03D165EE"/>
    <w:rsid w:val="03D64FD6"/>
    <w:rsid w:val="03D70B20"/>
    <w:rsid w:val="03D9346D"/>
    <w:rsid w:val="03DC2BB4"/>
    <w:rsid w:val="03EA7B21"/>
    <w:rsid w:val="04151464"/>
    <w:rsid w:val="04283069"/>
    <w:rsid w:val="04382436"/>
    <w:rsid w:val="044043DC"/>
    <w:rsid w:val="046441B2"/>
    <w:rsid w:val="048E7480"/>
    <w:rsid w:val="049A573D"/>
    <w:rsid w:val="049E59B4"/>
    <w:rsid w:val="04A4283F"/>
    <w:rsid w:val="04A64380"/>
    <w:rsid w:val="04AE3730"/>
    <w:rsid w:val="04C60867"/>
    <w:rsid w:val="04D72A71"/>
    <w:rsid w:val="04FA5829"/>
    <w:rsid w:val="052A2678"/>
    <w:rsid w:val="052E1CF9"/>
    <w:rsid w:val="053A1034"/>
    <w:rsid w:val="055236F8"/>
    <w:rsid w:val="056014EC"/>
    <w:rsid w:val="05802928"/>
    <w:rsid w:val="05813BED"/>
    <w:rsid w:val="05A16D0A"/>
    <w:rsid w:val="05A75BC0"/>
    <w:rsid w:val="05BA211D"/>
    <w:rsid w:val="05BF665E"/>
    <w:rsid w:val="05CF5F5F"/>
    <w:rsid w:val="05D77483"/>
    <w:rsid w:val="05E11832"/>
    <w:rsid w:val="05F83EAE"/>
    <w:rsid w:val="0634010B"/>
    <w:rsid w:val="063D5962"/>
    <w:rsid w:val="063E7D85"/>
    <w:rsid w:val="064172B1"/>
    <w:rsid w:val="0667119C"/>
    <w:rsid w:val="0682582D"/>
    <w:rsid w:val="068A316B"/>
    <w:rsid w:val="068B011B"/>
    <w:rsid w:val="069420F9"/>
    <w:rsid w:val="06A222AE"/>
    <w:rsid w:val="06A52F07"/>
    <w:rsid w:val="06AF244F"/>
    <w:rsid w:val="06B034D9"/>
    <w:rsid w:val="06B76BA9"/>
    <w:rsid w:val="06BE014E"/>
    <w:rsid w:val="06BF357E"/>
    <w:rsid w:val="06E971CB"/>
    <w:rsid w:val="06ED7E79"/>
    <w:rsid w:val="06F01E74"/>
    <w:rsid w:val="06F07F7E"/>
    <w:rsid w:val="06FC5985"/>
    <w:rsid w:val="07293586"/>
    <w:rsid w:val="07295285"/>
    <w:rsid w:val="074C2F22"/>
    <w:rsid w:val="07586659"/>
    <w:rsid w:val="07636392"/>
    <w:rsid w:val="07770C56"/>
    <w:rsid w:val="078E24B3"/>
    <w:rsid w:val="0792732F"/>
    <w:rsid w:val="07994B96"/>
    <w:rsid w:val="07AA7A3C"/>
    <w:rsid w:val="07AD118D"/>
    <w:rsid w:val="07DA14FF"/>
    <w:rsid w:val="07DB2CEC"/>
    <w:rsid w:val="07E414E0"/>
    <w:rsid w:val="07E6215E"/>
    <w:rsid w:val="07ED23E6"/>
    <w:rsid w:val="08203D2F"/>
    <w:rsid w:val="0825771E"/>
    <w:rsid w:val="08355757"/>
    <w:rsid w:val="083640B7"/>
    <w:rsid w:val="0853247B"/>
    <w:rsid w:val="085E017F"/>
    <w:rsid w:val="088968DD"/>
    <w:rsid w:val="089C1F6B"/>
    <w:rsid w:val="08A02E88"/>
    <w:rsid w:val="08AA3DDD"/>
    <w:rsid w:val="08E02D4E"/>
    <w:rsid w:val="08E11D0F"/>
    <w:rsid w:val="08E20D7C"/>
    <w:rsid w:val="08EE17E9"/>
    <w:rsid w:val="08F5187C"/>
    <w:rsid w:val="08FE085E"/>
    <w:rsid w:val="090B5070"/>
    <w:rsid w:val="091156EA"/>
    <w:rsid w:val="09136153"/>
    <w:rsid w:val="092217DD"/>
    <w:rsid w:val="092D66A3"/>
    <w:rsid w:val="09334E76"/>
    <w:rsid w:val="09394B7A"/>
    <w:rsid w:val="093A440B"/>
    <w:rsid w:val="093A7294"/>
    <w:rsid w:val="093B71F2"/>
    <w:rsid w:val="094A004E"/>
    <w:rsid w:val="094D2D64"/>
    <w:rsid w:val="096E2CB6"/>
    <w:rsid w:val="096F0BD8"/>
    <w:rsid w:val="09812927"/>
    <w:rsid w:val="09A92667"/>
    <w:rsid w:val="09AF3799"/>
    <w:rsid w:val="09B47970"/>
    <w:rsid w:val="09C32A68"/>
    <w:rsid w:val="09C6113A"/>
    <w:rsid w:val="0A14667A"/>
    <w:rsid w:val="0A15791E"/>
    <w:rsid w:val="0A263993"/>
    <w:rsid w:val="0A2D3AC2"/>
    <w:rsid w:val="0A753466"/>
    <w:rsid w:val="0A8A5B55"/>
    <w:rsid w:val="0A8F1D90"/>
    <w:rsid w:val="0A926C67"/>
    <w:rsid w:val="0A972BF7"/>
    <w:rsid w:val="0A9F0911"/>
    <w:rsid w:val="0AA755DF"/>
    <w:rsid w:val="0AC21C32"/>
    <w:rsid w:val="0ACC0627"/>
    <w:rsid w:val="0B087E7F"/>
    <w:rsid w:val="0B120D44"/>
    <w:rsid w:val="0B291CB1"/>
    <w:rsid w:val="0B424B21"/>
    <w:rsid w:val="0B6E61CC"/>
    <w:rsid w:val="0B8C4E21"/>
    <w:rsid w:val="0B910E05"/>
    <w:rsid w:val="0BA2542A"/>
    <w:rsid w:val="0BBE1ABE"/>
    <w:rsid w:val="0BC018A7"/>
    <w:rsid w:val="0BD27BF6"/>
    <w:rsid w:val="0BD757B7"/>
    <w:rsid w:val="0BE53BA9"/>
    <w:rsid w:val="0BF5082C"/>
    <w:rsid w:val="0BF82869"/>
    <w:rsid w:val="0C177398"/>
    <w:rsid w:val="0C3B3C7D"/>
    <w:rsid w:val="0C56469E"/>
    <w:rsid w:val="0C6110AF"/>
    <w:rsid w:val="0C6778AC"/>
    <w:rsid w:val="0C712995"/>
    <w:rsid w:val="0C713F66"/>
    <w:rsid w:val="0CAA41DC"/>
    <w:rsid w:val="0CAB2EAE"/>
    <w:rsid w:val="0CBC184E"/>
    <w:rsid w:val="0CBD3855"/>
    <w:rsid w:val="0CD45171"/>
    <w:rsid w:val="0CDF57BF"/>
    <w:rsid w:val="0CE938C4"/>
    <w:rsid w:val="0CE95B9C"/>
    <w:rsid w:val="0CF02344"/>
    <w:rsid w:val="0D0536A4"/>
    <w:rsid w:val="0D1447BF"/>
    <w:rsid w:val="0D1611F7"/>
    <w:rsid w:val="0D184B59"/>
    <w:rsid w:val="0D237764"/>
    <w:rsid w:val="0D2D682D"/>
    <w:rsid w:val="0D621C7D"/>
    <w:rsid w:val="0D6F24D2"/>
    <w:rsid w:val="0D725F4F"/>
    <w:rsid w:val="0D8D30EE"/>
    <w:rsid w:val="0D930278"/>
    <w:rsid w:val="0DB20C17"/>
    <w:rsid w:val="0E1C22C9"/>
    <w:rsid w:val="0E4D4868"/>
    <w:rsid w:val="0E607940"/>
    <w:rsid w:val="0E6E734F"/>
    <w:rsid w:val="0E707C78"/>
    <w:rsid w:val="0E73034D"/>
    <w:rsid w:val="0E7D2A40"/>
    <w:rsid w:val="0EA01A80"/>
    <w:rsid w:val="0EA413DD"/>
    <w:rsid w:val="0ECB3F41"/>
    <w:rsid w:val="0ECF3F4E"/>
    <w:rsid w:val="0F0C791F"/>
    <w:rsid w:val="0F13775A"/>
    <w:rsid w:val="0F1E5984"/>
    <w:rsid w:val="0F272863"/>
    <w:rsid w:val="0F3634EF"/>
    <w:rsid w:val="0F3F1AA3"/>
    <w:rsid w:val="0F5F45FE"/>
    <w:rsid w:val="0F62030C"/>
    <w:rsid w:val="0F902F82"/>
    <w:rsid w:val="0F9A112B"/>
    <w:rsid w:val="0FC05E94"/>
    <w:rsid w:val="0FC244D8"/>
    <w:rsid w:val="0FCD16E5"/>
    <w:rsid w:val="0FDA7D83"/>
    <w:rsid w:val="0FE215CC"/>
    <w:rsid w:val="10007BDE"/>
    <w:rsid w:val="1010343F"/>
    <w:rsid w:val="10122D30"/>
    <w:rsid w:val="1026446E"/>
    <w:rsid w:val="102750EC"/>
    <w:rsid w:val="103435D2"/>
    <w:rsid w:val="10387DA1"/>
    <w:rsid w:val="103E56C3"/>
    <w:rsid w:val="105B2393"/>
    <w:rsid w:val="106D2F64"/>
    <w:rsid w:val="107734BE"/>
    <w:rsid w:val="1084447C"/>
    <w:rsid w:val="109202F8"/>
    <w:rsid w:val="10A26FAA"/>
    <w:rsid w:val="10AD0C8E"/>
    <w:rsid w:val="10B63710"/>
    <w:rsid w:val="10BB29C4"/>
    <w:rsid w:val="10C8473D"/>
    <w:rsid w:val="10D02F2A"/>
    <w:rsid w:val="10E0218F"/>
    <w:rsid w:val="10E71EB0"/>
    <w:rsid w:val="10EA1A0B"/>
    <w:rsid w:val="10F10820"/>
    <w:rsid w:val="10F91F06"/>
    <w:rsid w:val="11165294"/>
    <w:rsid w:val="111C2F7A"/>
    <w:rsid w:val="111D7547"/>
    <w:rsid w:val="11350622"/>
    <w:rsid w:val="1135092D"/>
    <w:rsid w:val="11514A9C"/>
    <w:rsid w:val="11665CA1"/>
    <w:rsid w:val="116A6B7F"/>
    <w:rsid w:val="11971849"/>
    <w:rsid w:val="11C9452E"/>
    <w:rsid w:val="11DF4762"/>
    <w:rsid w:val="11E077D0"/>
    <w:rsid w:val="121308DB"/>
    <w:rsid w:val="1223418E"/>
    <w:rsid w:val="12267AD6"/>
    <w:rsid w:val="122D02D9"/>
    <w:rsid w:val="122F6E5E"/>
    <w:rsid w:val="123C2DB5"/>
    <w:rsid w:val="126B2BAF"/>
    <w:rsid w:val="12791770"/>
    <w:rsid w:val="127F7438"/>
    <w:rsid w:val="1284579A"/>
    <w:rsid w:val="12897D99"/>
    <w:rsid w:val="12BF5678"/>
    <w:rsid w:val="12E3729E"/>
    <w:rsid w:val="12E43BA2"/>
    <w:rsid w:val="12F824AD"/>
    <w:rsid w:val="13011978"/>
    <w:rsid w:val="130502D2"/>
    <w:rsid w:val="13082A7C"/>
    <w:rsid w:val="130C25E4"/>
    <w:rsid w:val="130E124C"/>
    <w:rsid w:val="131077B2"/>
    <w:rsid w:val="13291F68"/>
    <w:rsid w:val="13295A6B"/>
    <w:rsid w:val="133E6D11"/>
    <w:rsid w:val="136178E2"/>
    <w:rsid w:val="136658E6"/>
    <w:rsid w:val="136974FA"/>
    <w:rsid w:val="136F285F"/>
    <w:rsid w:val="1378772D"/>
    <w:rsid w:val="137A18D7"/>
    <w:rsid w:val="139150A3"/>
    <w:rsid w:val="13951726"/>
    <w:rsid w:val="1397242F"/>
    <w:rsid w:val="139F34CD"/>
    <w:rsid w:val="13AE5449"/>
    <w:rsid w:val="13AF16AB"/>
    <w:rsid w:val="13DD7540"/>
    <w:rsid w:val="13F217DA"/>
    <w:rsid w:val="14043CCF"/>
    <w:rsid w:val="1417538B"/>
    <w:rsid w:val="14190158"/>
    <w:rsid w:val="14396509"/>
    <w:rsid w:val="14447A8A"/>
    <w:rsid w:val="144E0A71"/>
    <w:rsid w:val="1450037D"/>
    <w:rsid w:val="14602098"/>
    <w:rsid w:val="146D286C"/>
    <w:rsid w:val="146F2E2A"/>
    <w:rsid w:val="148425DE"/>
    <w:rsid w:val="14871B07"/>
    <w:rsid w:val="1494521F"/>
    <w:rsid w:val="14A82850"/>
    <w:rsid w:val="14AC175F"/>
    <w:rsid w:val="14C46695"/>
    <w:rsid w:val="14DD2C3C"/>
    <w:rsid w:val="14ED2227"/>
    <w:rsid w:val="15062C64"/>
    <w:rsid w:val="15063721"/>
    <w:rsid w:val="150C68CB"/>
    <w:rsid w:val="15101422"/>
    <w:rsid w:val="15487995"/>
    <w:rsid w:val="15521EFD"/>
    <w:rsid w:val="155C6F40"/>
    <w:rsid w:val="156D4E90"/>
    <w:rsid w:val="15877C46"/>
    <w:rsid w:val="158C5033"/>
    <w:rsid w:val="15B00B29"/>
    <w:rsid w:val="15CC1968"/>
    <w:rsid w:val="15CE68E7"/>
    <w:rsid w:val="15D72CAD"/>
    <w:rsid w:val="15D815ED"/>
    <w:rsid w:val="15E429F7"/>
    <w:rsid w:val="16035375"/>
    <w:rsid w:val="16087E1D"/>
    <w:rsid w:val="160F135E"/>
    <w:rsid w:val="162C08FC"/>
    <w:rsid w:val="162C6AF9"/>
    <w:rsid w:val="16404052"/>
    <w:rsid w:val="164879A0"/>
    <w:rsid w:val="165A15B9"/>
    <w:rsid w:val="16772C39"/>
    <w:rsid w:val="167F3C36"/>
    <w:rsid w:val="1684040D"/>
    <w:rsid w:val="16842F23"/>
    <w:rsid w:val="168F5B01"/>
    <w:rsid w:val="16AB1D95"/>
    <w:rsid w:val="16C057AB"/>
    <w:rsid w:val="16C519FA"/>
    <w:rsid w:val="16E3540A"/>
    <w:rsid w:val="17027021"/>
    <w:rsid w:val="1712246D"/>
    <w:rsid w:val="172B407F"/>
    <w:rsid w:val="172D0183"/>
    <w:rsid w:val="17333FFF"/>
    <w:rsid w:val="173601DE"/>
    <w:rsid w:val="174D31CB"/>
    <w:rsid w:val="174F6F43"/>
    <w:rsid w:val="17530504"/>
    <w:rsid w:val="176C6877"/>
    <w:rsid w:val="17701D14"/>
    <w:rsid w:val="17735226"/>
    <w:rsid w:val="17A35487"/>
    <w:rsid w:val="17A4103D"/>
    <w:rsid w:val="17B1305C"/>
    <w:rsid w:val="17CA6775"/>
    <w:rsid w:val="17CD6C41"/>
    <w:rsid w:val="17D56466"/>
    <w:rsid w:val="17EF52D0"/>
    <w:rsid w:val="18001FEB"/>
    <w:rsid w:val="180052A4"/>
    <w:rsid w:val="1804300D"/>
    <w:rsid w:val="180438B0"/>
    <w:rsid w:val="18124B3A"/>
    <w:rsid w:val="181D30C3"/>
    <w:rsid w:val="182D7E85"/>
    <w:rsid w:val="18354CE3"/>
    <w:rsid w:val="183B4B6A"/>
    <w:rsid w:val="184400AB"/>
    <w:rsid w:val="18572DE6"/>
    <w:rsid w:val="187C3D68"/>
    <w:rsid w:val="18842C1C"/>
    <w:rsid w:val="189B534A"/>
    <w:rsid w:val="189F624C"/>
    <w:rsid w:val="18A82141"/>
    <w:rsid w:val="18BC031C"/>
    <w:rsid w:val="18BC287C"/>
    <w:rsid w:val="18D61DDC"/>
    <w:rsid w:val="18E11CC6"/>
    <w:rsid w:val="19067AD5"/>
    <w:rsid w:val="190C7308"/>
    <w:rsid w:val="192E4C07"/>
    <w:rsid w:val="1930762E"/>
    <w:rsid w:val="195046BD"/>
    <w:rsid w:val="19910B9E"/>
    <w:rsid w:val="19A54BF8"/>
    <w:rsid w:val="19A83C76"/>
    <w:rsid w:val="19AC6B64"/>
    <w:rsid w:val="19AE0E9C"/>
    <w:rsid w:val="19B30C70"/>
    <w:rsid w:val="19C028F1"/>
    <w:rsid w:val="19C842F1"/>
    <w:rsid w:val="19DB12DE"/>
    <w:rsid w:val="19DE125E"/>
    <w:rsid w:val="19F05074"/>
    <w:rsid w:val="19FC5C2D"/>
    <w:rsid w:val="1A1C66C0"/>
    <w:rsid w:val="1A282310"/>
    <w:rsid w:val="1A313962"/>
    <w:rsid w:val="1A3457A7"/>
    <w:rsid w:val="1A3A4511"/>
    <w:rsid w:val="1A42393B"/>
    <w:rsid w:val="1A4B568D"/>
    <w:rsid w:val="1A547289"/>
    <w:rsid w:val="1A6D627C"/>
    <w:rsid w:val="1A75737D"/>
    <w:rsid w:val="1AAC2AA4"/>
    <w:rsid w:val="1AAC61C9"/>
    <w:rsid w:val="1AAD45DE"/>
    <w:rsid w:val="1AD45597"/>
    <w:rsid w:val="1AF66DD7"/>
    <w:rsid w:val="1B000330"/>
    <w:rsid w:val="1B010554"/>
    <w:rsid w:val="1B046F80"/>
    <w:rsid w:val="1B256122"/>
    <w:rsid w:val="1B2A1051"/>
    <w:rsid w:val="1B2E1135"/>
    <w:rsid w:val="1B3267B5"/>
    <w:rsid w:val="1B40161D"/>
    <w:rsid w:val="1B441859"/>
    <w:rsid w:val="1B524121"/>
    <w:rsid w:val="1B547A2B"/>
    <w:rsid w:val="1B633DA2"/>
    <w:rsid w:val="1B6606B1"/>
    <w:rsid w:val="1B7A3E63"/>
    <w:rsid w:val="1B8D1DA7"/>
    <w:rsid w:val="1BAB019B"/>
    <w:rsid w:val="1BAC7975"/>
    <w:rsid w:val="1BB248D2"/>
    <w:rsid w:val="1BC76F62"/>
    <w:rsid w:val="1BD40EFC"/>
    <w:rsid w:val="1BE31CC9"/>
    <w:rsid w:val="1BE47AD4"/>
    <w:rsid w:val="1C073402"/>
    <w:rsid w:val="1C0958EB"/>
    <w:rsid w:val="1C0F7920"/>
    <w:rsid w:val="1C11441E"/>
    <w:rsid w:val="1C1B0F6D"/>
    <w:rsid w:val="1C4126E9"/>
    <w:rsid w:val="1C462183"/>
    <w:rsid w:val="1C4F709D"/>
    <w:rsid w:val="1C5E7925"/>
    <w:rsid w:val="1C693CE4"/>
    <w:rsid w:val="1C7963E3"/>
    <w:rsid w:val="1C8036FB"/>
    <w:rsid w:val="1C9408C5"/>
    <w:rsid w:val="1CA26FDB"/>
    <w:rsid w:val="1CB33AD0"/>
    <w:rsid w:val="1CBF05F1"/>
    <w:rsid w:val="1CDC1565"/>
    <w:rsid w:val="1CDD504A"/>
    <w:rsid w:val="1CFD070F"/>
    <w:rsid w:val="1D2E6911"/>
    <w:rsid w:val="1D457D4C"/>
    <w:rsid w:val="1D5F6196"/>
    <w:rsid w:val="1D6132A5"/>
    <w:rsid w:val="1D631052"/>
    <w:rsid w:val="1D8E4129"/>
    <w:rsid w:val="1D8E56D5"/>
    <w:rsid w:val="1D9122AD"/>
    <w:rsid w:val="1DA66FC9"/>
    <w:rsid w:val="1DB45DBF"/>
    <w:rsid w:val="1DBC78EF"/>
    <w:rsid w:val="1DD159E2"/>
    <w:rsid w:val="1DD22BB3"/>
    <w:rsid w:val="1DD47488"/>
    <w:rsid w:val="1DE64F71"/>
    <w:rsid w:val="1DF718BD"/>
    <w:rsid w:val="1DFB28D0"/>
    <w:rsid w:val="1E0A26AE"/>
    <w:rsid w:val="1E3D7672"/>
    <w:rsid w:val="1E437E86"/>
    <w:rsid w:val="1E5F5A19"/>
    <w:rsid w:val="1E6105BE"/>
    <w:rsid w:val="1E695419"/>
    <w:rsid w:val="1E7A43DA"/>
    <w:rsid w:val="1E8E0351"/>
    <w:rsid w:val="1EA16702"/>
    <w:rsid w:val="1EB1403F"/>
    <w:rsid w:val="1EBE7AE5"/>
    <w:rsid w:val="1EDB6AFD"/>
    <w:rsid w:val="1EDD158D"/>
    <w:rsid w:val="1EFC5836"/>
    <w:rsid w:val="1F070C5D"/>
    <w:rsid w:val="1F07748A"/>
    <w:rsid w:val="1F185E6D"/>
    <w:rsid w:val="1F394C55"/>
    <w:rsid w:val="1F4D3A9D"/>
    <w:rsid w:val="1F7008CC"/>
    <w:rsid w:val="1F896D6A"/>
    <w:rsid w:val="1F8D2B3E"/>
    <w:rsid w:val="1FA5430F"/>
    <w:rsid w:val="1FAC1C02"/>
    <w:rsid w:val="1FB72858"/>
    <w:rsid w:val="1FBA17BE"/>
    <w:rsid w:val="1FC3227C"/>
    <w:rsid w:val="1FCD6B38"/>
    <w:rsid w:val="1FD27C73"/>
    <w:rsid w:val="1FD955FC"/>
    <w:rsid w:val="1FDF2642"/>
    <w:rsid w:val="1FE7539E"/>
    <w:rsid w:val="1FFC12EA"/>
    <w:rsid w:val="201971AD"/>
    <w:rsid w:val="203C0B25"/>
    <w:rsid w:val="20487A38"/>
    <w:rsid w:val="204B41C7"/>
    <w:rsid w:val="205D1159"/>
    <w:rsid w:val="20671BE0"/>
    <w:rsid w:val="206B7395"/>
    <w:rsid w:val="206C37D9"/>
    <w:rsid w:val="20880DD0"/>
    <w:rsid w:val="208B2CFC"/>
    <w:rsid w:val="20947775"/>
    <w:rsid w:val="20963CB8"/>
    <w:rsid w:val="20A81A1B"/>
    <w:rsid w:val="20AD41C3"/>
    <w:rsid w:val="20B07FB6"/>
    <w:rsid w:val="20B646FB"/>
    <w:rsid w:val="20D07379"/>
    <w:rsid w:val="20DD7274"/>
    <w:rsid w:val="20EC5803"/>
    <w:rsid w:val="210B07A3"/>
    <w:rsid w:val="211A2E9E"/>
    <w:rsid w:val="21271617"/>
    <w:rsid w:val="212B0D6C"/>
    <w:rsid w:val="213B74B1"/>
    <w:rsid w:val="21404423"/>
    <w:rsid w:val="21425C57"/>
    <w:rsid w:val="21485899"/>
    <w:rsid w:val="215A2310"/>
    <w:rsid w:val="215C2FAE"/>
    <w:rsid w:val="219E1EEC"/>
    <w:rsid w:val="21A3776C"/>
    <w:rsid w:val="21C46D49"/>
    <w:rsid w:val="21C76B8A"/>
    <w:rsid w:val="21CB5C86"/>
    <w:rsid w:val="21DE318A"/>
    <w:rsid w:val="21E024F4"/>
    <w:rsid w:val="21E06D3E"/>
    <w:rsid w:val="21EF5B80"/>
    <w:rsid w:val="21FC3E40"/>
    <w:rsid w:val="220E594E"/>
    <w:rsid w:val="22192627"/>
    <w:rsid w:val="2224432D"/>
    <w:rsid w:val="22290A6E"/>
    <w:rsid w:val="22326065"/>
    <w:rsid w:val="2241059C"/>
    <w:rsid w:val="2241550C"/>
    <w:rsid w:val="22431452"/>
    <w:rsid w:val="22434CED"/>
    <w:rsid w:val="225465B6"/>
    <w:rsid w:val="22576990"/>
    <w:rsid w:val="22AF4D3A"/>
    <w:rsid w:val="22BB3EB7"/>
    <w:rsid w:val="22DF35BD"/>
    <w:rsid w:val="22EE5769"/>
    <w:rsid w:val="22EF1C2D"/>
    <w:rsid w:val="22F47480"/>
    <w:rsid w:val="22F563F5"/>
    <w:rsid w:val="2309350F"/>
    <w:rsid w:val="231C5064"/>
    <w:rsid w:val="231E495D"/>
    <w:rsid w:val="232C638A"/>
    <w:rsid w:val="23425E7A"/>
    <w:rsid w:val="2370304B"/>
    <w:rsid w:val="239F090A"/>
    <w:rsid w:val="23AA3369"/>
    <w:rsid w:val="23AA6B74"/>
    <w:rsid w:val="23B564F8"/>
    <w:rsid w:val="23B7280F"/>
    <w:rsid w:val="23D01EF0"/>
    <w:rsid w:val="23DE1C48"/>
    <w:rsid w:val="23EB1DF0"/>
    <w:rsid w:val="23F07822"/>
    <w:rsid w:val="240210CD"/>
    <w:rsid w:val="2405104B"/>
    <w:rsid w:val="242D76B5"/>
    <w:rsid w:val="245D2750"/>
    <w:rsid w:val="246A29E4"/>
    <w:rsid w:val="246D33A3"/>
    <w:rsid w:val="248D05EE"/>
    <w:rsid w:val="24A24B56"/>
    <w:rsid w:val="24A64293"/>
    <w:rsid w:val="24BB682F"/>
    <w:rsid w:val="24BF09F7"/>
    <w:rsid w:val="24CB5B71"/>
    <w:rsid w:val="24CF13EB"/>
    <w:rsid w:val="24D070C4"/>
    <w:rsid w:val="24D60827"/>
    <w:rsid w:val="24DA6891"/>
    <w:rsid w:val="24E974BA"/>
    <w:rsid w:val="24EC52B4"/>
    <w:rsid w:val="24FA7982"/>
    <w:rsid w:val="250261CB"/>
    <w:rsid w:val="251161D5"/>
    <w:rsid w:val="2512514D"/>
    <w:rsid w:val="251D1A3C"/>
    <w:rsid w:val="252B156E"/>
    <w:rsid w:val="252D53FE"/>
    <w:rsid w:val="253F6DAA"/>
    <w:rsid w:val="25511985"/>
    <w:rsid w:val="25740658"/>
    <w:rsid w:val="2575365A"/>
    <w:rsid w:val="257B0F03"/>
    <w:rsid w:val="259E4A89"/>
    <w:rsid w:val="25A364C2"/>
    <w:rsid w:val="25CA2F29"/>
    <w:rsid w:val="25CA4F55"/>
    <w:rsid w:val="25CD79B1"/>
    <w:rsid w:val="25DB4B18"/>
    <w:rsid w:val="25EC2D81"/>
    <w:rsid w:val="26086100"/>
    <w:rsid w:val="26087C65"/>
    <w:rsid w:val="261F3972"/>
    <w:rsid w:val="262519CF"/>
    <w:rsid w:val="263961BB"/>
    <w:rsid w:val="264F34EB"/>
    <w:rsid w:val="26753EE4"/>
    <w:rsid w:val="267E0CAB"/>
    <w:rsid w:val="269C50D3"/>
    <w:rsid w:val="26A34BB6"/>
    <w:rsid w:val="26B93DA9"/>
    <w:rsid w:val="26E81CEF"/>
    <w:rsid w:val="26F539CC"/>
    <w:rsid w:val="271122B0"/>
    <w:rsid w:val="2711757F"/>
    <w:rsid w:val="27340456"/>
    <w:rsid w:val="275928EF"/>
    <w:rsid w:val="275D65A5"/>
    <w:rsid w:val="277057A2"/>
    <w:rsid w:val="27735821"/>
    <w:rsid w:val="277420AE"/>
    <w:rsid w:val="277F07BF"/>
    <w:rsid w:val="27851F88"/>
    <w:rsid w:val="27A856B0"/>
    <w:rsid w:val="27AB3D22"/>
    <w:rsid w:val="27B454A0"/>
    <w:rsid w:val="27DA3688"/>
    <w:rsid w:val="27DA7F4F"/>
    <w:rsid w:val="27FE0215"/>
    <w:rsid w:val="281C0F13"/>
    <w:rsid w:val="28364338"/>
    <w:rsid w:val="283F7031"/>
    <w:rsid w:val="28530EB1"/>
    <w:rsid w:val="28553C8E"/>
    <w:rsid w:val="285553C0"/>
    <w:rsid w:val="28985A0C"/>
    <w:rsid w:val="28A80F57"/>
    <w:rsid w:val="28B516B5"/>
    <w:rsid w:val="28CC03F4"/>
    <w:rsid w:val="28D12A3F"/>
    <w:rsid w:val="28D91C14"/>
    <w:rsid w:val="28E538A1"/>
    <w:rsid w:val="29206EB8"/>
    <w:rsid w:val="294E705B"/>
    <w:rsid w:val="29595666"/>
    <w:rsid w:val="296056EA"/>
    <w:rsid w:val="297C4AEF"/>
    <w:rsid w:val="29851821"/>
    <w:rsid w:val="29874881"/>
    <w:rsid w:val="298903D6"/>
    <w:rsid w:val="2990733E"/>
    <w:rsid w:val="29AB6F7A"/>
    <w:rsid w:val="29BB34E6"/>
    <w:rsid w:val="29C33DBE"/>
    <w:rsid w:val="29D74E20"/>
    <w:rsid w:val="29E325E0"/>
    <w:rsid w:val="29FE7860"/>
    <w:rsid w:val="2A0249AB"/>
    <w:rsid w:val="2A0251D7"/>
    <w:rsid w:val="2A1C65C3"/>
    <w:rsid w:val="2A240CA2"/>
    <w:rsid w:val="2A245105"/>
    <w:rsid w:val="2A291622"/>
    <w:rsid w:val="2A2D5960"/>
    <w:rsid w:val="2A452503"/>
    <w:rsid w:val="2A5F2B4C"/>
    <w:rsid w:val="2A6016EC"/>
    <w:rsid w:val="2A7D127A"/>
    <w:rsid w:val="2A894D36"/>
    <w:rsid w:val="2A9A1E2C"/>
    <w:rsid w:val="2AAD6B21"/>
    <w:rsid w:val="2AB25795"/>
    <w:rsid w:val="2AB7478C"/>
    <w:rsid w:val="2ABE3473"/>
    <w:rsid w:val="2AC43A89"/>
    <w:rsid w:val="2ADE7A5F"/>
    <w:rsid w:val="2AE412F9"/>
    <w:rsid w:val="2AEC1E40"/>
    <w:rsid w:val="2B0133A6"/>
    <w:rsid w:val="2B0A0D5F"/>
    <w:rsid w:val="2B0A60F6"/>
    <w:rsid w:val="2B0B4C25"/>
    <w:rsid w:val="2B1D195C"/>
    <w:rsid w:val="2B1F11CE"/>
    <w:rsid w:val="2B3446C6"/>
    <w:rsid w:val="2B5D3E56"/>
    <w:rsid w:val="2B6014C9"/>
    <w:rsid w:val="2B616AC5"/>
    <w:rsid w:val="2B74267D"/>
    <w:rsid w:val="2B866E8E"/>
    <w:rsid w:val="2B8E113F"/>
    <w:rsid w:val="2BA174C8"/>
    <w:rsid w:val="2BA936A8"/>
    <w:rsid w:val="2BB314EE"/>
    <w:rsid w:val="2BB31CB7"/>
    <w:rsid w:val="2BDE7848"/>
    <w:rsid w:val="2BE11CDE"/>
    <w:rsid w:val="2BFA49CF"/>
    <w:rsid w:val="2C1B06B1"/>
    <w:rsid w:val="2C315A5A"/>
    <w:rsid w:val="2C34264F"/>
    <w:rsid w:val="2C4368D7"/>
    <w:rsid w:val="2C497C25"/>
    <w:rsid w:val="2C4B1C25"/>
    <w:rsid w:val="2C55010D"/>
    <w:rsid w:val="2C662116"/>
    <w:rsid w:val="2C7B1AEF"/>
    <w:rsid w:val="2C8A6422"/>
    <w:rsid w:val="2C92793F"/>
    <w:rsid w:val="2C9F0D7E"/>
    <w:rsid w:val="2CA40EE5"/>
    <w:rsid w:val="2CC156B5"/>
    <w:rsid w:val="2CFC5020"/>
    <w:rsid w:val="2D067C4C"/>
    <w:rsid w:val="2D07221A"/>
    <w:rsid w:val="2D08355B"/>
    <w:rsid w:val="2D350C91"/>
    <w:rsid w:val="2D4135F1"/>
    <w:rsid w:val="2D5029C5"/>
    <w:rsid w:val="2D9E56F5"/>
    <w:rsid w:val="2DA743CC"/>
    <w:rsid w:val="2DA776DC"/>
    <w:rsid w:val="2DB05DB4"/>
    <w:rsid w:val="2DB9081B"/>
    <w:rsid w:val="2DDD6BFF"/>
    <w:rsid w:val="2DDF78BC"/>
    <w:rsid w:val="2DE0049D"/>
    <w:rsid w:val="2DF2421D"/>
    <w:rsid w:val="2E0C01D1"/>
    <w:rsid w:val="2E1F154B"/>
    <w:rsid w:val="2E201960"/>
    <w:rsid w:val="2E342923"/>
    <w:rsid w:val="2E4A28D6"/>
    <w:rsid w:val="2E4E4BFE"/>
    <w:rsid w:val="2E667F96"/>
    <w:rsid w:val="2E804F16"/>
    <w:rsid w:val="2E8226AB"/>
    <w:rsid w:val="2E967E42"/>
    <w:rsid w:val="2EC67A1B"/>
    <w:rsid w:val="2EDA21A9"/>
    <w:rsid w:val="2F16253C"/>
    <w:rsid w:val="2F175EEA"/>
    <w:rsid w:val="2F2047B7"/>
    <w:rsid w:val="2F250638"/>
    <w:rsid w:val="2F2A082E"/>
    <w:rsid w:val="2F5C786B"/>
    <w:rsid w:val="2F6E7DDF"/>
    <w:rsid w:val="2F994708"/>
    <w:rsid w:val="2F9E6293"/>
    <w:rsid w:val="2FBA4F68"/>
    <w:rsid w:val="2FCA1612"/>
    <w:rsid w:val="2FD065E6"/>
    <w:rsid w:val="2FD96870"/>
    <w:rsid w:val="2FF00E50"/>
    <w:rsid w:val="2FF266E5"/>
    <w:rsid w:val="2FF30C5B"/>
    <w:rsid w:val="2FFF3A59"/>
    <w:rsid w:val="30044626"/>
    <w:rsid w:val="300D74DD"/>
    <w:rsid w:val="301545AB"/>
    <w:rsid w:val="30204730"/>
    <w:rsid w:val="302A4E2F"/>
    <w:rsid w:val="303A214D"/>
    <w:rsid w:val="303C4D07"/>
    <w:rsid w:val="304C0225"/>
    <w:rsid w:val="30580BC9"/>
    <w:rsid w:val="305E6FC3"/>
    <w:rsid w:val="30700B11"/>
    <w:rsid w:val="3081342E"/>
    <w:rsid w:val="309702F4"/>
    <w:rsid w:val="309B4B1C"/>
    <w:rsid w:val="30A90A41"/>
    <w:rsid w:val="30DC7749"/>
    <w:rsid w:val="30EF6F47"/>
    <w:rsid w:val="30F0202F"/>
    <w:rsid w:val="30F2476F"/>
    <w:rsid w:val="30FD168D"/>
    <w:rsid w:val="311E2ED7"/>
    <w:rsid w:val="312A6D95"/>
    <w:rsid w:val="313A08C2"/>
    <w:rsid w:val="315619EE"/>
    <w:rsid w:val="315C449C"/>
    <w:rsid w:val="31852005"/>
    <w:rsid w:val="31886C6C"/>
    <w:rsid w:val="319E148A"/>
    <w:rsid w:val="31B82709"/>
    <w:rsid w:val="31C854D0"/>
    <w:rsid w:val="31D05482"/>
    <w:rsid w:val="31D24707"/>
    <w:rsid w:val="31DE1711"/>
    <w:rsid w:val="31F14A27"/>
    <w:rsid w:val="31F938DC"/>
    <w:rsid w:val="32005E73"/>
    <w:rsid w:val="321E7364"/>
    <w:rsid w:val="322466AC"/>
    <w:rsid w:val="323C7F83"/>
    <w:rsid w:val="32400B34"/>
    <w:rsid w:val="32540C9A"/>
    <w:rsid w:val="32734433"/>
    <w:rsid w:val="328C3A47"/>
    <w:rsid w:val="328C6723"/>
    <w:rsid w:val="329E6876"/>
    <w:rsid w:val="32A95784"/>
    <w:rsid w:val="32C35874"/>
    <w:rsid w:val="32CD6D20"/>
    <w:rsid w:val="32D96431"/>
    <w:rsid w:val="32DF0D23"/>
    <w:rsid w:val="32FE2484"/>
    <w:rsid w:val="33103D3A"/>
    <w:rsid w:val="3319275D"/>
    <w:rsid w:val="331E68F0"/>
    <w:rsid w:val="332474D1"/>
    <w:rsid w:val="333015F2"/>
    <w:rsid w:val="33380434"/>
    <w:rsid w:val="334B6320"/>
    <w:rsid w:val="33806E96"/>
    <w:rsid w:val="33812B59"/>
    <w:rsid w:val="33882415"/>
    <w:rsid w:val="338E62A6"/>
    <w:rsid w:val="33BC2F6E"/>
    <w:rsid w:val="33D83F8D"/>
    <w:rsid w:val="33D934D4"/>
    <w:rsid w:val="33FE2F6A"/>
    <w:rsid w:val="33FF6B03"/>
    <w:rsid w:val="340E07E5"/>
    <w:rsid w:val="34235BF7"/>
    <w:rsid w:val="342E7B02"/>
    <w:rsid w:val="342F3579"/>
    <w:rsid w:val="344A041F"/>
    <w:rsid w:val="34510E4C"/>
    <w:rsid w:val="345733B3"/>
    <w:rsid w:val="346040E6"/>
    <w:rsid w:val="34623B74"/>
    <w:rsid w:val="347A2111"/>
    <w:rsid w:val="348E321C"/>
    <w:rsid w:val="34993E2F"/>
    <w:rsid w:val="349D0E96"/>
    <w:rsid w:val="34AE6BFF"/>
    <w:rsid w:val="34CB54BF"/>
    <w:rsid w:val="34CB78A0"/>
    <w:rsid w:val="34DB5BD3"/>
    <w:rsid w:val="34E651F8"/>
    <w:rsid w:val="34F47AD9"/>
    <w:rsid w:val="350A11BB"/>
    <w:rsid w:val="350B6670"/>
    <w:rsid w:val="353E6772"/>
    <w:rsid w:val="35453E03"/>
    <w:rsid w:val="3552554F"/>
    <w:rsid w:val="355F2D79"/>
    <w:rsid w:val="35781AC2"/>
    <w:rsid w:val="358C5FA8"/>
    <w:rsid w:val="359A59C3"/>
    <w:rsid w:val="35A30C19"/>
    <w:rsid w:val="35A3490F"/>
    <w:rsid w:val="35A525D9"/>
    <w:rsid w:val="35A63A3C"/>
    <w:rsid w:val="35AE62B5"/>
    <w:rsid w:val="35C15DF1"/>
    <w:rsid w:val="35C754D3"/>
    <w:rsid w:val="35DA600B"/>
    <w:rsid w:val="35DE52C2"/>
    <w:rsid w:val="35E211CE"/>
    <w:rsid w:val="35EA010B"/>
    <w:rsid w:val="35EA25D4"/>
    <w:rsid w:val="35EB3E83"/>
    <w:rsid w:val="35ED16EB"/>
    <w:rsid w:val="35F34D58"/>
    <w:rsid w:val="35F83609"/>
    <w:rsid w:val="36074A7F"/>
    <w:rsid w:val="360B5E87"/>
    <w:rsid w:val="360F369C"/>
    <w:rsid w:val="361E1B63"/>
    <w:rsid w:val="36277AC3"/>
    <w:rsid w:val="36305A88"/>
    <w:rsid w:val="36392B39"/>
    <w:rsid w:val="363C7BB1"/>
    <w:rsid w:val="364A7726"/>
    <w:rsid w:val="36523FA8"/>
    <w:rsid w:val="36563B79"/>
    <w:rsid w:val="367E12E6"/>
    <w:rsid w:val="36923549"/>
    <w:rsid w:val="369722A4"/>
    <w:rsid w:val="36A51B6A"/>
    <w:rsid w:val="36A55AEE"/>
    <w:rsid w:val="36A55DE0"/>
    <w:rsid w:val="36B2744A"/>
    <w:rsid w:val="36B36661"/>
    <w:rsid w:val="36B75FBF"/>
    <w:rsid w:val="36BB5604"/>
    <w:rsid w:val="36BD0C45"/>
    <w:rsid w:val="36E13C5D"/>
    <w:rsid w:val="37157582"/>
    <w:rsid w:val="372A369B"/>
    <w:rsid w:val="37363B63"/>
    <w:rsid w:val="373643C9"/>
    <w:rsid w:val="375657DC"/>
    <w:rsid w:val="376C68FE"/>
    <w:rsid w:val="377A48C2"/>
    <w:rsid w:val="37993AD8"/>
    <w:rsid w:val="3799660A"/>
    <w:rsid w:val="37AE6E32"/>
    <w:rsid w:val="37D22CE2"/>
    <w:rsid w:val="37DE4A19"/>
    <w:rsid w:val="37E00298"/>
    <w:rsid w:val="37E312B6"/>
    <w:rsid w:val="37E9160B"/>
    <w:rsid w:val="37F57497"/>
    <w:rsid w:val="37FD592D"/>
    <w:rsid w:val="381F7804"/>
    <w:rsid w:val="382676CE"/>
    <w:rsid w:val="38312359"/>
    <w:rsid w:val="383642D2"/>
    <w:rsid w:val="384D3002"/>
    <w:rsid w:val="385C5BD0"/>
    <w:rsid w:val="387D1AA8"/>
    <w:rsid w:val="387E5030"/>
    <w:rsid w:val="38832151"/>
    <w:rsid w:val="388D565C"/>
    <w:rsid w:val="38AB2CA1"/>
    <w:rsid w:val="38B302F9"/>
    <w:rsid w:val="38D04086"/>
    <w:rsid w:val="38DE675E"/>
    <w:rsid w:val="38E7387E"/>
    <w:rsid w:val="38F12CD3"/>
    <w:rsid w:val="38F94775"/>
    <w:rsid w:val="391A124C"/>
    <w:rsid w:val="3929156E"/>
    <w:rsid w:val="392971ED"/>
    <w:rsid w:val="392A081F"/>
    <w:rsid w:val="39325651"/>
    <w:rsid w:val="39331403"/>
    <w:rsid w:val="393726DA"/>
    <w:rsid w:val="393F49A3"/>
    <w:rsid w:val="3942200C"/>
    <w:rsid w:val="396F531B"/>
    <w:rsid w:val="39882115"/>
    <w:rsid w:val="39A567E1"/>
    <w:rsid w:val="39A91DF3"/>
    <w:rsid w:val="39BC5B7D"/>
    <w:rsid w:val="39BF470A"/>
    <w:rsid w:val="39FF7A3B"/>
    <w:rsid w:val="3A287454"/>
    <w:rsid w:val="3A3C4DF1"/>
    <w:rsid w:val="3A661559"/>
    <w:rsid w:val="3A6855F4"/>
    <w:rsid w:val="3A850071"/>
    <w:rsid w:val="3A872856"/>
    <w:rsid w:val="3AA86AE2"/>
    <w:rsid w:val="3AAA34FC"/>
    <w:rsid w:val="3ACA6342"/>
    <w:rsid w:val="3ACC319B"/>
    <w:rsid w:val="3ADC721B"/>
    <w:rsid w:val="3ADF5F31"/>
    <w:rsid w:val="3AFC2F5D"/>
    <w:rsid w:val="3B0A6386"/>
    <w:rsid w:val="3B152347"/>
    <w:rsid w:val="3B3763D1"/>
    <w:rsid w:val="3B561ECE"/>
    <w:rsid w:val="3B5F2B36"/>
    <w:rsid w:val="3B716C00"/>
    <w:rsid w:val="3BAF6B93"/>
    <w:rsid w:val="3BB6480A"/>
    <w:rsid w:val="3BBA3EBD"/>
    <w:rsid w:val="3BC72E96"/>
    <w:rsid w:val="3BC9096F"/>
    <w:rsid w:val="3BCE4F4F"/>
    <w:rsid w:val="3BEA1007"/>
    <w:rsid w:val="3BF75330"/>
    <w:rsid w:val="3BF84C04"/>
    <w:rsid w:val="3BFF2985"/>
    <w:rsid w:val="3C027831"/>
    <w:rsid w:val="3C060031"/>
    <w:rsid w:val="3C232307"/>
    <w:rsid w:val="3C2F6E1E"/>
    <w:rsid w:val="3C300459"/>
    <w:rsid w:val="3C31550F"/>
    <w:rsid w:val="3C3F59BB"/>
    <w:rsid w:val="3C3F7F9B"/>
    <w:rsid w:val="3C4F64BA"/>
    <w:rsid w:val="3C5877A6"/>
    <w:rsid w:val="3C667602"/>
    <w:rsid w:val="3C6B6C4F"/>
    <w:rsid w:val="3C8126B5"/>
    <w:rsid w:val="3C9E129F"/>
    <w:rsid w:val="3CA02F73"/>
    <w:rsid w:val="3CAD4859"/>
    <w:rsid w:val="3CCE15C7"/>
    <w:rsid w:val="3CDA245A"/>
    <w:rsid w:val="3CE413CA"/>
    <w:rsid w:val="3CF72E60"/>
    <w:rsid w:val="3CFD4328"/>
    <w:rsid w:val="3D026C12"/>
    <w:rsid w:val="3D1E06B7"/>
    <w:rsid w:val="3D1E410E"/>
    <w:rsid w:val="3D430B38"/>
    <w:rsid w:val="3D4F3E78"/>
    <w:rsid w:val="3D665E3D"/>
    <w:rsid w:val="3D7129EF"/>
    <w:rsid w:val="3DA45043"/>
    <w:rsid w:val="3DD87C62"/>
    <w:rsid w:val="3DE12BE7"/>
    <w:rsid w:val="3DF00453"/>
    <w:rsid w:val="3E023640"/>
    <w:rsid w:val="3E0F737B"/>
    <w:rsid w:val="3E1366DC"/>
    <w:rsid w:val="3E1F7F27"/>
    <w:rsid w:val="3E2712AB"/>
    <w:rsid w:val="3E351006"/>
    <w:rsid w:val="3E7D762B"/>
    <w:rsid w:val="3E8B33C1"/>
    <w:rsid w:val="3E8D5AD7"/>
    <w:rsid w:val="3EA47D60"/>
    <w:rsid w:val="3EB923E1"/>
    <w:rsid w:val="3EC11DEC"/>
    <w:rsid w:val="3EDA0523"/>
    <w:rsid w:val="3EE84AD5"/>
    <w:rsid w:val="3EE85942"/>
    <w:rsid w:val="3EF248A6"/>
    <w:rsid w:val="3F067DCC"/>
    <w:rsid w:val="3F0A3C67"/>
    <w:rsid w:val="3F335E82"/>
    <w:rsid w:val="3F435507"/>
    <w:rsid w:val="3F441A7D"/>
    <w:rsid w:val="3F463268"/>
    <w:rsid w:val="3F48496D"/>
    <w:rsid w:val="3F5174B6"/>
    <w:rsid w:val="3F534A4D"/>
    <w:rsid w:val="3F5F61C7"/>
    <w:rsid w:val="3F664F5A"/>
    <w:rsid w:val="3F697A3E"/>
    <w:rsid w:val="3F6D1C21"/>
    <w:rsid w:val="3F813644"/>
    <w:rsid w:val="3F8B3517"/>
    <w:rsid w:val="3FBB0422"/>
    <w:rsid w:val="3FCE45FA"/>
    <w:rsid w:val="3FD8621B"/>
    <w:rsid w:val="3FDC4CAC"/>
    <w:rsid w:val="3FE43E1D"/>
    <w:rsid w:val="3FF37E0C"/>
    <w:rsid w:val="3FF83425"/>
    <w:rsid w:val="4022565A"/>
    <w:rsid w:val="40241831"/>
    <w:rsid w:val="402B0959"/>
    <w:rsid w:val="4031451E"/>
    <w:rsid w:val="40490456"/>
    <w:rsid w:val="4053653B"/>
    <w:rsid w:val="40611AD1"/>
    <w:rsid w:val="406642E3"/>
    <w:rsid w:val="407A6407"/>
    <w:rsid w:val="40874E95"/>
    <w:rsid w:val="40994F3A"/>
    <w:rsid w:val="409D7F9B"/>
    <w:rsid w:val="40AC4BEA"/>
    <w:rsid w:val="40B82BB4"/>
    <w:rsid w:val="40BC6C4D"/>
    <w:rsid w:val="40BD3180"/>
    <w:rsid w:val="410257C3"/>
    <w:rsid w:val="410744AB"/>
    <w:rsid w:val="41104F89"/>
    <w:rsid w:val="411946C9"/>
    <w:rsid w:val="411A3E54"/>
    <w:rsid w:val="4126586E"/>
    <w:rsid w:val="41684A21"/>
    <w:rsid w:val="417443E2"/>
    <w:rsid w:val="41924CE0"/>
    <w:rsid w:val="419F6759"/>
    <w:rsid w:val="41A51AFA"/>
    <w:rsid w:val="41BB4F9E"/>
    <w:rsid w:val="41D932F0"/>
    <w:rsid w:val="41E179CD"/>
    <w:rsid w:val="41E974C9"/>
    <w:rsid w:val="41EF77EF"/>
    <w:rsid w:val="4200449D"/>
    <w:rsid w:val="421F6FBB"/>
    <w:rsid w:val="423A3BCC"/>
    <w:rsid w:val="42470693"/>
    <w:rsid w:val="424E57D2"/>
    <w:rsid w:val="425D4D4F"/>
    <w:rsid w:val="429332B5"/>
    <w:rsid w:val="429F44C8"/>
    <w:rsid w:val="42AD0B36"/>
    <w:rsid w:val="42B26C49"/>
    <w:rsid w:val="42C76898"/>
    <w:rsid w:val="42CD2946"/>
    <w:rsid w:val="42D969D7"/>
    <w:rsid w:val="42E8378D"/>
    <w:rsid w:val="42F508F3"/>
    <w:rsid w:val="42F70516"/>
    <w:rsid w:val="43110EB7"/>
    <w:rsid w:val="431549F4"/>
    <w:rsid w:val="4318152E"/>
    <w:rsid w:val="43291AF6"/>
    <w:rsid w:val="43326C4D"/>
    <w:rsid w:val="433A6FE6"/>
    <w:rsid w:val="433B2D6F"/>
    <w:rsid w:val="433C6067"/>
    <w:rsid w:val="43480868"/>
    <w:rsid w:val="4350713C"/>
    <w:rsid w:val="43586A8F"/>
    <w:rsid w:val="436653E0"/>
    <w:rsid w:val="436B5777"/>
    <w:rsid w:val="436B7559"/>
    <w:rsid w:val="439732EB"/>
    <w:rsid w:val="43A46C72"/>
    <w:rsid w:val="43A9146B"/>
    <w:rsid w:val="43BA332C"/>
    <w:rsid w:val="43C4431A"/>
    <w:rsid w:val="43E13F58"/>
    <w:rsid w:val="43E31D6D"/>
    <w:rsid w:val="43F349C9"/>
    <w:rsid w:val="43F83687"/>
    <w:rsid w:val="43FD36FF"/>
    <w:rsid w:val="440C749E"/>
    <w:rsid w:val="441C7509"/>
    <w:rsid w:val="44336BFB"/>
    <w:rsid w:val="4435440B"/>
    <w:rsid w:val="444454E4"/>
    <w:rsid w:val="4444657D"/>
    <w:rsid w:val="444A6E62"/>
    <w:rsid w:val="44510ED9"/>
    <w:rsid w:val="44580D74"/>
    <w:rsid w:val="448751CB"/>
    <w:rsid w:val="448B5126"/>
    <w:rsid w:val="44AB1977"/>
    <w:rsid w:val="44B951CC"/>
    <w:rsid w:val="44C2744E"/>
    <w:rsid w:val="44CD14E0"/>
    <w:rsid w:val="44DC663D"/>
    <w:rsid w:val="44E03889"/>
    <w:rsid w:val="44E80CBF"/>
    <w:rsid w:val="44E93D00"/>
    <w:rsid w:val="44EF3B5A"/>
    <w:rsid w:val="44F20B0B"/>
    <w:rsid w:val="4524691F"/>
    <w:rsid w:val="452E5F4C"/>
    <w:rsid w:val="453F0F59"/>
    <w:rsid w:val="4542075B"/>
    <w:rsid w:val="45592BB7"/>
    <w:rsid w:val="45612018"/>
    <w:rsid w:val="456A589F"/>
    <w:rsid w:val="45837F57"/>
    <w:rsid w:val="458946E9"/>
    <w:rsid w:val="45914AD1"/>
    <w:rsid w:val="45A47C0E"/>
    <w:rsid w:val="45CA37AD"/>
    <w:rsid w:val="45D108FB"/>
    <w:rsid w:val="45D537D2"/>
    <w:rsid w:val="45E1148D"/>
    <w:rsid w:val="45E944F0"/>
    <w:rsid w:val="45FB0738"/>
    <w:rsid w:val="460511BA"/>
    <w:rsid w:val="462949D8"/>
    <w:rsid w:val="463F5A9C"/>
    <w:rsid w:val="4641045E"/>
    <w:rsid w:val="464D7AD2"/>
    <w:rsid w:val="465313B5"/>
    <w:rsid w:val="46577FD6"/>
    <w:rsid w:val="467F04C8"/>
    <w:rsid w:val="469F284C"/>
    <w:rsid w:val="46AD75F6"/>
    <w:rsid w:val="46CA196C"/>
    <w:rsid w:val="46D955A7"/>
    <w:rsid w:val="46E00FD3"/>
    <w:rsid w:val="46FD0DE1"/>
    <w:rsid w:val="47133957"/>
    <w:rsid w:val="474E31FD"/>
    <w:rsid w:val="4757775B"/>
    <w:rsid w:val="47775A74"/>
    <w:rsid w:val="47891225"/>
    <w:rsid w:val="478B2001"/>
    <w:rsid w:val="47A07E0C"/>
    <w:rsid w:val="47A910C7"/>
    <w:rsid w:val="47AF4A6C"/>
    <w:rsid w:val="47CB16F1"/>
    <w:rsid w:val="47E439F9"/>
    <w:rsid w:val="47FB5EEE"/>
    <w:rsid w:val="47FC0820"/>
    <w:rsid w:val="480C2900"/>
    <w:rsid w:val="480D7024"/>
    <w:rsid w:val="4818364C"/>
    <w:rsid w:val="482C16B8"/>
    <w:rsid w:val="4830426A"/>
    <w:rsid w:val="48515DC8"/>
    <w:rsid w:val="4870272E"/>
    <w:rsid w:val="489615F0"/>
    <w:rsid w:val="48A00AFD"/>
    <w:rsid w:val="48B37ADC"/>
    <w:rsid w:val="48B42397"/>
    <w:rsid w:val="48B50F97"/>
    <w:rsid w:val="48B5598F"/>
    <w:rsid w:val="48C02B11"/>
    <w:rsid w:val="48C61F79"/>
    <w:rsid w:val="48CF1D57"/>
    <w:rsid w:val="48DF5182"/>
    <w:rsid w:val="48F564A7"/>
    <w:rsid w:val="48F652D4"/>
    <w:rsid w:val="4907401B"/>
    <w:rsid w:val="490C6374"/>
    <w:rsid w:val="493B365D"/>
    <w:rsid w:val="49487857"/>
    <w:rsid w:val="49511A3A"/>
    <w:rsid w:val="49660706"/>
    <w:rsid w:val="49672E96"/>
    <w:rsid w:val="496854E9"/>
    <w:rsid w:val="49694109"/>
    <w:rsid w:val="496E10BA"/>
    <w:rsid w:val="49747A71"/>
    <w:rsid w:val="498B543D"/>
    <w:rsid w:val="4996378E"/>
    <w:rsid w:val="49A76C47"/>
    <w:rsid w:val="49BD1603"/>
    <w:rsid w:val="49BF310B"/>
    <w:rsid w:val="49C0270A"/>
    <w:rsid w:val="49CA7FCE"/>
    <w:rsid w:val="49D60DF1"/>
    <w:rsid w:val="49DC7715"/>
    <w:rsid w:val="49DE0CD3"/>
    <w:rsid w:val="49EB07BA"/>
    <w:rsid w:val="49F40CE0"/>
    <w:rsid w:val="4A023139"/>
    <w:rsid w:val="4A0C4C3E"/>
    <w:rsid w:val="4A263586"/>
    <w:rsid w:val="4A2C50E1"/>
    <w:rsid w:val="4A3E412A"/>
    <w:rsid w:val="4A4134C4"/>
    <w:rsid w:val="4A544985"/>
    <w:rsid w:val="4A6948AC"/>
    <w:rsid w:val="4A7B576F"/>
    <w:rsid w:val="4A851BAB"/>
    <w:rsid w:val="4A873338"/>
    <w:rsid w:val="4A9249EF"/>
    <w:rsid w:val="4AAF210A"/>
    <w:rsid w:val="4ADC21B7"/>
    <w:rsid w:val="4AF561A9"/>
    <w:rsid w:val="4B14769A"/>
    <w:rsid w:val="4B176121"/>
    <w:rsid w:val="4B2B0B52"/>
    <w:rsid w:val="4B3F3247"/>
    <w:rsid w:val="4B471359"/>
    <w:rsid w:val="4B4A4494"/>
    <w:rsid w:val="4B4F64CB"/>
    <w:rsid w:val="4B53052D"/>
    <w:rsid w:val="4B580ECF"/>
    <w:rsid w:val="4B722731"/>
    <w:rsid w:val="4B732F2E"/>
    <w:rsid w:val="4B985684"/>
    <w:rsid w:val="4BAF7FC1"/>
    <w:rsid w:val="4BBB2BA4"/>
    <w:rsid w:val="4BEA3186"/>
    <w:rsid w:val="4BFF40AA"/>
    <w:rsid w:val="4C072155"/>
    <w:rsid w:val="4C0A2348"/>
    <w:rsid w:val="4C4A0649"/>
    <w:rsid w:val="4C785F21"/>
    <w:rsid w:val="4C7E5ECA"/>
    <w:rsid w:val="4C876AA5"/>
    <w:rsid w:val="4C9722A4"/>
    <w:rsid w:val="4CAA019C"/>
    <w:rsid w:val="4CB1256E"/>
    <w:rsid w:val="4CEC4E25"/>
    <w:rsid w:val="4CF23240"/>
    <w:rsid w:val="4CF26446"/>
    <w:rsid w:val="4CFA4A2F"/>
    <w:rsid w:val="4D010BB1"/>
    <w:rsid w:val="4D0E00FB"/>
    <w:rsid w:val="4D176606"/>
    <w:rsid w:val="4D477799"/>
    <w:rsid w:val="4D4E4225"/>
    <w:rsid w:val="4D5748E3"/>
    <w:rsid w:val="4D61085B"/>
    <w:rsid w:val="4D6F39E6"/>
    <w:rsid w:val="4D743F0E"/>
    <w:rsid w:val="4D9C1453"/>
    <w:rsid w:val="4DA65774"/>
    <w:rsid w:val="4DBC6AF1"/>
    <w:rsid w:val="4DCE1C69"/>
    <w:rsid w:val="4DD27253"/>
    <w:rsid w:val="4DDD70B3"/>
    <w:rsid w:val="4DEC4FB0"/>
    <w:rsid w:val="4DF10BDE"/>
    <w:rsid w:val="4E075D8A"/>
    <w:rsid w:val="4E0A1F7E"/>
    <w:rsid w:val="4E124779"/>
    <w:rsid w:val="4E516B22"/>
    <w:rsid w:val="4E726A98"/>
    <w:rsid w:val="4E747AA8"/>
    <w:rsid w:val="4E813805"/>
    <w:rsid w:val="4E8F4436"/>
    <w:rsid w:val="4E9702AC"/>
    <w:rsid w:val="4E981972"/>
    <w:rsid w:val="4EB66985"/>
    <w:rsid w:val="4EC00FAD"/>
    <w:rsid w:val="4EC63D8E"/>
    <w:rsid w:val="4EEB1AFF"/>
    <w:rsid w:val="4EFE2CBB"/>
    <w:rsid w:val="4F095116"/>
    <w:rsid w:val="4F4C1394"/>
    <w:rsid w:val="4F4F2C3C"/>
    <w:rsid w:val="4F71212E"/>
    <w:rsid w:val="4F777E10"/>
    <w:rsid w:val="4F79327A"/>
    <w:rsid w:val="4F9843DC"/>
    <w:rsid w:val="4F986201"/>
    <w:rsid w:val="4FBA411C"/>
    <w:rsid w:val="4FC62A8C"/>
    <w:rsid w:val="4FDD5087"/>
    <w:rsid w:val="4FE20F0D"/>
    <w:rsid w:val="4FE51552"/>
    <w:rsid w:val="4FF87BA2"/>
    <w:rsid w:val="4FFA5294"/>
    <w:rsid w:val="500C759A"/>
    <w:rsid w:val="500E5916"/>
    <w:rsid w:val="502E6092"/>
    <w:rsid w:val="503404A9"/>
    <w:rsid w:val="5045626C"/>
    <w:rsid w:val="50504C4B"/>
    <w:rsid w:val="505F0588"/>
    <w:rsid w:val="507C59AC"/>
    <w:rsid w:val="50805964"/>
    <w:rsid w:val="50983310"/>
    <w:rsid w:val="509A7751"/>
    <w:rsid w:val="509C6E7C"/>
    <w:rsid w:val="50A123A2"/>
    <w:rsid w:val="50AB15F2"/>
    <w:rsid w:val="50C0349B"/>
    <w:rsid w:val="50C966C3"/>
    <w:rsid w:val="50CE1B34"/>
    <w:rsid w:val="50D15CF8"/>
    <w:rsid w:val="50EC1833"/>
    <w:rsid w:val="50FD27AE"/>
    <w:rsid w:val="510548EF"/>
    <w:rsid w:val="510F6820"/>
    <w:rsid w:val="51102D13"/>
    <w:rsid w:val="51134F78"/>
    <w:rsid w:val="51167B81"/>
    <w:rsid w:val="5123084B"/>
    <w:rsid w:val="51233E47"/>
    <w:rsid w:val="51394026"/>
    <w:rsid w:val="51590C41"/>
    <w:rsid w:val="515C4FC4"/>
    <w:rsid w:val="51610889"/>
    <w:rsid w:val="5162104E"/>
    <w:rsid w:val="517A37C5"/>
    <w:rsid w:val="518D5599"/>
    <w:rsid w:val="519877BB"/>
    <w:rsid w:val="51AA3367"/>
    <w:rsid w:val="51B8492B"/>
    <w:rsid w:val="51C770FB"/>
    <w:rsid w:val="51E54DC6"/>
    <w:rsid w:val="51F3293E"/>
    <w:rsid w:val="51FA11E1"/>
    <w:rsid w:val="51FA2F72"/>
    <w:rsid w:val="52057D65"/>
    <w:rsid w:val="520C6973"/>
    <w:rsid w:val="5217531C"/>
    <w:rsid w:val="52182B09"/>
    <w:rsid w:val="521A36CE"/>
    <w:rsid w:val="52336282"/>
    <w:rsid w:val="5234712B"/>
    <w:rsid w:val="523A4625"/>
    <w:rsid w:val="525D235B"/>
    <w:rsid w:val="525F1C70"/>
    <w:rsid w:val="525F631B"/>
    <w:rsid w:val="52741030"/>
    <w:rsid w:val="52754DA9"/>
    <w:rsid w:val="527B1AD2"/>
    <w:rsid w:val="52EC1F74"/>
    <w:rsid w:val="52F91575"/>
    <w:rsid w:val="531C6FD2"/>
    <w:rsid w:val="53211EB9"/>
    <w:rsid w:val="53213410"/>
    <w:rsid w:val="53394028"/>
    <w:rsid w:val="534501EE"/>
    <w:rsid w:val="534E27B1"/>
    <w:rsid w:val="534E5803"/>
    <w:rsid w:val="535A6478"/>
    <w:rsid w:val="535B6D97"/>
    <w:rsid w:val="536F4228"/>
    <w:rsid w:val="537B5D87"/>
    <w:rsid w:val="53937294"/>
    <w:rsid w:val="53963FE6"/>
    <w:rsid w:val="539A6875"/>
    <w:rsid w:val="53A039CC"/>
    <w:rsid w:val="53A1505A"/>
    <w:rsid w:val="53AF597A"/>
    <w:rsid w:val="53CF606B"/>
    <w:rsid w:val="53D64F65"/>
    <w:rsid w:val="53E04E54"/>
    <w:rsid w:val="53F1045F"/>
    <w:rsid w:val="53FB7482"/>
    <w:rsid w:val="54063E08"/>
    <w:rsid w:val="54066AC0"/>
    <w:rsid w:val="54195201"/>
    <w:rsid w:val="541A7502"/>
    <w:rsid w:val="542B57BD"/>
    <w:rsid w:val="542E45C7"/>
    <w:rsid w:val="543437E8"/>
    <w:rsid w:val="54484BF0"/>
    <w:rsid w:val="544F7ABB"/>
    <w:rsid w:val="54566FE8"/>
    <w:rsid w:val="545A1CB4"/>
    <w:rsid w:val="54694499"/>
    <w:rsid w:val="547E3E59"/>
    <w:rsid w:val="54977258"/>
    <w:rsid w:val="54980C95"/>
    <w:rsid w:val="54AA2CDB"/>
    <w:rsid w:val="54B470DE"/>
    <w:rsid w:val="54C43717"/>
    <w:rsid w:val="54CD4A28"/>
    <w:rsid w:val="54DA7145"/>
    <w:rsid w:val="54DC10C5"/>
    <w:rsid w:val="54E30F12"/>
    <w:rsid w:val="54F73313"/>
    <w:rsid w:val="54F7402E"/>
    <w:rsid w:val="54F80955"/>
    <w:rsid w:val="54FB3921"/>
    <w:rsid w:val="55262E97"/>
    <w:rsid w:val="554C5C73"/>
    <w:rsid w:val="555170A7"/>
    <w:rsid w:val="55586D2A"/>
    <w:rsid w:val="555D4090"/>
    <w:rsid w:val="556F0636"/>
    <w:rsid w:val="55726D96"/>
    <w:rsid w:val="557B6A4D"/>
    <w:rsid w:val="5587536D"/>
    <w:rsid w:val="559B174B"/>
    <w:rsid w:val="55A51501"/>
    <w:rsid w:val="55AE3E0A"/>
    <w:rsid w:val="55AE559C"/>
    <w:rsid w:val="55B7767B"/>
    <w:rsid w:val="55B81234"/>
    <w:rsid w:val="55C85872"/>
    <w:rsid w:val="55CE0CF4"/>
    <w:rsid w:val="55EF57E2"/>
    <w:rsid w:val="561F25E1"/>
    <w:rsid w:val="563805C7"/>
    <w:rsid w:val="5652713D"/>
    <w:rsid w:val="566B599E"/>
    <w:rsid w:val="566F2CD2"/>
    <w:rsid w:val="56A54C43"/>
    <w:rsid w:val="56AA1B26"/>
    <w:rsid w:val="56B22A9C"/>
    <w:rsid w:val="56CA0C52"/>
    <w:rsid w:val="56CE1B3B"/>
    <w:rsid w:val="56E021B3"/>
    <w:rsid w:val="57193F55"/>
    <w:rsid w:val="57224F0D"/>
    <w:rsid w:val="57236B81"/>
    <w:rsid w:val="572C6429"/>
    <w:rsid w:val="573A794D"/>
    <w:rsid w:val="576948B0"/>
    <w:rsid w:val="57792F37"/>
    <w:rsid w:val="5787620A"/>
    <w:rsid w:val="578C4726"/>
    <w:rsid w:val="57B72A76"/>
    <w:rsid w:val="57C3426C"/>
    <w:rsid w:val="57CE1F93"/>
    <w:rsid w:val="57FF13C3"/>
    <w:rsid w:val="5801241D"/>
    <w:rsid w:val="580B20D7"/>
    <w:rsid w:val="58242BB1"/>
    <w:rsid w:val="58535244"/>
    <w:rsid w:val="588743D1"/>
    <w:rsid w:val="5887701A"/>
    <w:rsid w:val="5896670C"/>
    <w:rsid w:val="58974460"/>
    <w:rsid w:val="58AD457A"/>
    <w:rsid w:val="58BB00A5"/>
    <w:rsid w:val="58E72928"/>
    <w:rsid w:val="58EC1BA5"/>
    <w:rsid w:val="58EF14C3"/>
    <w:rsid w:val="59431A98"/>
    <w:rsid w:val="594C0774"/>
    <w:rsid w:val="595446F3"/>
    <w:rsid w:val="59640F51"/>
    <w:rsid w:val="59657925"/>
    <w:rsid w:val="596827D0"/>
    <w:rsid w:val="59684D1F"/>
    <w:rsid w:val="596A60F9"/>
    <w:rsid w:val="59806C4E"/>
    <w:rsid w:val="5984268E"/>
    <w:rsid w:val="598C7B9F"/>
    <w:rsid w:val="59984347"/>
    <w:rsid w:val="59A355C5"/>
    <w:rsid w:val="59B5268C"/>
    <w:rsid w:val="59C0439F"/>
    <w:rsid w:val="59C6656A"/>
    <w:rsid w:val="59CB7209"/>
    <w:rsid w:val="59E06FAB"/>
    <w:rsid w:val="59EC40DF"/>
    <w:rsid w:val="59F11CAF"/>
    <w:rsid w:val="5A0E5D14"/>
    <w:rsid w:val="5A107CBE"/>
    <w:rsid w:val="5A1629CD"/>
    <w:rsid w:val="5A471C08"/>
    <w:rsid w:val="5A523C4E"/>
    <w:rsid w:val="5A596CDA"/>
    <w:rsid w:val="5A6E2809"/>
    <w:rsid w:val="5A74657A"/>
    <w:rsid w:val="5A8B6F17"/>
    <w:rsid w:val="5AA52A7C"/>
    <w:rsid w:val="5AA610DA"/>
    <w:rsid w:val="5AA6345B"/>
    <w:rsid w:val="5ABE2233"/>
    <w:rsid w:val="5AC60BB6"/>
    <w:rsid w:val="5ACA75CA"/>
    <w:rsid w:val="5ACE5056"/>
    <w:rsid w:val="5AE2261F"/>
    <w:rsid w:val="5AF42EB8"/>
    <w:rsid w:val="5B0A3EFC"/>
    <w:rsid w:val="5B1433B1"/>
    <w:rsid w:val="5B17546C"/>
    <w:rsid w:val="5B2540C1"/>
    <w:rsid w:val="5B277E36"/>
    <w:rsid w:val="5B391AA7"/>
    <w:rsid w:val="5B3E042E"/>
    <w:rsid w:val="5B503CA4"/>
    <w:rsid w:val="5B5640D3"/>
    <w:rsid w:val="5B766D04"/>
    <w:rsid w:val="5B7E082A"/>
    <w:rsid w:val="5B8843F7"/>
    <w:rsid w:val="5B9479C3"/>
    <w:rsid w:val="5BAC546F"/>
    <w:rsid w:val="5BDF5D95"/>
    <w:rsid w:val="5BE96E9F"/>
    <w:rsid w:val="5BEA374B"/>
    <w:rsid w:val="5BFE7528"/>
    <w:rsid w:val="5C003935"/>
    <w:rsid w:val="5C0C257E"/>
    <w:rsid w:val="5C0E718C"/>
    <w:rsid w:val="5C1A46B7"/>
    <w:rsid w:val="5C2138C7"/>
    <w:rsid w:val="5C311BF5"/>
    <w:rsid w:val="5C4035E0"/>
    <w:rsid w:val="5C456B88"/>
    <w:rsid w:val="5C46575E"/>
    <w:rsid w:val="5C5E2044"/>
    <w:rsid w:val="5C6000DC"/>
    <w:rsid w:val="5C6914DA"/>
    <w:rsid w:val="5CAD1D45"/>
    <w:rsid w:val="5CB94DD6"/>
    <w:rsid w:val="5CBA1D36"/>
    <w:rsid w:val="5CC12488"/>
    <w:rsid w:val="5CC4366E"/>
    <w:rsid w:val="5CC82D6C"/>
    <w:rsid w:val="5CCB3E7D"/>
    <w:rsid w:val="5D0268CF"/>
    <w:rsid w:val="5D030703"/>
    <w:rsid w:val="5D0E2D34"/>
    <w:rsid w:val="5D3D3672"/>
    <w:rsid w:val="5D3D64C3"/>
    <w:rsid w:val="5D591E4C"/>
    <w:rsid w:val="5D68056A"/>
    <w:rsid w:val="5D697E97"/>
    <w:rsid w:val="5D746389"/>
    <w:rsid w:val="5D747BFB"/>
    <w:rsid w:val="5D783617"/>
    <w:rsid w:val="5D8F4F70"/>
    <w:rsid w:val="5DBF3174"/>
    <w:rsid w:val="5DCA244C"/>
    <w:rsid w:val="5DD7273A"/>
    <w:rsid w:val="5DE50903"/>
    <w:rsid w:val="5DF115E0"/>
    <w:rsid w:val="5E0B3AC1"/>
    <w:rsid w:val="5E0C27AA"/>
    <w:rsid w:val="5E101BDD"/>
    <w:rsid w:val="5E2467F1"/>
    <w:rsid w:val="5E5701C7"/>
    <w:rsid w:val="5E5F56F4"/>
    <w:rsid w:val="5E5F664B"/>
    <w:rsid w:val="5E833DD4"/>
    <w:rsid w:val="5E8B4CDA"/>
    <w:rsid w:val="5E8B55BF"/>
    <w:rsid w:val="5E9725FA"/>
    <w:rsid w:val="5EAE1B77"/>
    <w:rsid w:val="5EB558FD"/>
    <w:rsid w:val="5EDB481E"/>
    <w:rsid w:val="5EFF7020"/>
    <w:rsid w:val="5F1A2B43"/>
    <w:rsid w:val="5F3523CE"/>
    <w:rsid w:val="5F5E7096"/>
    <w:rsid w:val="5F700948"/>
    <w:rsid w:val="5FA27196"/>
    <w:rsid w:val="5FA840C8"/>
    <w:rsid w:val="5FAD406B"/>
    <w:rsid w:val="5FAE3015"/>
    <w:rsid w:val="5FB837BB"/>
    <w:rsid w:val="5FC6558C"/>
    <w:rsid w:val="5FF10709"/>
    <w:rsid w:val="5FFA497D"/>
    <w:rsid w:val="600314A1"/>
    <w:rsid w:val="601C5F42"/>
    <w:rsid w:val="6032311E"/>
    <w:rsid w:val="6052193C"/>
    <w:rsid w:val="6052760D"/>
    <w:rsid w:val="60561F07"/>
    <w:rsid w:val="605A60E1"/>
    <w:rsid w:val="605B3B6D"/>
    <w:rsid w:val="609676D1"/>
    <w:rsid w:val="60A717B0"/>
    <w:rsid w:val="60B0460D"/>
    <w:rsid w:val="60C54708"/>
    <w:rsid w:val="60CC405A"/>
    <w:rsid w:val="60CE4002"/>
    <w:rsid w:val="60E2520F"/>
    <w:rsid w:val="61132A66"/>
    <w:rsid w:val="611A0FF5"/>
    <w:rsid w:val="611F2AAF"/>
    <w:rsid w:val="614150CD"/>
    <w:rsid w:val="61624EAD"/>
    <w:rsid w:val="61804E70"/>
    <w:rsid w:val="61815E79"/>
    <w:rsid w:val="618F6AE3"/>
    <w:rsid w:val="61945001"/>
    <w:rsid w:val="619A0388"/>
    <w:rsid w:val="61A763C8"/>
    <w:rsid w:val="61B54972"/>
    <w:rsid w:val="61CD42B9"/>
    <w:rsid w:val="61E215D8"/>
    <w:rsid w:val="61F00A74"/>
    <w:rsid w:val="62037B7F"/>
    <w:rsid w:val="620E6240"/>
    <w:rsid w:val="62154056"/>
    <w:rsid w:val="621B3775"/>
    <w:rsid w:val="6225685F"/>
    <w:rsid w:val="62364782"/>
    <w:rsid w:val="624502F4"/>
    <w:rsid w:val="624B1D15"/>
    <w:rsid w:val="624E0F87"/>
    <w:rsid w:val="627F76A3"/>
    <w:rsid w:val="628047F7"/>
    <w:rsid w:val="628A21AA"/>
    <w:rsid w:val="629372B1"/>
    <w:rsid w:val="62A3109C"/>
    <w:rsid w:val="62A96C11"/>
    <w:rsid w:val="62AE1CFD"/>
    <w:rsid w:val="62B1604D"/>
    <w:rsid w:val="62BE30A2"/>
    <w:rsid w:val="62D95CBB"/>
    <w:rsid w:val="62F6339C"/>
    <w:rsid w:val="630F5986"/>
    <w:rsid w:val="631D152C"/>
    <w:rsid w:val="633402E0"/>
    <w:rsid w:val="634560D1"/>
    <w:rsid w:val="635B760E"/>
    <w:rsid w:val="636B7B0E"/>
    <w:rsid w:val="63754B40"/>
    <w:rsid w:val="637B1AF3"/>
    <w:rsid w:val="637C7D45"/>
    <w:rsid w:val="638D53AC"/>
    <w:rsid w:val="6394356A"/>
    <w:rsid w:val="639C5DE9"/>
    <w:rsid w:val="63A8399A"/>
    <w:rsid w:val="63B23B01"/>
    <w:rsid w:val="63B47A5B"/>
    <w:rsid w:val="63B813BC"/>
    <w:rsid w:val="63B94D45"/>
    <w:rsid w:val="63BB7DF8"/>
    <w:rsid w:val="63C61B2C"/>
    <w:rsid w:val="63D032F7"/>
    <w:rsid w:val="63D14AB0"/>
    <w:rsid w:val="63D40BE9"/>
    <w:rsid w:val="63EA52B0"/>
    <w:rsid w:val="63EB1615"/>
    <w:rsid w:val="63F02D22"/>
    <w:rsid w:val="63F820F5"/>
    <w:rsid w:val="63F97104"/>
    <w:rsid w:val="63F97D8C"/>
    <w:rsid w:val="6408210D"/>
    <w:rsid w:val="64102431"/>
    <w:rsid w:val="64234664"/>
    <w:rsid w:val="643A631C"/>
    <w:rsid w:val="643E1650"/>
    <w:rsid w:val="64435DA9"/>
    <w:rsid w:val="645B4232"/>
    <w:rsid w:val="64926A60"/>
    <w:rsid w:val="64A5243A"/>
    <w:rsid w:val="64A66CA1"/>
    <w:rsid w:val="64D03A24"/>
    <w:rsid w:val="64F531DE"/>
    <w:rsid w:val="65373578"/>
    <w:rsid w:val="653A3177"/>
    <w:rsid w:val="653E34F1"/>
    <w:rsid w:val="65473CFD"/>
    <w:rsid w:val="65A90B99"/>
    <w:rsid w:val="65AB02BB"/>
    <w:rsid w:val="65BF0A9A"/>
    <w:rsid w:val="65D42EF3"/>
    <w:rsid w:val="65FB24BF"/>
    <w:rsid w:val="65FE507B"/>
    <w:rsid w:val="66252916"/>
    <w:rsid w:val="663D04FB"/>
    <w:rsid w:val="66426F7F"/>
    <w:rsid w:val="664D6AA2"/>
    <w:rsid w:val="665965C5"/>
    <w:rsid w:val="667E49FA"/>
    <w:rsid w:val="669771BE"/>
    <w:rsid w:val="66A37EE3"/>
    <w:rsid w:val="66B84C3B"/>
    <w:rsid w:val="66C60727"/>
    <w:rsid w:val="66CA19C2"/>
    <w:rsid w:val="66E33E0D"/>
    <w:rsid w:val="66F61BBC"/>
    <w:rsid w:val="66F679F3"/>
    <w:rsid w:val="66F733F3"/>
    <w:rsid w:val="671F124A"/>
    <w:rsid w:val="67257FA5"/>
    <w:rsid w:val="672A7AB8"/>
    <w:rsid w:val="67427E11"/>
    <w:rsid w:val="67474C6D"/>
    <w:rsid w:val="674D3D6A"/>
    <w:rsid w:val="67537BBB"/>
    <w:rsid w:val="675E59B4"/>
    <w:rsid w:val="677A33C6"/>
    <w:rsid w:val="67993512"/>
    <w:rsid w:val="67BA5CB3"/>
    <w:rsid w:val="67BD2FCE"/>
    <w:rsid w:val="67C22B84"/>
    <w:rsid w:val="67C868FC"/>
    <w:rsid w:val="67C94E79"/>
    <w:rsid w:val="67EA5181"/>
    <w:rsid w:val="67EC5AA4"/>
    <w:rsid w:val="67F70CAD"/>
    <w:rsid w:val="680E0785"/>
    <w:rsid w:val="68154C77"/>
    <w:rsid w:val="681F6961"/>
    <w:rsid w:val="684D090E"/>
    <w:rsid w:val="68610A2F"/>
    <w:rsid w:val="68653735"/>
    <w:rsid w:val="686E573A"/>
    <w:rsid w:val="687B539D"/>
    <w:rsid w:val="68805514"/>
    <w:rsid w:val="68A62C6B"/>
    <w:rsid w:val="68A6612F"/>
    <w:rsid w:val="68B247C9"/>
    <w:rsid w:val="68BB31CB"/>
    <w:rsid w:val="68CE5508"/>
    <w:rsid w:val="68F744D5"/>
    <w:rsid w:val="68F91E38"/>
    <w:rsid w:val="6910093A"/>
    <w:rsid w:val="69167CEB"/>
    <w:rsid w:val="69194288"/>
    <w:rsid w:val="691E30C9"/>
    <w:rsid w:val="692D07C0"/>
    <w:rsid w:val="69316E2F"/>
    <w:rsid w:val="69381A6B"/>
    <w:rsid w:val="693A44B1"/>
    <w:rsid w:val="694E2071"/>
    <w:rsid w:val="696F3429"/>
    <w:rsid w:val="69766163"/>
    <w:rsid w:val="697A3B33"/>
    <w:rsid w:val="697E7653"/>
    <w:rsid w:val="6980418F"/>
    <w:rsid w:val="698A0CE2"/>
    <w:rsid w:val="698B323F"/>
    <w:rsid w:val="69950046"/>
    <w:rsid w:val="69977471"/>
    <w:rsid w:val="699C4779"/>
    <w:rsid w:val="69A025C4"/>
    <w:rsid w:val="69A44A90"/>
    <w:rsid w:val="69AC6EAA"/>
    <w:rsid w:val="69BC0511"/>
    <w:rsid w:val="69BD1AD4"/>
    <w:rsid w:val="69C07C4F"/>
    <w:rsid w:val="69CB37D4"/>
    <w:rsid w:val="69D405DC"/>
    <w:rsid w:val="69D44760"/>
    <w:rsid w:val="69E703F8"/>
    <w:rsid w:val="69F81E9A"/>
    <w:rsid w:val="69FB4757"/>
    <w:rsid w:val="6A0B6864"/>
    <w:rsid w:val="6A1313D2"/>
    <w:rsid w:val="6A163ACB"/>
    <w:rsid w:val="6A1A02B8"/>
    <w:rsid w:val="6A1B7F2E"/>
    <w:rsid w:val="6A330F73"/>
    <w:rsid w:val="6A520EC7"/>
    <w:rsid w:val="6A577E85"/>
    <w:rsid w:val="6A585A81"/>
    <w:rsid w:val="6A7120AE"/>
    <w:rsid w:val="6A724D40"/>
    <w:rsid w:val="6A792B40"/>
    <w:rsid w:val="6A87045C"/>
    <w:rsid w:val="6A9713D2"/>
    <w:rsid w:val="6AAA163C"/>
    <w:rsid w:val="6ACB14FA"/>
    <w:rsid w:val="6AD70C93"/>
    <w:rsid w:val="6AED1B45"/>
    <w:rsid w:val="6AF75C96"/>
    <w:rsid w:val="6AF87E20"/>
    <w:rsid w:val="6B036F9E"/>
    <w:rsid w:val="6B070A2D"/>
    <w:rsid w:val="6B0923F3"/>
    <w:rsid w:val="6B2E6B8B"/>
    <w:rsid w:val="6B322639"/>
    <w:rsid w:val="6B6656FA"/>
    <w:rsid w:val="6B7C3FBC"/>
    <w:rsid w:val="6B981E66"/>
    <w:rsid w:val="6BAE0739"/>
    <w:rsid w:val="6BBB5DAF"/>
    <w:rsid w:val="6BE566A3"/>
    <w:rsid w:val="6C0E2B2E"/>
    <w:rsid w:val="6C181BE1"/>
    <w:rsid w:val="6C332E72"/>
    <w:rsid w:val="6C337BCC"/>
    <w:rsid w:val="6C4471D8"/>
    <w:rsid w:val="6C520A4B"/>
    <w:rsid w:val="6C636C38"/>
    <w:rsid w:val="6C67078F"/>
    <w:rsid w:val="6C715FA2"/>
    <w:rsid w:val="6C891725"/>
    <w:rsid w:val="6C8A3472"/>
    <w:rsid w:val="6CB97B51"/>
    <w:rsid w:val="6CBA59CB"/>
    <w:rsid w:val="6CCB287F"/>
    <w:rsid w:val="6CCF7983"/>
    <w:rsid w:val="6CE90717"/>
    <w:rsid w:val="6CF0518A"/>
    <w:rsid w:val="6CF32486"/>
    <w:rsid w:val="6CF7043C"/>
    <w:rsid w:val="6D1B7D70"/>
    <w:rsid w:val="6D1E68A9"/>
    <w:rsid w:val="6D2C27DC"/>
    <w:rsid w:val="6D2F0D38"/>
    <w:rsid w:val="6D316EA7"/>
    <w:rsid w:val="6D34444E"/>
    <w:rsid w:val="6D5B09CB"/>
    <w:rsid w:val="6D91792C"/>
    <w:rsid w:val="6D9E77C3"/>
    <w:rsid w:val="6DB34098"/>
    <w:rsid w:val="6DB545B6"/>
    <w:rsid w:val="6DCB7BD2"/>
    <w:rsid w:val="6DD00DC1"/>
    <w:rsid w:val="6DD85B26"/>
    <w:rsid w:val="6DDA2238"/>
    <w:rsid w:val="6DDC63F3"/>
    <w:rsid w:val="6DE02FB4"/>
    <w:rsid w:val="6DFD2F3B"/>
    <w:rsid w:val="6E260EBA"/>
    <w:rsid w:val="6E386BB7"/>
    <w:rsid w:val="6E514CED"/>
    <w:rsid w:val="6E5F00A3"/>
    <w:rsid w:val="6E601042"/>
    <w:rsid w:val="6E7B33CA"/>
    <w:rsid w:val="6E8E5568"/>
    <w:rsid w:val="6E943872"/>
    <w:rsid w:val="6EA939B8"/>
    <w:rsid w:val="6EAB5982"/>
    <w:rsid w:val="6EB563D5"/>
    <w:rsid w:val="6ED81B58"/>
    <w:rsid w:val="6ED92677"/>
    <w:rsid w:val="6EDE4F6C"/>
    <w:rsid w:val="6EE50E53"/>
    <w:rsid w:val="6F052909"/>
    <w:rsid w:val="6F225983"/>
    <w:rsid w:val="6F283514"/>
    <w:rsid w:val="6F315BAC"/>
    <w:rsid w:val="6F557E46"/>
    <w:rsid w:val="6F6C53B2"/>
    <w:rsid w:val="6F88033D"/>
    <w:rsid w:val="6F985D36"/>
    <w:rsid w:val="6F9B3A6C"/>
    <w:rsid w:val="6FAF2132"/>
    <w:rsid w:val="6FB75FF1"/>
    <w:rsid w:val="6FB90D04"/>
    <w:rsid w:val="6FD63548"/>
    <w:rsid w:val="6FDC5069"/>
    <w:rsid w:val="6FEF5D43"/>
    <w:rsid w:val="6FFC5590"/>
    <w:rsid w:val="70076F26"/>
    <w:rsid w:val="701B36CC"/>
    <w:rsid w:val="701D4466"/>
    <w:rsid w:val="70283568"/>
    <w:rsid w:val="704A2307"/>
    <w:rsid w:val="705C1149"/>
    <w:rsid w:val="706D1DD0"/>
    <w:rsid w:val="7079658F"/>
    <w:rsid w:val="7085282D"/>
    <w:rsid w:val="70856B87"/>
    <w:rsid w:val="708C49F2"/>
    <w:rsid w:val="709010D6"/>
    <w:rsid w:val="70A42689"/>
    <w:rsid w:val="70A620EE"/>
    <w:rsid w:val="70A70F1E"/>
    <w:rsid w:val="70CB230C"/>
    <w:rsid w:val="70CB2889"/>
    <w:rsid w:val="70CF652C"/>
    <w:rsid w:val="70D527EE"/>
    <w:rsid w:val="70DA42FD"/>
    <w:rsid w:val="70DF09F6"/>
    <w:rsid w:val="711279E6"/>
    <w:rsid w:val="71184E25"/>
    <w:rsid w:val="71221FBD"/>
    <w:rsid w:val="712431FA"/>
    <w:rsid w:val="712437CA"/>
    <w:rsid w:val="712C5ABF"/>
    <w:rsid w:val="713E7F7D"/>
    <w:rsid w:val="714A7FB3"/>
    <w:rsid w:val="715B5300"/>
    <w:rsid w:val="716A44DC"/>
    <w:rsid w:val="717C4494"/>
    <w:rsid w:val="717D7A04"/>
    <w:rsid w:val="719046CF"/>
    <w:rsid w:val="71AD78E3"/>
    <w:rsid w:val="71B00C8F"/>
    <w:rsid w:val="71BC66B1"/>
    <w:rsid w:val="71D27F8A"/>
    <w:rsid w:val="71E1307B"/>
    <w:rsid w:val="71E40182"/>
    <w:rsid w:val="71E73175"/>
    <w:rsid w:val="72124643"/>
    <w:rsid w:val="72187959"/>
    <w:rsid w:val="72553024"/>
    <w:rsid w:val="725E0CC4"/>
    <w:rsid w:val="72641C3F"/>
    <w:rsid w:val="72726E0C"/>
    <w:rsid w:val="72827352"/>
    <w:rsid w:val="72867EC4"/>
    <w:rsid w:val="72C15CD3"/>
    <w:rsid w:val="72E35F03"/>
    <w:rsid w:val="72E53207"/>
    <w:rsid w:val="72F010D2"/>
    <w:rsid w:val="73027474"/>
    <w:rsid w:val="730A1D09"/>
    <w:rsid w:val="73122968"/>
    <w:rsid w:val="731D4E50"/>
    <w:rsid w:val="731F5D5E"/>
    <w:rsid w:val="73375A36"/>
    <w:rsid w:val="7355410F"/>
    <w:rsid w:val="73572BFD"/>
    <w:rsid w:val="735A4DF1"/>
    <w:rsid w:val="736F6F5C"/>
    <w:rsid w:val="73722F12"/>
    <w:rsid w:val="73895FD2"/>
    <w:rsid w:val="73911760"/>
    <w:rsid w:val="739120DF"/>
    <w:rsid w:val="739452C2"/>
    <w:rsid w:val="73A870A4"/>
    <w:rsid w:val="73AC0778"/>
    <w:rsid w:val="73B317D5"/>
    <w:rsid w:val="73B9724A"/>
    <w:rsid w:val="73BB6668"/>
    <w:rsid w:val="73C51AD5"/>
    <w:rsid w:val="73D16C5C"/>
    <w:rsid w:val="73F1197F"/>
    <w:rsid w:val="740B15E7"/>
    <w:rsid w:val="740C736A"/>
    <w:rsid w:val="74175970"/>
    <w:rsid w:val="741E793C"/>
    <w:rsid w:val="74277859"/>
    <w:rsid w:val="74314522"/>
    <w:rsid w:val="74363F40"/>
    <w:rsid w:val="743722C7"/>
    <w:rsid w:val="74373814"/>
    <w:rsid w:val="7444118B"/>
    <w:rsid w:val="745E3944"/>
    <w:rsid w:val="746777B5"/>
    <w:rsid w:val="74827185"/>
    <w:rsid w:val="74855DD6"/>
    <w:rsid w:val="74917649"/>
    <w:rsid w:val="74923DA0"/>
    <w:rsid w:val="74AD7F8A"/>
    <w:rsid w:val="74B133C4"/>
    <w:rsid w:val="74BC2C75"/>
    <w:rsid w:val="74CD6472"/>
    <w:rsid w:val="74D26A6C"/>
    <w:rsid w:val="74F07405"/>
    <w:rsid w:val="750F5996"/>
    <w:rsid w:val="75100625"/>
    <w:rsid w:val="75135818"/>
    <w:rsid w:val="75377F70"/>
    <w:rsid w:val="75412AC2"/>
    <w:rsid w:val="754206C3"/>
    <w:rsid w:val="755D265B"/>
    <w:rsid w:val="75630FC9"/>
    <w:rsid w:val="756E5FD2"/>
    <w:rsid w:val="758F05DE"/>
    <w:rsid w:val="75901566"/>
    <w:rsid w:val="75936615"/>
    <w:rsid w:val="7596618A"/>
    <w:rsid w:val="75A740EB"/>
    <w:rsid w:val="75BF037E"/>
    <w:rsid w:val="75CC3749"/>
    <w:rsid w:val="75CF1CBB"/>
    <w:rsid w:val="75CF65E9"/>
    <w:rsid w:val="75D31551"/>
    <w:rsid w:val="75D82220"/>
    <w:rsid w:val="760338A3"/>
    <w:rsid w:val="760F1807"/>
    <w:rsid w:val="7635099D"/>
    <w:rsid w:val="76493ABD"/>
    <w:rsid w:val="76683243"/>
    <w:rsid w:val="76782E3C"/>
    <w:rsid w:val="76B33E72"/>
    <w:rsid w:val="76BC4D7C"/>
    <w:rsid w:val="76C83EC8"/>
    <w:rsid w:val="76D435FA"/>
    <w:rsid w:val="76D90BB3"/>
    <w:rsid w:val="775841CD"/>
    <w:rsid w:val="775E4DD3"/>
    <w:rsid w:val="77672F95"/>
    <w:rsid w:val="77762421"/>
    <w:rsid w:val="77841D2D"/>
    <w:rsid w:val="779F5EF3"/>
    <w:rsid w:val="77A411B2"/>
    <w:rsid w:val="77B56B1F"/>
    <w:rsid w:val="77BA14A0"/>
    <w:rsid w:val="77CD0408"/>
    <w:rsid w:val="77F749FC"/>
    <w:rsid w:val="77F93E24"/>
    <w:rsid w:val="780F09F4"/>
    <w:rsid w:val="780F13EF"/>
    <w:rsid w:val="78156E92"/>
    <w:rsid w:val="7821362E"/>
    <w:rsid w:val="785A34F0"/>
    <w:rsid w:val="788531F2"/>
    <w:rsid w:val="788A6C2B"/>
    <w:rsid w:val="78905B6E"/>
    <w:rsid w:val="78926C5B"/>
    <w:rsid w:val="78A250D0"/>
    <w:rsid w:val="78A90480"/>
    <w:rsid w:val="78B44E54"/>
    <w:rsid w:val="78BC55DC"/>
    <w:rsid w:val="78C75F90"/>
    <w:rsid w:val="78D67D8F"/>
    <w:rsid w:val="78E13314"/>
    <w:rsid w:val="78E35D19"/>
    <w:rsid w:val="791F4954"/>
    <w:rsid w:val="79206F6D"/>
    <w:rsid w:val="7922079C"/>
    <w:rsid w:val="795A46BC"/>
    <w:rsid w:val="795D1317"/>
    <w:rsid w:val="79694493"/>
    <w:rsid w:val="79791349"/>
    <w:rsid w:val="79955687"/>
    <w:rsid w:val="79955887"/>
    <w:rsid w:val="79AE0B42"/>
    <w:rsid w:val="79C70310"/>
    <w:rsid w:val="79E81839"/>
    <w:rsid w:val="79E9519F"/>
    <w:rsid w:val="7A060811"/>
    <w:rsid w:val="7A0F0D7D"/>
    <w:rsid w:val="7A122135"/>
    <w:rsid w:val="7A2977B7"/>
    <w:rsid w:val="7A364017"/>
    <w:rsid w:val="7A3E2C3E"/>
    <w:rsid w:val="7A3E4403"/>
    <w:rsid w:val="7A540F4A"/>
    <w:rsid w:val="7A6D4434"/>
    <w:rsid w:val="7A8265E1"/>
    <w:rsid w:val="7AA5597C"/>
    <w:rsid w:val="7AAB0D1D"/>
    <w:rsid w:val="7AAC6D0A"/>
    <w:rsid w:val="7AB67B89"/>
    <w:rsid w:val="7AC91DC8"/>
    <w:rsid w:val="7ACA59BE"/>
    <w:rsid w:val="7AD06B08"/>
    <w:rsid w:val="7AD40019"/>
    <w:rsid w:val="7AD4369E"/>
    <w:rsid w:val="7AFA5271"/>
    <w:rsid w:val="7AFE7A15"/>
    <w:rsid w:val="7B2043F1"/>
    <w:rsid w:val="7B2666F2"/>
    <w:rsid w:val="7B686D42"/>
    <w:rsid w:val="7B7C3402"/>
    <w:rsid w:val="7B841746"/>
    <w:rsid w:val="7B8B5415"/>
    <w:rsid w:val="7B8C70FC"/>
    <w:rsid w:val="7B9220A2"/>
    <w:rsid w:val="7BA31B44"/>
    <w:rsid w:val="7BC82DEA"/>
    <w:rsid w:val="7BCE1C46"/>
    <w:rsid w:val="7BD82798"/>
    <w:rsid w:val="7BDA14A1"/>
    <w:rsid w:val="7BDD1C3D"/>
    <w:rsid w:val="7C0D4297"/>
    <w:rsid w:val="7C17245F"/>
    <w:rsid w:val="7C180B58"/>
    <w:rsid w:val="7C3F09A2"/>
    <w:rsid w:val="7C464F3C"/>
    <w:rsid w:val="7C4C14B2"/>
    <w:rsid w:val="7C6C5AC7"/>
    <w:rsid w:val="7C741B15"/>
    <w:rsid w:val="7C75312C"/>
    <w:rsid w:val="7C7A4BE6"/>
    <w:rsid w:val="7C855A65"/>
    <w:rsid w:val="7C866551"/>
    <w:rsid w:val="7C885555"/>
    <w:rsid w:val="7C9422F8"/>
    <w:rsid w:val="7C96350B"/>
    <w:rsid w:val="7CA0464C"/>
    <w:rsid w:val="7CC6544B"/>
    <w:rsid w:val="7CE6437A"/>
    <w:rsid w:val="7CF3307C"/>
    <w:rsid w:val="7CF93525"/>
    <w:rsid w:val="7CFC1872"/>
    <w:rsid w:val="7CFF1156"/>
    <w:rsid w:val="7D01301F"/>
    <w:rsid w:val="7D0239FF"/>
    <w:rsid w:val="7D0C4A8B"/>
    <w:rsid w:val="7D0D1638"/>
    <w:rsid w:val="7D156EDD"/>
    <w:rsid w:val="7D212736"/>
    <w:rsid w:val="7D3015F4"/>
    <w:rsid w:val="7D3E3E65"/>
    <w:rsid w:val="7D5E40CD"/>
    <w:rsid w:val="7D6B2EAC"/>
    <w:rsid w:val="7D734B88"/>
    <w:rsid w:val="7D7B05DA"/>
    <w:rsid w:val="7D906276"/>
    <w:rsid w:val="7D9B2BE6"/>
    <w:rsid w:val="7DCD56F2"/>
    <w:rsid w:val="7DEB48BB"/>
    <w:rsid w:val="7E0A75A1"/>
    <w:rsid w:val="7E17157E"/>
    <w:rsid w:val="7E1E051B"/>
    <w:rsid w:val="7E5A6A7D"/>
    <w:rsid w:val="7E7553C7"/>
    <w:rsid w:val="7E7B7369"/>
    <w:rsid w:val="7E950A95"/>
    <w:rsid w:val="7E9D0D87"/>
    <w:rsid w:val="7EA2588B"/>
    <w:rsid w:val="7EB737AD"/>
    <w:rsid w:val="7EBC3294"/>
    <w:rsid w:val="7EE8052D"/>
    <w:rsid w:val="7EEA552D"/>
    <w:rsid w:val="7EF86B06"/>
    <w:rsid w:val="7F001CE7"/>
    <w:rsid w:val="7F017F0F"/>
    <w:rsid w:val="7F0937C9"/>
    <w:rsid w:val="7F1745B4"/>
    <w:rsid w:val="7F30382B"/>
    <w:rsid w:val="7F3C4096"/>
    <w:rsid w:val="7F412432"/>
    <w:rsid w:val="7F4C0ABC"/>
    <w:rsid w:val="7F6429EA"/>
    <w:rsid w:val="7F7C672C"/>
    <w:rsid w:val="7F822CDF"/>
    <w:rsid w:val="7FB22C02"/>
    <w:rsid w:val="7FBF66E4"/>
    <w:rsid w:val="7FC81A6D"/>
    <w:rsid w:val="7FC90C4F"/>
    <w:rsid w:val="7FCC5F5A"/>
    <w:rsid w:val="7FCD7330"/>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9" w:semiHidden="0" w:name="heading 5" w:locked="1"/>
    <w:lsdException w:qFormat="1" w:unhideWhenUsed="0" w:uiPriority="9" w:semiHidden="0" w:name="heading 6" w:locked="1"/>
    <w:lsdException w:qFormat="1" w:unhideWhenUsed="0" w:uiPriority="9" w:semiHidden="0" w:name="heading 7" w:locked="1"/>
    <w:lsdException w:qFormat="1" w:unhideWhenUsed="0" w:uiPriority="0" w:semiHidden="0" w:name="heading 8" w:locked="1"/>
    <w:lsdException w:qFormat="1" w:unhideWhenUsed="0" w:uiPriority="9" w:semiHidden="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qFormat="1" w:unhideWhenUsed="0" w:uiPriority="39" w:semiHidden="0" w:name="toc 4" w:locked="1"/>
    <w:lsdException w:qFormat="1" w:unhideWhenUsed="0" w:uiPriority="39" w:semiHidden="0" w:name="toc 5" w:locked="1"/>
    <w:lsdException w:qFormat="1" w:unhideWhenUsed="0" w:uiPriority="39" w:semiHidden="0" w:name="toc 6" w:locked="1"/>
    <w:lsdException w:qFormat="1" w:unhideWhenUsed="0" w:uiPriority="39" w:semiHidden="0" w:name="toc 7" w:locked="1"/>
    <w:lsdException w:qFormat="1" w:unhideWhenUsed="0" w:uiPriority="39" w:semiHidden="0" w:name="toc 8" w:locked="1"/>
    <w:lsdException w:qFormat="1" w:unhideWhenUsed="0" w:uiPriority="39" w:semiHidden="0" w:name="toc 9" w:locked="1"/>
    <w:lsdException w:qFormat="1" w:unhideWhenUsed="0" w:uiPriority="0" w:semiHidden="0" w:name="Normal Indent" w:locked="1"/>
    <w:lsdException w:unhideWhenUsed="0" w:uiPriority="0" w:semiHidden="0" w:name="footnote text" w:locked="1"/>
    <w:lsdException w:qFormat="1" w:unhideWhenUsed="0" w:uiPriority="99" w:semiHidden="0" w:name="annotation text"/>
    <w:lsdException w:qFormat="1" w:unhideWhenUsed="0" w:uiPriority="0" w:semiHidden="0" w:name="header"/>
    <w:lsdException w:qFormat="1" w:unhideWhenUsed="0" w:uiPriority="0" w:semiHidden="0" w:name="footer"/>
    <w:lsdException w:qFormat="1" w:uiPriority="0" w:semiHidden="0" w:name="index heading" w:locked="1"/>
    <w:lsdException w:qFormat="1" w:unhideWhenUsed="0" w:uiPriority="0"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qFormat="1" w:unhideWhenUsed="0" w:uiPriority="0" w:semiHidden="0" w:name="table of authorities" w:locked="1"/>
    <w:lsdException w:unhideWhenUsed="0" w:uiPriority="0" w:semiHidden="0" w:name="macro" w:locked="1"/>
    <w:lsdException w:qFormat="1" w:unhideWhenUsed="0" w:uiPriority="0" w:semiHidden="0" w:name="toa heading" w:locked="1"/>
    <w:lsdException w:qFormat="1" w:unhideWhenUsed="0" w:uiPriority="0" w:semiHidden="0" w:name="List" w:locked="1"/>
    <w:lsdException w:qFormat="1" w:unhideWhenUsed="0" w:uiPriority="0" w:semiHidden="0" w:name="List Bullet" w:locked="1"/>
    <w:lsdException w:qFormat="1" w:unhideWhenUsed="0" w:uiPriority="0" w:semiHidden="0" w:name="List Number" w:locked="1"/>
    <w:lsdException w:qFormat="1"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qFormat="1"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99" w:semiHidden="0" w:name="List Continue" w:locked="1"/>
    <w:lsdException w:qFormat="1"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qFormat="1" w:unhideWhenUsed="0" w:uiPriority="0" w:semiHidden="0" w:name="Message Header" w:locked="1"/>
    <w:lsdException w:qFormat="1" w:unhideWhenUsed="0" w:uiPriority="11"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99" w:semiHidden="0" w:name="Hyperlink" w:locked="1"/>
    <w:lsdException w:qFormat="1" w:unhideWhenUsed="0" w:uiPriority="0" w:semiHidden="0" w:name="FollowedHyperlink" w:locked="1"/>
    <w:lsdException w:qFormat="1" w:unhideWhenUsed="0" w:uiPriority="22" w:semiHidden="0" w:name="Strong" w:locked="1"/>
    <w:lsdException w:qFormat="1" w:unhideWhenUsed="0" w:uiPriority="2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qFormat="1"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99"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qFormat="1" w:unhideWhenUsed="0" w:uiPriority="0" w:semiHidden="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qFormat="1" w:unhideWhenUsed="0" w:uiPriority="0" w:semiHidden="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39" w:semiHidden="0" w:name="Table Grid"/>
    <w:lsdException w:qFormat="1" w:unhideWhenUsed="0" w:uiPriority="0" w:semiHidden="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snapToGrid w:val="0"/>
      <w:kern w:val="2"/>
      <w:sz w:val="21"/>
      <w:szCs w:val="21"/>
      <w:lang w:val="en-US" w:eastAsia="zh-CN" w:bidi="ar-SA"/>
    </w:rPr>
  </w:style>
  <w:style w:type="paragraph" w:styleId="3">
    <w:name w:val="heading 1"/>
    <w:basedOn w:val="1"/>
    <w:next w:val="1"/>
    <w:link w:val="74"/>
    <w:autoRedefine/>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5"/>
    <w:link w:val="75"/>
    <w:autoRedefine/>
    <w:qFormat/>
    <w:locked/>
    <w:uiPriority w:val="0"/>
    <w:pPr>
      <w:keepNext/>
      <w:jc w:val="center"/>
      <w:outlineLvl w:val="1"/>
    </w:pPr>
    <w:rPr>
      <w:sz w:val="24"/>
      <w:szCs w:val="20"/>
    </w:rPr>
  </w:style>
  <w:style w:type="paragraph" w:styleId="6">
    <w:name w:val="heading 3"/>
    <w:basedOn w:val="1"/>
    <w:next w:val="1"/>
    <w:link w:val="77"/>
    <w:autoRedefine/>
    <w:qFormat/>
    <w:locked/>
    <w:uiPriority w:val="0"/>
    <w:pPr>
      <w:keepNext/>
      <w:keepLines/>
      <w:spacing w:before="260" w:after="260" w:line="416" w:lineRule="auto"/>
      <w:outlineLvl w:val="2"/>
    </w:pPr>
    <w:rPr>
      <w:b/>
      <w:bCs/>
      <w:sz w:val="32"/>
      <w:szCs w:val="32"/>
    </w:rPr>
  </w:style>
  <w:style w:type="paragraph" w:styleId="7">
    <w:name w:val="heading 4"/>
    <w:basedOn w:val="1"/>
    <w:next w:val="1"/>
    <w:link w:val="78"/>
    <w:autoRedefine/>
    <w:qFormat/>
    <w:locked/>
    <w:uiPriority w:val="0"/>
    <w:pPr>
      <w:keepNext/>
      <w:keepLines/>
      <w:adjustRightInd w:val="0"/>
      <w:spacing w:before="120" w:after="120"/>
      <w:jc w:val="left"/>
      <w:textAlignment w:val="baseline"/>
      <w:outlineLvl w:val="3"/>
    </w:pPr>
    <w:rPr>
      <w:rFonts w:ascii="Arial" w:hAnsi="Arial"/>
      <w:sz w:val="24"/>
      <w:szCs w:val="20"/>
    </w:rPr>
  </w:style>
  <w:style w:type="paragraph" w:styleId="8">
    <w:name w:val="heading 5"/>
    <w:basedOn w:val="1"/>
    <w:next w:val="1"/>
    <w:link w:val="79"/>
    <w:autoRedefine/>
    <w:qFormat/>
    <w:locked/>
    <w:uiPriority w:val="9"/>
    <w:pPr>
      <w:keepNext/>
      <w:outlineLvl w:val="4"/>
    </w:pPr>
    <w:rPr>
      <w:b/>
      <w:bCs/>
      <w:sz w:val="24"/>
      <w:szCs w:val="20"/>
    </w:rPr>
  </w:style>
  <w:style w:type="paragraph" w:styleId="9">
    <w:name w:val="heading 6"/>
    <w:basedOn w:val="1"/>
    <w:next w:val="1"/>
    <w:link w:val="80"/>
    <w:autoRedefine/>
    <w:qFormat/>
    <w:locked/>
    <w:uiPriority w:val="9"/>
    <w:pPr>
      <w:keepNext/>
      <w:keepLines/>
      <w:spacing w:before="240" w:after="64" w:line="320" w:lineRule="auto"/>
      <w:outlineLvl w:val="5"/>
    </w:pPr>
    <w:rPr>
      <w:rFonts w:ascii="Arial" w:hAnsi="Arial" w:eastAsia="黑体"/>
      <w:b/>
      <w:bCs/>
      <w:sz w:val="24"/>
    </w:rPr>
  </w:style>
  <w:style w:type="paragraph" w:styleId="10">
    <w:name w:val="heading 7"/>
    <w:basedOn w:val="1"/>
    <w:next w:val="1"/>
    <w:link w:val="81"/>
    <w:autoRedefine/>
    <w:qFormat/>
    <w:locked/>
    <w:uiPriority w:val="9"/>
    <w:pPr>
      <w:keepNext/>
      <w:keepLines/>
      <w:spacing w:before="240" w:after="64" w:line="320" w:lineRule="auto"/>
      <w:outlineLvl w:val="6"/>
    </w:pPr>
    <w:rPr>
      <w:rFonts w:eastAsia="仿宋_GB2312"/>
      <w:b/>
      <w:bCs/>
      <w:sz w:val="24"/>
    </w:rPr>
  </w:style>
  <w:style w:type="paragraph" w:styleId="11">
    <w:name w:val="heading 8"/>
    <w:basedOn w:val="1"/>
    <w:next w:val="1"/>
    <w:link w:val="82"/>
    <w:autoRedefine/>
    <w:qFormat/>
    <w:locked/>
    <w:uiPriority w:val="0"/>
    <w:pPr>
      <w:keepNext/>
      <w:widowControl/>
      <w:numPr>
        <w:ilvl w:val="0"/>
        <w:numId w:val="1"/>
      </w:numPr>
      <w:spacing w:line="360" w:lineRule="atLeast"/>
      <w:outlineLvl w:val="7"/>
    </w:pPr>
    <w:rPr>
      <w:b/>
      <w:bCs/>
      <w:kern w:val="0"/>
      <w:sz w:val="32"/>
      <w:lang w:val="en-GB" w:eastAsia="es-ES"/>
    </w:rPr>
  </w:style>
  <w:style w:type="paragraph" w:styleId="12">
    <w:name w:val="heading 9"/>
    <w:basedOn w:val="1"/>
    <w:next w:val="1"/>
    <w:link w:val="83"/>
    <w:autoRedefine/>
    <w:qFormat/>
    <w:locked/>
    <w:uiPriority w:val="9"/>
    <w:pPr>
      <w:keepNext/>
      <w:keepLines/>
      <w:spacing w:before="240" w:after="64" w:line="320" w:lineRule="auto"/>
      <w:outlineLvl w:val="8"/>
    </w:pPr>
    <w:rPr>
      <w:rFonts w:ascii="Arial" w:hAnsi="Arial" w:eastAsia="黑体"/>
    </w:rPr>
  </w:style>
  <w:style w:type="character" w:default="1" w:styleId="64">
    <w:name w:val="Default Paragraph Font"/>
    <w:semiHidden/>
    <w:unhideWhenUsed/>
    <w:qFormat/>
    <w:uiPriority w:val="1"/>
  </w:style>
  <w:style w:type="table" w:default="1" w:styleId="5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73"/>
    <w:autoRedefine/>
    <w:qFormat/>
    <w:uiPriority w:val="0"/>
    <w:pPr>
      <w:widowControl/>
      <w:adjustRightInd w:val="0"/>
      <w:snapToGrid w:val="0"/>
      <w:spacing w:line="360" w:lineRule="auto"/>
      <w:outlineLvl w:val="0"/>
    </w:pPr>
    <w:rPr>
      <w:kern w:val="0"/>
      <w:sz w:val="18"/>
      <w:szCs w:val="20"/>
    </w:rPr>
  </w:style>
  <w:style w:type="paragraph" w:styleId="5">
    <w:name w:val="Normal Indent"/>
    <w:basedOn w:val="1"/>
    <w:link w:val="76"/>
    <w:autoRedefine/>
    <w:qFormat/>
    <w:locked/>
    <w:uiPriority w:val="0"/>
    <w:pPr>
      <w:ind w:firstLine="420"/>
    </w:pPr>
    <w:rPr>
      <w:szCs w:val="20"/>
    </w:rPr>
  </w:style>
  <w:style w:type="paragraph" w:styleId="13">
    <w:name w:val="List 3"/>
    <w:basedOn w:val="1"/>
    <w:autoRedefine/>
    <w:qFormat/>
    <w:locked/>
    <w:uiPriority w:val="0"/>
    <w:pPr>
      <w:ind w:left="1260" w:hanging="420"/>
    </w:pPr>
    <w:rPr>
      <w:szCs w:val="20"/>
    </w:rPr>
  </w:style>
  <w:style w:type="paragraph" w:styleId="14">
    <w:name w:val="toc 7"/>
    <w:basedOn w:val="1"/>
    <w:next w:val="1"/>
    <w:autoRedefine/>
    <w:qFormat/>
    <w:locked/>
    <w:uiPriority w:val="39"/>
    <w:pPr>
      <w:ind w:left="1260"/>
      <w:jc w:val="left"/>
    </w:pPr>
    <w:rPr>
      <w:sz w:val="18"/>
      <w:szCs w:val="18"/>
    </w:rPr>
  </w:style>
  <w:style w:type="paragraph" w:styleId="15">
    <w:name w:val="table of authorities"/>
    <w:basedOn w:val="1"/>
    <w:next w:val="1"/>
    <w:autoRedefine/>
    <w:qFormat/>
    <w:locked/>
    <w:uiPriority w:val="0"/>
    <w:pPr>
      <w:ind w:left="420" w:leftChars="200"/>
    </w:pPr>
    <w:rPr>
      <w:rFonts w:eastAsia="仿宋_GB2312"/>
      <w:sz w:val="28"/>
      <w:szCs w:val="20"/>
    </w:rPr>
  </w:style>
  <w:style w:type="paragraph" w:styleId="16">
    <w:name w:val="List Number"/>
    <w:basedOn w:val="1"/>
    <w:autoRedefine/>
    <w:qFormat/>
    <w:locked/>
    <w:uiPriority w:val="0"/>
    <w:pPr>
      <w:numPr>
        <w:ilvl w:val="0"/>
        <w:numId w:val="2"/>
      </w:numPr>
    </w:pPr>
  </w:style>
  <w:style w:type="paragraph" w:styleId="17">
    <w:name w:val="caption"/>
    <w:basedOn w:val="1"/>
    <w:next w:val="1"/>
    <w:link w:val="84"/>
    <w:autoRedefine/>
    <w:qFormat/>
    <w:locked/>
    <w:uiPriority w:val="0"/>
    <w:rPr>
      <w:rFonts w:ascii="等线 Light" w:hAnsi="等线 Light" w:eastAsia="黑体"/>
      <w:sz w:val="20"/>
      <w:szCs w:val="20"/>
    </w:rPr>
  </w:style>
  <w:style w:type="paragraph" w:styleId="18">
    <w:name w:val="List Bullet"/>
    <w:basedOn w:val="1"/>
    <w:autoRedefine/>
    <w:qFormat/>
    <w:locked/>
    <w:uiPriority w:val="0"/>
    <w:pPr>
      <w:tabs>
        <w:tab w:val="left" w:pos="360"/>
      </w:tabs>
      <w:contextualSpacing/>
    </w:pPr>
  </w:style>
  <w:style w:type="paragraph" w:styleId="19">
    <w:name w:val="Document Map"/>
    <w:basedOn w:val="1"/>
    <w:link w:val="85"/>
    <w:autoRedefine/>
    <w:qFormat/>
    <w:locked/>
    <w:uiPriority w:val="0"/>
    <w:pPr>
      <w:shd w:val="clear" w:color="auto" w:fill="000080"/>
    </w:pPr>
  </w:style>
  <w:style w:type="paragraph" w:styleId="20">
    <w:name w:val="toa heading"/>
    <w:basedOn w:val="1"/>
    <w:next w:val="1"/>
    <w:autoRedefine/>
    <w:qFormat/>
    <w:locked/>
    <w:uiPriority w:val="0"/>
    <w:pPr>
      <w:spacing w:before="120"/>
    </w:pPr>
    <w:rPr>
      <w:rFonts w:ascii="Arial" w:hAnsi="Arial" w:eastAsia="仿宋_GB2312"/>
      <w:b/>
      <w:bCs/>
      <w:sz w:val="28"/>
    </w:rPr>
  </w:style>
  <w:style w:type="paragraph" w:styleId="21">
    <w:name w:val="annotation text"/>
    <w:basedOn w:val="1"/>
    <w:link w:val="86"/>
    <w:autoRedefine/>
    <w:qFormat/>
    <w:uiPriority w:val="99"/>
    <w:pPr>
      <w:jc w:val="left"/>
    </w:pPr>
    <w:rPr>
      <w:kern w:val="0"/>
      <w:sz w:val="24"/>
      <w:szCs w:val="20"/>
    </w:rPr>
  </w:style>
  <w:style w:type="paragraph" w:styleId="22">
    <w:name w:val="Salutation"/>
    <w:basedOn w:val="1"/>
    <w:next w:val="1"/>
    <w:link w:val="87"/>
    <w:autoRedefine/>
    <w:qFormat/>
    <w:locked/>
    <w:uiPriority w:val="0"/>
    <w:rPr>
      <w:rFonts w:ascii="宋体" w:hAnsi="Courier New"/>
      <w:szCs w:val="20"/>
    </w:rPr>
  </w:style>
  <w:style w:type="paragraph" w:styleId="23">
    <w:name w:val="Body Text 3"/>
    <w:basedOn w:val="1"/>
    <w:link w:val="88"/>
    <w:autoRedefine/>
    <w:qFormat/>
    <w:locked/>
    <w:uiPriority w:val="0"/>
    <w:rPr>
      <w:b/>
      <w:bCs/>
      <w:sz w:val="24"/>
    </w:rPr>
  </w:style>
  <w:style w:type="paragraph" w:styleId="24">
    <w:name w:val="Body Text Indent"/>
    <w:basedOn w:val="1"/>
    <w:link w:val="89"/>
    <w:autoRedefine/>
    <w:qFormat/>
    <w:uiPriority w:val="0"/>
    <w:pPr>
      <w:spacing w:after="120"/>
      <w:ind w:left="420" w:leftChars="200"/>
    </w:pPr>
    <w:rPr>
      <w:kern w:val="0"/>
      <w:sz w:val="24"/>
      <w:szCs w:val="20"/>
    </w:rPr>
  </w:style>
  <w:style w:type="paragraph" w:styleId="25">
    <w:name w:val="List 2"/>
    <w:basedOn w:val="1"/>
    <w:autoRedefine/>
    <w:qFormat/>
    <w:locked/>
    <w:uiPriority w:val="0"/>
    <w:pPr>
      <w:spacing w:line="400" w:lineRule="atLeast"/>
      <w:jc w:val="center"/>
    </w:pPr>
  </w:style>
  <w:style w:type="paragraph" w:styleId="26">
    <w:name w:val="List Continue"/>
    <w:basedOn w:val="1"/>
    <w:autoRedefine/>
    <w:qFormat/>
    <w:locked/>
    <w:uiPriority w:val="99"/>
    <w:pPr>
      <w:spacing w:after="120"/>
      <w:ind w:left="420"/>
    </w:pPr>
    <w:rPr>
      <w:sz w:val="26"/>
      <w:szCs w:val="26"/>
    </w:rPr>
  </w:style>
  <w:style w:type="paragraph" w:styleId="27">
    <w:name w:val="Block Text"/>
    <w:basedOn w:val="1"/>
    <w:autoRedefine/>
    <w:qFormat/>
    <w:locked/>
    <w:uiPriority w:val="0"/>
    <w:pPr>
      <w:adjustRightInd w:val="0"/>
      <w:snapToGrid w:val="0"/>
      <w:spacing w:line="490" w:lineRule="atLeast"/>
      <w:ind w:left="10" w:leftChars="5" w:right="-449" w:rightChars="-214" w:firstLine="560" w:firstLineChars="200"/>
    </w:pPr>
    <w:rPr>
      <w:color w:val="000000"/>
      <w:sz w:val="28"/>
    </w:rPr>
  </w:style>
  <w:style w:type="paragraph" w:styleId="28">
    <w:name w:val="List Bullet 2"/>
    <w:basedOn w:val="1"/>
    <w:next w:val="29"/>
    <w:autoRedefine/>
    <w:qFormat/>
    <w:locked/>
    <w:uiPriority w:val="0"/>
    <w:pPr>
      <w:adjustRightInd w:val="0"/>
      <w:snapToGrid w:val="0"/>
      <w:ind w:left="-119" w:right="-143"/>
      <w:jc w:val="center"/>
      <w:textAlignment w:val="baseline"/>
    </w:pPr>
    <w:rPr>
      <w:kern w:val="0"/>
    </w:rPr>
  </w:style>
  <w:style w:type="paragraph" w:styleId="29">
    <w:name w:val="Body Text First Indent"/>
    <w:basedOn w:val="2"/>
    <w:next w:val="1"/>
    <w:link w:val="90"/>
    <w:autoRedefine/>
    <w:qFormat/>
    <w:locked/>
    <w:uiPriority w:val="0"/>
    <w:pPr>
      <w:widowControl w:val="0"/>
      <w:snapToGrid/>
      <w:ind w:firstLine="560"/>
      <w:textAlignment w:val="baseline"/>
    </w:pPr>
    <w:rPr>
      <w:rFonts w:ascii="宋体"/>
      <w:kern w:val="28"/>
      <w:sz w:val="24"/>
    </w:rPr>
  </w:style>
  <w:style w:type="paragraph" w:styleId="30">
    <w:name w:val="toc 5"/>
    <w:basedOn w:val="1"/>
    <w:next w:val="1"/>
    <w:autoRedefine/>
    <w:qFormat/>
    <w:locked/>
    <w:uiPriority w:val="39"/>
    <w:pPr>
      <w:ind w:left="840"/>
      <w:jc w:val="left"/>
    </w:pPr>
    <w:rPr>
      <w:sz w:val="18"/>
      <w:szCs w:val="18"/>
    </w:rPr>
  </w:style>
  <w:style w:type="paragraph" w:styleId="31">
    <w:name w:val="toc 3"/>
    <w:basedOn w:val="1"/>
    <w:next w:val="1"/>
    <w:autoRedefine/>
    <w:qFormat/>
    <w:locked/>
    <w:uiPriority w:val="39"/>
    <w:pPr>
      <w:ind w:left="420"/>
      <w:jc w:val="left"/>
    </w:pPr>
    <w:rPr>
      <w:i/>
      <w:iCs/>
      <w:sz w:val="20"/>
      <w:szCs w:val="20"/>
    </w:rPr>
  </w:style>
  <w:style w:type="paragraph" w:styleId="32">
    <w:name w:val="Plain Text"/>
    <w:basedOn w:val="1"/>
    <w:next w:val="1"/>
    <w:link w:val="91"/>
    <w:autoRedefine/>
    <w:qFormat/>
    <w:locked/>
    <w:uiPriority w:val="0"/>
    <w:rPr>
      <w:rFonts w:ascii="宋体" w:hAnsi="Courier New"/>
      <w:szCs w:val="20"/>
    </w:rPr>
  </w:style>
  <w:style w:type="paragraph" w:styleId="33">
    <w:name w:val="List Bullet 5"/>
    <w:basedOn w:val="1"/>
    <w:autoRedefine/>
    <w:qFormat/>
    <w:locked/>
    <w:uiPriority w:val="0"/>
    <w:pPr>
      <w:numPr>
        <w:ilvl w:val="0"/>
        <w:numId w:val="3"/>
      </w:numPr>
    </w:pPr>
  </w:style>
  <w:style w:type="paragraph" w:styleId="34">
    <w:name w:val="toc 8"/>
    <w:basedOn w:val="1"/>
    <w:next w:val="1"/>
    <w:autoRedefine/>
    <w:qFormat/>
    <w:locked/>
    <w:uiPriority w:val="39"/>
    <w:pPr>
      <w:ind w:left="1470"/>
      <w:jc w:val="left"/>
    </w:pPr>
    <w:rPr>
      <w:sz w:val="18"/>
      <w:szCs w:val="18"/>
    </w:rPr>
  </w:style>
  <w:style w:type="paragraph" w:styleId="35">
    <w:name w:val="Date"/>
    <w:basedOn w:val="1"/>
    <w:next w:val="1"/>
    <w:link w:val="92"/>
    <w:autoRedefine/>
    <w:qFormat/>
    <w:uiPriority w:val="0"/>
    <w:pPr>
      <w:ind w:left="100" w:leftChars="2500"/>
    </w:pPr>
    <w:rPr>
      <w:kern w:val="0"/>
      <w:sz w:val="24"/>
      <w:szCs w:val="20"/>
    </w:rPr>
  </w:style>
  <w:style w:type="paragraph" w:styleId="36">
    <w:name w:val="Body Text Indent 2"/>
    <w:basedOn w:val="1"/>
    <w:link w:val="93"/>
    <w:autoRedefine/>
    <w:qFormat/>
    <w:locked/>
    <w:uiPriority w:val="0"/>
    <w:pPr>
      <w:spacing w:line="480" w:lineRule="exact"/>
      <w:ind w:firstLine="480" w:firstLineChars="200"/>
      <w:jc w:val="left"/>
    </w:pPr>
    <w:rPr>
      <w:sz w:val="24"/>
    </w:rPr>
  </w:style>
  <w:style w:type="paragraph" w:styleId="37">
    <w:name w:val="Balloon Text"/>
    <w:basedOn w:val="1"/>
    <w:link w:val="94"/>
    <w:autoRedefine/>
    <w:qFormat/>
    <w:uiPriority w:val="0"/>
    <w:rPr>
      <w:kern w:val="0"/>
      <w:sz w:val="18"/>
      <w:szCs w:val="20"/>
    </w:rPr>
  </w:style>
  <w:style w:type="paragraph" w:styleId="38">
    <w:name w:val="footer"/>
    <w:basedOn w:val="1"/>
    <w:link w:val="95"/>
    <w:autoRedefine/>
    <w:qFormat/>
    <w:uiPriority w:val="0"/>
    <w:pPr>
      <w:tabs>
        <w:tab w:val="center" w:pos="4153"/>
        <w:tab w:val="right" w:pos="8306"/>
      </w:tabs>
      <w:snapToGrid w:val="0"/>
      <w:jc w:val="left"/>
    </w:pPr>
    <w:rPr>
      <w:kern w:val="0"/>
      <w:sz w:val="18"/>
      <w:szCs w:val="20"/>
    </w:rPr>
  </w:style>
  <w:style w:type="paragraph" w:styleId="39">
    <w:name w:val="header"/>
    <w:basedOn w:val="1"/>
    <w:link w:val="96"/>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40">
    <w:name w:val="toc 1"/>
    <w:basedOn w:val="1"/>
    <w:next w:val="1"/>
    <w:autoRedefine/>
    <w:qFormat/>
    <w:locked/>
    <w:uiPriority w:val="39"/>
    <w:pPr>
      <w:tabs>
        <w:tab w:val="right" w:leader="dot" w:pos="8296"/>
      </w:tabs>
      <w:spacing w:line="360" w:lineRule="auto"/>
      <w:jc w:val="left"/>
    </w:pPr>
    <w:rPr>
      <w:b/>
      <w:bCs/>
      <w:caps/>
      <w:sz w:val="20"/>
      <w:szCs w:val="20"/>
    </w:rPr>
  </w:style>
  <w:style w:type="paragraph" w:styleId="41">
    <w:name w:val="toc 4"/>
    <w:basedOn w:val="1"/>
    <w:next w:val="1"/>
    <w:autoRedefine/>
    <w:qFormat/>
    <w:locked/>
    <w:uiPriority w:val="39"/>
    <w:pPr>
      <w:ind w:left="630"/>
      <w:jc w:val="left"/>
    </w:pPr>
    <w:rPr>
      <w:sz w:val="18"/>
      <w:szCs w:val="18"/>
    </w:rPr>
  </w:style>
  <w:style w:type="paragraph" w:styleId="42">
    <w:name w:val="index heading"/>
    <w:basedOn w:val="1"/>
    <w:next w:val="43"/>
    <w:autoRedefine/>
    <w:unhideWhenUsed/>
    <w:qFormat/>
    <w:locked/>
    <w:uiPriority w:val="0"/>
    <w:rPr>
      <w:rFonts w:ascii="Cambria" w:hAnsi="Cambria"/>
      <w:b/>
      <w:bCs/>
    </w:rPr>
  </w:style>
  <w:style w:type="paragraph" w:styleId="43">
    <w:name w:val="index 1"/>
    <w:basedOn w:val="1"/>
    <w:next w:val="1"/>
    <w:autoRedefine/>
    <w:qFormat/>
    <w:locked/>
    <w:uiPriority w:val="0"/>
  </w:style>
  <w:style w:type="paragraph" w:styleId="44">
    <w:name w:val="Subtitle"/>
    <w:basedOn w:val="1"/>
    <w:next w:val="1"/>
    <w:link w:val="97"/>
    <w:autoRedefine/>
    <w:qFormat/>
    <w:locked/>
    <w:uiPriority w:val="11"/>
    <w:pPr>
      <w:widowControl/>
      <w:spacing w:after="160" w:line="259" w:lineRule="auto"/>
      <w:jc w:val="left"/>
    </w:pPr>
    <w:rPr>
      <w:rFonts w:ascii="Calibri" w:hAnsi="Calibri"/>
      <w:color w:val="5A5A5A"/>
      <w:spacing w:val="15"/>
      <w:kern w:val="0"/>
      <w:sz w:val="22"/>
      <w:szCs w:val="22"/>
    </w:rPr>
  </w:style>
  <w:style w:type="paragraph" w:styleId="45">
    <w:name w:val="List"/>
    <w:basedOn w:val="1"/>
    <w:autoRedefine/>
    <w:qFormat/>
    <w:locked/>
    <w:uiPriority w:val="0"/>
    <w:pPr>
      <w:ind w:left="200" w:hanging="200" w:hangingChars="200"/>
      <w:contextualSpacing/>
    </w:pPr>
    <w:rPr>
      <w:kern w:val="0"/>
      <w:sz w:val="24"/>
      <w:szCs w:val="20"/>
    </w:rPr>
  </w:style>
  <w:style w:type="paragraph" w:styleId="46">
    <w:name w:val="toc 6"/>
    <w:basedOn w:val="1"/>
    <w:next w:val="1"/>
    <w:autoRedefine/>
    <w:qFormat/>
    <w:locked/>
    <w:uiPriority w:val="39"/>
    <w:pPr>
      <w:ind w:left="1050"/>
      <w:jc w:val="left"/>
    </w:pPr>
    <w:rPr>
      <w:sz w:val="18"/>
      <w:szCs w:val="18"/>
    </w:rPr>
  </w:style>
  <w:style w:type="paragraph" w:styleId="47">
    <w:name w:val="Body Text Indent 3"/>
    <w:basedOn w:val="1"/>
    <w:link w:val="98"/>
    <w:autoRedefine/>
    <w:qFormat/>
    <w:locked/>
    <w:uiPriority w:val="0"/>
    <w:pPr>
      <w:snapToGrid w:val="0"/>
      <w:spacing w:line="480" w:lineRule="exact"/>
      <w:ind w:firstLine="480" w:firstLineChars="200"/>
    </w:pPr>
    <w:rPr>
      <w:sz w:val="24"/>
    </w:rPr>
  </w:style>
  <w:style w:type="paragraph" w:styleId="48">
    <w:name w:val="table of figures"/>
    <w:basedOn w:val="1"/>
    <w:next w:val="1"/>
    <w:autoRedefine/>
    <w:qFormat/>
    <w:locked/>
    <w:uiPriority w:val="0"/>
    <w:pPr>
      <w:ind w:left="840" w:leftChars="200" w:hanging="420" w:hangingChars="200"/>
    </w:pPr>
    <w:rPr>
      <w:sz w:val="28"/>
      <w:szCs w:val="20"/>
    </w:rPr>
  </w:style>
  <w:style w:type="paragraph" w:styleId="49">
    <w:name w:val="toc 2"/>
    <w:basedOn w:val="1"/>
    <w:next w:val="1"/>
    <w:autoRedefine/>
    <w:qFormat/>
    <w:locked/>
    <w:uiPriority w:val="39"/>
    <w:pPr>
      <w:ind w:left="210"/>
      <w:jc w:val="left"/>
    </w:pPr>
    <w:rPr>
      <w:smallCaps/>
      <w:sz w:val="20"/>
      <w:szCs w:val="20"/>
    </w:rPr>
  </w:style>
  <w:style w:type="paragraph" w:styleId="50">
    <w:name w:val="toc 9"/>
    <w:basedOn w:val="1"/>
    <w:next w:val="1"/>
    <w:autoRedefine/>
    <w:qFormat/>
    <w:locked/>
    <w:uiPriority w:val="39"/>
    <w:pPr>
      <w:ind w:left="1680"/>
      <w:jc w:val="left"/>
    </w:pPr>
    <w:rPr>
      <w:sz w:val="18"/>
      <w:szCs w:val="18"/>
    </w:rPr>
  </w:style>
  <w:style w:type="paragraph" w:styleId="51">
    <w:name w:val="Body Text 2"/>
    <w:basedOn w:val="1"/>
    <w:link w:val="99"/>
    <w:autoRedefine/>
    <w:qFormat/>
    <w:locked/>
    <w:uiPriority w:val="0"/>
    <w:pPr>
      <w:spacing w:line="288" w:lineRule="auto"/>
    </w:pPr>
    <w:rPr>
      <w:b/>
      <w:color w:val="000000"/>
      <w:sz w:val="28"/>
    </w:rPr>
  </w:style>
  <w:style w:type="paragraph" w:styleId="52">
    <w:name w:val="List Continue 2"/>
    <w:basedOn w:val="1"/>
    <w:autoRedefine/>
    <w:qFormat/>
    <w:locked/>
    <w:uiPriority w:val="0"/>
    <w:pPr>
      <w:spacing w:after="120"/>
      <w:ind w:left="840" w:leftChars="400"/>
    </w:pPr>
    <w:rPr>
      <w:kern w:val="0"/>
      <w:sz w:val="24"/>
      <w:szCs w:val="20"/>
    </w:rPr>
  </w:style>
  <w:style w:type="paragraph" w:styleId="53">
    <w:name w:val="Message Header"/>
    <w:basedOn w:val="1"/>
    <w:link w:val="100"/>
    <w:autoRedefine/>
    <w:qFormat/>
    <w:locked/>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54">
    <w:name w:val="HTML Preformatted"/>
    <w:basedOn w:val="1"/>
    <w:link w:val="101"/>
    <w:autoRedefine/>
    <w:qFormat/>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kern w:val="0"/>
    </w:rPr>
  </w:style>
  <w:style w:type="paragraph" w:styleId="55">
    <w:name w:val="Normal (Web)"/>
    <w:basedOn w:val="1"/>
    <w:link w:val="102"/>
    <w:autoRedefine/>
    <w:qFormat/>
    <w:uiPriority w:val="0"/>
    <w:pPr>
      <w:widowControl/>
      <w:adjustRightInd w:val="0"/>
      <w:snapToGrid w:val="0"/>
      <w:jc w:val="center"/>
      <w:outlineLvl w:val="0"/>
    </w:pPr>
    <w:rPr>
      <w:b/>
      <w:bCs/>
      <w:kern w:val="0"/>
      <w:sz w:val="24"/>
      <w:szCs w:val="20"/>
    </w:rPr>
  </w:style>
  <w:style w:type="paragraph" w:styleId="56">
    <w:name w:val="Title"/>
    <w:basedOn w:val="1"/>
    <w:next w:val="2"/>
    <w:link w:val="103"/>
    <w:autoRedefine/>
    <w:qFormat/>
    <w:locked/>
    <w:uiPriority w:val="0"/>
    <w:pPr>
      <w:keepNext/>
      <w:keepLines/>
      <w:widowControl/>
      <w:spacing w:before="480" w:after="360" w:line="480" w:lineRule="atLeast"/>
      <w:jc w:val="center"/>
    </w:pPr>
    <w:rPr>
      <w:rFonts w:ascii="Courier New" w:hAnsi="Courier New"/>
      <w:b/>
      <w:kern w:val="28"/>
      <w:sz w:val="36"/>
      <w:szCs w:val="20"/>
    </w:rPr>
  </w:style>
  <w:style w:type="paragraph" w:styleId="57">
    <w:name w:val="annotation subject"/>
    <w:basedOn w:val="21"/>
    <w:next w:val="21"/>
    <w:link w:val="104"/>
    <w:autoRedefine/>
    <w:qFormat/>
    <w:uiPriority w:val="0"/>
    <w:rPr>
      <w:b/>
      <w:kern w:val="2"/>
    </w:rPr>
  </w:style>
  <w:style w:type="paragraph" w:styleId="58">
    <w:name w:val="Body Text First Indent 2"/>
    <w:basedOn w:val="24"/>
    <w:next w:val="29"/>
    <w:link w:val="105"/>
    <w:autoRedefine/>
    <w:qFormat/>
    <w:locked/>
    <w:uiPriority w:val="0"/>
    <w:pPr>
      <w:ind w:firstLine="420" w:firstLineChars="200"/>
    </w:pPr>
    <w:rPr>
      <w:kern w:val="2"/>
      <w:sz w:val="28"/>
    </w:rPr>
  </w:style>
  <w:style w:type="table" w:styleId="60">
    <w:name w:val="Table Grid"/>
    <w:basedOn w:val="59"/>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1">
    <w:name w:val="Table Theme"/>
    <w:basedOn w:val="59"/>
    <w:autoRedefine/>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2">
    <w:name w:val="Table Elegant"/>
    <w:basedOn w:val="59"/>
    <w:autoRedefine/>
    <w:qFormat/>
    <w:locked/>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3">
    <w:name w:val="Table Grid 1"/>
    <w:basedOn w:val="59"/>
    <w:autoRedefine/>
    <w:qFormat/>
    <w:locked/>
    <w:uiPriority w:val="0"/>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65">
    <w:name w:val="Strong"/>
    <w:autoRedefine/>
    <w:qFormat/>
    <w:locked/>
    <w:uiPriority w:val="22"/>
    <w:rPr>
      <w:b/>
      <w:bCs/>
    </w:rPr>
  </w:style>
  <w:style w:type="character" w:styleId="66">
    <w:name w:val="page number"/>
    <w:autoRedefine/>
    <w:qFormat/>
    <w:locked/>
    <w:uiPriority w:val="0"/>
  </w:style>
  <w:style w:type="character" w:styleId="67">
    <w:name w:val="FollowedHyperlink"/>
    <w:autoRedefine/>
    <w:qFormat/>
    <w:locked/>
    <w:uiPriority w:val="0"/>
    <w:rPr>
      <w:color w:val="954F72"/>
      <w:u w:val="single"/>
    </w:rPr>
  </w:style>
  <w:style w:type="character" w:styleId="68">
    <w:name w:val="Emphasis"/>
    <w:autoRedefine/>
    <w:qFormat/>
    <w:locked/>
    <w:uiPriority w:val="20"/>
    <w:rPr>
      <w:color w:val="CC0033"/>
    </w:rPr>
  </w:style>
  <w:style w:type="character" w:styleId="69">
    <w:name w:val="Hyperlink"/>
    <w:autoRedefine/>
    <w:qFormat/>
    <w:locked/>
    <w:uiPriority w:val="99"/>
    <w:rPr>
      <w:color w:val="0000FF"/>
      <w:u w:val="single"/>
    </w:rPr>
  </w:style>
  <w:style w:type="character" w:styleId="70">
    <w:name w:val="HTML Code"/>
    <w:autoRedefine/>
    <w:qFormat/>
    <w:locked/>
    <w:uiPriority w:val="0"/>
    <w:rPr>
      <w:rFonts w:ascii="宋体" w:hAnsi="宋体" w:eastAsia="宋体" w:cs="宋体"/>
      <w:sz w:val="24"/>
      <w:szCs w:val="24"/>
    </w:rPr>
  </w:style>
  <w:style w:type="character" w:styleId="71">
    <w:name w:val="annotation reference"/>
    <w:autoRedefine/>
    <w:qFormat/>
    <w:uiPriority w:val="0"/>
    <w:rPr>
      <w:sz w:val="21"/>
    </w:rPr>
  </w:style>
  <w:style w:type="paragraph" w:customStyle="1" w:styleId="72">
    <w:name w:val="正文缩进2"/>
    <w:basedOn w:val="1"/>
    <w:autoRedefine/>
    <w:qFormat/>
    <w:uiPriority w:val="0"/>
    <w:pPr>
      <w:spacing w:line="500" w:lineRule="exact"/>
    </w:pPr>
  </w:style>
  <w:style w:type="character" w:customStyle="1" w:styleId="73">
    <w:name w:val="正文文本 字符"/>
    <w:link w:val="2"/>
    <w:autoRedefine/>
    <w:qFormat/>
    <w:locked/>
    <w:uiPriority w:val="0"/>
    <w:rPr>
      <w:snapToGrid w:val="0"/>
      <w:sz w:val="18"/>
    </w:rPr>
  </w:style>
  <w:style w:type="character" w:customStyle="1" w:styleId="74">
    <w:name w:val="标题 1 字符2"/>
    <w:link w:val="3"/>
    <w:autoRedefine/>
    <w:qFormat/>
    <w:uiPriority w:val="0"/>
    <w:rPr>
      <w:rFonts w:eastAsia="黑体"/>
      <w:b/>
      <w:bCs/>
      <w:color w:val="000000"/>
      <w:kern w:val="44"/>
      <w:sz w:val="30"/>
      <w:szCs w:val="30"/>
    </w:rPr>
  </w:style>
  <w:style w:type="character" w:customStyle="1" w:styleId="75">
    <w:name w:val="标题 2 字符1"/>
    <w:link w:val="4"/>
    <w:autoRedefine/>
    <w:qFormat/>
    <w:uiPriority w:val="0"/>
    <w:rPr>
      <w:kern w:val="2"/>
      <w:sz w:val="24"/>
    </w:rPr>
  </w:style>
  <w:style w:type="character" w:customStyle="1" w:styleId="76">
    <w:name w:val="正文缩进 字符2"/>
    <w:link w:val="5"/>
    <w:autoRedefine/>
    <w:qFormat/>
    <w:uiPriority w:val="0"/>
    <w:rPr>
      <w:kern w:val="2"/>
      <w:sz w:val="21"/>
    </w:rPr>
  </w:style>
  <w:style w:type="character" w:customStyle="1" w:styleId="77">
    <w:name w:val="标题 3 字符1"/>
    <w:link w:val="6"/>
    <w:autoRedefine/>
    <w:qFormat/>
    <w:uiPriority w:val="0"/>
    <w:rPr>
      <w:b/>
      <w:bCs/>
      <w:kern w:val="2"/>
      <w:sz w:val="32"/>
      <w:szCs w:val="32"/>
    </w:rPr>
  </w:style>
  <w:style w:type="character" w:customStyle="1" w:styleId="78">
    <w:name w:val="标题 4 字符2"/>
    <w:link w:val="7"/>
    <w:autoRedefine/>
    <w:qFormat/>
    <w:uiPriority w:val="0"/>
    <w:rPr>
      <w:rFonts w:ascii="Arial" w:hAnsi="Arial"/>
      <w:kern w:val="2"/>
      <w:sz w:val="24"/>
    </w:rPr>
  </w:style>
  <w:style w:type="character" w:customStyle="1" w:styleId="79">
    <w:name w:val="标题 5 字符2"/>
    <w:link w:val="8"/>
    <w:autoRedefine/>
    <w:qFormat/>
    <w:uiPriority w:val="9"/>
    <w:rPr>
      <w:b/>
      <w:bCs/>
      <w:kern w:val="2"/>
      <w:sz w:val="24"/>
    </w:rPr>
  </w:style>
  <w:style w:type="character" w:customStyle="1" w:styleId="80">
    <w:name w:val="标题 6 字符2"/>
    <w:link w:val="9"/>
    <w:autoRedefine/>
    <w:qFormat/>
    <w:uiPriority w:val="9"/>
    <w:rPr>
      <w:rFonts w:ascii="Arial" w:hAnsi="Arial" w:eastAsia="黑体"/>
      <w:b/>
      <w:bCs/>
      <w:kern w:val="2"/>
      <w:sz w:val="24"/>
      <w:szCs w:val="24"/>
    </w:rPr>
  </w:style>
  <w:style w:type="character" w:customStyle="1" w:styleId="81">
    <w:name w:val="标题 7 字符1"/>
    <w:link w:val="10"/>
    <w:autoRedefine/>
    <w:qFormat/>
    <w:uiPriority w:val="9"/>
    <w:rPr>
      <w:rFonts w:eastAsia="仿宋_GB2312"/>
      <w:b/>
      <w:bCs/>
      <w:kern w:val="2"/>
      <w:sz w:val="24"/>
      <w:szCs w:val="24"/>
    </w:rPr>
  </w:style>
  <w:style w:type="character" w:customStyle="1" w:styleId="82">
    <w:name w:val="标题 8 字符3"/>
    <w:link w:val="11"/>
    <w:autoRedefine/>
    <w:qFormat/>
    <w:uiPriority w:val="0"/>
    <w:rPr>
      <w:b/>
      <w:bCs/>
      <w:sz w:val="32"/>
      <w:szCs w:val="24"/>
      <w:lang w:val="en-GB" w:eastAsia="es-ES"/>
    </w:rPr>
  </w:style>
  <w:style w:type="character" w:customStyle="1" w:styleId="83">
    <w:name w:val="标题 9 字符1"/>
    <w:link w:val="12"/>
    <w:autoRedefine/>
    <w:qFormat/>
    <w:uiPriority w:val="9"/>
    <w:rPr>
      <w:rFonts w:ascii="Arial" w:hAnsi="Arial" w:eastAsia="黑体"/>
      <w:kern w:val="2"/>
      <w:sz w:val="21"/>
      <w:szCs w:val="21"/>
    </w:rPr>
  </w:style>
  <w:style w:type="character" w:customStyle="1" w:styleId="84">
    <w:name w:val="题注 字符1"/>
    <w:link w:val="17"/>
    <w:autoRedefine/>
    <w:qFormat/>
    <w:uiPriority w:val="0"/>
    <w:rPr>
      <w:rFonts w:ascii="等线 Light" w:hAnsi="等线 Light" w:eastAsia="黑体"/>
      <w:kern w:val="2"/>
    </w:rPr>
  </w:style>
  <w:style w:type="character" w:customStyle="1" w:styleId="85">
    <w:name w:val="文档结构图 字符3"/>
    <w:link w:val="19"/>
    <w:autoRedefine/>
    <w:qFormat/>
    <w:uiPriority w:val="0"/>
    <w:rPr>
      <w:kern w:val="2"/>
      <w:sz w:val="21"/>
      <w:szCs w:val="24"/>
      <w:shd w:val="clear" w:color="auto" w:fill="000080"/>
    </w:rPr>
  </w:style>
  <w:style w:type="character" w:customStyle="1" w:styleId="86">
    <w:name w:val="批注文字 字符2"/>
    <w:link w:val="21"/>
    <w:autoRedefine/>
    <w:qFormat/>
    <w:locked/>
    <w:uiPriority w:val="99"/>
    <w:rPr>
      <w:snapToGrid w:val="0"/>
      <w:sz w:val="24"/>
    </w:rPr>
  </w:style>
  <w:style w:type="character" w:customStyle="1" w:styleId="87">
    <w:name w:val="称呼 字符1"/>
    <w:link w:val="22"/>
    <w:autoRedefine/>
    <w:qFormat/>
    <w:uiPriority w:val="0"/>
    <w:rPr>
      <w:rFonts w:ascii="宋体" w:hAnsi="Courier New"/>
      <w:kern w:val="2"/>
      <w:sz w:val="21"/>
    </w:rPr>
  </w:style>
  <w:style w:type="character" w:customStyle="1" w:styleId="88">
    <w:name w:val="正文文本 3 字符3"/>
    <w:link w:val="23"/>
    <w:autoRedefine/>
    <w:qFormat/>
    <w:uiPriority w:val="0"/>
    <w:rPr>
      <w:b/>
      <w:bCs/>
      <w:kern w:val="2"/>
      <w:sz w:val="24"/>
      <w:szCs w:val="24"/>
    </w:rPr>
  </w:style>
  <w:style w:type="character" w:customStyle="1" w:styleId="89">
    <w:name w:val="正文文本缩进 字符2"/>
    <w:link w:val="24"/>
    <w:autoRedefine/>
    <w:qFormat/>
    <w:locked/>
    <w:uiPriority w:val="0"/>
    <w:rPr>
      <w:rFonts w:ascii="Times New Roman" w:hAnsi="Times New Roman" w:eastAsia="宋体"/>
      <w:sz w:val="24"/>
    </w:rPr>
  </w:style>
  <w:style w:type="character" w:customStyle="1" w:styleId="90">
    <w:name w:val="正文文本首行缩进 字符1"/>
    <w:link w:val="29"/>
    <w:autoRedefine/>
    <w:qFormat/>
    <w:uiPriority w:val="0"/>
    <w:rPr>
      <w:rFonts w:ascii="宋体"/>
      <w:kern w:val="28"/>
      <w:sz w:val="24"/>
    </w:rPr>
  </w:style>
  <w:style w:type="character" w:customStyle="1" w:styleId="91">
    <w:name w:val="纯文本 字符3"/>
    <w:link w:val="32"/>
    <w:autoRedefine/>
    <w:qFormat/>
    <w:uiPriority w:val="0"/>
    <w:rPr>
      <w:rFonts w:ascii="宋体" w:hAnsi="Courier New"/>
      <w:kern w:val="2"/>
      <w:sz w:val="21"/>
    </w:rPr>
  </w:style>
  <w:style w:type="character" w:customStyle="1" w:styleId="92">
    <w:name w:val="日期 字符3"/>
    <w:link w:val="35"/>
    <w:autoRedefine/>
    <w:qFormat/>
    <w:locked/>
    <w:uiPriority w:val="0"/>
    <w:rPr>
      <w:rFonts w:ascii="Times New Roman" w:hAnsi="Times New Roman" w:eastAsia="宋体"/>
      <w:sz w:val="24"/>
    </w:rPr>
  </w:style>
  <w:style w:type="character" w:customStyle="1" w:styleId="93">
    <w:name w:val="正文文本缩进 2 字符3"/>
    <w:link w:val="36"/>
    <w:autoRedefine/>
    <w:qFormat/>
    <w:uiPriority w:val="0"/>
    <w:rPr>
      <w:kern w:val="2"/>
      <w:sz w:val="24"/>
      <w:szCs w:val="24"/>
    </w:rPr>
  </w:style>
  <w:style w:type="character" w:customStyle="1" w:styleId="94">
    <w:name w:val="批注框文本 字符3"/>
    <w:link w:val="37"/>
    <w:autoRedefine/>
    <w:semiHidden/>
    <w:qFormat/>
    <w:locked/>
    <w:uiPriority w:val="0"/>
    <w:rPr>
      <w:rFonts w:ascii="Times New Roman" w:hAnsi="Times New Roman" w:eastAsia="宋体"/>
      <w:sz w:val="18"/>
    </w:rPr>
  </w:style>
  <w:style w:type="character" w:customStyle="1" w:styleId="95">
    <w:name w:val="页脚 字符1"/>
    <w:link w:val="38"/>
    <w:autoRedefine/>
    <w:qFormat/>
    <w:locked/>
    <w:uiPriority w:val="0"/>
    <w:rPr>
      <w:sz w:val="18"/>
    </w:rPr>
  </w:style>
  <w:style w:type="character" w:customStyle="1" w:styleId="96">
    <w:name w:val="页眉 字符1"/>
    <w:link w:val="39"/>
    <w:autoRedefine/>
    <w:qFormat/>
    <w:locked/>
    <w:uiPriority w:val="0"/>
    <w:rPr>
      <w:sz w:val="18"/>
    </w:rPr>
  </w:style>
  <w:style w:type="character" w:customStyle="1" w:styleId="97">
    <w:name w:val="副标题 字符3"/>
    <w:link w:val="44"/>
    <w:autoRedefine/>
    <w:qFormat/>
    <w:uiPriority w:val="11"/>
    <w:rPr>
      <w:rFonts w:ascii="Calibri" w:hAnsi="Calibri"/>
      <w:color w:val="5A5A5A"/>
      <w:spacing w:val="15"/>
      <w:sz w:val="22"/>
      <w:szCs w:val="22"/>
    </w:rPr>
  </w:style>
  <w:style w:type="character" w:customStyle="1" w:styleId="98">
    <w:name w:val="正文文本缩进 3 字符2"/>
    <w:link w:val="47"/>
    <w:autoRedefine/>
    <w:qFormat/>
    <w:uiPriority w:val="0"/>
    <w:rPr>
      <w:kern w:val="2"/>
      <w:sz w:val="24"/>
      <w:szCs w:val="24"/>
    </w:rPr>
  </w:style>
  <w:style w:type="character" w:customStyle="1" w:styleId="99">
    <w:name w:val="正文文本 2 字符3"/>
    <w:link w:val="51"/>
    <w:autoRedefine/>
    <w:qFormat/>
    <w:uiPriority w:val="0"/>
    <w:rPr>
      <w:b/>
      <w:color w:val="000000"/>
      <w:kern w:val="2"/>
      <w:sz w:val="28"/>
      <w:szCs w:val="24"/>
    </w:rPr>
  </w:style>
  <w:style w:type="character" w:customStyle="1" w:styleId="100">
    <w:name w:val="信息标题 字符3"/>
    <w:link w:val="53"/>
    <w:autoRedefine/>
    <w:qFormat/>
    <w:uiPriority w:val="0"/>
    <w:rPr>
      <w:rFonts w:ascii="Arial" w:hAnsi="Arial"/>
      <w:kern w:val="2"/>
      <w:sz w:val="24"/>
      <w:szCs w:val="24"/>
      <w:shd w:val="pct20" w:color="auto" w:fill="auto"/>
    </w:rPr>
  </w:style>
  <w:style w:type="character" w:customStyle="1" w:styleId="101">
    <w:name w:val="HTML 预设格式 字符1"/>
    <w:link w:val="54"/>
    <w:autoRedefine/>
    <w:qFormat/>
    <w:uiPriority w:val="99"/>
    <w:rPr>
      <w:rFonts w:ascii="Arial" w:hAnsi="Arial"/>
      <w:sz w:val="21"/>
      <w:szCs w:val="21"/>
    </w:rPr>
  </w:style>
  <w:style w:type="character" w:customStyle="1" w:styleId="102">
    <w:name w:val="普通(网站) 字符1"/>
    <w:link w:val="55"/>
    <w:autoRedefine/>
    <w:qFormat/>
    <w:locked/>
    <w:uiPriority w:val="0"/>
    <w:rPr>
      <w:b/>
      <w:bCs/>
      <w:snapToGrid w:val="0"/>
      <w:sz w:val="24"/>
    </w:rPr>
  </w:style>
  <w:style w:type="character" w:customStyle="1" w:styleId="103">
    <w:name w:val="标题 字符2"/>
    <w:link w:val="56"/>
    <w:autoRedefine/>
    <w:qFormat/>
    <w:uiPriority w:val="0"/>
    <w:rPr>
      <w:rFonts w:ascii="Courier New" w:hAnsi="Courier New"/>
      <w:b/>
      <w:kern w:val="28"/>
      <w:sz w:val="36"/>
    </w:rPr>
  </w:style>
  <w:style w:type="character" w:customStyle="1" w:styleId="104">
    <w:name w:val="批注主题 字符3"/>
    <w:link w:val="57"/>
    <w:autoRedefine/>
    <w:qFormat/>
    <w:locked/>
    <w:uiPriority w:val="0"/>
    <w:rPr>
      <w:rFonts w:ascii="Times New Roman" w:hAnsi="Times New Roman" w:eastAsia="宋体"/>
      <w:b/>
      <w:kern w:val="2"/>
      <w:sz w:val="24"/>
    </w:rPr>
  </w:style>
  <w:style w:type="character" w:customStyle="1" w:styleId="105">
    <w:name w:val="正文文本首行缩进 2 字符1"/>
    <w:link w:val="58"/>
    <w:autoRedefine/>
    <w:qFormat/>
    <w:uiPriority w:val="0"/>
    <w:rPr>
      <w:rFonts w:ascii="Times New Roman" w:hAnsi="Times New Roman" w:eastAsia="宋体"/>
      <w:kern w:val="2"/>
      <w:sz w:val="28"/>
    </w:rPr>
  </w:style>
  <w:style w:type="paragraph" w:customStyle="1" w:styleId="106">
    <w:name w:val="Default"/>
    <w:basedOn w:val="107"/>
    <w:autoRedefine/>
    <w:qFormat/>
    <w:uiPriority w:val="0"/>
    <w:pPr>
      <w:widowControl w:val="0"/>
      <w:autoSpaceDE w:val="0"/>
      <w:autoSpaceDN w:val="0"/>
      <w:adjustRightInd w:val="0"/>
    </w:pPr>
    <w:rPr>
      <w:rFonts w:ascii="宋体"/>
      <w:color w:val="000000"/>
    </w:rPr>
  </w:style>
  <w:style w:type="paragraph" w:customStyle="1" w:styleId="107">
    <w:name w:val="标题 段落4级"/>
    <w:autoRedefine/>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108">
    <w:name w:val="纯文本1"/>
    <w:basedOn w:val="1"/>
    <w:autoRedefine/>
    <w:qFormat/>
    <w:uiPriority w:val="0"/>
    <w:pPr>
      <w:widowControl/>
      <w:spacing w:beforeLines="10" w:afterLines="10" w:line="360" w:lineRule="auto"/>
      <w:ind w:firstLine="200" w:firstLineChars="200"/>
      <w:jc w:val="left"/>
    </w:pPr>
    <w:rPr>
      <w:rFonts w:hAnsi="宋体" w:cs="宋体"/>
      <w:kern w:val="0"/>
      <w:sz w:val="24"/>
    </w:rPr>
  </w:style>
  <w:style w:type="character" w:customStyle="1" w:styleId="109">
    <w:name w:val="正文缩进 Char1"/>
    <w:autoRedefine/>
    <w:qFormat/>
    <w:uiPriority w:val="0"/>
    <w:rPr>
      <w:rFonts w:eastAsia="宋体"/>
      <w:kern w:val="2"/>
      <w:sz w:val="21"/>
      <w:lang w:val="en-US" w:eastAsia="zh-CN" w:bidi="ar-SA"/>
    </w:rPr>
  </w:style>
  <w:style w:type="character" w:customStyle="1" w:styleId="110">
    <w:name w:val="ddd"/>
    <w:autoRedefine/>
    <w:qFormat/>
    <w:uiPriority w:val="0"/>
  </w:style>
  <w:style w:type="character" w:customStyle="1" w:styleId="111">
    <w:name w:val="font41"/>
    <w:autoRedefine/>
    <w:qFormat/>
    <w:uiPriority w:val="0"/>
    <w:rPr>
      <w:rFonts w:hint="default" w:ascii="Times New Roman" w:hAnsi="Times New Roman" w:cs="Times New Roman"/>
      <w:b/>
      <w:bCs/>
      <w:color w:val="000000"/>
      <w:sz w:val="21"/>
      <w:szCs w:val="21"/>
      <w:u w:val="none"/>
    </w:rPr>
  </w:style>
  <w:style w:type="character" w:customStyle="1" w:styleId="112">
    <w:name w:val="正文首行缩进2个字 Char Char"/>
    <w:link w:val="113"/>
    <w:autoRedefine/>
    <w:qFormat/>
    <w:uiPriority w:val="0"/>
    <w:rPr>
      <w:rFonts w:eastAsia="楷体"/>
      <w:kern w:val="2"/>
      <w:sz w:val="24"/>
      <w:szCs w:val="24"/>
    </w:rPr>
  </w:style>
  <w:style w:type="paragraph" w:customStyle="1" w:styleId="113">
    <w:name w:val="正文首行缩进2个字 Char"/>
    <w:basedOn w:val="1"/>
    <w:link w:val="112"/>
    <w:autoRedefine/>
    <w:qFormat/>
    <w:uiPriority w:val="0"/>
    <w:pPr>
      <w:ind w:firstLine="480" w:firstLineChars="200"/>
    </w:pPr>
    <w:rPr>
      <w:rFonts w:eastAsia="楷体"/>
      <w:sz w:val="24"/>
    </w:rPr>
  </w:style>
  <w:style w:type="character" w:customStyle="1" w:styleId="114">
    <w:name w:val="正文文本 3 字符"/>
    <w:autoRedefine/>
    <w:qFormat/>
    <w:uiPriority w:val="99"/>
    <w:rPr>
      <w:kern w:val="2"/>
      <w:sz w:val="16"/>
      <w:szCs w:val="16"/>
    </w:rPr>
  </w:style>
  <w:style w:type="character" w:customStyle="1" w:styleId="115">
    <w:name w:val="3级标题-都 Char"/>
    <w:link w:val="116"/>
    <w:autoRedefine/>
    <w:qFormat/>
    <w:uiPriority w:val="0"/>
    <w:rPr>
      <w:b/>
      <w:kern w:val="2"/>
      <w:sz w:val="24"/>
      <w:szCs w:val="28"/>
    </w:rPr>
  </w:style>
  <w:style w:type="paragraph" w:customStyle="1" w:styleId="116">
    <w:name w:val="3级标题-都"/>
    <w:basedOn w:val="117"/>
    <w:link w:val="115"/>
    <w:autoRedefine/>
    <w:qFormat/>
    <w:uiPriority w:val="0"/>
    <w:pPr>
      <w:ind w:firstLine="0" w:firstLineChars="0"/>
      <w:outlineLvl w:val="2"/>
    </w:pPr>
    <w:rPr>
      <w:b/>
      <w:kern w:val="2"/>
    </w:rPr>
  </w:style>
  <w:style w:type="paragraph" w:customStyle="1" w:styleId="117">
    <w:name w:val="+正文-都"/>
    <w:link w:val="118"/>
    <w:autoRedefine/>
    <w:qFormat/>
    <w:uiPriority w:val="0"/>
    <w:pPr>
      <w:spacing w:line="480" w:lineRule="exact"/>
      <w:ind w:firstLine="200" w:firstLineChars="200"/>
    </w:pPr>
    <w:rPr>
      <w:rFonts w:ascii="Times New Roman" w:hAnsi="Times New Roman" w:eastAsia="宋体" w:cs="Times New Roman"/>
      <w:sz w:val="24"/>
      <w:szCs w:val="28"/>
      <w:lang w:val="en-US" w:eastAsia="zh-CN" w:bidi="ar-SA"/>
    </w:rPr>
  </w:style>
  <w:style w:type="character" w:customStyle="1" w:styleId="118">
    <w:name w:val="+正文-都 Char"/>
    <w:link w:val="117"/>
    <w:autoRedefine/>
    <w:qFormat/>
    <w:uiPriority w:val="0"/>
    <w:rPr>
      <w:sz w:val="24"/>
      <w:szCs w:val="28"/>
      <w:lang w:val="en-US" w:eastAsia="zh-CN" w:bidi="ar-SA"/>
    </w:rPr>
  </w:style>
  <w:style w:type="character" w:customStyle="1" w:styleId="119">
    <w:name w:val="text31"/>
    <w:autoRedefine/>
    <w:qFormat/>
    <w:uiPriority w:val="0"/>
    <w:rPr>
      <w:rFonts w:hint="eastAsia" w:ascii="宋体" w:hAnsi="宋体" w:eastAsia="宋体"/>
      <w:color w:val="673434"/>
      <w:sz w:val="22"/>
      <w:szCs w:val="22"/>
      <w:u w:val="none"/>
    </w:rPr>
  </w:style>
  <w:style w:type="character" w:customStyle="1" w:styleId="120">
    <w:name w:val="正文000000000000000 宋体 小四 黑色 首行缩进:  0.85 厘米 行距: 固定值 22 磅 Char"/>
    <w:autoRedefine/>
    <w:qFormat/>
    <w:uiPriority w:val="99"/>
    <w:rPr>
      <w:rFonts w:eastAsia="宋体"/>
      <w:color w:val="000000"/>
      <w:sz w:val="24"/>
    </w:rPr>
  </w:style>
  <w:style w:type="character" w:customStyle="1" w:styleId="121">
    <w:name w:val="textjianju2"/>
    <w:autoRedefine/>
    <w:qFormat/>
    <w:uiPriority w:val="0"/>
  </w:style>
  <w:style w:type="character" w:customStyle="1" w:styleId="122">
    <w:name w:val="标题 2 Char2"/>
    <w:autoRedefine/>
    <w:qFormat/>
    <w:uiPriority w:val="0"/>
    <w:rPr>
      <w:rFonts w:eastAsia="宋体"/>
      <w:kern w:val="2"/>
      <w:sz w:val="28"/>
      <w:szCs w:val="28"/>
      <w:lang w:val="en-US" w:eastAsia="zh-CN" w:bidi="ar-SA"/>
    </w:rPr>
  </w:style>
  <w:style w:type="character" w:customStyle="1" w:styleId="123">
    <w:name w:val="正文文本首行缩进 字符"/>
    <w:autoRedefine/>
    <w:qFormat/>
    <w:uiPriority w:val="0"/>
    <w:rPr>
      <w:kern w:val="2"/>
      <w:sz w:val="21"/>
      <w:szCs w:val="24"/>
    </w:rPr>
  </w:style>
  <w:style w:type="character" w:customStyle="1" w:styleId="124">
    <w:name w:val="页脚 字符2"/>
    <w:autoRedefine/>
    <w:qFormat/>
    <w:locked/>
    <w:uiPriority w:val="0"/>
    <w:rPr>
      <w:kern w:val="2"/>
      <w:sz w:val="18"/>
      <w:szCs w:val="18"/>
    </w:rPr>
  </w:style>
  <w:style w:type="character" w:customStyle="1" w:styleId="125">
    <w:name w:val="正文文本缩进 3 字符"/>
    <w:autoRedefine/>
    <w:qFormat/>
    <w:uiPriority w:val="0"/>
    <w:rPr>
      <w:kern w:val="2"/>
      <w:sz w:val="16"/>
      <w:szCs w:val="16"/>
    </w:rPr>
  </w:style>
  <w:style w:type="character" w:customStyle="1" w:styleId="126">
    <w:name w:val="正文文本 2 字符"/>
    <w:autoRedefine/>
    <w:qFormat/>
    <w:uiPriority w:val="99"/>
    <w:rPr>
      <w:kern w:val="2"/>
      <w:sz w:val="21"/>
      <w:szCs w:val="24"/>
    </w:rPr>
  </w:style>
  <w:style w:type="character" w:customStyle="1" w:styleId="127">
    <w:name w:val="批注框文本 字符1"/>
    <w:autoRedefine/>
    <w:semiHidden/>
    <w:qFormat/>
    <w:uiPriority w:val="0"/>
    <w:rPr>
      <w:rFonts w:ascii="Times New Roman" w:hAnsi="Times New Roman" w:eastAsia="宋体" w:cs="Times New Roman"/>
      <w:sz w:val="18"/>
      <w:szCs w:val="18"/>
    </w:rPr>
  </w:style>
  <w:style w:type="character" w:customStyle="1" w:styleId="128">
    <w:name w:val="ll1"/>
    <w:autoRedefine/>
    <w:qFormat/>
    <w:uiPriority w:val="0"/>
    <w:rPr>
      <w:sz w:val="20"/>
      <w:szCs w:val="20"/>
    </w:rPr>
  </w:style>
  <w:style w:type="character" w:customStyle="1" w:styleId="129">
    <w:name w:val="正文首行缩进 Char"/>
    <w:autoRedefine/>
    <w:qFormat/>
    <w:uiPriority w:val="0"/>
  </w:style>
  <w:style w:type="character" w:customStyle="1" w:styleId="130">
    <w:name w:val="td1"/>
    <w:autoRedefine/>
    <w:qFormat/>
    <w:uiPriority w:val="0"/>
    <w:rPr>
      <w:color w:val="000000"/>
      <w:sz w:val="21"/>
      <w:szCs w:val="21"/>
    </w:rPr>
  </w:style>
  <w:style w:type="character" w:customStyle="1" w:styleId="131">
    <w:name w:val="正文001 Char Char Char Char"/>
    <w:autoRedefine/>
    <w:qFormat/>
    <w:uiPriority w:val="99"/>
    <w:rPr>
      <w:rFonts w:eastAsia="宋体"/>
      <w:kern w:val="2"/>
      <w:sz w:val="24"/>
      <w:lang w:val="en-US" w:eastAsia="zh-CN"/>
    </w:rPr>
  </w:style>
  <w:style w:type="character" w:customStyle="1" w:styleId="132">
    <w:name w:val="特点标题 Char Char"/>
    <w:autoRedefine/>
    <w:qFormat/>
    <w:uiPriority w:val="0"/>
    <w:rPr>
      <w:rFonts w:eastAsia="宋体"/>
      <w:kern w:val="2"/>
      <w:sz w:val="21"/>
      <w:szCs w:val="24"/>
      <w:lang w:val="en-US" w:eastAsia="zh-CN" w:bidi="ar-SA"/>
    </w:rPr>
  </w:style>
  <w:style w:type="character" w:customStyle="1" w:styleId="133">
    <w:name w:val="正文000000000000000 宋体 小四 黑色 首行缩进:  0.85 厘米 行距: 固定值 22 磅 Char Char"/>
    <w:link w:val="134"/>
    <w:autoRedefine/>
    <w:qFormat/>
    <w:locked/>
    <w:uiPriority w:val="99"/>
    <w:rPr>
      <w:rFonts w:ascii="Calibri" w:hAnsi="Calibri"/>
      <w:color w:val="000000"/>
      <w:sz w:val="24"/>
      <w:szCs w:val="24"/>
    </w:rPr>
  </w:style>
  <w:style w:type="paragraph" w:customStyle="1" w:styleId="134">
    <w:name w:val="正文000000000000000 宋体 小四 黑色 首行缩进:  0.85 厘米 行距: 固定值 22 磅"/>
    <w:basedOn w:val="1"/>
    <w:link w:val="133"/>
    <w:autoRedefine/>
    <w:qFormat/>
    <w:uiPriority w:val="99"/>
    <w:pPr>
      <w:spacing w:line="440" w:lineRule="exact"/>
      <w:ind w:firstLine="200" w:firstLineChars="200"/>
    </w:pPr>
    <w:rPr>
      <w:rFonts w:ascii="Calibri" w:hAnsi="Calibri"/>
      <w:color w:val="000000"/>
      <w:kern w:val="0"/>
      <w:sz w:val="24"/>
    </w:rPr>
  </w:style>
  <w:style w:type="character" w:customStyle="1" w:styleId="135">
    <w:name w:val="text_body1"/>
    <w:autoRedefine/>
    <w:qFormat/>
    <w:uiPriority w:val="0"/>
    <w:rPr>
      <w:rFonts w:hint="default" w:ascii="Verdana" w:hAnsi="Verdana"/>
      <w:sz w:val="21"/>
      <w:szCs w:val="21"/>
    </w:rPr>
  </w:style>
  <w:style w:type="character" w:customStyle="1" w:styleId="136">
    <w:name w:val="标题2 非连续 Char"/>
    <w:link w:val="137"/>
    <w:autoRedefine/>
    <w:qFormat/>
    <w:uiPriority w:val="0"/>
    <w:rPr>
      <w:rFonts w:ascii="Arial" w:hAnsi="Arial" w:eastAsia="黑体"/>
      <w:b/>
      <w:bCs/>
      <w:sz w:val="28"/>
      <w:szCs w:val="32"/>
    </w:rPr>
  </w:style>
  <w:style w:type="paragraph" w:customStyle="1" w:styleId="137">
    <w:name w:val="标题2 非连续"/>
    <w:basedOn w:val="4"/>
    <w:link w:val="136"/>
    <w:autoRedefine/>
    <w:qFormat/>
    <w:uiPriority w:val="0"/>
    <w:pPr>
      <w:keepLines/>
      <w:tabs>
        <w:tab w:val="left" w:pos="425"/>
      </w:tabs>
      <w:spacing w:before="50" w:beforeLines="50" w:line="440" w:lineRule="exact"/>
      <w:jc w:val="both"/>
    </w:pPr>
    <w:rPr>
      <w:rFonts w:ascii="Arial" w:hAnsi="Arial" w:eastAsia="黑体"/>
      <w:b/>
      <w:bCs/>
      <w:kern w:val="0"/>
      <w:sz w:val="28"/>
      <w:szCs w:val="32"/>
    </w:rPr>
  </w:style>
  <w:style w:type="character" w:customStyle="1" w:styleId="138">
    <w:name w:val="b-121"/>
    <w:autoRedefine/>
    <w:qFormat/>
    <w:uiPriority w:val="0"/>
    <w:rPr>
      <w:rFonts w:hint="default" w:ascii="_x000B__x000C_" w:hAnsi="_x000B__x000C_"/>
      <w:color w:val="000000"/>
      <w:sz w:val="18"/>
      <w:szCs w:val="18"/>
      <w:u w:val="none"/>
    </w:rPr>
  </w:style>
  <w:style w:type="character" w:customStyle="1" w:styleId="139">
    <w:name w:val="WW8Num1313z0"/>
    <w:autoRedefine/>
    <w:qFormat/>
    <w:uiPriority w:val="0"/>
    <w:rPr>
      <w:rFonts w:ascii="Times New Roman" w:hAnsi="Times New Roman" w:cs="Times New Roman"/>
      <w:spacing w:val="0"/>
      <w:position w:val="0"/>
      <w:sz w:val="24"/>
      <w:u w:val="none"/>
      <w:vertAlign w:val="baseline"/>
    </w:rPr>
  </w:style>
  <w:style w:type="character" w:customStyle="1" w:styleId="140">
    <w:name w:val="样式 样式 样式 Arial 小四 行距: 1.5 倍行距 + 首行缩进:  2 字符 + 首行缩进:  2 字符 Char Char"/>
    <w:link w:val="141"/>
    <w:autoRedefine/>
    <w:qFormat/>
    <w:locked/>
    <w:uiPriority w:val="99"/>
    <w:rPr>
      <w:rFonts w:ascii="Arial" w:hAnsi="Arial"/>
      <w:sz w:val="24"/>
    </w:rPr>
  </w:style>
  <w:style w:type="paragraph" w:customStyle="1" w:styleId="141">
    <w:name w:val="样式 样式 样式 Arial 小四 行距: 1.5 倍行距 + 首行缩进:  2 字符 + 首行缩进:  2 字符"/>
    <w:basedOn w:val="1"/>
    <w:link w:val="140"/>
    <w:autoRedefine/>
    <w:qFormat/>
    <w:uiPriority w:val="99"/>
    <w:pPr>
      <w:spacing w:line="440" w:lineRule="exact"/>
      <w:ind w:firstLine="200" w:firstLineChars="200"/>
    </w:pPr>
    <w:rPr>
      <w:rFonts w:ascii="Arial" w:hAnsi="Arial"/>
      <w:kern w:val="0"/>
      <w:sz w:val="24"/>
      <w:szCs w:val="20"/>
    </w:rPr>
  </w:style>
  <w:style w:type="character" w:customStyle="1" w:styleId="142">
    <w:name w:val="正文01 Char"/>
    <w:link w:val="143"/>
    <w:autoRedefine/>
    <w:qFormat/>
    <w:uiPriority w:val="0"/>
    <w:rPr>
      <w:kern w:val="2"/>
      <w:sz w:val="27"/>
    </w:rPr>
  </w:style>
  <w:style w:type="paragraph" w:customStyle="1" w:styleId="143">
    <w:name w:val="正文01"/>
    <w:basedOn w:val="1"/>
    <w:link w:val="142"/>
    <w:autoRedefine/>
    <w:qFormat/>
    <w:uiPriority w:val="0"/>
    <w:pPr>
      <w:spacing w:before="60" w:line="480" w:lineRule="exact"/>
      <w:ind w:firstLine="539"/>
    </w:pPr>
    <w:rPr>
      <w:sz w:val="27"/>
      <w:szCs w:val="20"/>
    </w:rPr>
  </w:style>
  <w:style w:type="character" w:customStyle="1" w:styleId="144">
    <w:name w:val="表格文字1 Char"/>
    <w:link w:val="145"/>
    <w:autoRedefine/>
    <w:qFormat/>
    <w:uiPriority w:val="0"/>
    <w:rPr>
      <w:kern w:val="2"/>
      <w:sz w:val="21"/>
      <w:szCs w:val="21"/>
    </w:rPr>
  </w:style>
  <w:style w:type="paragraph" w:customStyle="1" w:styleId="145">
    <w:name w:val="表格文字1"/>
    <w:basedOn w:val="1"/>
    <w:link w:val="144"/>
    <w:autoRedefine/>
    <w:qFormat/>
    <w:uiPriority w:val="0"/>
    <w:pPr>
      <w:tabs>
        <w:tab w:val="left" w:pos="0"/>
      </w:tabs>
      <w:autoSpaceDE w:val="0"/>
      <w:autoSpaceDN w:val="0"/>
      <w:adjustRightInd w:val="0"/>
      <w:ind w:right="57"/>
      <w:textAlignment w:val="baseline"/>
    </w:pPr>
  </w:style>
  <w:style w:type="character" w:customStyle="1" w:styleId="146">
    <w:name w:val="标题 3 Char3 Char1"/>
    <w:autoRedefine/>
    <w:qFormat/>
    <w:uiPriority w:val="0"/>
    <w:rPr>
      <w:b/>
      <w:bCs/>
      <w:kern w:val="2"/>
      <w:sz w:val="32"/>
      <w:szCs w:val="32"/>
    </w:rPr>
  </w:style>
  <w:style w:type="character" w:customStyle="1" w:styleId="147">
    <w:name w:val="表格文字2 Char"/>
    <w:link w:val="148"/>
    <w:autoRedefine/>
    <w:qFormat/>
    <w:uiPriority w:val="0"/>
    <w:rPr>
      <w:rFonts w:ascii="宋体"/>
      <w:kern w:val="2"/>
      <w:sz w:val="21"/>
      <w:szCs w:val="24"/>
    </w:rPr>
  </w:style>
  <w:style w:type="paragraph" w:customStyle="1" w:styleId="148">
    <w:name w:val="表格文字2"/>
    <w:basedOn w:val="1"/>
    <w:link w:val="147"/>
    <w:autoRedefine/>
    <w:qFormat/>
    <w:uiPriority w:val="0"/>
    <w:pPr>
      <w:keepNext/>
      <w:keepLines/>
      <w:tabs>
        <w:tab w:val="left" w:pos="0"/>
        <w:tab w:val="left" w:pos="277"/>
        <w:tab w:val="left" w:pos="600"/>
        <w:tab w:val="left" w:pos="780"/>
        <w:tab w:val="left" w:pos="2517"/>
      </w:tabs>
      <w:autoSpaceDE w:val="0"/>
      <w:autoSpaceDN w:val="0"/>
      <w:adjustRightInd w:val="0"/>
      <w:spacing w:before="60"/>
      <w:jc w:val="center"/>
      <w:textAlignment w:val="baseline"/>
    </w:pPr>
    <w:rPr>
      <w:rFonts w:ascii="宋体"/>
    </w:rPr>
  </w:style>
  <w:style w:type="character" w:customStyle="1" w:styleId="149">
    <w:name w:val="明显引用 字符"/>
    <w:autoRedefine/>
    <w:qFormat/>
    <w:uiPriority w:val="30"/>
    <w:rPr>
      <w:i/>
      <w:iCs/>
      <w:color w:val="4472C4"/>
      <w:kern w:val="2"/>
      <w:sz w:val="21"/>
      <w:szCs w:val="24"/>
    </w:rPr>
  </w:style>
  <w:style w:type="character" w:customStyle="1" w:styleId="150">
    <w:name w:val="表头 Char Char"/>
    <w:autoRedefine/>
    <w:qFormat/>
    <w:locked/>
    <w:uiPriority w:val="0"/>
    <w:rPr>
      <w:rFonts w:hAnsi="宋体" w:eastAsia="仿宋_GB2312"/>
      <w:b/>
      <w:sz w:val="28"/>
      <w:szCs w:val="28"/>
    </w:rPr>
  </w:style>
  <w:style w:type="character" w:customStyle="1" w:styleId="151">
    <w:name w:val="表格字体 Char"/>
    <w:link w:val="152"/>
    <w:autoRedefine/>
    <w:qFormat/>
    <w:locked/>
    <w:uiPriority w:val="99"/>
    <w:rPr>
      <w:rFonts w:ascii="仿宋_GB2312" w:eastAsia="仿宋_GB2312"/>
      <w:spacing w:val="2"/>
      <w:kern w:val="2"/>
      <w:sz w:val="21"/>
    </w:rPr>
  </w:style>
  <w:style w:type="paragraph" w:customStyle="1" w:styleId="152">
    <w:name w:val="表格字体"/>
    <w:basedOn w:val="1"/>
    <w:link w:val="151"/>
    <w:autoRedefine/>
    <w:qFormat/>
    <w:uiPriority w:val="99"/>
    <w:pPr>
      <w:spacing w:line="400" w:lineRule="exact"/>
      <w:jc w:val="center"/>
    </w:pPr>
    <w:rPr>
      <w:rFonts w:ascii="仿宋_GB2312" w:eastAsia="仿宋_GB2312"/>
      <w:spacing w:val="2"/>
      <w:szCs w:val="20"/>
    </w:rPr>
  </w:style>
  <w:style w:type="character" w:customStyle="1" w:styleId="153">
    <w:name w:val="无间隔 字符1"/>
    <w:link w:val="154"/>
    <w:autoRedefine/>
    <w:qFormat/>
    <w:uiPriority w:val="1"/>
    <w:rPr>
      <w:kern w:val="2"/>
      <w:sz w:val="21"/>
      <w:szCs w:val="24"/>
      <w:lang w:bidi="ar-SA"/>
    </w:rPr>
  </w:style>
  <w:style w:type="paragraph" w:styleId="154">
    <w:name w:val="No Spacing"/>
    <w:link w:val="153"/>
    <w:autoRedefine/>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155">
    <w:name w:val="引用 字符"/>
    <w:autoRedefine/>
    <w:qFormat/>
    <w:uiPriority w:val="29"/>
    <w:rPr>
      <w:i/>
      <w:iCs/>
      <w:color w:val="404040"/>
      <w:kern w:val="2"/>
      <w:sz w:val="21"/>
      <w:szCs w:val="24"/>
    </w:rPr>
  </w:style>
  <w:style w:type="character" w:customStyle="1" w:styleId="156">
    <w:name w:val="表头 Char"/>
    <w:link w:val="157"/>
    <w:autoRedefine/>
    <w:qFormat/>
    <w:uiPriority w:val="0"/>
    <w:rPr>
      <w:rFonts w:ascii="黑体" w:eastAsia="黑体"/>
      <w:kern w:val="2"/>
      <w:sz w:val="24"/>
      <w:szCs w:val="24"/>
    </w:rPr>
  </w:style>
  <w:style w:type="paragraph" w:customStyle="1" w:styleId="157">
    <w:name w:val="表头"/>
    <w:basedOn w:val="13"/>
    <w:next w:val="1"/>
    <w:link w:val="156"/>
    <w:autoRedefine/>
    <w:qFormat/>
    <w:uiPriority w:val="0"/>
    <w:pPr>
      <w:ind w:firstLine="480" w:firstLineChars="200"/>
      <w:jc w:val="center"/>
    </w:pPr>
    <w:rPr>
      <w:rFonts w:ascii="黑体" w:eastAsia="黑体"/>
      <w:sz w:val="24"/>
    </w:rPr>
  </w:style>
  <w:style w:type="character" w:customStyle="1" w:styleId="158">
    <w:name w:val="正文文本 2 字符2"/>
    <w:autoRedefine/>
    <w:qFormat/>
    <w:locked/>
    <w:uiPriority w:val="0"/>
    <w:rPr>
      <w:b/>
      <w:color w:val="000000"/>
      <w:kern w:val="2"/>
      <w:sz w:val="28"/>
      <w:szCs w:val="24"/>
    </w:rPr>
  </w:style>
  <w:style w:type="character" w:customStyle="1" w:styleId="159">
    <w:name w:val="正文缩进 字符1"/>
    <w:autoRedefine/>
    <w:qFormat/>
    <w:uiPriority w:val="0"/>
    <w:rPr>
      <w:rFonts w:ascii="Times New Roman" w:hAnsi="Times New Roman" w:eastAsia="宋体" w:cs="Times New Roman"/>
      <w:szCs w:val="20"/>
    </w:rPr>
  </w:style>
  <w:style w:type="character" w:customStyle="1" w:styleId="160">
    <w:name w:val="表格 Char1"/>
    <w:autoRedefine/>
    <w:qFormat/>
    <w:uiPriority w:val="0"/>
    <w:rPr>
      <w:rFonts w:eastAsia="宋体"/>
      <w:kern w:val="2"/>
      <w:sz w:val="21"/>
      <w:szCs w:val="21"/>
      <w:lang w:val="en-US" w:eastAsia="zh-CN" w:bidi="ar-SA"/>
    </w:rPr>
  </w:style>
  <w:style w:type="character" w:customStyle="1" w:styleId="161">
    <w:name w:val="标题 3 Char4"/>
    <w:autoRedefine/>
    <w:qFormat/>
    <w:uiPriority w:val="0"/>
    <w:rPr>
      <w:rFonts w:eastAsia="宋体"/>
      <w:b/>
      <w:bCs/>
      <w:kern w:val="2"/>
      <w:sz w:val="24"/>
      <w:szCs w:val="24"/>
      <w:lang w:val="en-US" w:eastAsia="zh-CN" w:bidi="ar-SA"/>
    </w:rPr>
  </w:style>
  <w:style w:type="character" w:customStyle="1" w:styleId="162">
    <w:name w:val="lh22px"/>
    <w:autoRedefine/>
    <w:qFormat/>
    <w:uiPriority w:val="0"/>
  </w:style>
  <w:style w:type="character" w:customStyle="1" w:styleId="163">
    <w:name w:val="title41"/>
    <w:autoRedefine/>
    <w:qFormat/>
    <w:uiPriority w:val="0"/>
    <w:rPr>
      <w:rFonts w:hint="eastAsia" w:ascii="宋体" w:hAnsi="宋体" w:eastAsia="宋体"/>
      <w:color w:val="194F95"/>
      <w:sz w:val="23"/>
      <w:szCs w:val="23"/>
    </w:rPr>
  </w:style>
  <w:style w:type="character" w:customStyle="1" w:styleId="164">
    <w:name w:val="报告正文-连续目录 Char Char"/>
    <w:link w:val="165"/>
    <w:autoRedefine/>
    <w:qFormat/>
    <w:uiPriority w:val="0"/>
    <w:rPr>
      <w:rFonts w:ascii="Arial" w:hAnsi="Arial"/>
      <w:snapToGrid/>
      <w:sz w:val="24"/>
      <w:szCs w:val="24"/>
    </w:rPr>
  </w:style>
  <w:style w:type="paragraph" w:customStyle="1" w:styleId="165">
    <w:name w:val="报告正文-连续目录"/>
    <w:basedOn w:val="1"/>
    <w:link w:val="164"/>
    <w:autoRedefine/>
    <w:qFormat/>
    <w:uiPriority w:val="0"/>
    <w:pPr>
      <w:spacing w:line="440" w:lineRule="exact"/>
      <w:ind w:firstLine="200" w:firstLineChars="200"/>
    </w:pPr>
    <w:rPr>
      <w:rFonts w:ascii="Arial" w:hAnsi="Arial"/>
      <w:kern w:val="0"/>
      <w:sz w:val="24"/>
    </w:rPr>
  </w:style>
  <w:style w:type="character" w:customStyle="1" w:styleId="166">
    <w:name w:val="tt41"/>
    <w:autoRedefine/>
    <w:qFormat/>
    <w:uiPriority w:val="0"/>
  </w:style>
  <w:style w:type="character" w:customStyle="1" w:styleId="167">
    <w:name w:val="文档结构图 字符"/>
    <w:autoRedefine/>
    <w:qFormat/>
    <w:uiPriority w:val="99"/>
    <w:rPr>
      <w:rFonts w:ascii="Microsoft YaHei UI" w:eastAsia="Microsoft YaHei UI"/>
      <w:kern w:val="2"/>
      <w:sz w:val="18"/>
      <w:szCs w:val="18"/>
    </w:rPr>
  </w:style>
  <w:style w:type="character" w:customStyle="1" w:styleId="168">
    <w:name w:val="bt21"/>
    <w:autoRedefine/>
    <w:qFormat/>
    <w:uiPriority w:val="0"/>
    <w:rPr>
      <w:rFonts w:hint="eastAsia" w:ascii="黑体" w:eastAsia="黑体"/>
      <w:sz w:val="24"/>
      <w:szCs w:val="24"/>
    </w:rPr>
  </w:style>
  <w:style w:type="character" w:customStyle="1" w:styleId="169">
    <w:name w:val="标题 2 字符"/>
    <w:autoRedefine/>
    <w:qFormat/>
    <w:uiPriority w:val="9"/>
    <w:rPr>
      <w:rFonts w:ascii="等线 Light" w:hAnsi="等线 Light" w:eastAsia="等线 Light" w:cs="Times New Roman"/>
      <w:b/>
      <w:bCs/>
      <w:kern w:val="2"/>
      <w:sz w:val="32"/>
      <w:szCs w:val="32"/>
    </w:rPr>
  </w:style>
  <w:style w:type="character" w:customStyle="1" w:styleId="170">
    <w:name w:val="首行缩进 Char"/>
    <w:autoRedefine/>
    <w:qFormat/>
    <w:uiPriority w:val="0"/>
    <w:rPr>
      <w:rFonts w:eastAsia="宋体"/>
      <w:kern w:val="2"/>
      <w:sz w:val="21"/>
      <w:lang w:val="en-US" w:eastAsia="zh-CN" w:bidi="ar-SA"/>
    </w:rPr>
  </w:style>
  <w:style w:type="character" w:customStyle="1" w:styleId="171">
    <w:name w:val="表格标题样式 字符"/>
    <w:link w:val="172"/>
    <w:autoRedefine/>
    <w:qFormat/>
    <w:uiPriority w:val="0"/>
    <w:rPr>
      <w:b/>
      <w:bCs/>
      <w:kern w:val="2"/>
      <w:sz w:val="21"/>
      <w:szCs w:val="18"/>
    </w:rPr>
  </w:style>
  <w:style w:type="paragraph" w:customStyle="1" w:styleId="172">
    <w:name w:val="表格标题样式"/>
    <w:basedOn w:val="1"/>
    <w:link w:val="171"/>
    <w:autoRedefine/>
    <w:qFormat/>
    <w:uiPriority w:val="0"/>
    <w:pPr>
      <w:snapToGrid w:val="0"/>
      <w:spacing w:line="360" w:lineRule="auto"/>
      <w:jc w:val="center"/>
    </w:pPr>
    <w:rPr>
      <w:b/>
      <w:bCs/>
      <w:szCs w:val="18"/>
    </w:rPr>
  </w:style>
  <w:style w:type="character" w:customStyle="1" w:styleId="173">
    <w:name w:val="f241"/>
    <w:autoRedefine/>
    <w:qFormat/>
    <w:uiPriority w:val="0"/>
    <w:rPr>
      <w:sz w:val="36"/>
      <w:szCs w:val="36"/>
    </w:rPr>
  </w:style>
  <w:style w:type="character" w:customStyle="1" w:styleId="174">
    <w:name w:val="页眉 字符"/>
    <w:autoRedefine/>
    <w:qFormat/>
    <w:locked/>
    <w:uiPriority w:val="0"/>
    <w:rPr>
      <w:rFonts w:eastAsia="宋体"/>
      <w:sz w:val="18"/>
    </w:rPr>
  </w:style>
  <w:style w:type="character" w:customStyle="1" w:styleId="175">
    <w:name w:val="表格内容 字符"/>
    <w:autoRedefine/>
    <w:qFormat/>
    <w:uiPriority w:val="0"/>
    <w:rPr>
      <w:rFonts w:ascii="Times New Roman" w:hAnsi="Times New Roman" w:eastAsia="宋体"/>
    </w:rPr>
  </w:style>
  <w:style w:type="character" w:customStyle="1" w:styleId="176">
    <w:name w:val="表格内容 Char"/>
    <w:link w:val="177"/>
    <w:autoRedefine/>
    <w:qFormat/>
    <w:uiPriority w:val="0"/>
    <w:rPr>
      <w:rFonts w:ascii="Arial" w:hAnsi="Arial" w:eastAsia="仿宋_GB2312"/>
      <w:sz w:val="24"/>
    </w:rPr>
  </w:style>
  <w:style w:type="paragraph" w:customStyle="1" w:styleId="177">
    <w:name w:val="表格内容"/>
    <w:basedOn w:val="1"/>
    <w:link w:val="176"/>
    <w:autoRedefine/>
    <w:qFormat/>
    <w:uiPriority w:val="0"/>
    <w:pPr>
      <w:overflowPunct w:val="0"/>
      <w:adjustRightInd w:val="0"/>
      <w:spacing w:before="40" w:after="60" w:line="200" w:lineRule="atLeast"/>
      <w:textAlignment w:val="baseline"/>
    </w:pPr>
    <w:rPr>
      <w:rFonts w:ascii="Arial" w:hAnsi="Arial" w:eastAsia="仿宋_GB2312"/>
      <w:kern w:val="0"/>
      <w:sz w:val="24"/>
      <w:szCs w:val="20"/>
    </w:rPr>
  </w:style>
  <w:style w:type="character" w:customStyle="1" w:styleId="178">
    <w:name w:val="标题2 Char"/>
    <w:autoRedefine/>
    <w:qFormat/>
    <w:uiPriority w:val="0"/>
    <w:rPr>
      <w:rFonts w:ascii="宋体" w:hAnsi="宋体" w:eastAsia="宋体"/>
      <w:b/>
      <w:bCs/>
      <w:spacing w:val="-6"/>
      <w:kern w:val="2"/>
      <w:sz w:val="28"/>
      <w:szCs w:val="24"/>
      <w:lang w:val="en-US" w:eastAsia="zh-CN" w:bidi="ar-SA"/>
    </w:rPr>
  </w:style>
  <w:style w:type="character" w:customStyle="1" w:styleId="179">
    <w:name w:val="标题 4 字符"/>
    <w:autoRedefine/>
    <w:qFormat/>
    <w:uiPriority w:val="0"/>
    <w:rPr>
      <w:rFonts w:ascii="等线 Light" w:hAnsi="等线 Light" w:eastAsia="等线 Light" w:cs="Times New Roman"/>
      <w:b/>
      <w:bCs/>
      <w:kern w:val="2"/>
      <w:sz w:val="28"/>
      <w:szCs w:val="28"/>
    </w:rPr>
  </w:style>
  <w:style w:type="character" w:customStyle="1" w:styleId="180">
    <w:name w:val="正文001 Char"/>
    <w:link w:val="181"/>
    <w:autoRedefine/>
    <w:qFormat/>
    <w:uiPriority w:val="0"/>
    <w:rPr>
      <w:kern w:val="2"/>
      <w:sz w:val="24"/>
    </w:rPr>
  </w:style>
  <w:style w:type="paragraph" w:customStyle="1" w:styleId="181">
    <w:name w:val="正文001"/>
    <w:basedOn w:val="1"/>
    <w:link w:val="180"/>
    <w:autoRedefine/>
    <w:qFormat/>
    <w:uiPriority w:val="0"/>
    <w:pPr>
      <w:spacing w:before="60" w:line="460" w:lineRule="exact"/>
      <w:ind w:firstLine="482"/>
    </w:pPr>
    <w:rPr>
      <w:sz w:val="24"/>
      <w:szCs w:val="20"/>
    </w:rPr>
  </w:style>
  <w:style w:type="character" w:customStyle="1" w:styleId="182">
    <w:name w:val="_Style 179"/>
    <w:autoRedefine/>
    <w:qFormat/>
    <w:uiPriority w:val="32"/>
    <w:rPr>
      <w:b/>
      <w:bCs/>
      <w:smallCaps/>
      <w:color w:val="5B9BD5"/>
      <w:spacing w:val="5"/>
    </w:rPr>
  </w:style>
  <w:style w:type="character" w:customStyle="1" w:styleId="183">
    <w:name w:val="批注文字 字符"/>
    <w:autoRedefine/>
    <w:qFormat/>
    <w:locked/>
    <w:uiPriority w:val="99"/>
    <w:rPr>
      <w:rFonts w:ascii="Times New Roman" w:hAnsi="Times New Roman" w:eastAsia="宋体" w:cs="Times New Roman"/>
      <w:sz w:val="20"/>
      <w:szCs w:val="20"/>
    </w:rPr>
  </w:style>
  <w:style w:type="character" w:customStyle="1" w:styleId="184">
    <w:name w:val="正文01 Char1"/>
    <w:autoRedefine/>
    <w:qFormat/>
    <w:uiPriority w:val="0"/>
    <w:rPr>
      <w:rFonts w:eastAsia="宋体"/>
      <w:bCs/>
      <w:kern w:val="2"/>
      <w:sz w:val="24"/>
      <w:szCs w:val="24"/>
      <w:lang w:val="en-US" w:eastAsia="zh-CN" w:bidi="ar-SA"/>
    </w:rPr>
  </w:style>
  <w:style w:type="character" w:customStyle="1" w:styleId="185">
    <w:name w:val="正文1 Char1"/>
    <w:link w:val="186"/>
    <w:autoRedefine/>
    <w:qFormat/>
    <w:uiPriority w:val="0"/>
    <w:rPr>
      <w:kern w:val="2"/>
      <w:sz w:val="24"/>
      <w:szCs w:val="24"/>
    </w:rPr>
  </w:style>
  <w:style w:type="paragraph" w:customStyle="1" w:styleId="186">
    <w:name w:val="正文1"/>
    <w:basedOn w:val="1"/>
    <w:link w:val="185"/>
    <w:autoRedefine/>
    <w:qFormat/>
    <w:uiPriority w:val="0"/>
    <w:pPr>
      <w:snapToGrid w:val="0"/>
      <w:spacing w:before="10" w:beforeLines="10" w:line="440" w:lineRule="atLeast"/>
      <w:ind w:firstLine="567"/>
    </w:pPr>
    <w:rPr>
      <w:sz w:val="24"/>
    </w:rPr>
  </w:style>
  <w:style w:type="character" w:customStyle="1" w:styleId="187">
    <w:name w:val="三级标题 Char Char Char"/>
    <w:autoRedefine/>
    <w:qFormat/>
    <w:uiPriority w:val="99"/>
    <w:rPr>
      <w:rFonts w:eastAsia="宋体"/>
      <w:b/>
      <w:kern w:val="2"/>
      <w:sz w:val="24"/>
      <w:lang w:val="en-US" w:eastAsia="zh-CN"/>
    </w:rPr>
  </w:style>
  <w:style w:type="character" w:customStyle="1" w:styleId="188">
    <w:name w:val="样式 正文（首行缩进两字） + 加粗 Char"/>
    <w:autoRedefine/>
    <w:qFormat/>
    <w:uiPriority w:val="0"/>
    <w:rPr>
      <w:rFonts w:eastAsia="宋体"/>
      <w:b/>
      <w:bCs/>
      <w:kern w:val="2"/>
      <w:sz w:val="24"/>
      <w:szCs w:val="24"/>
      <w:lang w:val="en-US" w:eastAsia="zh-CN" w:bidi="ar-SA"/>
    </w:rPr>
  </w:style>
  <w:style w:type="character" w:customStyle="1" w:styleId="189">
    <w:name w:val="批注文字 Char2"/>
    <w:autoRedefine/>
    <w:qFormat/>
    <w:uiPriority w:val="0"/>
    <w:rPr>
      <w:kern w:val="2"/>
      <w:sz w:val="21"/>
    </w:rPr>
  </w:style>
  <w:style w:type="character" w:customStyle="1" w:styleId="190">
    <w:name w:val="style21"/>
    <w:autoRedefine/>
    <w:qFormat/>
    <w:uiPriority w:val="99"/>
    <w:rPr>
      <w:color w:val="FF0000"/>
    </w:rPr>
  </w:style>
  <w:style w:type="character" w:customStyle="1" w:styleId="191">
    <w:name w:val="标题 3 Char5"/>
    <w:autoRedefine/>
    <w:qFormat/>
    <w:uiPriority w:val="0"/>
    <w:rPr>
      <w:rFonts w:eastAsia="宋体"/>
      <w:b/>
      <w:bCs/>
      <w:kern w:val="2"/>
      <w:sz w:val="32"/>
      <w:szCs w:val="32"/>
      <w:lang w:val="en-US" w:eastAsia="zh-CN" w:bidi="ar-SA"/>
    </w:rPr>
  </w:style>
  <w:style w:type="character" w:customStyle="1" w:styleId="192">
    <w:name w:val="中远正文 Char"/>
    <w:autoRedefine/>
    <w:qFormat/>
    <w:uiPriority w:val="0"/>
    <w:rPr>
      <w:rFonts w:eastAsia="宋体" w:cs="宋体"/>
      <w:snapToGrid w:val="0"/>
      <w:color w:val="000000"/>
      <w:kern w:val="24"/>
      <w:sz w:val="24"/>
      <w:lang w:val="en-US" w:eastAsia="zh-CN" w:bidi="ar-SA"/>
    </w:rPr>
  </w:style>
  <w:style w:type="character" w:customStyle="1" w:styleId="193">
    <w:name w:val="标题 4 字符1"/>
    <w:autoRedefine/>
    <w:qFormat/>
    <w:locked/>
    <w:uiPriority w:val="0"/>
    <w:rPr>
      <w:rFonts w:ascii="Arial" w:hAnsi="Arial"/>
      <w:kern w:val="2"/>
      <w:sz w:val="24"/>
    </w:rPr>
  </w:style>
  <w:style w:type="character" w:customStyle="1" w:styleId="194">
    <w:name w:val="表格正文 Char Char"/>
    <w:autoRedefine/>
    <w:qFormat/>
    <w:locked/>
    <w:uiPriority w:val="99"/>
    <w:rPr>
      <w:rFonts w:eastAsia="宋体"/>
      <w:snapToGrid/>
      <w:sz w:val="24"/>
    </w:rPr>
  </w:style>
  <w:style w:type="character" w:customStyle="1" w:styleId="195">
    <w:name w:val="信息标题 字符"/>
    <w:autoRedefine/>
    <w:qFormat/>
    <w:uiPriority w:val="0"/>
    <w:rPr>
      <w:rFonts w:ascii="等线 Light" w:hAnsi="等线 Light" w:eastAsia="等线 Light" w:cs="Times New Roman"/>
      <w:kern w:val="2"/>
      <w:sz w:val="24"/>
      <w:szCs w:val="24"/>
      <w:shd w:val="pct20" w:color="auto" w:fill="auto"/>
    </w:rPr>
  </w:style>
  <w:style w:type="character" w:customStyle="1" w:styleId="196">
    <w:name w:val="WW8Num214z0"/>
    <w:autoRedefine/>
    <w:qFormat/>
    <w:uiPriority w:val="0"/>
    <w:rPr>
      <w:rFonts w:ascii="宋体" w:hAnsi="宋体"/>
    </w:rPr>
  </w:style>
  <w:style w:type="character" w:customStyle="1" w:styleId="197">
    <w:name w:val="批注框文本 字符2"/>
    <w:autoRedefine/>
    <w:semiHidden/>
    <w:qFormat/>
    <w:locked/>
    <w:uiPriority w:val="0"/>
    <w:rPr>
      <w:kern w:val="2"/>
      <w:sz w:val="18"/>
      <w:szCs w:val="18"/>
    </w:rPr>
  </w:style>
  <w:style w:type="character" w:customStyle="1" w:styleId="198">
    <w:name w:val="正文A Char"/>
    <w:link w:val="199"/>
    <w:autoRedefine/>
    <w:qFormat/>
    <w:uiPriority w:val="0"/>
    <w:rPr>
      <w:rFonts w:cs="宋体"/>
      <w:kern w:val="2"/>
      <w:sz w:val="24"/>
    </w:rPr>
  </w:style>
  <w:style w:type="paragraph" w:customStyle="1" w:styleId="199">
    <w:name w:val="正文A"/>
    <w:basedOn w:val="1"/>
    <w:link w:val="198"/>
    <w:autoRedefine/>
    <w:qFormat/>
    <w:uiPriority w:val="0"/>
    <w:pPr>
      <w:spacing w:line="540" w:lineRule="exact"/>
    </w:pPr>
    <w:rPr>
      <w:sz w:val="24"/>
      <w:szCs w:val="20"/>
    </w:rPr>
  </w:style>
  <w:style w:type="character" w:customStyle="1" w:styleId="200">
    <w:name w:val="日期 字符"/>
    <w:autoRedefine/>
    <w:qFormat/>
    <w:uiPriority w:val="0"/>
    <w:rPr>
      <w:rFonts w:ascii="Times New Roman" w:hAnsi="Times New Roman" w:eastAsia="宋体"/>
      <w:sz w:val="24"/>
    </w:rPr>
  </w:style>
  <w:style w:type="character" w:customStyle="1" w:styleId="201">
    <w:name w:val="正文文字( 首段缩进两字） Char1"/>
    <w:autoRedefine/>
    <w:qFormat/>
    <w:uiPriority w:val="0"/>
    <w:rPr>
      <w:rFonts w:eastAsia="宋体"/>
      <w:kern w:val="2"/>
      <w:sz w:val="21"/>
      <w:szCs w:val="24"/>
      <w:lang w:val="en-US" w:eastAsia="zh-CN" w:bidi="ar-SA"/>
    </w:rPr>
  </w:style>
  <w:style w:type="character" w:customStyle="1" w:styleId="202">
    <w:name w:val="标题 8 字符"/>
    <w:autoRedefine/>
    <w:qFormat/>
    <w:uiPriority w:val="0"/>
    <w:rPr>
      <w:rFonts w:ascii="等线 Light" w:hAnsi="等线 Light" w:eastAsia="等线 Light" w:cs="Times New Roman"/>
      <w:kern w:val="2"/>
      <w:sz w:val="24"/>
      <w:szCs w:val="24"/>
    </w:rPr>
  </w:style>
  <w:style w:type="character" w:customStyle="1" w:styleId="203">
    <w:name w:val="三级标题 Char Char Char Char"/>
    <w:autoRedefine/>
    <w:qFormat/>
    <w:uiPriority w:val="99"/>
    <w:rPr>
      <w:rFonts w:eastAsia="宋体"/>
      <w:b/>
      <w:kern w:val="2"/>
      <w:sz w:val="24"/>
      <w:lang w:val="en-US" w:eastAsia="zh-CN"/>
    </w:rPr>
  </w:style>
  <w:style w:type="character" w:customStyle="1" w:styleId="204">
    <w:name w:val="19号令 Char"/>
    <w:autoRedefine/>
    <w:qFormat/>
    <w:uiPriority w:val="0"/>
    <w:rPr>
      <w:rFonts w:ascii="宋体" w:hAnsi="宋体" w:eastAsia="宋体" w:cs="Arial Unicode MS"/>
      <w:color w:val="000000"/>
      <w:sz w:val="22"/>
      <w:szCs w:val="22"/>
      <w:lang w:val="en-US" w:eastAsia="zh-CN" w:bidi="ar-SA"/>
    </w:rPr>
  </w:style>
  <w:style w:type="character" w:customStyle="1" w:styleId="205">
    <w:name w:val="标题1"/>
    <w:autoRedefine/>
    <w:qFormat/>
    <w:uiPriority w:val="0"/>
  </w:style>
  <w:style w:type="character" w:customStyle="1" w:styleId="206">
    <w:name w:val="图表标题 Char"/>
    <w:link w:val="207"/>
    <w:autoRedefine/>
    <w:qFormat/>
    <w:uiPriority w:val="0"/>
    <w:rPr>
      <w:rFonts w:ascii="宋体" w:hAnsi="宋体"/>
      <w:b/>
      <w:kern w:val="2"/>
      <w:sz w:val="21"/>
      <w:szCs w:val="24"/>
    </w:rPr>
  </w:style>
  <w:style w:type="paragraph" w:customStyle="1" w:styleId="207">
    <w:name w:val="图表标题"/>
    <w:basedOn w:val="1"/>
    <w:link w:val="206"/>
    <w:autoRedefine/>
    <w:qFormat/>
    <w:uiPriority w:val="0"/>
    <w:pPr>
      <w:spacing w:before="60" w:beforeLines="25" w:after="60" w:afterLines="25" w:line="360" w:lineRule="auto"/>
      <w:jc w:val="center"/>
      <w:outlineLvl w:val="4"/>
    </w:pPr>
    <w:rPr>
      <w:rFonts w:ascii="宋体" w:hAnsi="宋体"/>
      <w:b/>
    </w:rPr>
  </w:style>
  <w:style w:type="character" w:customStyle="1" w:styleId="208">
    <w:name w:val="表格正文 Char"/>
    <w:link w:val="209"/>
    <w:autoRedefine/>
    <w:qFormat/>
    <w:uiPriority w:val="0"/>
    <w:rPr>
      <w:kern w:val="2"/>
      <w:sz w:val="21"/>
    </w:rPr>
  </w:style>
  <w:style w:type="paragraph" w:customStyle="1" w:styleId="209">
    <w:name w:val="表格正文"/>
    <w:basedOn w:val="1"/>
    <w:link w:val="208"/>
    <w:autoRedefine/>
    <w:qFormat/>
    <w:uiPriority w:val="0"/>
    <w:pPr>
      <w:adjustRightInd w:val="0"/>
      <w:spacing w:line="0" w:lineRule="atLeast"/>
      <w:textAlignment w:val="baseline"/>
    </w:pPr>
    <w:rPr>
      <w:szCs w:val="20"/>
    </w:rPr>
  </w:style>
  <w:style w:type="character" w:customStyle="1" w:styleId="210">
    <w:name w:val="正文四号 Char Char"/>
    <w:link w:val="211"/>
    <w:autoRedefine/>
    <w:qFormat/>
    <w:locked/>
    <w:uiPriority w:val="99"/>
    <w:rPr>
      <w:sz w:val="24"/>
    </w:rPr>
  </w:style>
  <w:style w:type="paragraph" w:customStyle="1" w:styleId="211">
    <w:name w:val="正文四号"/>
    <w:basedOn w:val="1"/>
    <w:link w:val="210"/>
    <w:autoRedefine/>
    <w:qFormat/>
    <w:uiPriority w:val="99"/>
    <w:pPr>
      <w:spacing w:line="360" w:lineRule="auto"/>
      <w:ind w:firstLine="200" w:firstLineChars="200"/>
    </w:pPr>
    <w:rPr>
      <w:kern w:val="0"/>
      <w:sz w:val="24"/>
      <w:szCs w:val="20"/>
    </w:rPr>
  </w:style>
  <w:style w:type="character" w:customStyle="1" w:styleId="212">
    <w:name w:val="fontstyle01"/>
    <w:autoRedefine/>
    <w:qFormat/>
    <w:uiPriority w:val="0"/>
    <w:rPr>
      <w:rFonts w:hint="eastAsia" w:ascii="宋体" w:hAnsi="宋体" w:eastAsia="宋体"/>
      <w:color w:val="000000"/>
      <w:sz w:val="24"/>
      <w:szCs w:val="24"/>
    </w:rPr>
  </w:style>
  <w:style w:type="character" w:customStyle="1" w:styleId="213">
    <w:name w:val="批注主题 字符"/>
    <w:autoRedefine/>
    <w:qFormat/>
    <w:locked/>
    <w:uiPriority w:val="99"/>
    <w:rPr>
      <w:b/>
      <w:bCs/>
      <w:kern w:val="2"/>
      <w:sz w:val="21"/>
    </w:rPr>
  </w:style>
  <w:style w:type="character" w:customStyle="1" w:styleId="214">
    <w:name w:val="批注主题 字符1"/>
    <w:autoRedefine/>
    <w:qFormat/>
    <w:uiPriority w:val="0"/>
    <w:rPr>
      <w:rFonts w:ascii="Times New Roman" w:hAnsi="Times New Roman" w:eastAsia="宋体" w:cs="Times New Roman"/>
      <w:b/>
      <w:bCs/>
      <w:szCs w:val="24"/>
    </w:rPr>
  </w:style>
  <w:style w:type="character" w:customStyle="1" w:styleId="215">
    <w:name w:val="称呼 字符"/>
    <w:autoRedefine/>
    <w:qFormat/>
    <w:uiPriority w:val="0"/>
    <w:rPr>
      <w:kern w:val="2"/>
      <w:sz w:val="21"/>
      <w:szCs w:val="24"/>
    </w:rPr>
  </w:style>
  <w:style w:type="character" w:customStyle="1" w:styleId="216">
    <w:name w:val="三级标题 Char Char"/>
    <w:autoRedefine/>
    <w:qFormat/>
    <w:uiPriority w:val="99"/>
    <w:rPr>
      <w:rFonts w:eastAsia="宋体"/>
      <w:b/>
      <w:bCs/>
      <w:kern w:val="2"/>
      <w:sz w:val="24"/>
      <w:szCs w:val="24"/>
      <w:lang w:bidi="ar-SA"/>
    </w:rPr>
  </w:style>
  <w:style w:type="character" w:customStyle="1" w:styleId="217">
    <w:name w:val="表格文字 Char"/>
    <w:autoRedefine/>
    <w:qFormat/>
    <w:uiPriority w:val="0"/>
    <w:rPr>
      <w:rFonts w:ascii="宋体" w:hAnsi="宋体" w:eastAsia="宋体"/>
      <w:kern w:val="2"/>
      <w:sz w:val="21"/>
      <w:szCs w:val="24"/>
      <w:lang w:val="en-US" w:eastAsia="zh-CN" w:bidi="ar-SA"/>
    </w:rPr>
  </w:style>
  <w:style w:type="character" w:customStyle="1" w:styleId="218">
    <w:name w:val="apple-style-span"/>
    <w:autoRedefine/>
    <w:qFormat/>
    <w:uiPriority w:val="0"/>
  </w:style>
  <w:style w:type="character" w:customStyle="1" w:styleId="219">
    <w:name w:val="标题 4 Char"/>
    <w:autoRedefine/>
    <w:qFormat/>
    <w:uiPriority w:val="9"/>
    <w:rPr>
      <w:rFonts w:ascii="Cambria" w:hAnsi="Cambria" w:eastAsia="宋体" w:cs="Times New Roman"/>
      <w:b/>
      <w:bCs/>
      <w:kern w:val="2"/>
      <w:sz w:val="28"/>
      <w:szCs w:val="28"/>
    </w:rPr>
  </w:style>
  <w:style w:type="character" w:customStyle="1" w:styleId="220">
    <w:name w:val="明显引用 字符1"/>
    <w:autoRedefine/>
    <w:qFormat/>
    <w:uiPriority w:val="30"/>
    <w:rPr>
      <w:i/>
      <w:iCs/>
      <w:color w:val="4472C4"/>
      <w:kern w:val="2"/>
      <w:sz w:val="21"/>
      <w:szCs w:val="24"/>
    </w:rPr>
  </w:style>
  <w:style w:type="character" w:customStyle="1" w:styleId="221">
    <w:name w:val="正文文本首行缩进 2 字符"/>
    <w:autoRedefine/>
    <w:qFormat/>
    <w:uiPriority w:val="99"/>
    <w:rPr>
      <w:rFonts w:ascii="Times New Roman" w:hAnsi="Times New Roman" w:eastAsia="宋体"/>
      <w:kern w:val="2"/>
      <w:sz w:val="21"/>
      <w:szCs w:val="24"/>
    </w:rPr>
  </w:style>
  <w:style w:type="character" w:customStyle="1" w:styleId="222">
    <w:name w:val="居中正文 Char"/>
    <w:link w:val="223"/>
    <w:autoRedefine/>
    <w:qFormat/>
    <w:uiPriority w:val="0"/>
    <w:rPr>
      <w:rFonts w:ascii="宋体"/>
      <w:kern w:val="28"/>
      <w:sz w:val="24"/>
    </w:rPr>
  </w:style>
  <w:style w:type="paragraph" w:customStyle="1" w:styleId="223">
    <w:name w:val="居中正文"/>
    <w:basedOn w:val="29"/>
    <w:link w:val="222"/>
    <w:autoRedefine/>
    <w:qFormat/>
    <w:uiPriority w:val="0"/>
    <w:pPr>
      <w:ind w:firstLine="0"/>
      <w:jc w:val="center"/>
    </w:pPr>
  </w:style>
  <w:style w:type="character" w:customStyle="1" w:styleId="224">
    <w:name w:val="Char Char1 Char"/>
    <w:autoRedefine/>
    <w:qFormat/>
    <w:uiPriority w:val="0"/>
    <w:rPr>
      <w:rFonts w:ascii="宋体" w:hAnsi="宋体" w:eastAsia="宋体" w:cs="宋体"/>
      <w:kern w:val="2"/>
      <w:sz w:val="24"/>
      <w:szCs w:val="24"/>
      <w:lang w:val="en-US" w:eastAsia="zh-CN" w:bidi="ar-SA"/>
    </w:rPr>
  </w:style>
  <w:style w:type="character" w:customStyle="1" w:styleId="225">
    <w:name w:val="报告正文 Char"/>
    <w:link w:val="226"/>
    <w:autoRedefine/>
    <w:qFormat/>
    <w:uiPriority w:val="0"/>
    <w:rPr>
      <w:snapToGrid/>
      <w:kern w:val="24"/>
      <w:sz w:val="24"/>
      <w:szCs w:val="21"/>
    </w:rPr>
  </w:style>
  <w:style w:type="paragraph" w:customStyle="1" w:styleId="226">
    <w:name w:val="报告正文"/>
    <w:basedOn w:val="1"/>
    <w:link w:val="225"/>
    <w:autoRedefine/>
    <w:qFormat/>
    <w:uiPriority w:val="0"/>
    <w:pPr>
      <w:adjustRightInd w:val="0"/>
      <w:spacing w:before="25" w:beforeLines="25" w:line="360" w:lineRule="auto"/>
      <w:ind w:firstLine="482"/>
      <w:textAlignment w:val="baseline"/>
    </w:pPr>
    <w:rPr>
      <w:kern w:val="24"/>
      <w:sz w:val="24"/>
    </w:rPr>
  </w:style>
  <w:style w:type="character" w:customStyle="1" w:styleId="227">
    <w:name w:val="4级（小）标题 Char"/>
    <w:link w:val="228"/>
    <w:autoRedefine/>
    <w:qFormat/>
    <w:uiPriority w:val="0"/>
    <w:rPr>
      <w:b/>
      <w:kern w:val="2"/>
      <w:sz w:val="24"/>
      <w:szCs w:val="24"/>
    </w:rPr>
  </w:style>
  <w:style w:type="paragraph" w:customStyle="1" w:styleId="228">
    <w:name w:val="4级（小）标题"/>
    <w:basedOn w:val="1"/>
    <w:link w:val="227"/>
    <w:autoRedefine/>
    <w:qFormat/>
    <w:uiPriority w:val="0"/>
    <w:pPr>
      <w:spacing w:before="60" w:line="360" w:lineRule="auto"/>
      <w:ind w:firstLine="150" w:firstLineChars="150"/>
      <w:outlineLvl w:val="3"/>
    </w:pPr>
    <w:rPr>
      <w:b/>
      <w:sz w:val="24"/>
    </w:rPr>
  </w:style>
  <w:style w:type="character" w:customStyle="1" w:styleId="229">
    <w:name w:val="apple-converted-space"/>
    <w:autoRedefine/>
    <w:qFormat/>
    <w:uiPriority w:val="0"/>
  </w:style>
  <w:style w:type="character" w:customStyle="1" w:styleId="230">
    <w:name w:val="表格 Char Char"/>
    <w:autoRedefine/>
    <w:qFormat/>
    <w:uiPriority w:val="0"/>
    <w:rPr>
      <w:rFonts w:ascii="宋体" w:hAnsi="宋体"/>
      <w:snapToGrid w:val="0"/>
      <w:sz w:val="21"/>
      <w:lang w:val="en-US" w:eastAsia="zh-CN" w:bidi="ar-SA"/>
    </w:rPr>
  </w:style>
  <w:style w:type="character" w:customStyle="1" w:styleId="231">
    <w:name w:val="t_tag"/>
    <w:autoRedefine/>
    <w:qFormat/>
    <w:uiPriority w:val="0"/>
  </w:style>
  <w:style w:type="character" w:customStyle="1" w:styleId="232">
    <w:name w:val="三级标题 Char"/>
    <w:autoRedefine/>
    <w:qFormat/>
    <w:uiPriority w:val="0"/>
    <w:rPr>
      <w:b/>
      <w:sz w:val="24"/>
      <w:lang w:bidi="ar-SA"/>
    </w:rPr>
  </w:style>
  <w:style w:type="character" w:customStyle="1" w:styleId="233">
    <w:name w:val="表标题... Char Char"/>
    <w:link w:val="234"/>
    <w:autoRedefine/>
    <w:qFormat/>
    <w:locked/>
    <w:uiPriority w:val="99"/>
    <w:rPr>
      <w:rFonts w:ascii="Arial" w:hAnsi="Arial"/>
      <w:b/>
      <w:color w:val="800080"/>
      <w:sz w:val="24"/>
    </w:rPr>
  </w:style>
  <w:style w:type="paragraph" w:customStyle="1" w:styleId="234">
    <w:name w:val="表标题..."/>
    <w:basedOn w:val="7"/>
    <w:link w:val="233"/>
    <w:autoRedefine/>
    <w:qFormat/>
    <w:uiPriority w:val="99"/>
    <w:pPr>
      <w:adjustRightInd/>
      <w:spacing w:before="0" w:after="0" w:line="440" w:lineRule="exact"/>
      <w:jc w:val="center"/>
      <w:textAlignment w:val="auto"/>
    </w:pPr>
    <w:rPr>
      <w:b/>
      <w:color w:val="800080"/>
      <w:kern w:val="0"/>
    </w:rPr>
  </w:style>
  <w:style w:type="character" w:customStyle="1" w:styleId="235">
    <w:name w:val="表 Char"/>
    <w:link w:val="236"/>
    <w:autoRedefine/>
    <w:qFormat/>
    <w:uiPriority w:val="0"/>
    <w:rPr>
      <w:rFonts w:ascii="宋体"/>
      <w:kern w:val="2"/>
      <w:sz w:val="24"/>
    </w:rPr>
  </w:style>
  <w:style w:type="paragraph" w:customStyle="1" w:styleId="236">
    <w:name w:val="表"/>
    <w:basedOn w:val="1"/>
    <w:next w:val="1"/>
    <w:link w:val="235"/>
    <w:autoRedefine/>
    <w:qFormat/>
    <w:uiPriority w:val="0"/>
    <w:pPr>
      <w:adjustRightInd w:val="0"/>
      <w:spacing w:line="400" w:lineRule="exact"/>
      <w:jc w:val="center"/>
    </w:pPr>
    <w:rPr>
      <w:rFonts w:ascii="宋体"/>
      <w:sz w:val="24"/>
      <w:szCs w:val="20"/>
    </w:rPr>
  </w:style>
  <w:style w:type="character" w:customStyle="1" w:styleId="237">
    <w:name w:val="题注1 Char"/>
    <w:link w:val="238"/>
    <w:autoRedefine/>
    <w:qFormat/>
    <w:uiPriority w:val="0"/>
    <w:rPr>
      <w:kern w:val="2"/>
      <w:sz w:val="24"/>
    </w:rPr>
  </w:style>
  <w:style w:type="paragraph" w:customStyle="1" w:styleId="238">
    <w:name w:val="表格标题"/>
    <w:basedOn w:val="239"/>
    <w:link w:val="237"/>
    <w:autoRedefine/>
    <w:qFormat/>
    <w:uiPriority w:val="0"/>
    <w:pPr>
      <w:spacing w:before="120"/>
    </w:pPr>
  </w:style>
  <w:style w:type="paragraph" w:customStyle="1" w:styleId="239">
    <w:name w:val="列表1"/>
    <w:basedOn w:val="1"/>
    <w:autoRedefine/>
    <w:qFormat/>
    <w:uiPriority w:val="0"/>
    <w:pPr>
      <w:spacing w:line="400" w:lineRule="exact"/>
      <w:jc w:val="center"/>
    </w:pPr>
    <w:rPr>
      <w:rFonts w:ascii="宋体" w:hAnsi="宋体" w:eastAsia="仿宋_GB2312"/>
      <w:sz w:val="24"/>
      <w:szCs w:val="20"/>
    </w:rPr>
  </w:style>
  <w:style w:type="paragraph" w:customStyle="1" w:styleId="240">
    <w:name w:val="应急正文"/>
    <w:basedOn w:val="1"/>
    <w:autoRedefine/>
    <w:qFormat/>
    <w:uiPriority w:val="0"/>
    <w:pPr>
      <w:ind w:firstLine="560"/>
    </w:pPr>
  </w:style>
  <w:style w:type="character" w:customStyle="1" w:styleId="241">
    <w:name w:val="题注 字符2"/>
    <w:autoRedefine/>
    <w:qFormat/>
    <w:locked/>
    <w:uiPriority w:val="0"/>
    <w:rPr>
      <w:rFonts w:ascii="Arial" w:hAnsi="Arial" w:eastAsia="黑体" w:cs="Arial"/>
      <w:kern w:val="2"/>
    </w:rPr>
  </w:style>
  <w:style w:type="character" w:customStyle="1" w:styleId="242">
    <w:name w:val="图表标题 Char Char"/>
    <w:autoRedefine/>
    <w:qFormat/>
    <w:locked/>
    <w:uiPriority w:val="99"/>
    <w:rPr>
      <w:b/>
      <w:sz w:val="24"/>
    </w:rPr>
  </w:style>
  <w:style w:type="character" w:customStyle="1" w:styleId="243">
    <w:name w:val="正文文本缩进 Char2"/>
    <w:autoRedefine/>
    <w:qFormat/>
    <w:uiPriority w:val="0"/>
    <w:rPr>
      <w:rFonts w:eastAsia="宋体"/>
      <w:sz w:val="24"/>
      <w:lang w:val="en-US" w:eastAsia="zh-CN" w:bidi="ar-SA"/>
    </w:rPr>
  </w:style>
  <w:style w:type="character" w:customStyle="1" w:styleId="244">
    <w:name w:val="正文001 Char1"/>
    <w:autoRedefine/>
    <w:qFormat/>
    <w:uiPriority w:val="0"/>
    <w:rPr>
      <w:rFonts w:ascii="Arial" w:hAnsi="Arial" w:cs="Arial"/>
      <w:kern w:val="2"/>
      <w:sz w:val="24"/>
    </w:rPr>
  </w:style>
  <w:style w:type="character" w:customStyle="1" w:styleId="245">
    <w:name w:val="标题 字符"/>
    <w:autoRedefine/>
    <w:qFormat/>
    <w:uiPriority w:val="0"/>
    <w:rPr>
      <w:rFonts w:ascii="等线 Light" w:hAnsi="等线 Light" w:cs="Times New Roman"/>
      <w:b/>
      <w:bCs/>
      <w:kern w:val="2"/>
      <w:sz w:val="32"/>
      <w:szCs w:val="32"/>
    </w:rPr>
  </w:style>
  <w:style w:type="character" w:customStyle="1" w:styleId="246">
    <w:name w:val="明显引用 字符2"/>
    <w:autoRedefine/>
    <w:qFormat/>
    <w:locked/>
    <w:uiPriority w:val="30"/>
    <w:rPr>
      <w:rFonts w:ascii="Calibri" w:hAnsi="Calibri" w:cs="Calibri"/>
      <w:i/>
      <w:iCs/>
      <w:color w:val="5B9BD5"/>
      <w:sz w:val="22"/>
      <w:szCs w:val="22"/>
    </w:rPr>
  </w:style>
  <w:style w:type="character" w:customStyle="1" w:styleId="247">
    <w:name w:val="正文文本缩进 2 字符"/>
    <w:autoRedefine/>
    <w:qFormat/>
    <w:uiPriority w:val="99"/>
    <w:rPr>
      <w:kern w:val="2"/>
      <w:sz w:val="21"/>
      <w:szCs w:val="24"/>
    </w:rPr>
  </w:style>
  <w:style w:type="character" w:customStyle="1" w:styleId="248">
    <w:name w:val="正文文本 3 字符2"/>
    <w:autoRedefine/>
    <w:qFormat/>
    <w:locked/>
    <w:uiPriority w:val="0"/>
    <w:rPr>
      <w:b/>
      <w:bCs/>
      <w:kern w:val="2"/>
      <w:sz w:val="24"/>
      <w:szCs w:val="24"/>
    </w:rPr>
  </w:style>
  <w:style w:type="character" w:customStyle="1" w:styleId="249">
    <w:name w:val="title1"/>
    <w:autoRedefine/>
    <w:qFormat/>
    <w:uiPriority w:val="0"/>
  </w:style>
  <w:style w:type="character" w:customStyle="1" w:styleId="250">
    <w:name w:val="HTML 预设格式 字符"/>
    <w:autoRedefine/>
    <w:qFormat/>
    <w:uiPriority w:val="99"/>
    <w:rPr>
      <w:rFonts w:ascii="Courier New" w:hAnsi="Courier New" w:cs="Courier New"/>
      <w:kern w:val="2"/>
    </w:rPr>
  </w:style>
  <w:style w:type="character" w:customStyle="1" w:styleId="251">
    <w:name w:val="正文文本 3 字符1"/>
    <w:autoRedefine/>
    <w:qFormat/>
    <w:uiPriority w:val="0"/>
    <w:rPr>
      <w:kern w:val="2"/>
      <w:sz w:val="18"/>
      <w:szCs w:val="24"/>
    </w:rPr>
  </w:style>
  <w:style w:type="character" w:customStyle="1" w:styleId="252">
    <w:name w:val="环评正文 Char Char"/>
    <w:autoRedefine/>
    <w:qFormat/>
    <w:uiPriority w:val="0"/>
    <w:rPr>
      <w:rFonts w:ascii="宋体" w:hAnsi="宋体" w:cs="宋体"/>
      <w:kern w:val="2"/>
      <w:sz w:val="24"/>
    </w:rPr>
  </w:style>
  <w:style w:type="character" w:customStyle="1" w:styleId="253">
    <w:name w:val="批注文字 字符1"/>
    <w:autoRedefine/>
    <w:qFormat/>
    <w:uiPriority w:val="0"/>
    <w:rPr>
      <w:rFonts w:ascii="Times New Roman" w:hAnsi="Times New Roman" w:eastAsia="宋体"/>
      <w:sz w:val="24"/>
    </w:rPr>
  </w:style>
  <w:style w:type="character" w:customStyle="1" w:styleId="254">
    <w:name w:val="1 Char Char"/>
    <w:autoRedefine/>
    <w:qFormat/>
    <w:locked/>
    <w:uiPriority w:val="99"/>
    <w:rPr>
      <w:rFonts w:ascii="宋体" w:hAnsi="Courier New" w:eastAsia="宋体"/>
      <w:sz w:val="21"/>
    </w:rPr>
  </w:style>
  <w:style w:type="character" w:customStyle="1" w:styleId="255">
    <w:name w:val="正文01 Char Char Char"/>
    <w:link w:val="256"/>
    <w:autoRedefine/>
    <w:qFormat/>
    <w:uiPriority w:val="0"/>
    <w:rPr>
      <w:kern w:val="2"/>
      <w:sz w:val="24"/>
    </w:rPr>
  </w:style>
  <w:style w:type="paragraph" w:customStyle="1" w:styleId="256">
    <w:name w:val="正文01 Char Char"/>
    <w:basedOn w:val="1"/>
    <w:link w:val="255"/>
    <w:autoRedefine/>
    <w:qFormat/>
    <w:uiPriority w:val="0"/>
    <w:pPr>
      <w:spacing w:before="60" w:line="460" w:lineRule="exact"/>
      <w:ind w:firstLine="200" w:firstLineChars="200"/>
    </w:pPr>
    <w:rPr>
      <w:sz w:val="24"/>
      <w:szCs w:val="20"/>
    </w:rPr>
  </w:style>
  <w:style w:type="character" w:customStyle="1" w:styleId="257">
    <w:name w:val="标题 3 字符"/>
    <w:autoRedefine/>
    <w:qFormat/>
    <w:uiPriority w:val="0"/>
    <w:rPr>
      <w:b/>
      <w:bCs/>
      <w:kern w:val="2"/>
      <w:sz w:val="32"/>
      <w:szCs w:val="32"/>
    </w:rPr>
  </w:style>
  <w:style w:type="character" w:customStyle="1" w:styleId="258">
    <w:name w:val="标题11"/>
    <w:autoRedefine/>
    <w:qFormat/>
    <w:uiPriority w:val="0"/>
    <w:rPr>
      <w:rFonts w:cs="Times New Roman"/>
    </w:rPr>
  </w:style>
  <w:style w:type="character" w:customStyle="1" w:styleId="259">
    <w:name w:val="标题 9 字符"/>
    <w:autoRedefine/>
    <w:semiHidden/>
    <w:qFormat/>
    <w:uiPriority w:val="9"/>
    <w:rPr>
      <w:rFonts w:ascii="等线 Light" w:hAnsi="等线 Light" w:eastAsia="等线 Light" w:cs="Times New Roman"/>
      <w:kern w:val="2"/>
      <w:sz w:val="21"/>
      <w:szCs w:val="21"/>
    </w:rPr>
  </w:style>
  <w:style w:type="character" w:customStyle="1" w:styleId="260">
    <w:name w:val="正文首行缩进 字符"/>
    <w:autoRedefine/>
    <w:qFormat/>
    <w:uiPriority w:val="99"/>
    <w:rPr>
      <w:kern w:val="2"/>
      <w:sz w:val="21"/>
      <w:szCs w:val="24"/>
    </w:rPr>
  </w:style>
  <w:style w:type="character" w:customStyle="1" w:styleId="261">
    <w:name w:val="f11"/>
    <w:autoRedefine/>
    <w:qFormat/>
    <w:uiPriority w:val="0"/>
    <w:rPr>
      <w:sz w:val="20"/>
      <w:szCs w:val="20"/>
    </w:rPr>
  </w:style>
  <w:style w:type="character" w:customStyle="1" w:styleId="262">
    <w:name w:val="style1141"/>
    <w:autoRedefine/>
    <w:qFormat/>
    <w:uiPriority w:val="0"/>
    <w:rPr>
      <w:rFonts w:hint="default" w:ascii="Arial" w:hAnsi="Arial" w:cs="Arial"/>
      <w:color w:val="000000"/>
      <w:sz w:val="18"/>
      <w:szCs w:val="18"/>
    </w:rPr>
  </w:style>
  <w:style w:type="character" w:customStyle="1" w:styleId="263">
    <w:name w:val="_Style 258"/>
    <w:autoRedefine/>
    <w:qFormat/>
    <w:uiPriority w:val="31"/>
    <w:rPr>
      <w:smallCaps/>
      <w:color w:val="404040"/>
    </w:rPr>
  </w:style>
  <w:style w:type="character" w:customStyle="1" w:styleId="264">
    <w:name w:val="trends"/>
    <w:autoRedefine/>
    <w:qFormat/>
    <w:uiPriority w:val="99"/>
    <w:rPr>
      <w:color w:val="25B462"/>
      <w:sz w:val="14"/>
    </w:rPr>
  </w:style>
  <w:style w:type="character" w:customStyle="1" w:styleId="265">
    <w:name w:val="引用 字符3"/>
    <w:link w:val="266"/>
    <w:autoRedefine/>
    <w:qFormat/>
    <w:uiPriority w:val="0"/>
    <w:rPr>
      <w:rFonts w:ascii="Cambria" w:hAnsi="Cambria"/>
      <w:i/>
      <w:iCs/>
      <w:color w:val="5A5A5A"/>
      <w:kern w:val="2"/>
      <w:sz w:val="21"/>
      <w:szCs w:val="21"/>
    </w:rPr>
  </w:style>
  <w:style w:type="paragraph" w:styleId="266">
    <w:name w:val="Quote"/>
    <w:basedOn w:val="1"/>
    <w:next w:val="1"/>
    <w:link w:val="265"/>
    <w:autoRedefine/>
    <w:qFormat/>
    <w:uiPriority w:val="0"/>
    <w:pPr>
      <w:spacing w:before="240" w:after="120" w:line="360" w:lineRule="exact"/>
    </w:pPr>
    <w:rPr>
      <w:rFonts w:ascii="Cambria" w:hAnsi="Cambria"/>
      <w:i/>
      <w:iCs/>
      <w:color w:val="5A5A5A"/>
    </w:rPr>
  </w:style>
  <w:style w:type="character" w:customStyle="1" w:styleId="267">
    <w:name w:val="环评正文 Char"/>
    <w:link w:val="268"/>
    <w:autoRedefine/>
    <w:qFormat/>
    <w:uiPriority w:val="0"/>
    <w:rPr>
      <w:rFonts w:ascii="宋体" w:hAnsi="宋体" w:cs="宋体"/>
      <w:kern w:val="2"/>
      <w:sz w:val="24"/>
      <w:szCs w:val="24"/>
    </w:rPr>
  </w:style>
  <w:style w:type="paragraph" w:customStyle="1" w:styleId="268">
    <w:name w:val="环评正文"/>
    <w:basedOn w:val="1"/>
    <w:link w:val="267"/>
    <w:autoRedefine/>
    <w:qFormat/>
    <w:uiPriority w:val="0"/>
    <w:pPr>
      <w:spacing w:line="360" w:lineRule="auto"/>
    </w:pPr>
    <w:rPr>
      <w:rFonts w:ascii="宋体" w:hAnsi="宋体"/>
      <w:sz w:val="24"/>
    </w:rPr>
  </w:style>
  <w:style w:type="character" w:customStyle="1" w:styleId="269">
    <w:name w:val="正文00000 Char Char"/>
    <w:link w:val="270"/>
    <w:autoRedefine/>
    <w:qFormat/>
    <w:locked/>
    <w:uiPriority w:val="99"/>
    <w:rPr>
      <w:sz w:val="24"/>
    </w:rPr>
  </w:style>
  <w:style w:type="paragraph" w:customStyle="1" w:styleId="270">
    <w:name w:val="正文00000"/>
    <w:basedOn w:val="1"/>
    <w:link w:val="269"/>
    <w:autoRedefine/>
    <w:qFormat/>
    <w:uiPriority w:val="99"/>
    <w:pPr>
      <w:adjustRightInd w:val="0"/>
      <w:snapToGrid w:val="0"/>
      <w:spacing w:line="440" w:lineRule="atLeast"/>
      <w:ind w:firstLine="482"/>
    </w:pPr>
    <w:rPr>
      <w:kern w:val="0"/>
      <w:sz w:val="24"/>
      <w:szCs w:val="20"/>
    </w:rPr>
  </w:style>
  <w:style w:type="character" w:customStyle="1" w:styleId="271">
    <w:name w:val="1 Char"/>
    <w:autoRedefine/>
    <w:qFormat/>
    <w:uiPriority w:val="0"/>
    <w:rPr>
      <w:rFonts w:eastAsia="宋体"/>
      <w:b/>
      <w:bCs/>
      <w:kern w:val="44"/>
      <w:sz w:val="32"/>
      <w:szCs w:val="44"/>
      <w:lang w:val="en-US" w:eastAsia="zh-CN" w:bidi="ar-SA"/>
    </w:rPr>
  </w:style>
  <w:style w:type="character" w:customStyle="1" w:styleId="272">
    <w:name w:val="标题 7 字符"/>
    <w:autoRedefine/>
    <w:semiHidden/>
    <w:qFormat/>
    <w:uiPriority w:val="9"/>
    <w:rPr>
      <w:b/>
      <w:bCs/>
      <w:kern w:val="2"/>
      <w:sz w:val="24"/>
      <w:szCs w:val="24"/>
    </w:rPr>
  </w:style>
  <w:style w:type="character" w:customStyle="1" w:styleId="273">
    <w:name w:val="二级标题 Char Char"/>
    <w:link w:val="274"/>
    <w:autoRedefine/>
    <w:qFormat/>
    <w:uiPriority w:val="0"/>
    <w:rPr>
      <w:b/>
      <w:kern w:val="2"/>
      <w:sz w:val="28"/>
    </w:rPr>
  </w:style>
  <w:style w:type="paragraph" w:customStyle="1" w:styleId="274">
    <w:name w:val="二级标题"/>
    <w:basedOn w:val="1"/>
    <w:link w:val="273"/>
    <w:autoRedefine/>
    <w:qFormat/>
    <w:uiPriority w:val="0"/>
    <w:pPr>
      <w:spacing w:before="60" w:line="460" w:lineRule="exact"/>
      <w:outlineLvl w:val="1"/>
    </w:pPr>
    <w:rPr>
      <w:b/>
      <w:sz w:val="28"/>
      <w:szCs w:val="20"/>
    </w:rPr>
  </w:style>
  <w:style w:type="character" w:customStyle="1" w:styleId="275">
    <w:name w:val="line1"/>
    <w:autoRedefine/>
    <w:qFormat/>
    <w:uiPriority w:val="0"/>
    <w:rPr>
      <w:sz w:val="18"/>
      <w:szCs w:val="18"/>
    </w:rPr>
  </w:style>
  <w:style w:type="character" w:customStyle="1" w:styleId="276">
    <w:name w:val="表格 Char"/>
    <w:link w:val="277"/>
    <w:autoRedefine/>
    <w:qFormat/>
    <w:locked/>
    <w:uiPriority w:val="0"/>
    <w:rPr>
      <w:rFonts w:ascii="宋体"/>
      <w:sz w:val="21"/>
    </w:rPr>
  </w:style>
  <w:style w:type="paragraph" w:customStyle="1" w:styleId="277">
    <w:name w:val="表格"/>
    <w:basedOn w:val="157"/>
    <w:next w:val="1"/>
    <w:link w:val="276"/>
    <w:autoRedefine/>
    <w:qFormat/>
    <w:uiPriority w:val="0"/>
    <w:pPr>
      <w:adjustRightInd w:val="0"/>
      <w:snapToGrid w:val="0"/>
      <w:spacing w:beforeLines="10" w:afterLines="10" w:line="259" w:lineRule="auto"/>
    </w:pPr>
    <w:rPr>
      <w:rFonts w:ascii="宋体"/>
      <w:kern w:val="0"/>
    </w:rPr>
  </w:style>
  <w:style w:type="character" w:customStyle="1" w:styleId="278">
    <w:name w:val="文档结构图 字符2"/>
    <w:autoRedefine/>
    <w:semiHidden/>
    <w:qFormat/>
    <w:locked/>
    <w:uiPriority w:val="0"/>
    <w:rPr>
      <w:kern w:val="2"/>
      <w:sz w:val="21"/>
      <w:szCs w:val="24"/>
      <w:shd w:val="clear" w:color="auto" w:fill="000080"/>
    </w:rPr>
  </w:style>
  <w:style w:type="character" w:customStyle="1" w:styleId="279">
    <w:name w:val="style48"/>
    <w:autoRedefine/>
    <w:qFormat/>
    <w:uiPriority w:val="0"/>
  </w:style>
  <w:style w:type="character" w:customStyle="1" w:styleId="280">
    <w:name w:val="样式1 Char"/>
    <w:link w:val="281"/>
    <w:autoRedefine/>
    <w:qFormat/>
    <w:uiPriority w:val="0"/>
    <w:rPr>
      <w:rFonts w:ascii="宋体" w:hAnsi="宋体" w:cs="宋体"/>
      <w:kern w:val="2"/>
      <w:sz w:val="24"/>
    </w:rPr>
  </w:style>
  <w:style w:type="paragraph" w:customStyle="1" w:styleId="281">
    <w:name w:val="样式1"/>
    <w:basedOn w:val="1"/>
    <w:link w:val="280"/>
    <w:autoRedefine/>
    <w:qFormat/>
    <w:uiPriority w:val="0"/>
    <w:pPr>
      <w:spacing w:line="360" w:lineRule="auto"/>
      <w:ind w:firstLine="510"/>
    </w:pPr>
    <w:rPr>
      <w:rFonts w:ascii="宋体" w:hAnsi="宋体"/>
      <w:sz w:val="24"/>
      <w:szCs w:val="20"/>
    </w:rPr>
  </w:style>
  <w:style w:type="character" w:customStyle="1" w:styleId="282">
    <w:name w:val="页眉 Char1"/>
    <w:autoRedefine/>
    <w:qFormat/>
    <w:uiPriority w:val="99"/>
    <w:rPr>
      <w:kern w:val="2"/>
      <w:sz w:val="18"/>
      <w:szCs w:val="18"/>
    </w:rPr>
  </w:style>
  <w:style w:type="character" w:customStyle="1" w:styleId="283">
    <w:name w:val="正文缩进 字符"/>
    <w:autoRedefine/>
    <w:qFormat/>
    <w:uiPriority w:val="0"/>
    <w:rPr>
      <w:rFonts w:eastAsia="宋体"/>
    </w:rPr>
  </w:style>
  <w:style w:type="character" w:customStyle="1" w:styleId="284">
    <w:name w:val="样式 标题 3标题 3 Char标题 一小节标题头条标题1.1.1小标题3h33rd levelH3l3... Char Char"/>
    <w:link w:val="285"/>
    <w:autoRedefine/>
    <w:qFormat/>
    <w:locked/>
    <w:uiPriority w:val="99"/>
    <w:rPr>
      <w:b/>
      <w:color w:val="0099FF"/>
      <w:sz w:val="24"/>
    </w:rPr>
  </w:style>
  <w:style w:type="paragraph" w:customStyle="1" w:styleId="285">
    <w:name w:val="样式 标题 3标题 3 Char标题 一小节标题头条标题1.1.1小标题3h33rd levelH3l3..."/>
    <w:basedOn w:val="6"/>
    <w:next w:val="134"/>
    <w:link w:val="284"/>
    <w:autoRedefine/>
    <w:qFormat/>
    <w:uiPriority w:val="99"/>
    <w:pPr>
      <w:keepLines w:val="0"/>
      <w:spacing w:before="0" w:after="0" w:line="460" w:lineRule="exact"/>
    </w:pPr>
    <w:rPr>
      <w:bCs w:val="0"/>
      <w:color w:val="0099FF"/>
      <w:kern w:val="0"/>
      <w:sz w:val="24"/>
      <w:szCs w:val="20"/>
    </w:rPr>
  </w:style>
  <w:style w:type="character" w:customStyle="1" w:styleId="286">
    <w:name w:val="页脚 字符"/>
    <w:autoRedefine/>
    <w:qFormat/>
    <w:uiPriority w:val="0"/>
  </w:style>
  <w:style w:type="character" w:customStyle="1" w:styleId="287">
    <w:name w:val="Char Char Char Char Char"/>
    <w:autoRedefine/>
    <w:qFormat/>
    <w:uiPriority w:val="0"/>
    <w:rPr>
      <w:rFonts w:ascii="Times New Roman" w:hAnsi="Times New Roman"/>
      <w:kern w:val="2"/>
      <w:sz w:val="24"/>
      <w:szCs w:val="24"/>
    </w:rPr>
  </w:style>
  <w:style w:type="character" w:customStyle="1" w:styleId="288">
    <w:name w:val="wz1"/>
    <w:autoRedefine/>
    <w:qFormat/>
    <w:uiPriority w:val="0"/>
    <w:rPr>
      <w:rFonts w:hint="default" w:ascii="_x000B__x000C_" w:hAnsi="_x000B__x000C_"/>
      <w:sz w:val="18"/>
      <w:szCs w:val="18"/>
    </w:rPr>
  </w:style>
  <w:style w:type="character" w:customStyle="1" w:styleId="289">
    <w:name w:val="fontstyle21"/>
    <w:autoRedefine/>
    <w:qFormat/>
    <w:uiPriority w:val="0"/>
    <w:rPr>
      <w:rFonts w:hint="default" w:ascii="Times New Roman" w:hAnsi="Times New Roman" w:cs="Times New Roman"/>
      <w:color w:val="000000"/>
      <w:sz w:val="24"/>
      <w:szCs w:val="24"/>
    </w:rPr>
  </w:style>
  <w:style w:type="character" w:customStyle="1" w:styleId="290">
    <w:name w:val="style14"/>
    <w:autoRedefine/>
    <w:qFormat/>
    <w:uiPriority w:val="0"/>
  </w:style>
  <w:style w:type="character" w:customStyle="1" w:styleId="291">
    <w:name w:val="标题 字符1"/>
    <w:autoRedefine/>
    <w:qFormat/>
    <w:uiPriority w:val="0"/>
    <w:rPr>
      <w:rFonts w:ascii="等线 Light" w:hAnsi="等线 Light" w:cs="Times New Roman"/>
      <w:b/>
      <w:bCs/>
      <w:kern w:val="2"/>
      <w:sz w:val="32"/>
      <w:szCs w:val="32"/>
    </w:rPr>
  </w:style>
  <w:style w:type="character" w:customStyle="1" w:styleId="292">
    <w:name w:val="日期 字符1"/>
    <w:autoRedefine/>
    <w:qFormat/>
    <w:uiPriority w:val="0"/>
    <w:rPr>
      <w:rFonts w:ascii="宋体" w:hAnsi="宋体" w:eastAsia="宋体" w:cs="Times New Roman"/>
      <w:b/>
      <w:bCs/>
      <w:sz w:val="28"/>
      <w:szCs w:val="24"/>
      <w:lang w:val="en-US" w:eastAsia="zh-CN"/>
    </w:rPr>
  </w:style>
  <w:style w:type="character" w:customStyle="1" w:styleId="293">
    <w:name w:val="fontstyle11"/>
    <w:autoRedefine/>
    <w:qFormat/>
    <w:uiPriority w:val="0"/>
    <w:rPr>
      <w:rFonts w:hint="default" w:ascii="Times New Roman" w:hAnsi="Times New Roman" w:cs="Times New Roman"/>
      <w:color w:val="000000"/>
      <w:sz w:val="24"/>
      <w:szCs w:val="24"/>
    </w:rPr>
  </w:style>
  <w:style w:type="character" w:customStyle="1" w:styleId="294">
    <w:name w:val="三级标题 Char2"/>
    <w:link w:val="295"/>
    <w:autoRedefine/>
    <w:qFormat/>
    <w:uiPriority w:val="0"/>
    <w:rPr>
      <w:b/>
      <w:kern w:val="2"/>
      <w:sz w:val="24"/>
    </w:rPr>
  </w:style>
  <w:style w:type="paragraph" w:customStyle="1" w:styleId="295">
    <w:name w:val="三级标题"/>
    <w:basedOn w:val="1"/>
    <w:link w:val="294"/>
    <w:autoRedefine/>
    <w:qFormat/>
    <w:uiPriority w:val="0"/>
    <w:pPr>
      <w:spacing w:before="300" w:line="460" w:lineRule="exact"/>
      <w:outlineLvl w:val="2"/>
    </w:pPr>
    <w:rPr>
      <w:b/>
      <w:sz w:val="24"/>
      <w:szCs w:val="20"/>
    </w:rPr>
  </w:style>
  <w:style w:type="character" w:customStyle="1" w:styleId="296">
    <w:name w:val="HTML 预设格式 Char1"/>
    <w:autoRedefine/>
    <w:semiHidden/>
    <w:qFormat/>
    <w:uiPriority w:val="99"/>
    <w:rPr>
      <w:rFonts w:ascii="Courier New" w:hAnsi="Courier New" w:eastAsia="宋体" w:cs="Courier New"/>
      <w:sz w:val="20"/>
      <w:szCs w:val="20"/>
    </w:rPr>
  </w:style>
  <w:style w:type="character" w:customStyle="1" w:styleId="297">
    <w:name w:val="my Char"/>
    <w:link w:val="298"/>
    <w:autoRedefine/>
    <w:qFormat/>
    <w:uiPriority w:val="0"/>
    <w:rPr>
      <w:sz w:val="24"/>
      <w:szCs w:val="24"/>
      <w:lang w:bidi="ar-SA"/>
    </w:rPr>
  </w:style>
  <w:style w:type="paragraph" w:customStyle="1" w:styleId="298">
    <w:name w:val="my"/>
    <w:link w:val="297"/>
    <w:autoRedefine/>
    <w:qFormat/>
    <w:uiPriority w:val="0"/>
    <w:pPr>
      <w:widowControl w:val="0"/>
      <w:spacing w:before="60" w:line="460" w:lineRule="exact"/>
      <w:ind w:firstLine="200" w:firstLineChars="200"/>
    </w:pPr>
    <w:rPr>
      <w:rFonts w:ascii="Times New Roman" w:hAnsi="Times New Roman" w:eastAsia="宋体" w:cs="Times New Roman"/>
      <w:sz w:val="24"/>
      <w:szCs w:val="24"/>
      <w:lang w:val="en-US" w:eastAsia="zh-CN" w:bidi="ar-SA"/>
    </w:rPr>
  </w:style>
  <w:style w:type="character" w:customStyle="1" w:styleId="299">
    <w:name w:val="题注（图、表） Char"/>
    <w:link w:val="300"/>
    <w:autoRedefine/>
    <w:qFormat/>
    <w:uiPriority w:val="0"/>
    <w:rPr>
      <w:rFonts w:ascii="Arial" w:hAnsi="Arial" w:eastAsia="黑体" w:cs="宋体"/>
      <w:kern w:val="2"/>
    </w:rPr>
  </w:style>
  <w:style w:type="paragraph" w:customStyle="1" w:styleId="300">
    <w:name w:val="题注（图、表）"/>
    <w:basedOn w:val="1"/>
    <w:link w:val="299"/>
    <w:autoRedefine/>
    <w:qFormat/>
    <w:uiPriority w:val="0"/>
    <w:pPr>
      <w:adjustRightInd w:val="0"/>
      <w:snapToGrid w:val="0"/>
      <w:spacing w:before="160" w:after="156" w:line="400" w:lineRule="exact"/>
      <w:jc w:val="center"/>
    </w:pPr>
    <w:rPr>
      <w:rFonts w:ascii="Arial" w:hAnsi="Arial" w:eastAsia="黑体"/>
      <w:sz w:val="20"/>
      <w:szCs w:val="20"/>
    </w:rPr>
  </w:style>
  <w:style w:type="character" w:customStyle="1" w:styleId="301">
    <w:name w:val="标题 5 字符1"/>
    <w:autoRedefine/>
    <w:semiHidden/>
    <w:qFormat/>
    <w:locked/>
    <w:uiPriority w:val="9"/>
    <w:rPr>
      <w:rFonts w:ascii="Calibri Light" w:hAnsi="Calibri Light"/>
      <w:color w:val="2E74B5"/>
      <w:sz w:val="22"/>
      <w:szCs w:val="22"/>
    </w:rPr>
  </w:style>
  <w:style w:type="character" w:customStyle="1" w:styleId="302">
    <w:name w:val="正文文本 2 Char1"/>
    <w:autoRedefine/>
    <w:qFormat/>
    <w:uiPriority w:val="0"/>
    <w:rPr>
      <w:sz w:val="24"/>
    </w:rPr>
  </w:style>
  <w:style w:type="character" w:customStyle="1" w:styleId="303">
    <w:name w:val="纯文本 字符"/>
    <w:autoRedefine/>
    <w:qFormat/>
    <w:uiPriority w:val="0"/>
    <w:rPr>
      <w:rFonts w:ascii="宋体" w:hAnsi="Courier New" w:cs="Courier New"/>
      <w:kern w:val="2"/>
      <w:sz w:val="21"/>
      <w:szCs w:val="21"/>
    </w:rPr>
  </w:style>
  <w:style w:type="character" w:customStyle="1" w:styleId="304">
    <w:name w:val="articlecontent"/>
    <w:autoRedefine/>
    <w:qFormat/>
    <w:uiPriority w:val="0"/>
  </w:style>
  <w:style w:type="character" w:customStyle="1" w:styleId="305">
    <w:name w:val="第二层条 Char1"/>
    <w:autoRedefine/>
    <w:qFormat/>
    <w:uiPriority w:val="0"/>
    <w:rPr>
      <w:rFonts w:eastAsia="宋体"/>
      <w:b/>
      <w:bCs/>
      <w:kern w:val="2"/>
      <w:sz w:val="24"/>
      <w:szCs w:val="24"/>
      <w:lang w:val="en-US" w:eastAsia="zh-CN" w:bidi="ar-SA"/>
    </w:rPr>
  </w:style>
  <w:style w:type="character" w:customStyle="1" w:styleId="306">
    <w:name w:val="正文文本 字符1"/>
    <w:autoRedefine/>
    <w:qFormat/>
    <w:uiPriority w:val="0"/>
    <w:rPr>
      <w:rFonts w:ascii="Times New Roman" w:hAnsi="Times New Roman" w:eastAsia="宋体"/>
      <w:sz w:val="24"/>
    </w:rPr>
  </w:style>
  <w:style w:type="character" w:customStyle="1" w:styleId="307">
    <w:name w:val="正文01 Char2"/>
    <w:autoRedefine/>
    <w:qFormat/>
    <w:uiPriority w:val="0"/>
    <w:rPr>
      <w:rFonts w:ascii="Calibri" w:hAnsi="Calibri" w:eastAsia="宋体"/>
      <w:snapToGrid w:val="0"/>
      <w:sz w:val="24"/>
      <w:szCs w:val="24"/>
      <w:lang w:val="en-US" w:eastAsia="en-US" w:bidi="en-US"/>
    </w:rPr>
  </w:style>
  <w:style w:type="character" w:customStyle="1" w:styleId="308">
    <w:name w:val="description"/>
    <w:autoRedefine/>
    <w:qFormat/>
    <w:uiPriority w:val="0"/>
  </w:style>
  <w:style w:type="character" w:customStyle="1" w:styleId="309">
    <w:name w:val="duan1"/>
    <w:autoRedefine/>
    <w:qFormat/>
    <w:uiPriority w:val="0"/>
    <w:rPr>
      <w:sz w:val="20"/>
      <w:szCs w:val="20"/>
      <w:u w:val="none"/>
    </w:rPr>
  </w:style>
  <w:style w:type="character" w:customStyle="1" w:styleId="310">
    <w:name w:val="表格文字 Char Char Char"/>
    <w:autoRedefine/>
    <w:qFormat/>
    <w:uiPriority w:val="0"/>
    <w:rPr>
      <w:rFonts w:eastAsia="宋体"/>
      <w:kern w:val="2"/>
      <w:sz w:val="21"/>
      <w:szCs w:val="21"/>
      <w:lang w:val="en-US" w:eastAsia="zh-CN" w:bidi="ar-SA"/>
    </w:rPr>
  </w:style>
  <w:style w:type="character" w:customStyle="1" w:styleId="311">
    <w:name w:val="列表段落 字符"/>
    <w:link w:val="312"/>
    <w:autoRedefine/>
    <w:qFormat/>
    <w:uiPriority w:val="34"/>
    <w:rPr>
      <w:kern w:val="2"/>
      <w:sz w:val="21"/>
      <w:szCs w:val="24"/>
    </w:rPr>
  </w:style>
  <w:style w:type="paragraph" w:styleId="312">
    <w:name w:val="List Paragraph"/>
    <w:basedOn w:val="1"/>
    <w:link w:val="311"/>
    <w:autoRedefine/>
    <w:qFormat/>
    <w:uiPriority w:val="34"/>
    <w:pPr>
      <w:ind w:firstLine="420" w:firstLineChars="200"/>
    </w:pPr>
  </w:style>
  <w:style w:type="character" w:customStyle="1" w:styleId="313">
    <w:name w:val="title31"/>
    <w:autoRedefine/>
    <w:qFormat/>
    <w:uiPriority w:val="0"/>
    <w:rPr>
      <w:rFonts w:hint="eastAsia" w:ascii="宋体" w:hAnsi="宋体" w:eastAsia="宋体"/>
      <w:color w:val="000000"/>
      <w:sz w:val="23"/>
      <w:szCs w:val="23"/>
    </w:rPr>
  </w:style>
  <w:style w:type="character" w:customStyle="1" w:styleId="314">
    <w:name w:val="表格数字 Char"/>
    <w:link w:val="315"/>
    <w:autoRedefine/>
    <w:qFormat/>
    <w:uiPriority w:val="0"/>
    <w:rPr>
      <w:rFonts w:ascii="Arial" w:hAnsi="Arial" w:cs="宋体"/>
      <w:sz w:val="21"/>
    </w:rPr>
  </w:style>
  <w:style w:type="paragraph" w:customStyle="1" w:styleId="315">
    <w:name w:val="表格数字"/>
    <w:basedOn w:val="1"/>
    <w:link w:val="314"/>
    <w:autoRedefine/>
    <w:qFormat/>
    <w:uiPriority w:val="0"/>
    <w:pPr>
      <w:spacing w:line="360" w:lineRule="exact"/>
      <w:jc w:val="center"/>
    </w:pPr>
    <w:rPr>
      <w:rFonts w:ascii="Arial" w:hAnsi="Arial"/>
      <w:kern w:val="0"/>
      <w:szCs w:val="20"/>
    </w:rPr>
  </w:style>
  <w:style w:type="character" w:customStyle="1" w:styleId="316">
    <w:name w:val="defaultfont1"/>
    <w:autoRedefine/>
    <w:qFormat/>
    <w:uiPriority w:val="0"/>
  </w:style>
  <w:style w:type="character" w:customStyle="1" w:styleId="317">
    <w:name w:val="正文文本缩进 2 字符2"/>
    <w:autoRedefine/>
    <w:qFormat/>
    <w:locked/>
    <w:uiPriority w:val="0"/>
    <w:rPr>
      <w:kern w:val="2"/>
      <w:sz w:val="24"/>
      <w:szCs w:val="24"/>
    </w:rPr>
  </w:style>
  <w:style w:type="character" w:customStyle="1" w:styleId="318">
    <w:name w:val="font01"/>
    <w:autoRedefine/>
    <w:qFormat/>
    <w:uiPriority w:val="99"/>
    <w:rPr>
      <w:rFonts w:ascii="宋体" w:hAnsi="宋体" w:eastAsia="宋体"/>
      <w:color w:val="000000"/>
      <w:sz w:val="24"/>
      <w:u w:val="none"/>
    </w:rPr>
  </w:style>
  <w:style w:type="character" w:customStyle="1" w:styleId="319">
    <w:name w:val="content"/>
    <w:autoRedefine/>
    <w:qFormat/>
    <w:uiPriority w:val="0"/>
    <w:rPr>
      <w:color w:val="000000"/>
      <w:sz w:val="21"/>
      <w:szCs w:val="21"/>
    </w:rPr>
  </w:style>
  <w:style w:type="character" w:customStyle="1" w:styleId="320">
    <w:name w:val="纯文本 Char1"/>
    <w:autoRedefine/>
    <w:qFormat/>
    <w:uiPriority w:val="0"/>
    <w:rPr>
      <w:rFonts w:ascii="宋体" w:hAnsi="Courier New"/>
      <w:kern w:val="2"/>
      <w:sz w:val="21"/>
    </w:rPr>
  </w:style>
  <w:style w:type="character" w:customStyle="1" w:styleId="321">
    <w:name w:val="postbody1"/>
    <w:autoRedefine/>
    <w:qFormat/>
    <w:uiPriority w:val="0"/>
    <w:rPr>
      <w:sz w:val="18"/>
      <w:szCs w:val="18"/>
    </w:rPr>
  </w:style>
  <w:style w:type="character" w:customStyle="1" w:styleId="322">
    <w:name w:val="正文首行缩进 2 + Times New Roman Char"/>
    <w:link w:val="323"/>
    <w:autoRedefine/>
    <w:qFormat/>
    <w:locked/>
    <w:uiPriority w:val="0"/>
    <w:rPr>
      <w:sz w:val="24"/>
      <w:szCs w:val="24"/>
    </w:rPr>
  </w:style>
  <w:style w:type="paragraph" w:customStyle="1" w:styleId="323">
    <w:name w:val="正文首行缩进 2 + Times New Roman"/>
    <w:basedOn w:val="1"/>
    <w:link w:val="322"/>
    <w:autoRedefine/>
    <w:qFormat/>
    <w:uiPriority w:val="0"/>
    <w:pPr>
      <w:tabs>
        <w:tab w:val="left" w:pos="0"/>
        <w:tab w:val="left" w:pos="870"/>
        <w:tab w:val="left" w:pos="3150"/>
      </w:tabs>
      <w:autoSpaceDE w:val="0"/>
      <w:autoSpaceDN w:val="0"/>
      <w:adjustRightInd w:val="0"/>
      <w:snapToGrid w:val="0"/>
      <w:spacing w:line="480" w:lineRule="exact"/>
      <w:ind w:firstLine="480" w:firstLineChars="200"/>
    </w:pPr>
    <w:rPr>
      <w:kern w:val="0"/>
      <w:sz w:val="24"/>
    </w:rPr>
  </w:style>
  <w:style w:type="character" w:customStyle="1" w:styleId="324">
    <w:name w:val="A2"/>
    <w:autoRedefine/>
    <w:semiHidden/>
    <w:qFormat/>
    <w:uiPriority w:val="0"/>
    <w:rPr>
      <w:color w:val="000000"/>
    </w:rPr>
  </w:style>
  <w:style w:type="character" w:customStyle="1" w:styleId="325">
    <w:name w:val="3级标题 Char"/>
    <w:link w:val="326"/>
    <w:autoRedefine/>
    <w:qFormat/>
    <w:uiPriority w:val="0"/>
    <w:rPr>
      <w:rFonts w:ascii="Arial" w:hAnsi="Arial"/>
      <w:b/>
      <w:kern w:val="2"/>
      <w:sz w:val="24"/>
    </w:rPr>
  </w:style>
  <w:style w:type="paragraph" w:customStyle="1" w:styleId="326">
    <w:name w:val="3级标题"/>
    <w:basedOn w:val="1"/>
    <w:link w:val="325"/>
    <w:autoRedefine/>
    <w:qFormat/>
    <w:uiPriority w:val="0"/>
    <w:pPr>
      <w:spacing w:before="300" w:line="460" w:lineRule="exact"/>
      <w:outlineLvl w:val="2"/>
    </w:pPr>
    <w:rPr>
      <w:rFonts w:ascii="Arial" w:hAnsi="Arial"/>
      <w:b/>
      <w:sz w:val="24"/>
      <w:szCs w:val="20"/>
    </w:rPr>
  </w:style>
  <w:style w:type="character" w:customStyle="1" w:styleId="327">
    <w:name w:val="zw1"/>
    <w:autoRedefine/>
    <w:qFormat/>
    <w:uiPriority w:val="0"/>
    <w:rPr>
      <w:rFonts w:hint="eastAsia" w:ascii="宋体" w:hAnsi="宋体" w:eastAsia="宋体"/>
      <w:sz w:val="22"/>
      <w:szCs w:val="22"/>
    </w:rPr>
  </w:style>
  <w:style w:type="character" w:customStyle="1" w:styleId="328">
    <w:name w:val="副标题 字符2"/>
    <w:autoRedefine/>
    <w:qFormat/>
    <w:locked/>
    <w:uiPriority w:val="11"/>
    <w:rPr>
      <w:rFonts w:ascii="Calibri" w:hAnsi="Calibri" w:cs="Calibri"/>
      <w:color w:val="5A5A5A"/>
      <w:spacing w:val="15"/>
      <w:sz w:val="22"/>
      <w:szCs w:val="22"/>
    </w:rPr>
  </w:style>
  <w:style w:type="character" w:customStyle="1" w:styleId="329">
    <w:name w:val="style1191"/>
    <w:autoRedefine/>
    <w:qFormat/>
    <w:uiPriority w:val="0"/>
    <w:rPr>
      <w:rFonts w:hint="default" w:ascii="Arial" w:hAnsi="Arial" w:cs="Arial"/>
      <w:color w:val="000000"/>
      <w:sz w:val="18"/>
      <w:szCs w:val="18"/>
    </w:rPr>
  </w:style>
  <w:style w:type="character" w:customStyle="1" w:styleId="330">
    <w:name w:val="标题3 Char"/>
    <w:link w:val="331"/>
    <w:autoRedefine/>
    <w:qFormat/>
    <w:uiPriority w:val="0"/>
    <w:rPr>
      <w:kern w:val="2"/>
      <w:sz w:val="24"/>
    </w:rPr>
  </w:style>
  <w:style w:type="paragraph" w:customStyle="1" w:styleId="331">
    <w:name w:val="标题3"/>
    <w:basedOn w:val="332"/>
    <w:next w:val="186"/>
    <w:link w:val="330"/>
    <w:autoRedefine/>
    <w:qFormat/>
    <w:uiPriority w:val="0"/>
  </w:style>
  <w:style w:type="paragraph" w:customStyle="1" w:styleId="332">
    <w:name w:val="正文2"/>
    <w:basedOn w:val="5"/>
    <w:autoRedefine/>
    <w:qFormat/>
    <w:uiPriority w:val="0"/>
    <w:pPr>
      <w:adjustRightInd w:val="0"/>
      <w:snapToGrid w:val="0"/>
      <w:spacing w:line="440" w:lineRule="atLeast"/>
      <w:ind w:firstLine="567"/>
    </w:pPr>
    <w:rPr>
      <w:sz w:val="24"/>
    </w:rPr>
  </w:style>
  <w:style w:type="character" w:customStyle="1" w:styleId="333">
    <w:name w:val="Char Char1 Char1"/>
    <w:autoRedefine/>
    <w:qFormat/>
    <w:uiPriority w:val="0"/>
    <w:rPr>
      <w:rFonts w:ascii="宋体" w:hAnsi="宋体" w:eastAsia="宋体" w:cs="宋体"/>
      <w:kern w:val="2"/>
      <w:sz w:val="24"/>
      <w:szCs w:val="24"/>
      <w:lang w:val="en-US" w:eastAsia="zh-CN" w:bidi="ar-SA"/>
    </w:rPr>
  </w:style>
  <w:style w:type="character" w:customStyle="1" w:styleId="334">
    <w:name w:val="f14b1"/>
    <w:autoRedefine/>
    <w:qFormat/>
    <w:uiPriority w:val="0"/>
    <w:rPr>
      <w:b/>
      <w:bCs/>
      <w:sz w:val="21"/>
      <w:szCs w:val="21"/>
    </w:rPr>
  </w:style>
  <w:style w:type="character" w:customStyle="1" w:styleId="335">
    <w:name w:val="question-title2"/>
    <w:autoRedefine/>
    <w:qFormat/>
    <w:uiPriority w:val="0"/>
  </w:style>
  <w:style w:type="character" w:customStyle="1" w:styleId="336">
    <w:name w:val="标题 5 字符"/>
    <w:autoRedefine/>
    <w:semiHidden/>
    <w:qFormat/>
    <w:uiPriority w:val="9"/>
    <w:rPr>
      <w:b/>
      <w:bCs/>
      <w:kern w:val="2"/>
      <w:sz w:val="28"/>
      <w:szCs w:val="28"/>
    </w:rPr>
  </w:style>
  <w:style w:type="character" w:customStyle="1" w:styleId="337">
    <w:name w:val="标题 6 字符"/>
    <w:autoRedefine/>
    <w:qFormat/>
    <w:uiPriority w:val="9"/>
    <w:rPr>
      <w:rFonts w:ascii="等线 Light" w:hAnsi="等线 Light" w:eastAsia="等线 Light" w:cs="Times New Roman"/>
      <w:b/>
      <w:bCs/>
      <w:kern w:val="2"/>
      <w:sz w:val="24"/>
      <w:szCs w:val="24"/>
    </w:rPr>
  </w:style>
  <w:style w:type="character" w:customStyle="1" w:styleId="338">
    <w:name w:val="name1"/>
    <w:autoRedefine/>
    <w:qFormat/>
    <w:uiPriority w:val="0"/>
    <w:rPr>
      <w:sz w:val="24"/>
      <w:szCs w:val="24"/>
    </w:rPr>
  </w:style>
  <w:style w:type="character" w:customStyle="1" w:styleId="339">
    <w:name w:val="3zw1"/>
    <w:autoRedefine/>
    <w:qFormat/>
    <w:uiPriority w:val="0"/>
    <w:rPr>
      <w:color w:val="000000"/>
      <w:sz w:val="21"/>
      <w:szCs w:val="21"/>
    </w:rPr>
  </w:style>
  <w:style w:type="character" w:customStyle="1" w:styleId="340">
    <w:name w:val="纯文本 Char Char Char Char Char Char"/>
    <w:autoRedefine/>
    <w:qFormat/>
    <w:uiPriority w:val="0"/>
    <w:rPr>
      <w:rFonts w:eastAsia="宋体"/>
      <w:kern w:val="2"/>
      <w:sz w:val="21"/>
      <w:szCs w:val="24"/>
      <w:lang w:val="en-US" w:eastAsia="zh-CN" w:bidi="ar-SA"/>
    </w:rPr>
  </w:style>
  <w:style w:type="character" w:customStyle="1" w:styleId="341">
    <w:name w:val="正文调整 Char"/>
    <w:link w:val="342"/>
    <w:autoRedefine/>
    <w:qFormat/>
    <w:uiPriority w:val="0"/>
    <w:rPr>
      <w:kern w:val="2"/>
      <w:sz w:val="24"/>
      <w:szCs w:val="24"/>
    </w:rPr>
  </w:style>
  <w:style w:type="paragraph" w:customStyle="1" w:styleId="342">
    <w:name w:val="正文调整"/>
    <w:basedOn w:val="1"/>
    <w:link w:val="341"/>
    <w:autoRedefine/>
    <w:qFormat/>
    <w:uiPriority w:val="0"/>
    <w:pPr>
      <w:spacing w:before="60" w:line="460" w:lineRule="atLeast"/>
      <w:ind w:firstLine="200" w:firstLineChars="200"/>
    </w:pPr>
    <w:rPr>
      <w:sz w:val="24"/>
    </w:rPr>
  </w:style>
  <w:style w:type="character" w:customStyle="1" w:styleId="343">
    <w:name w:val="常用正文样式 Char1"/>
    <w:link w:val="344"/>
    <w:autoRedefine/>
    <w:qFormat/>
    <w:uiPriority w:val="0"/>
    <w:rPr>
      <w:rFonts w:ascii="宋体" w:hAnsi="新宋体" w:eastAsia="仿宋_GB2312"/>
      <w:kern w:val="2"/>
      <w:sz w:val="24"/>
      <w:szCs w:val="24"/>
      <w:lang w:bidi="ar-SA"/>
    </w:rPr>
  </w:style>
  <w:style w:type="paragraph" w:customStyle="1" w:styleId="344">
    <w:name w:val="常用正文样式"/>
    <w:link w:val="343"/>
    <w:autoRedefine/>
    <w:qFormat/>
    <w:uiPriority w:val="0"/>
    <w:pPr>
      <w:widowControl w:val="0"/>
      <w:spacing w:line="360" w:lineRule="auto"/>
      <w:ind w:firstLine="454"/>
      <w:jc w:val="both"/>
    </w:pPr>
    <w:rPr>
      <w:rFonts w:ascii="宋体" w:hAnsi="新宋体" w:eastAsia="仿宋_GB2312" w:cs="Times New Roman"/>
      <w:kern w:val="2"/>
      <w:sz w:val="24"/>
      <w:szCs w:val="24"/>
      <w:lang w:val="en-US" w:eastAsia="zh-CN" w:bidi="ar-SA"/>
    </w:rPr>
  </w:style>
  <w:style w:type="character" w:customStyle="1" w:styleId="345">
    <w:name w:val="常用表格样式 Char1"/>
    <w:link w:val="346"/>
    <w:autoRedefine/>
    <w:qFormat/>
    <w:uiPriority w:val="0"/>
    <w:rPr>
      <w:rFonts w:ascii="宋体" w:hAnsi="新宋体" w:eastAsia="仿宋_GB2312"/>
      <w:sz w:val="18"/>
      <w:szCs w:val="21"/>
    </w:rPr>
  </w:style>
  <w:style w:type="paragraph" w:customStyle="1" w:styleId="346">
    <w:name w:val="常用表格样式"/>
    <w:basedOn w:val="344"/>
    <w:next w:val="344"/>
    <w:link w:val="345"/>
    <w:autoRedefine/>
    <w:qFormat/>
    <w:uiPriority w:val="0"/>
    <w:pPr>
      <w:spacing w:line="240" w:lineRule="auto"/>
      <w:ind w:firstLine="0"/>
      <w:jc w:val="center"/>
    </w:pPr>
    <w:rPr>
      <w:kern w:val="0"/>
      <w:sz w:val="18"/>
      <w:szCs w:val="21"/>
    </w:rPr>
  </w:style>
  <w:style w:type="character" w:customStyle="1" w:styleId="347">
    <w:name w:val="block2"/>
    <w:autoRedefine/>
    <w:qFormat/>
    <w:uiPriority w:val="0"/>
  </w:style>
  <w:style w:type="character" w:customStyle="1" w:styleId="348">
    <w:name w:val="text1"/>
    <w:autoRedefine/>
    <w:qFormat/>
    <w:uiPriority w:val="0"/>
    <w:rPr>
      <w:rFonts w:hint="eastAsia" w:ascii="宋体" w:hAnsi="宋体" w:eastAsia="宋体"/>
      <w:color w:val="999999"/>
      <w:sz w:val="18"/>
      <w:u w:val="none"/>
    </w:rPr>
  </w:style>
  <w:style w:type="character" w:customStyle="1" w:styleId="349">
    <w:name w:val="标题3 非连续 Char"/>
    <w:link w:val="350"/>
    <w:autoRedefine/>
    <w:qFormat/>
    <w:uiPriority w:val="0"/>
    <w:rPr>
      <w:rFonts w:ascii="Arial" w:hAnsi="Arial"/>
      <w:b/>
      <w:bCs/>
      <w:sz w:val="24"/>
      <w:szCs w:val="32"/>
    </w:rPr>
  </w:style>
  <w:style w:type="paragraph" w:customStyle="1" w:styleId="350">
    <w:name w:val="标题3 非连续"/>
    <w:basedOn w:val="331"/>
    <w:link w:val="349"/>
    <w:autoRedefine/>
    <w:qFormat/>
    <w:uiPriority w:val="0"/>
    <w:pPr>
      <w:keepNext/>
      <w:keepLines/>
      <w:adjustRightInd/>
      <w:snapToGrid/>
      <w:spacing w:before="50" w:beforeLines="50" w:line="440" w:lineRule="exact"/>
      <w:outlineLvl w:val="2"/>
    </w:pPr>
    <w:rPr>
      <w:rFonts w:ascii="Arial" w:hAnsi="Arial"/>
      <w:b/>
      <w:bCs/>
      <w:kern w:val="0"/>
      <w:szCs w:val="32"/>
    </w:rPr>
  </w:style>
  <w:style w:type="character" w:customStyle="1" w:styleId="351">
    <w:name w:val="表格正文 Char Char Char Char Char Char Char Char Char"/>
    <w:autoRedefine/>
    <w:qFormat/>
    <w:uiPriority w:val="0"/>
    <w:rPr>
      <w:rFonts w:ascii="宋体" w:hAnsi="宋体" w:eastAsia="宋体" w:cs="宋体"/>
      <w:kern w:val="2"/>
      <w:sz w:val="21"/>
      <w:lang w:val="en-US" w:eastAsia="zh-CN" w:bidi="ar-SA"/>
    </w:rPr>
  </w:style>
  <w:style w:type="character" w:customStyle="1" w:styleId="352">
    <w:name w:val="批注文字 Char1"/>
    <w:autoRedefine/>
    <w:qFormat/>
    <w:uiPriority w:val="99"/>
    <w:rPr>
      <w:sz w:val="24"/>
    </w:rPr>
  </w:style>
  <w:style w:type="character" w:customStyle="1" w:styleId="353">
    <w:name w:val="主体 Char"/>
    <w:link w:val="354"/>
    <w:autoRedefine/>
    <w:qFormat/>
    <w:uiPriority w:val="0"/>
    <w:rPr>
      <w:rFonts w:eastAsia="仿宋_GB2312"/>
      <w:bCs/>
      <w:kern w:val="2"/>
      <w:sz w:val="24"/>
      <w:szCs w:val="24"/>
      <w:lang w:val="en-US" w:eastAsia="zh-CN" w:bidi="ar-SA"/>
    </w:rPr>
  </w:style>
  <w:style w:type="paragraph" w:customStyle="1" w:styleId="354">
    <w:name w:val="主体"/>
    <w:link w:val="353"/>
    <w:autoRedefine/>
    <w:qFormat/>
    <w:uiPriority w:val="0"/>
    <w:pPr>
      <w:widowControl w:val="0"/>
      <w:autoSpaceDE w:val="0"/>
      <w:autoSpaceDN w:val="0"/>
      <w:spacing w:line="440" w:lineRule="exact"/>
      <w:ind w:firstLine="480" w:firstLineChars="200"/>
      <w:jc w:val="both"/>
    </w:pPr>
    <w:rPr>
      <w:rFonts w:ascii="Times New Roman" w:hAnsi="Times New Roman" w:eastAsia="仿宋_GB2312" w:cs="Times New Roman"/>
      <w:bCs/>
      <w:kern w:val="2"/>
      <w:sz w:val="24"/>
      <w:szCs w:val="24"/>
      <w:lang w:val="en-US" w:eastAsia="zh-CN" w:bidi="ar-SA"/>
    </w:rPr>
  </w:style>
  <w:style w:type="character" w:customStyle="1" w:styleId="355">
    <w:name w:val="批注框文本 字符"/>
    <w:autoRedefine/>
    <w:qFormat/>
    <w:uiPriority w:val="99"/>
    <w:rPr>
      <w:rFonts w:ascii="Times New Roman" w:hAnsi="Times New Roman" w:eastAsia="宋体" w:cs="Times New Roman"/>
      <w:sz w:val="18"/>
      <w:szCs w:val="18"/>
    </w:rPr>
  </w:style>
  <w:style w:type="character" w:customStyle="1" w:styleId="356">
    <w:name w:val="正文文本缩进 字符"/>
    <w:autoRedefine/>
    <w:qFormat/>
    <w:uiPriority w:val="0"/>
    <w:rPr>
      <w:kern w:val="2"/>
      <w:sz w:val="28"/>
    </w:rPr>
  </w:style>
  <w:style w:type="character" w:customStyle="1" w:styleId="357">
    <w:name w:val="正文001 Char Char Char"/>
    <w:autoRedefine/>
    <w:qFormat/>
    <w:uiPriority w:val="0"/>
    <w:rPr>
      <w:rFonts w:eastAsia="宋体"/>
      <w:kern w:val="2"/>
      <w:sz w:val="24"/>
      <w:lang w:val="en-US" w:eastAsia="zh-CN"/>
    </w:rPr>
  </w:style>
  <w:style w:type="character" w:customStyle="1" w:styleId="358">
    <w:name w:val="正文B Char"/>
    <w:link w:val="359"/>
    <w:autoRedefine/>
    <w:qFormat/>
    <w:uiPriority w:val="99"/>
    <w:rPr>
      <w:rFonts w:cs="宋体"/>
      <w:kern w:val="2"/>
      <w:sz w:val="24"/>
    </w:rPr>
  </w:style>
  <w:style w:type="paragraph" w:customStyle="1" w:styleId="359">
    <w:name w:val="正文B"/>
    <w:basedOn w:val="1"/>
    <w:link w:val="358"/>
    <w:autoRedefine/>
    <w:qFormat/>
    <w:uiPriority w:val="99"/>
    <w:pPr>
      <w:spacing w:line="540" w:lineRule="exact"/>
      <w:ind w:firstLine="480" w:firstLineChars="200"/>
    </w:pPr>
    <w:rPr>
      <w:sz w:val="24"/>
      <w:szCs w:val="20"/>
    </w:rPr>
  </w:style>
  <w:style w:type="character" w:customStyle="1" w:styleId="360">
    <w:name w:val="正文文本_"/>
    <w:autoRedefine/>
    <w:qFormat/>
    <w:uiPriority w:val="0"/>
    <w:rPr>
      <w:rFonts w:ascii="宋体" w:eastAsia="宋体" w:cs="宋体"/>
      <w:sz w:val="22"/>
      <w:szCs w:val="22"/>
      <w:u w:val="none"/>
    </w:rPr>
  </w:style>
  <w:style w:type="character" w:customStyle="1" w:styleId="361">
    <w:name w:val="Char4 Char Char"/>
    <w:autoRedefine/>
    <w:qFormat/>
    <w:uiPriority w:val="0"/>
    <w:rPr>
      <w:rFonts w:eastAsia="宋体"/>
      <w:sz w:val="28"/>
      <w:lang w:val="en-US" w:eastAsia="zh-CN" w:bidi="ar-SA"/>
    </w:rPr>
  </w:style>
  <w:style w:type="character" w:customStyle="1" w:styleId="362">
    <w:name w:val="unnamed1"/>
    <w:autoRedefine/>
    <w:qFormat/>
    <w:uiPriority w:val="0"/>
  </w:style>
  <w:style w:type="character" w:customStyle="1" w:styleId="363">
    <w:name w:val="表格标题 Char Char"/>
    <w:autoRedefine/>
    <w:qFormat/>
    <w:uiPriority w:val="99"/>
    <w:rPr>
      <w:rFonts w:ascii="仿宋_GB2312" w:eastAsia="仿宋_GB2312"/>
      <w:kern w:val="2"/>
      <w:sz w:val="24"/>
      <w:szCs w:val="21"/>
      <w:lang w:val="en-US" w:eastAsia="zh-CN" w:bidi="ar-SA"/>
    </w:rPr>
  </w:style>
  <w:style w:type="character" w:customStyle="1" w:styleId="364">
    <w:name w:val="标题 1 字符"/>
    <w:autoRedefine/>
    <w:qFormat/>
    <w:locked/>
    <w:uiPriority w:val="0"/>
    <w:rPr>
      <w:rFonts w:ascii="Times New Roman" w:hAnsi="Times New Roman" w:eastAsia="宋体" w:cs="Times New Roman"/>
      <w:b/>
      <w:bCs/>
      <w:kern w:val="44"/>
      <w:sz w:val="44"/>
      <w:szCs w:val="44"/>
    </w:rPr>
  </w:style>
  <w:style w:type="character" w:customStyle="1" w:styleId="365">
    <w:name w:val="标题 Char1"/>
    <w:autoRedefine/>
    <w:qFormat/>
    <w:uiPriority w:val="0"/>
    <w:rPr>
      <w:rFonts w:ascii="Calibri Light" w:hAnsi="Calibri Light" w:eastAsia="宋体" w:cs="Times New Roman"/>
      <w:b/>
      <w:bCs/>
      <w:sz w:val="32"/>
      <w:szCs w:val="32"/>
    </w:rPr>
  </w:style>
  <w:style w:type="character" w:customStyle="1" w:styleId="366">
    <w:name w:val="font11"/>
    <w:autoRedefine/>
    <w:qFormat/>
    <w:uiPriority w:val="99"/>
    <w:rPr>
      <w:rFonts w:ascii="Times New Roman" w:hAnsi="Times New Roman"/>
      <w:color w:val="000000"/>
      <w:sz w:val="21"/>
      <w:u w:val="none"/>
    </w:rPr>
  </w:style>
  <w:style w:type="character" w:customStyle="1" w:styleId="367">
    <w:name w:val="普通(网站) 字符"/>
    <w:autoRedefine/>
    <w:qFormat/>
    <w:locked/>
    <w:uiPriority w:val="0"/>
    <w:rPr>
      <w:rFonts w:ascii="Arial Unicode MS" w:hAnsi="Arial Unicode MS" w:cs="Arial Unicode MS"/>
      <w:color w:val="000000"/>
      <w:sz w:val="24"/>
      <w:szCs w:val="24"/>
    </w:rPr>
  </w:style>
  <w:style w:type="character" w:customStyle="1" w:styleId="368">
    <w:name w:val="font21"/>
    <w:autoRedefine/>
    <w:qFormat/>
    <w:uiPriority w:val="99"/>
    <w:rPr>
      <w:rFonts w:ascii="宋体" w:hAnsi="宋体" w:eastAsia="宋体"/>
      <w:color w:val="000000"/>
      <w:sz w:val="21"/>
      <w:u w:val="none"/>
    </w:rPr>
  </w:style>
  <w:style w:type="character" w:customStyle="1" w:styleId="369">
    <w:name w:val="a"/>
    <w:autoRedefine/>
    <w:qFormat/>
    <w:uiPriority w:val="99"/>
    <w:rPr>
      <w:rFonts w:cs="Times New Roman"/>
    </w:rPr>
  </w:style>
  <w:style w:type="character" w:customStyle="1" w:styleId="370">
    <w:name w:val="lm1"/>
    <w:autoRedefine/>
    <w:qFormat/>
    <w:uiPriority w:val="99"/>
    <w:rPr>
      <w:sz w:val="18"/>
    </w:rPr>
  </w:style>
  <w:style w:type="character" w:customStyle="1" w:styleId="371">
    <w:name w:val="lemmatitleh1"/>
    <w:autoRedefine/>
    <w:qFormat/>
    <w:uiPriority w:val="99"/>
    <w:rPr>
      <w:rFonts w:cs="Times New Roman"/>
    </w:rPr>
  </w:style>
  <w:style w:type="character" w:customStyle="1" w:styleId="372">
    <w:name w:val="图框 Char Char"/>
    <w:link w:val="373"/>
    <w:autoRedefine/>
    <w:qFormat/>
    <w:locked/>
    <w:uiPriority w:val="99"/>
    <w:rPr>
      <w:rFonts w:ascii="Arial" w:hAnsi="Arial"/>
    </w:rPr>
  </w:style>
  <w:style w:type="paragraph" w:customStyle="1" w:styleId="373">
    <w:name w:val="图框"/>
    <w:basedOn w:val="1"/>
    <w:link w:val="372"/>
    <w:autoRedefine/>
    <w:qFormat/>
    <w:uiPriority w:val="99"/>
    <w:pPr>
      <w:jc w:val="center"/>
    </w:pPr>
    <w:rPr>
      <w:rFonts w:ascii="Arial" w:hAnsi="Arial"/>
      <w:kern w:val="0"/>
      <w:sz w:val="20"/>
      <w:szCs w:val="20"/>
    </w:rPr>
  </w:style>
  <w:style w:type="character" w:customStyle="1" w:styleId="374">
    <w:name w:val="题注 字符"/>
    <w:autoRedefine/>
    <w:qFormat/>
    <w:uiPriority w:val="0"/>
    <w:rPr>
      <w:rFonts w:ascii="time" w:hAnsi="time"/>
      <w:b/>
      <w:kern w:val="2"/>
      <w:sz w:val="21"/>
    </w:rPr>
  </w:style>
  <w:style w:type="character" w:customStyle="1" w:styleId="375">
    <w:name w:val="标题 8 字符1"/>
    <w:autoRedefine/>
    <w:qFormat/>
    <w:uiPriority w:val="0"/>
    <w:rPr>
      <w:rFonts w:ascii="Times New Roman" w:hAnsi="Times New Roman"/>
      <w:b/>
      <w:bCs/>
      <w:sz w:val="32"/>
      <w:szCs w:val="24"/>
      <w:lang w:val="en-GB" w:eastAsia="es-ES"/>
    </w:rPr>
  </w:style>
  <w:style w:type="character" w:customStyle="1" w:styleId="376">
    <w:name w:val="信息标题 字符1"/>
    <w:autoRedefine/>
    <w:qFormat/>
    <w:uiPriority w:val="0"/>
    <w:rPr>
      <w:rFonts w:ascii="Arial" w:hAnsi="Arial"/>
      <w:kern w:val="2"/>
      <w:sz w:val="24"/>
      <w:szCs w:val="24"/>
      <w:shd w:val="pct20" w:color="auto" w:fill="auto"/>
    </w:rPr>
  </w:style>
  <w:style w:type="character" w:customStyle="1" w:styleId="377">
    <w:name w:val="引用 字符1"/>
    <w:autoRedefine/>
    <w:qFormat/>
    <w:uiPriority w:val="0"/>
    <w:rPr>
      <w:rFonts w:ascii="Cambria" w:hAnsi="Cambria"/>
      <w:i/>
      <w:iCs/>
      <w:color w:val="5A5A5A"/>
      <w:kern w:val="2"/>
      <w:sz w:val="21"/>
      <w:szCs w:val="21"/>
    </w:rPr>
  </w:style>
  <w:style w:type="character" w:customStyle="1" w:styleId="378">
    <w:name w:val="标题5"/>
    <w:autoRedefine/>
    <w:qFormat/>
    <w:uiPriority w:val="0"/>
  </w:style>
  <w:style w:type="character" w:customStyle="1" w:styleId="379">
    <w:name w:val="无间隔 字符"/>
    <w:autoRedefine/>
    <w:qFormat/>
    <w:uiPriority w:val="1"/>
    <w:rPr>
      <w:rFonts w:ascii="Times New Roman" w:hAnsi="Times New Roman" w:eastAsia="仿宋_GB2312"/>
      <w:kern w:val="2"/>
      <w:sz w:val="28"/>
      <w:szCs w:val="28"/>
    </w:rPr>
  </w:style>
  <w:style w:type="character" w:customStyle="1" w:styleId="380">
    <w:name w:val="纯文本 字符1"/>
    <w:autoRedefine/>
    <w:qFormat/>
    <w:uiPriority w:val="0"/>
    <w:rPr>
      <w:rFonts w:ascii="宋体" w:hAnsi="Courier New"/>
    </w:rPr>
  </w:style>
  <w:style w:type="character" w:customStyle="1" w:styleId="381">
    <w:name w:val="正文文本缩进 字符1"/>
    <w:autoRedefine/>
    <w:qFormat/>
    <w:uiPriority w:val="0"/>
    <w:rPr>
      <w:sz w:val="28"/>
    </w:rPr>
  </w:style>
  <w:style w:type="character" w:customStyle="1" w:styleId="382">
    <w:name w:val="正文文本缩进 3 字符1"/>
    <w:autoRedefine/>
    <w:qFormat/>
    <w:uiPriority w:val="0"/>
    <w:rPr>
      <w:sz w:val="24"/>
      <w:szCs w:val="24"/>
    </w:rPr>
  </w:style>
  <w:style w:type="character" w:customStyle="1" w:styleId="383">
    <w:name w:val="fontstyle31"/>
    <w:autoRedefine/>
    <w:qFormat/>
    <w:uiPriority w:val="0"/>
    <w:rPr>
      <w:rFonts w:hint="default" w:ascii="TimesNewRomanPSMT" w:hAnsi="TimesNewRomanPSMT"/>
      <w:color w:val="000000"/>
      <w:sz w:val="22"/>
      <w:szCs w:val="22"/>
    </w:rPr>
  </w:style>
  <w:style w:type="character" w:customStyle="1" w:styleId="384">
    <w:name w:val="表格文字2 Char Char Char"/>
    <w:autoRedefine/>
    <w:qFormat/>
    <w:uiPriority w:val="0"/>
    <w:rPr>
      <w:rFonts w:ascii="宋体" w:hAnsi="宋体" w:cs="宋体"/>
      <w:kern w:val="2"/>
      <w:sz w:val="21"/>
    </w:rPr>
  </w:style>
  <w:style w:type="character" w:customStyle="1" w:styleId="385">
    <w:name w:val="正文文本 2 字符1"/>
    <w:autoRedefine/>
    <w:qFormat/>
    <w:uiPriority w:val="0"/>
    <w:rPr>
      <w:rFonts w:ascii="Times New Roman" w:hAnsi="Times New Roman" w:eastAsia="宋体" w:cs="Times New Roman"/>
      <w:b/>
      <w:color w:val="000000"/>
      <w:sz w:val="28"/>
      <w:szCs w:val="24"/>
    </w:rPr>
  </w:style>
  <w:style w:type="character" w:customStyle="1" w:styleId="386">
    <w:name w:val="正文文本缩进 2 字符1"/>
    <w:autoRedefine/>
    <w:qFormat/>
    <w:uiPriority w:val="0"/>
    <w:rPr>
      <w:rFonts w:ascii="Times New Roman" w:hAnsi="Times New Roman" w:eastAsia="宋体" w:cs="Times New Roman"/>
      <w:sz w:val="24"/>
      <w:szCs w:val="24"/>
    </w:rPr>
  </w:style>
  <w:style w:type="character" w:customStyle="1" w:styleId="387">
    <w:name w:val="文档结构图 字符1"/>
    <w:autoRedefine/>
    <w:semiHidden/>
    <w:qFormat/>
    <w:uiPriority w:val="0"/>
    <w:rPr>
      <w:rFonts w:ascii="Times New Roman" w:hAnsi="Times New Roman" w:eastAsia="宋体" w:cs="Times New Roman"/>
      <w:szCs w:val="24"/>
      <w:shd w:val="clear" w:color="auto" w:fill="000080"/>
    </w:rPr>
  </w:style>
  <w:style w:type="character" w:customStyle="1" w:styleId="388">
    <w:name w:val="+正文 Char Char"/>
    <w:link w:val="389"/>
    <w:autoRedefine/>
    <w:qFormat/>
    <w:locked/>
    <w:uiPriority w:val="0"/>
    <w:rPr>
      <w:kern w:val="2"/>
      <w:sz w:val="24"/>
      <w:szCs w:val="28"/>
    </w:rPr>
  </w:style>
  <w:style w:type="paragraph" w:customStyle="1" w:styleId="389">
    <w:name w:val="+正文 Char"/>
    <w:basedOn w:val="1"/>
    <w:link w:val="388"/>
    <w:autoRedefine/>
    <w:qFormat/>
    <w:uiPriority w:val="0"/>
    <w:pPr>
      <w:spacing w:line="360" w:lineRule="auto"/>
      <w:ind w:firstLine="200" w:firstLineChars="200"/>
    </w:pPr>
    <w:rPr>
      <w:sz w:val="24"/>
      <w:szCs w:val="28"/>
    </w:rPr>
  </w:style>
  <w:style w:type="character" w:customStyle="1" w:styleId="390">
    <w:name w:val="_Style 385"/>
    <w:autoRedefine/>
    <w:unhideWhenUsed/>
    <w:qFormat/>
    <w:uiPriority w:val="99"/>
    <w:rPr>
      <w:color w:val="605E5C"/>
      <w:shd w:val="clear" w:color="auto" w:fill="E1DFDD"/>
    </w:rPr>
  </w:style>
  <w:style w:type="character" w:customStyle="1" w:styleId="391">
    <w:name w:val="style11"/>
    <w:autoRedefine/>
    <w:qFormat/>
    <w:uiPriority w:val="0"/>
    <w:rPr>
      <w:b/>
      <w:color w:val="FF0000"/>
    </w:rPr>
  </w:style>
  <w:style w:type="character" w:customStyle="1" w:styleId="392">
    <w:name w:val="font31"/>
    <w:autoRedefine/>
    <w:qFormat/>
    <w:uiPriority w:val="0"/>
    <w:rPr>
      <w:rFonts w:hint="eastAsia" w:ascii="宋体" w:hAnsi="宋体" w:eastAsia="宋体" w:cs="宋体"/>
      <w:color w:val="000000"/>
      <w:sz w:val="21"/>
      <w:szCs w:val="21"/>
      <w:u w:val="none"/>
      <w:vertAlign w:val="subscript"/>
    </w:rPr>
  </w:style>
  <w:style w:type="character" w:customStyle="1" w:styleId="393">
    <w:name w:val="图表标题题注 字符"/>
    <w:link w:val="394"/>
    <w:autoRedefine/>
    <w:qFormat/>
    <w:uiPriority w:val="0"/>
    <w:rPr>
      <w:b/>
      <w:kern w:val="2"/>
      <w:sz w:val="21"/>
      <w:szCs w:val="28"/>
    </w:rPr>
  </w:style>
  <w:style w:type="paragraph" w:customStyle="1" w:styleId="394">
    <w:name w:val="图表标题题注"/>
    <w:basedOn w:val="117"/>
    <w:link w:val="393"/>
    <w:autoRedefine/>
    <w:qFormat/>
    <w:uiPriority w:val="0"/>
    <w:pPr>
      <w:spacing w:before="50" w:beforeLines="50" w:line="360" w:lineRule="auto"/>
      <w:ind w:firstLine="0" w:firstLineChars="0"/>
      <w:jc w:val="center"/>
      <w:outlineLvl w:val="2"/>
    </w:pPr>
    <w:rPr>
      <w:b/>
      <w:kern w:val="2"/>
      <w:sz w:val="21"/>
    </w:rPr>
  </w:style>
  <w:style w:type="character" w:customStyle="1" w:styleId="395">
    <w:name w:val="副标题 字符"/>
    <w:autoRedefine/>
    <w:qFormat/>
    <w:uiPriority w:val="11"/>
    <w:rPr>
      <w:rFonts w:ascii="等线 Light" w:hAnsi="等线 Light" w:cs="Times New Roman"/>
      <w:b/>
      <w:bCs/>
      <w:kern w:val="28"/>
      <w:sz w:val="32"/>
      <w:szCs w:val="32"/>
    </w:rPr>
  </w:style>
  <w:style w:type="character" w:customStyle="1" w:styleId="396">
    <w:name w:val="明显引用 字符3"/>
    <w:link w:val="397"/>
    <w:autoRedefine/>
    <w:qFormat/>
    <w:uiPriority w:val="30"/>
    <w:rPr>
      <w:rFonts w:ascii="Calibri" w:hAnsi="Calibri"/>
      <w:i/>
      <w:iCs/>
      <w:color w:val="5B9BD5"/>
      <w:sz w:val="22"/>
      <w:szCs w:val="22"/>
    </w:rPr>
  </w:style>
  <w:style w:type="paragraph" w:styleId="397">
    <w:name w:val="Intense Quote"/>
    <w:basedOn w:val="1"/>
    <w:next w:val="1"/>
    <w:link w:val="396"/>
    <w:autoRedefine/>
    <w:qFormat/>
    <w:uiPriority w:val="30"/>
    <w:pPr>
      <w:widowControl/>
      <w:pBdr>
        <w:top w:val="single" w:color="5B9BD5" w:sz="4" w:space="10"/>
        <w:bottom w:val="single" w:color="5B9BD5" w:sz="4" w:space="10"/>
      </w:pBdr>
      <w:spacing w:before="360" w:after="360" w:line="259" w:lineRule="auto"/>
      <w:ind w:left="864" w:right="864"/>
      <w:jc w:val="center"/>
    </w:pPr>
    <w:rPr>
      <w:rFonts w:ascii="Calibri" w:hAnsi="Calibri"/>
      <w:i/>
      <w:iCs/>
      <w:color w:val="5B9BD5"/>
      <w:kern w:val="0"/>
      <w:sz w:val="22"/>
      <w:szCs w:val="22"/>
    </w:rPr>
  </w:style>
  <w:style w:type="character" w:customStyle="1" w:styleId="398">
    <w:name w:val="_Style 393"/>
    <w:autoRedefine/>
    <w:qFormat/>
    <w:uiPriority w:val="19"/>
    <w:rPr>
      <w:i/>
      <w:iCs/>
      <w:color w:val="404040"/>
    </w:rPr>
  </w:style>
  <w:style w:type="character" w:customStyle="1" w:styleId="399">
    <w:name w:val="_Style 394"/>
    <w:autoRedefine/>
    <w:qFormat/>
    <w:uiPriority w:val="21"/>
    <w:rPr>
      <w:i/>
      <w:iCs/>
      <w:color w:val="5B9BD5"/>
    </w:rPr>
  </w:style>
  <w:style w:type="character" w:customStyle="1" w:styleId="400">
    <w:name w:val="_Style 395"/>
    <w:autoRedefine/>
    <w:qFormat/>
    <w:uiPriority w:val="33"/>
    <w:rPr>
      <w:b/>
      <w:bCs/>
      <w:i/>
      <w:iCs/>
      <w:spacing w:val="5"/>
    </w:rPr>
  </w:style>
  <w:style w:type="character" w:customStyle="1" w:styleId="401">
    <w:name w:val="标题 1 字符1"/>
    <w:autoRedefine/>
    <w:qFormat/>
    <w:locked/>
    <w:uiPriority w:val="0"/>
    <w:rPr>
      <w:b/>
      <w:bCs/>
      <w:kern w:val="44"/>
      <w:sz w:val="44"/>
      <w:szCs w:val="44"/>
    </w:rPr>
  </w:style>
  <w:style w:type="character" w:customStyle="1" w:styleId="402">
    <w:name w:val="标题 6 字符1"/>
    <w:autoRedefine/>
    <w:semiHidden/>
    <w:qFormat/>
    <w:locked/>
    <w:uiPriority w:val="9"/>
    <w:rPr>
      <w:rFonts w:ascii="Calibri Light" w:hAnsi="Calibri Light"/>
      <w:color w:val="1F4E79"/>
      <w:sz w:val="22"/>
      <w:szCs w:val="22"/>
    </w:rPr>
  </w:style>
  <w:style w:type="character" w:customStyle="1" w:styleId="403">
    <w:name w:val="标题 7 字符2"/>
    <w:autoRedefine/>
    <w:semiHidden/>
    <w:qFormat/>
    <w:locked/>
    <w:uiPriority w:val="9"/>
    <w:rPr>
      <w:rFonts w:ascii="Calibri Light" w:hAnsi="Calibri Light"/>
      <w:i/>
      <w:iCs/>
      <w:color w:val="1F4E79"/>
      <w:sz w:val="22"/>
      <w:szCs w:val="22"/>
    </w:rPr>
  </w:style>
  <w:style w:type="character" w:customStyle="1" w:styleId="404">
    <w:name w:val="标题 8 字符2"/>
    <w:autoRedefine/>
    <w:qFormat/>
    <w:locked/>
    <w:uiPriority w:val="0"/>
    <w:rPr>
      <w:b/>
      <w:bCs/>
      <w:sz w:val="32"/>
      <w:szCs w:val="24"/>
      <w:lang w:val="en-GB" w:eastAsia="es-ES"/>
    </w:rPr>
  </w:style>
  <w:style w:type="character" w:customStyle="1" w:styleId="405">
    <w:name w:val="标题 9 字符2"/>
    <w:autoRedefine/>
    <w:semiHidden/>
    <w:qFormat/>
    <w:locked/>
    <w:uiPriority w:val="9"/>
    <w:rPr>
      <w:rFonts w:ascii="Calibri Light" w:hAnsi="Calibri Light"/>
      <w:i/>
      <w:iCs/>
      <w:color w:val="262626"/>
      <w:sz w:val="21"/>
      <w:szCs w:val="21"/>
    </w:rPr>
  </w:style>
  <w:style w:type="character" w:customStyle="1" w:styleId="406">
    <w:name w:val="日期 字符2"/>
    <w:autoRedefine/>
    <w:qFormat/>
    <w:locked/>
    <w:uiPriority w:val="0"/>
    <w:rPr>
      <w:rFonts w:ascii="宋体" w:hAnsi="宋体"/>
      <w:b/>
      <w:bCs/>
      <w:kern w:val="2"/>
      <w:sz w:val="28"/>
      <w:szCs w:val="24"/>
    </w:rPr>
  </w:style>
  <w:style w:type="character" w:customStyle="1" w:styleId="407">
    <w:name w:val="批注主题 字符2"/>
    <w:autoRedefine/>
    <w:qFormat/>
    <w:locked/>
    <w:uiPriority w:val="0"/>
    <w:rPr>
      <w:b/>
      <w:bCs/>
      <w:kern w:val="2"/>
      <w:sz w:val="21"/>
      <w:szCs w:val="24"/>
    </w:rPr>
  </w:style>
  <w:style w:type="character" w:customStyle="1" w:styleId="408">
    <w:name w:val="信息标题 字符2"/>
    <w:autoRedefine/>
    <w:qFormat/>
    <w:locked/>
    <w:uiPriority w:val="0"/>
    <w:rPr>
      <w:rFonts w:ascii="Arial" w:hAnsi="Arial" w:cs="Arial"/>
      <w:kern w:val="2"/>
      <w:sz w:val="24"/>
      <w:szCs w:val="24"/>
      <w:shd w:val="pct20" w:color="auto" w:fill="auto"/>
    </w:rPr>
  </w:style>
  <w:style w:type="character" w:customStyle="1" w:styleId="409">
    <w:name w:val="引用 字符2"/>
    <w:autoRedefine/>
    <w:qFormat/>
    <w:locked/>
    <w:uiPriority w:val="0"/>
    <w:rPr>
      <w:rFonts w:ascii="Cambria" w:hAnsi="Cambria"/>
      <w:i/>
      <w:iCs/>
      <w:color w:val="5A5A5A"/>
      <w:kern w:val="2"/>
      <w:sz w:val="21"/>
      <w:szCs w:val="21"/>
    </w:rPr>
  </w:style>
  <w:style w:type="character" w:customStyle="1" w:styleId="410">
    <w:name w:val="纯文本 字符2"/>
    <w:autoRedefine/>
    <w:qFormat/>
    <w:locked/>
    <w:uiPriority w:val="0"/>
    <w:rPr>
      <w:rFonts w:hint="eastAsia" w:ascii="宋体" w:hAnsi="Courier New" w:eastAsia="宋体"/>
      <w:kern w:val="2"/>
      <w:sz w:val="21"/>
    </w:rPr>
  </w:style>
  <w:style w:type="character" w:customStyle="1" w:styleId="411">
    <w:name w:val="副标题 字符1"/>
    <w:autoRedefine/>
    <w:qFormat/>
    <w:uiPriority w:val="11"/>
    <w:rPr>
      <w:rFonts w:ascii="等线 Light" w:hAnsi="等线 Light" w:cs="Times New Roman"/>
      <w:b/>
      <w:bCs/>
      <w:kern w:val="28"/>
      <w:sz w:val="32"/>
      <w:szCs w:val="32"/>
    </w:rPr>
  </w:style>
  <w:style w:type="character" w:customStyle="1" w:styleId="412">
    <w:name w:val="正文首行缩进 Char2"/>
    <w:autoRedefine/>
    <w:qFormat/>
    <w:uiPriority w:val="0"/>
    <w:rPr>
      <w:kern w:val="2"/>
      <w:sz w:val="21"/>
      <w:szCs w:val="24"/>
    </w:rPr>
  </w:style>
  <w:style w:type="character" w:customStyle="1" w:styleId="413">
    <w:name w:val="MSG_EN_FONT_STYLE_NAME_TEMPLATE_ROLE_NUMBER MSG_EN_FONT_STYLE_NAME_BY_ROLE_TEXT 49_"/>
    <w:link w:val="414"/>
    <w:autoRedefine/>
    <w:qFormat/>
    <w:locked/>
    <w:uiPriority w:val="99"/>
    <w:rPr>
      <w:sz w:val="11"/>
      <w:szCs w:val="11"/>
      <w:shd w:val="clear" w:color="auto" w:fill="FFFFFF"/>
    </w:rPr>
  </w:style>
  <w:style w:type="paragraph" w:customStyle="1" w:styleId="414">
    <w:name w:val="MSG_EN_FONT_STYLE_NAME_TEMPLATE_ROLE_NUMBER MSG_EN_FONT_STYLE_NAME_BY_ROLE_TEXT 49"/>
    <w:basedOn w:val="1"/>
    <w:link w:val="413"/>
    <w:autoRedefine/>
    <w:qFormat/>
    <w:uiPriority w:val="99"/>
    <w:pPr>
      <w:shd w:val="clear" w:color="auto" w:fill="FFFFFF"/>
      <w:spacing w:line="240" w:lineRule="atLeast"/>
      <w:jc w:val="center"/>
    </w:pPr>
    <w:rPr>
      <w:kern w:val="0"/>
      <w:sz w:val="11"/>
      <w:szCs w:val="11"/>
    </w:rPr>
  </w:style>
  <w:style w:type="character" w:customStyle="1" w:styleId="415">
    <w:name w:val="font51"/>
    <w:autoRedefine/>
    <w:qFormat/>
    <w:uiPriority w:val="0"/>
    <w:rPr>
      <w:rFonts w:hint="eastAsia" w:ascii="宋体" w:hAnsi="宋体" w:eastAsia="宋体" w:cs="宋体"/>
      <w:b/>
      <w:bCs/>
      <w:color w:val="000000"/>
      <w:sz w:val="21"/>
      <w:szCs w:val="21"/>
      <w:u w:val="none"/>
    </w:rPr>
  </w:style>
  <w:style w:type="paragraph" w:customStyle="1" w:styleId="416">
    <w:name w:val="样式17"/>
    <w:basedOn w:val="1"/>
    <w:autoRedefine/>
    <w:qFormat/>
    <w:uiPriority w:val="99"/>
    <w:pPr>
      <w:spacing w:line="360" w:lineRule="auto"/>
      <w:ind w:firstLine="480" w:firstLineChars="200"/>
    </w:pPr>
    <w:rPr>
      <w:rFonts w:ascii="Arial" w:hAnsi="Arial" w:cs="Arial"/>
      <w:sz w:val="24"/>
    </w:rPr>
  </w:style>
  <w:style w:type="paragraph" w:customStyle="1" w:styleId="417">
    <w:name w:val="Char Char2"/>
    <w:basedOn w:val="1"/>
    <w:autoRedefine/>
    <w:semiHidden/>
    <w:qFormat/>
    <w:uiPriority w:val="0"/>
    <w:pPr>
      <w:tabs>
        <w:tab w:val="left" w:pos="426"/>
      </w:tabs>
      <w:ind w:left="426" w:hanging="420"/>
    </w:pPr>
    <w:rPr>
      <w:sz w:val="24"/>
    </w:rPr>
  </w:style>
  <w:style w:type="paragraph" w:customStyle="1" w:styleId="418">
    <w:name w:val="Char Char Char Char Char Char Char1 Char Char Char Char Char Char Char"/>
    <w:basedOn w:val="1"/>
    <w:autoRedefine/>
    <w:qFormat/>
    <w:uiPriority w:val="0"/>
    <w:pPr>
      <w:tabs>
        <w:tab w:val="left" w:pos="432"/>
      </w:tabs>
      <w:ind w:left="432" w:hanging="432"/>
    </w:pPr>
    <w:rPr>
      <w:rFonts w:ascii="Tahoma" w:hAnsi="Tahoma"/>
      <w:sz w:val="24"/>
      <w:szCs w:val="20"/>
    </w:rPr>
  </w:style>
  <w:style w:type="paragraph" w:customStyle="1" w:styleId="419">
    <w:name w:val="Char Char Char Char Char Char Char Char Char Char Char Char Char Char"/>
    <w:basedOn w:val="1"/>
    <w:autoRedefine/>
    <w:qFormat/>
    <w:uiPriority w:val="0"/>
  </w:style>
  <w:style w:type="paragraph" w:customStyle="1" w:styleId="420">
    <w:name w:val="标题4 非连续"/>
    <w:basedOn w:val="1"/>
    <w:autoRedefine/>
    <w:qFormat/>
    <w:uiPriority w:val="0"/>
    <w:pPr>
      <w:keepNext/>
      <w:keepLines/>
      <w:spacing w:before="40" w:line="440" w:lineRule="exact"/>
      <w:ind w:left="851" w:hanging="851"/>
      <w:outlineLvl w:val="3"/>
    </w:pPr>
    <w:rPr>
      <w:rFonts w:ascii="Arial" w:hAnsi="Arial"/>
      <w:bCs/>
      <w:kern w:val="0"/>
      <w:sz w:val="24"/>
      <w:szCs w:val="28"/>
    </w:rPr>
  </w:style>
  <w:style w:type="paragraph" w:customStyle="1" w:styleId="421">
    <w:name w:val="xl25"/>
    <w:basedOn w:val="1"/>
    <w:autoRedefine/>
    <w:qFormat/>
    <w:uiPriority w:val="0"/>
    <w:pPr>
      <w:widowControl/>
      <w:pBdr>
        <w:left w:val="single" w:color="auto" w:sz="8" w:space="0"/>
        <w:right w:val="single" w:color="auto" w:sz="8" w:space="0"/>
      </w:pBdr>
      <w:spacing w:before="100" w:beforeAutospacing="1" w:after="100" w:afterAutospacing="1"/>
      <w:jc w:val="center"/>
    </w:pPr>
    <w:rPr>
      <w:rFonts w:ascii="宋体" w:hAnsi="宋体"/>
      <w:kern w:val="0"/>
      <w:sz w:val="24"/>
      <w:szCs w:val="20"/>
    </w:rPr>
  </w:style>
  <w:style w:type="paragraph" w:customStyle="1" w:styleId="422">
    <w:name w:val="水印"/>
    <w:basedOn w:val="1"/>
    <w:autoRedefine/>
    <w:qFormat/>
    <w:uiPriority w:val="0"/>
    <w:pPr>
      <w:adjustRightInd w:val="0"/>
      <w:spacing w:line="240" w:lineRule="atLeast"/>
    </w:pPr>
    <w:rPr>
      <w:kern w:val="0"/>
      <w:sz w:val="32"/>
      <w:szCs w:val="20"/>
    </w:rPr>
  </w:style>
  <w:style w:type="paragraph" w:customStyle="1" w:styleId="423">
    <w:name w:val="列出段落1"/>
    <w:basedOn w:val="1"/>
    <w:autoRedefine/>
    <w:qFormat/>
    <w:uiPriority w:val="34"/>
    <w:pPr>
      <w:ind w:firstLine="420" w:firstLineChars="200"/>
    </w:pPr>
    <w:rPr>
      <w:rFonts w:ascii="Calibri" w:hAnsi="Calibri"/>
      <w:szCs w:val="22"/>
    </w:rPr>
  </w:style>
  <w:style w:type="paragraph" w:customStyle="1" w:styleId="424">
    <w:name w:val="Char Char Char Char Char Char Char Char Char Char"/>
    <w:basedOn w:val="1"/>
    <w:autoRedefine/>
    <w:qFormat/>
    <w:uiPriority w:val="0"/>
    <w:pPr>
      <w:spacing w:line="360" w:lineRule="auto"/>
      <w:ind w:firstLine="200" w:firstLineChars="200"/>
    </w:pPr>
    <w:rPr>
      <w:rFonts w:ascii="宋体" w:hAnsi="宋体" w:cs="宋体"/>
      <w:sz w:val="24"/>
    </w:rPr>
  </w:style>
  <w:style w:type="paragraph" w:customStyle="1" w:styleId="425">
    <w:name w:val="样式 样式 正文样式 首行缩进:  1 字符 + 首行缩进:  1 字符 + 首行缩进:  1 字符"/>
    <w:basedOn w:val="1"/>
    <w:autoRedefine/>
    <w:qFormat/>
    <w:uiPriority w:val="0"/>
    <w:pPr>
      <w:widowControl/>
      <w:adjustRightInd w:val="0"/>
      <w:snapToGrid w:val="0"/>
      <w:spacing w:line="360" w:lineRule="auto"/>
      <w:ind w:firstLine="240" w:firstLineChars="100"/>
      <w:jc w:val="left"/>
    </w:pPr>
    <w:rPr>
      <w:rFonts w:cs="宋体"/>
      <w:kern w:val="0"/>
      <w:sz w:val="24"/>
      <w:szCs w:val="20"/>
      <w:lang w:eastAsia="en-US" w:bidi="en-US"/>
    </w:rPr>
  </w:style>
  <w:style w:type="paragraph" w:customStyle="1" w:styleId="426">
    <w:name w:val="小区名"/>
    <w:basedOn w:val="1"/>
    <w:autoRedefine/>
    <w:qFormat/>
    <w:uiPriority w:val="0"/>
    <w:pPr>
      <w:spacing w:line="360" w:lineRule="auto"/>
      <w:ind w:firstLine="555"/>
    </w:pPr>
    <w:rPr>
      <w:b/>
      <w:sz w:val="24"/>
      <w:szCs w:val="20"/>
    </w:rPr>
  </w:style>
  <w:style w:type="paragraph" w:customStyle="1" w:styleId="427">
    <w:name w:val="p19"/>
    <w:basedOn w:val="1"/>
    <w:autoRedefine/>
    <w:qFormat/>
    <w:uiPriority w:val="99"/>
    <w:pPr>
      <w:widowControl/>
      <w:spacing w:before="60" w:line="460" w:lineRule="atLeast"/>
    </w:pPr>
    <w:rPr>
      <w:b/>
      <w:bCs/>
      <w:kern w:val="0"/>
      <w:sz w:val="28"/>
      <w:szCs w:val="28"/>
    </w:rPr>
  </w:style>
  <w:style w:type="paragraph" w:customStyle="1" w:styleId="428">
    <w:name w:val="密级编号"/>
    <w:basedOn w:val="1"/>
    <w:autoRedefine/>
    <w:qFormat/>
    <w:uiPriority w:val="0"/>
    <w:pPr>
      <w:adjustRightInd w:val="0"/>
      <w:jc w:val="center"/>
      <w:textAlignment w:val="baseline"/>
    </w:pPr>
    <w:rPr>
      <w:rFonts w:ascii="仿宋_GB2312" w:eastAsia="仿宋_GB2312"/>
      <w:kern w:val="0"/>
      <w:sz w:val="24"/>
      <w:szCs w:val="20"/>
    </w:rPr>
  </w:style>
  <w:style w:type="paragraph" w:customStyle="1" w:styleId="429">
    <w:name w:val="首行缩进"/>
    <w:basedOn w:val="1"/>
    <w:autoRedefine/>
    <w:qFormat/>
    <w:uiPriority w:val="0"/>
    <w:pPr>
      <w:tabs>
        <w:tab w:val="left" w:pos="5538"/>
      </w:tabs>
      <w:adjustRightInd w:val="0"/>
      <w:snapToGrid w:val="0"/>
      <w:spacing w:line="540" w:lineRule="exact"/>
      <w:ind w:firstLine="520" w:firstLineChars="200"/>
    </w:pPr>
    <w:rPr>
      <w:color w:val="000000"/>
      <w:spacing w:val="10"/>
      <w:sz w:val="24"/>
    </w:rPr>
  </w:style>
  <w:style w:type="paragraph" w:customStyle="1" w:styleId="430">
    <w:name w:val="Char Char Char Char Char Char Char Char Char Char Char Char Char Char Char Char Char Char Char Char Char Char Char Char Char Char Char Char Char Char Char Char Char Char1"/>
    <w:basedOn w:val="1"/>
    <w:autoRedefine/>
    <w:qFormat/>
    <w:uiPriority w:val="0"/>
    <w:pPr>
      <w:spacing w:line="360" w:lineRule="auto"/>
      <w:ind w:firstLine="200" w:firstLineChars="200"/>
    </w:pPr>
    <w:rPr>
      <w:rFonts w:ascii="宋体" w:hAnsi="宋体" w:cs="宋体"/>
      <w:sz w:val="24"/>
    </w:rPr>
  </w:style>
  <w:style w:type="paragraph" w:customStyle="1" w:styleId="431">
    <w:name w:val="Char Char Char Char Char Char1 Char1"/>
    <w:basedOn w:val="1"/>
    <w:autoRedefine/>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432">
    <w:name w:val="正文缩近"/>
    <w:basedOn w:val="1"/>
    <w:autoRedefine/>
    <w:qFormat/>
    <w:uiPriority w:val="99"/>
    <w:pPr>
      <w:spacing w:line="360" w:lineRule="auto"/>
      <w:ind w:firstLine="560" w:firstLineChars="200"/>
    </w:pPr>
    <w:rPr>
      <w:sz w:val="28"/>
      <w:szCs w:val="28"/>
    </w:rPr>
  </w:style>
  <w:style w:type="paragraph" w:customStyle="1" w:styleId="433">
    <w:name w:val="表格标题 Char"/>
    <w:basedOn w:val="1"/>
    <w:autoRedefine/>
    <w:qFormat/>
    <w:uiPriority w:val="0"/>
    <w:pPr>
      <w:spacing w:before="60" w:line="420" w:lineRule="exact"/>
      <w:jc w:val="center"/>
    </w:pPr>
    <w:rPr>
      <w:sz w:val="24"/>
    </w:rPr>
  </w:style>
  <w:style w:type="paragraph" w:customStyle="1" w:styleId="434">
    <w:name w:val="_Style 5"/>
    <w:basedOn w:val="1"/>
    <w:autoRedefine/>
    <w:qFormat/>
    <w:uiPriority w:val="0"/>
    <w:pPr>
      <w:spacing w:line="360" w:lineRule="auto"/>
      <w:ind w:firstLine="200" w:firstLineChars="200"/>
    </w:pPr>
    <w:rPr>
      <w:sz w:val="24"/>
      <w:szCs w:val="20"/>
    </w:rPr>
  </w:style>
  <w:style w:type="paragraph" w:customStyle="1" w:styleId="435">
    <w:name w:val="样式 样式 正文首行缩进 + 首行缩进:  2 字符 + 首行缩进:  2 字符"/>
    <w:basedOn w:val="1"/>
    <w:autoRedefine/>
    <w:qFormat/>
    <w:uiPriority w:val="0"/>
    <w:pPr>
      <w:topLinePunct/>
      <w:adjustRightInd w:val="0"/>
      <w:snapToGrid w:val="0"/>
      <w:spacing w:line="360" w:lineRule="auto"/>
      <w:ind w:firstLine="480"/>
      <w:textAlignment w:val="baseline"/>
    </w:pPr>
    <w:rPr>
      <w:rFonts w:hAnsi="宋体" w:eastAsia="Times New Roman"/>
      <w:kern w:val="0"/>
      <w:sz w:val="24"/>
      <w:szCs w:val="20"/>
    </w:rPr>
  </w:style>
  <w:style w:type="paragraph" w:customStyle="1" w:styleId="436">
    <w:name w:val="正文 y"/>
    <w:autoRedefine/>
    <w:qFormat/>
    <w:uiPriority w:val="0"/>
    <w:pPr>
      <w:spacing w:line="480" w:lineRule="exact"/>
      <w:ind w:firstLine="200" w:firstLineChars="200"/>
    </w:pPr>
    <w:rPr>
      <w:rFonts w:ascii="Times New Roman" w:hAnsi="Times New Roman" w:eastAsia="宋体" w:cs="Times New Roman"/>
      <w:kern w:val="2"/>
      <w:sz w:val="24"/>
      <w:szCs w:val="24"/>
      <w:lang w:val="en-US" w:eastAsia="zh-CN" w:bidi="ar-SA"/>
    </w:rPr>
  </w:style>
  <w:style w:type="paragraph" w:customStyle="1" w:styleId="437">
    <w:name w:val="正文新 Char"/>
    <w:basedOn w:val="1"/>
    <w:autoRedefine/>
    <w:qFormat/>
    <w:uiPriority w:val="0"/>
    <w:pPr>
      <w:spacing w:line="360" w:lineRule="auto"/>
      <w:ind w:firstLine="480" w:firstLineChars="200"/>
    </w:pPr>
    <w:rPr>
      <w:sz w:val="24"/>
      <w:szCs w:val="20"/>
    </w:rPr>
  </w:style>
  <w:style w:type="paragraph" w:customStyle="1" w:styleId="438">
    <w:name w:val="本文正文"/>
    <w:basedOn w:val="1"/>
    <w:autoRedefine/>
    <w:qFormat/>
    <w:uiPriority w:val="99"/>
    <w:pPr>
      <w:spacing w:line="360" w:lineRule="auto"/>
      <w:ind w:firstLine="480" w:firstLineChars="200"/>
    </w:pPr>
    <w:rPr>
      <w:sz w:val="24"/>
      <w:szCs w:val="20"/>
    </w:rPr>
  </w:style>
  <w:style w:type="paragraph" w:customStyle="1" w:styleId="439">
    <w:name w:val="无间隔2"/>
    <w:autoRedefine/>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440">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441">
    <w:name w:val="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42">
    <w:name w:val="xl65"/>
    <w:basedOn w:val="1"/>
    <w:autoRedefine/>
    <w:qFormat/>
    <w:uiPriority w:val="0"/>
    <w:pPr>
      <w:widowControl/>
      <w:spacing w:before="100" w:beforeAutospacing="1" w:after="100" w:afterAutospacing="1"/>
      <w:jc w:val="center"/>
      <w:textAlignment w:val="center"/>
    </w:pPr>
    <w:rPr>
      <w:kern w:val="0"/>
      <w:sz w:val="24"/>
    </w:rPr>
  </w:style>
  <w:style w:type="paragraph" w:customStyle="1" w:styleId="443">
    <w:name w:val="正文6"/>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444">
    <w:name w:val="简单回函地址"/>
    <w:basedOn w:val="1"/>
    <w:autoRedefine/>
    <w:qFormat/>
    <w:uiPriority w:val="0"/>
    <w:rPr>
      <w:kern w:val="0"/>
      <w:sz w:val="24"/>
      <w:szCs w:val="20"/>
    </w:rPr>
  </w:style>
  <w:style w:type="paragraph" w:customStyle="1" w:styleId="445">
    <w:name w:val="1234"/>
    <w:basedOn w:val="4"/>
    <w:autoRedefine/>
    <w:qFormat/>
    <w:uiPriority w:val="0"/>
    <w:pPr>
      <w:keepLines/>
      <w:spacing w:line="360" w:lineRule="auto"/>
      <w:jc w:val="both"/>
    </w:pPr>
    <w:rPr>
      <w:rFonts w:eastAsia="仿宋_GB2312"/>
      <w:kern w:val="0"/>
      <w:sz w:val="28"/>
      <w:szCs w:val="28"/>
    </w:rPr>
  </w:style>
  <w:style w:type="paragraph" w:customStyle="1" w:styleId="446">
    <w:name w:val="段落 Char Char Char"/>
    <w:basedOn w:val="1"/>
    <w:autoRedefine/>
    <w:qFormat/>
    <w:uiPriority w:val="0"/>
    <w:pPr>
      <w:topLinePunct/>
      <w:snapToGrid w:val="0"/>
      <w:spacing w:line="360" w:lineRule="auto"/>
      <w:ind w:firstLine="200" w:firstLineChars="200"/>
    </w:pPr>
    <w:rPr>
      <w:sz w:val="24"/>
    </w:rPr>
  </w:style>
  <w:style w:type="paragraph" w:customStyle="1" w:styleId="447">
    <w:name w:val="Char1 Char Char Char"/>
    <w:basedOn w:val="1"/>
    <w:autoRedefine/>
    <w:qFormat/>
    <w:uiPriority w:val="0"/>
  </w:style>
  <w:style w:type="paragraph" w:customStyle="1" w:styleId="448">
    <w:name w:val="Char1"/>
    <w:basedOn w:val="1"/>
    <w:autoRedefine/>
    <w:qFormat/>
    <w:uiPriority w:val="0"/>
    <w:pPr>
      <w:spacing w:line="360" w:lineRule="auto"/>
      <w:ind w:firstLine="200" w:firstLineChars="200"/>
    </w:pPr>
    <w:rPr>
      <w:rFonts w:ascii="宋体" w:hAnsi="宋体" w:cs="宋体"/>
      <w:sz w:val="24"/>
    </w:rPr>
  </w:style>
  <w:style w:type="paragraph" w:customStyle="1" w:styleId="449">
    <w:name w:val="纯文本2"/>
    <w:basedOn w:val="1"/>
    <w:autoRedefine/>
    <w:qFormat/>
    <w:uiPriority w:val="0"/>
    <w:pPr>
      <w:adjustRightInd w:val="0"/>
      <w:textAlignment w:val="baseline"/>
    </w:pPr>
    <w:rPr>
      <w:rFonts w:ascii="宋体" w:hAnsi="Courier New"/>
      <w:szCs w:val="20"/>
    </w:rPr>
  </w:style>
  <w:style w:type="paragraph" w:customStyle="1" w:styleId="450">
    <w:name w:val="常用封面文本名称"/>
    <w:basedOn w:val="1"/>
    <w:next w:val="344"/>
    <w:autoRedefine/>
    <w:qFormat/>
    <w:uiPriority w:val="99"/>
    <w:pPr>
      <w:spacing w:before="240" w:beforeLines="100" w:after="240" w:afterLines="100" w:line="360" w:lineRule="auto"/>
      <w:jc w:val="center"/>
    </w:pPr>
    <w:rPr>
      <w:rFonts w:ascii="华文新魏" w:hAnsi="华文新魏" w:eastAsia="华文新魏" w:cs="华文新魏"/>
      <w:b/>
      <w:sz w:val="52"/>
      <w:szCs w:val="52"/>
    </w:rPr>
  </w:style>
  <w:style w:type="paragraph" w:customStyle="1" w:styleId="451">
    <w:name w:val="样式 小四 首行缩进:  24 磅 行距: 多倍行距 1.25 字行"/>
    <w:basedOn w:val="1"/>
    <w:autoRedefine/>
    <w:qFormat/>
    <w:uiPriority w:val="0"/>
    <w:pPr>
      <w:adjustRightInd w:val="0"/>
      <w:spacing w:line="440" w:lineRule="exact"/>
      <w:ind w:firstLine="480"/>
    </w:pPr>
    <w:rPr>
      <w:kern w:val="0"/>
      <w:sz w:val="24"/>
      <w:szCs w:val="20"/>
    </w:rPr>
  </w:style>
  <w:style w:type="paragraph" w:customStyle="1" w:styleId="452">
    <w:name w:val="样式 样式 正文1 + 段前: 0.1 行 + 段前: 0.1 行"/>
    <w:basedOn w:val="1"/>
    <w:autoRedefine/>
    <w:qFormat/>
    <w:uiPriority w:val="0"/>
    <w:pPr>
      <w:snapToGrid w:val="0"/>
      <w:spacing w:before="24" w:beforeLines="10" w:line="440" w:lineRule="atLeast"/>
      <w:ind w:firstLine="567"/>
    </w:pPr>
    <w:rPr>
      <w:rFonts w:cs="宋体"/>
      <w:sz w:val="24"/>
      <w:szCs w:val="20"/>
    </w:rPr>
  </w:style>
  <w:style w:type="paragraph" w:customStyle="1" w:styleId="453">
    <w:name w:val="Char Char Char1 Char Char Char Char"/>
    <w:basedOn w:val="1"/>
    <w:autoRedefine/>
    <w:qFormat/>
    <w:uiPriority w:val="0"/>
    <w:pPr>
      <w:tabs>
        <w:tab w:val="left" w:pos="794"/>
        <w:tab w:val="left" w:pos="1191"/>
        <w:tab w:val="left" w:pos="1588"/>
        <w:tab w:val="left" w:pos="1985"/>
      </w:tabs>
      <w:autoSpaceDE w:val="0"/>
      <w:autoSpaceDN w:val="0"/>
      <w:adjustRightInd w:val="0"/>
      <w:spacing w:before="136"/>
    </w:pPr>
    <w:rPr>
      <w:rFonts w:ascii="Tahoma" w:hAnsi="Tahoma"/>
      <w:sz w:val="24"/>
      <w:lang w:val="en-GB"/>
    </w:rPr>
  </w:style>
  <w:style w:type="paragraph" w:customStyle="1" w:styleId="454">
    <w:name w:val="p20"/>
    <w:basedOn w:val="1"/>
    <w:autoRedefine/>
    <w:qFormat/>
    <w:uiPriority w:val="99"/>
    <w:pPr>
      <w:widowControl/>
      <w:snapToGrid w:val="0"/>
      <w:spacing w:line="440" w:lineRule="atLeast"/>
      <w:ind w:firstLine="567"/>
    </w:pPr>
    <w:rPr>
      <w:kern w:val="0"/>
      <w:sz w:val="24"/>
    </w:rPr>
  </w:style>
  <w:style w:type="paragraph" w:customStyle="1" w:styleId="455">
    <w:name w:val="Char Char Char Char Char Char3 Char Char Char Char Char Char Char"/>
    <w:basedOn w:val="1"/>
    <w:next w:val="1"/>
    <w:autoRedefine/>
    <w:qFormat/>
    <w:uiPriority w:val="0"/>
    <w:rPr>
      <w:rFonts w:eastAsia="黑体"/>
      <w:sz w:val="28"/>
    </w:rPr>
  </w:style>
  <w:style w:type="paragraph" w:customStyle="1" w:styleId="456">
    <w:name w:val="p17"/>
    <w:basedOn w:val="1"/>
    <w:autoRedefine/>
    <w:qFormat/>
    <w:uiPriority w:val="99"/>
    <w:pPr>
      <w:widowControl/>
      <w:spacing w:after="120" w:line="480" w:lineRule="auto"/>
      <w:ind w:left="420"/>
    </w:pPr>
    <w:rPr>
      <w:kern w:val="0"/>
    </w:rPr>
  </w:style>
  <w:style w:type="paragraph" w:customStyle="1" w:styleId="457">
    <w:name w:val="样式 居中"/>
    <w:basedOn w:val="1"/>
    <w:autoRedefine/>
    <w:qFormat/>
    <w:uiPriority w:val="0"/>
    <w:pPr>
      <w:widowControl/>
      <w:jc w:val="center"/>
    </w:pPr>
    <w:rPr>
      <w:rFonts w:cs="宋体"/>
      <w:kern w:val="0"/>
      <w:sz w:val="24"/>
      <w:szCs w:val="20"/>
      <w:lang w:eastAsia="en-US" w:bidi="en-US"/>
    </w:rPr>
  </w:style>
  <w:style w:type="paragraph" w:customStyle="1" w:styleId="458">
    <w:name w:val="正文（首行缩进）"/>
    <w:basedOn w:val="2"/>
    <w:autoRedefine/>
    <w:qFormat/>
    <w:uiPriority w:val="0"/>
    <w:pPr>
      <w:widowControl w:val="0"/>
      <w:snapToGrid/>
      <w:spacing w:line="300" w:lineRule="auto"/>
      <w:ind w:firstLine="200" w:firstLineChars="200"/>
    </w:pPr>
    <w:rPr>
      <w:sz w:val="21"/>
      <w:szCs w:val="24"/>
    </w:rPr>
  </w:style>
  <w:style w:type="paragraph" w:customStyle="1" w:styleId="459">
    <w:name w:val="Char Char Char Char Char Char Char Char Char Char Char Char1 Char Char Char Char Char Char Char Char Char Char Char Char Char Char Char Char Char Char Char"/>
    <w:basedOn w:val="1"/>
    <w:autoRedefine/>
    <w:qFormat/>
    <w:uiPriority w:val="0"/>
    <w:pPr>
      <w:widowControl/>
      <w:spacing w:line="360" w:lineRule="auto"/>
      <w:ind w:firstLine="200" w:firstLineChars="200"/>
      <w:jc w:val="left"/>
    </w:pPr>
    <w:rPr>
      <w:rFonts w:ascii="宋体" w:hAnsi="宋体" w:cs="宋体"/>
      <w:sz w:val="24"/>
      <w:szCs w:val="20"/>
    </w:rPr>
  </w:style>
  <w:style w:type="paragraph" w:customStyle="1" w:styleId="460">
    <w:name w:val="日期1"/>
    <w:basedOn w:val="1"/>
    <w:next w:val="1"/>
    <w:autoRedefine/>
    <w:qFormat/>
    <w:uiPriority w:val="0"/>
    <w:rPr>
      <w:rFonts w:ascii="宋体" w:hAnsi="Courier New"/>
      <w:sz w:val="24"/>
      <w:szCs w:val="20"/>
    </w:rPr>
  </w:style>
  <w:style w:type="paragraph" w:customStyle="1" w:styleId="461">
    <w:name w:val="Char Char3 Char Char"/>
    <w:basedOn w:val="1"/>
    <w:autoRedefine/>
    <w:qFormat/>
    <w:uiPriority w:val="0"/>
    <w:rPr>
      <w:sz w:val="24"/>
    </w:rPr>
  </w:style>
  <w:style w:type="paragraph" w:customStyle="1" w:styleId="462">
    <w:name w:val="流程图文字"/>
    <w:basedOn w:val="1"/>
    <w:autoRedefine/>
    <w:qFormat/>
    <w:uiPriority w:val="0"/>
    <w:pPr>
      <w:spacing w:before="100" w:after="40"/>
      <w:jc w:val="center"/>
    </w:pPr>
    <w:rPr>
      <w:szCs w:val="20"/>
    </w:rPr>
  </w:style>
  <w:style w:type="paragraph" w:customStyle="1" w:styleId="463">
    <w:name w:val="msonormal"/>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64">
    <w:name w:val="Char Char Char Char Char Char1 Char"/>
    <w:basedOn w:val="1"/>
    <w:autoRedefine/>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465">
    <w:name w:val="_Style 108"/>
    <w:basedOn w:val="1"/>
    <w:autoRedefine/>
    <w:qFormat/>
    <w:uiPriority w:val="0"/>
    <w:rPr>
      <w:rFonts w:eastAsia="仿宋_GB2312"/>
      <w:kern w:val="0"/>
    </w:rPr>
  </w:style>
  <w:style w:type="paragraph" w:customStyle="1" w:styleId="466">
    <w:name w:val="注"/>
    <w:basedOn w:val="1"/>
    <w:autoRedefine/>
    <w:qFormat/>
    <w:uiPriority w:val="0"/>
    <w:pPr>
      <w:jc w:val="left"/>
    </w:pPr>
    <w:rPr>
      <w:sz w:val="18"/>
    </w:rPr>
  </w:style>
  <w:style w:type="paragraph" w:customStyle="1" w:styleId="467">
    <w:name w:val="Char Char Char Char Char Char1 Char Char Char Char"/>
    <w:basedOn w:val="1"/>
    <w:autoRedefine/>
    <w:qFormat/>
    <w:uiPriority w:val="0"/>
    <w:pPr>
      <w:spacing w:line="360" w:lineRule="auto"/>
      <w:ind w:firstLine="200" w:firstLineChars="200"/>
    </w:pPr>
  </w:style>
  <w:style w:type="paragraph" w:customStyle="1" w:styleId="468">
    <w:name w:val="样式6"/>
    <w:basedOn w:val="1"/>
    <w:autoRedefine/>
    <w:qFormat/>
    <w:uiPriority w:val="0"/>
    <w:pPr>
      <w:spacing w:line="320" w:lineRule="atLeast"/>
      <w:jc w:val="center"/>
    </w:pPr>
    <w:rPr>
      <w:rFonts w:hAnsi="宋体"/>
      <w:kern w:val="0"/>
    </w:rPr>
  </w:style>
  <w:style w:type="paragraph" w:customStyle="1" w:styleId="469">
    <w:name w:val="Char Char Char Char Char Char Char Char Char Char Char Char Char Char Char Char Char Char Char Char Char Char Char Char Char Char Char Char Char Char Char"/>
    <w:basedOn w:val="1"/>
    <w:autoRedefine/>
    <w:qFormat/>
    <w:uiPriority w:val="0"/>
    <w:pPr>
      <w:spacing w:line="360" w:lineRule="auto"/>
      <w:ind w:firstLine="200" w:firstLineChars="200"/>
    </w:pPr>
    <w:rPr>
      <w:rFonts w:ascii="宋体" w:hAnsi="宋体" w:cs="宋体"/>
      <w:sz w:val="24"/>
    </w:rPr>
  </w:style>
  <w:style w:type="paragraph" w:customStyle="1" w:styleId="470">
    <w:name w:val="Char Char Char Char Char Char1 Char Char Char Char11"/>
    <w:basedOn w:val="1"/>
    <w:autoRedefine/>
    <w:qFormat/>
    <w:uiPriority w:val="0"/>
    <w:pPr>
      <w:spacing w:line="360" w:lineRule="auto"/>
      <w:ind w:firstLine="200" w:firstLineChars="200"/>
    </w:pPr>
  </w:style>
  <w:style w:type="paragraph" w:customStyle="1" w:styleId="471">
    <w:name w:val="T表格"/>
    <w:basedOn w:val="1"/>
    <w:next w:val="1"/>
    <w:autoRedefine/>
    <w:qFormat/>
    <w:uiPriority w:val="0"/>
    <w:pPr>
      <w:autoSpaceDE w:val="0"/>
      <w:autoSpaceDN w:val="0"/>
      <w:adjustRightInd w:val="0"/>
      <w:jc w:val="left"/>
    </w:pPr>
    <w:rPr>
      <w:rFonts w:ascii="宋体"/>
      <w:kern w:val="0"/>
      <w:sz w:val="20"/>
    </w:rPr>
  </w:style>
  <w:style w:type="paragraph" w:customStyle="1" w:styleId="472">
    <w:name w:val="正文文本缩进1"/>
    <w:basedOn w:val="1"/>
    <w:autoRedefine/>
    <w:qFormat/>
    <w:uiPriority w:val="0"/>
    <w:pPr>
      <w:ind w:left="-88" w:firstLine="516" w:firstLineChars="199"/>
    </w:pPr>
    <w:rPr>
      <w:sz w:val="24"/>
      <w:szCs w:val="20"/>
    </w:rPr>
  </w:style>
  <w:style w:type="paragraph" w:customStyle="1" w:styleId="473">
    <w:name w:val="xl24"/>
    <w:basedOn w:val="1"/>
    <w:autoRedefine/>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rPr>
  </w:style>
  <w:style w:type="paragraph" w:customStyle="1" w:styleId="474">
    <w:name w:val="图标"/>
    <w:basedOn w:val="1"/>
    <w:autoRedefine/>
    <w:qFormat/>
    <w:uiPriority w:val="0"/>
    <w:pPr>
      <w:spacing w:line="440" w:lineRule="exact"/>
      <w:jc w:val="center"/>
    </w:pPr>
    <w:rPr>
      <w:rFonts w:ascii="黑体" w:eastAsia="黑体"/>
      <w:sz w:val="28"/>
      <w:szCs w:val="20"/>
    </w:rPr>
  </w:style>
  <w:style w:type="paragraph" w:customStyle="1" w:styleId="475">
    <w:name w:val="样式 (中文) 仿宋_GB2312 四号 首行缩进:  0.98 厘米 行距: 固定值 22 磅"/>
    <w:basedOn w:val="1"/>
    <w:autoRedefine/>
    <w:qFormat/>
    <w:uiPriority w:val="0"/>
    <w:pPr>
      <w:spacing w:line="300" w:lineRule="auto"/>
      <w:ind w:firstLine="556"/>
    </w:pPr>
    <w:rPr>
      <w:rFonts w:eastAsia="仿宋_GB2312" w:cs="宋体"/>
      <w:spacing w:val="-2"/>
      <w:sz w:val="28"/>
      <w:szCs w:val="20"/>
    </w:rPr>
  </w:style>
  <w:style w:type="paragraph" w:customStyle="1" w:styleId="476">
    <w:name w:val="*表头"/>
    <w:basedOn w:val="1"/>
    <w:autoRedefine/>
    <w:qFormat/>
    <w:uiPriority w:val="0"/>
    <w:pPr>
      <w:spacing w:line="360" w:lineRule="auto"/>
      <w:jc w:val="center"/>
    </w:pPr>
    <w:rPr>
      <w:b/>
    </w:rPr>
  </w:style>
  <w:style w:type="paragraph" w:customStyle="1" w:styleId="477">
    <w:name w:val="Char11"/>
    <w:basedOn w:val="1"/>
    <w:autoRedefine/>
    <w:qFormat/>
    <w:uiPriority w:val="0"/>
    <w:pPr>
      <w:spacing w:line="360" w:lineRule="auto"/>
      <w:ind w:firstLine="200" w:firstLineChars="200"/>
    </w:pPr>
    <w:rPr>
      <w:rFonts w:ascii="宋体" w:hAnsi="宋体" w:cs="宋体"/>
      <w:sz w:val="24"/>
    </w:rPr>
  </w:style>
  <w:style w:type="paragraph" w:customStyle="1" w:styleId="478">
    <w:name w:val="常用封面编制单位"/>
    <w:basedOn w:val="344"/>
    <w:next w:val="344"/>
    <w:autoRedefine/>
    <w:qFormat/>
    <w:uiPriority w:val="99"/>
    <w:pPr>
      <w:ind w:firstLine="0"/>
      <w:jc w:val="center"/>
    </w:pPr>
    <w:rPr>
      <w:rFonts w:eastAsia="华文新魏"/>
      <w:b/>
      <w:sz w:val="32"/>
    </w:rPr>
  </w:style>
  <w:style w:type="paragraph" w:customStyle="1" w:styleId="479">
    <w:name w:val="表格式"/>
    <w:basedOn w:val="45"/>
    <w:autoRedefine/>
    <w:qFormat/>
    <w:uiPriority w:val="99"/>
    <w:pPr>
      <w:spacing w:before="60" w:after="100" w:line="320" w:lineRule="exact"/>
      <w:ind w:left="0" w:firstLine="0" w:firstLineChars="0"/>
      <w:jc w:val="center"/>
    </w:pPr>
    <w:rPr>
      <w:rFonts w:ascii="宋体" w:hAnsi="Brush Script MT"/>
      <w:kern w:val="2"/>
      <w:sz w:val="21"/>
    </w:rPr>
  </w:style>
  <w:style w:type="paragraph" w:customStyle="1" w:styleId="480">
    <w:name w:val="正文3"/>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481">
    <w:name w:val="列出段落2"/>
    <w:basedOn w:val="1"/>
    <w:autoRedefine/>
    <w:qFormat/>
    <w:uiPriority w:val="0"/>
    <w:pPr>
      <w:ind w:firstLine="420" w:firstLineChars="200"/>
    </w:pPr>
    <w:rPr>
      <w:rFonts w:ascii="Calibri" w:hAnsi="Calibri"/>
      <w:kern w:val="0"/>
      <w:sz w:val="24"/>
      <w:szCs w:val="22"/>
    </w:rPr>
  </w:style>
  <w:style w:type="paragraph" w:customStyle="1" w:styleId="482">
    <w:name w:val="Char Char1 Char Char Char Char Char Char Char Char Char Char Char Char Char Char Char Char Char Char"/>
    <w:basedOn w:val="1"/>
    <w:autoRedefine/>
    <w:qFormat/>
    <w:uiPriority w:val="0"/>
    <w:pPr>
      <w:spacing w:line="360" w:lineRule="auto"/>
      <w:ind w:firstLine="200" w:firstLineChars="200"/>
    </w:pPr>
    <w:rPr>
      <w:rFonts w:ascii="宋体" w:hAnsi="宋体" w:cs="宋体"/>
      <w:sz w:val="24"/>
    </w:rPr>
  </w:style>
  <w:style w:type="paragraph" w:customStyle="1" w:styleId="483">
    <w:name w:val="font6"/>
    <w:basedOn w:val="1"/>
    <w:autoRedefine/>
    <w:qFormat/>
    <w:uiPriority w:val="0"/>
    <w:pPr>
      <w:widowControl/>
      <w:spacing w:before="100" w:beforeAutospacing="1" w:after="100" w:afterAutospacing="1"/>
      <w:jc w:val="left"/>
    </w:pPr>
    <w:rPr>
      <w:kern w:val="0"/>
      <w:sz w:val="24"/>
    </w:rPr>
  </w:style>
  <w:style w:type="paragraph" w:customStyle="1" w:styleId="484">
    <w:name w:val="Char Char Char1 Char"/>
    <w:basedOn w:val="1"/>
    <w:autoRedefine/>
    <w:qFormat/>
    <w:uiPriority w:val="0"/>
    <w:rPr>
      <w:sz w:val="24"/>
    </w:rPr>
  </w:style>
  <w:style w:type="paragraph" w:customStyle="1" w:styleId="485">
    <w:name w:val="_Style 15"/>
    <w:basedOn w:val="1"/>
    <w:autoRedefine/>
    <w:qFormat/>
    <w:uiPriority w:val="0"/>
  </w:style>
  <w:style w:type="paragraph" w:customStyle="1" w:styleId="486">
    <w:name w:val="正文001 Char Char"/>
    <w:basedOn w:val="1"/>
    <w:autoRedefine/>
    <w:qFormat/>
    <w:uiPriority w:val="99"/>
    <w:pPr>
      <w:spacing w:before="60" w:line="420" w:lineRule="exact"/>
      <w:ind w:firstLine="482"/>
    </w:pPr>
    <w:rPr>
      <w:sz w:val="24"/>
      <w:szCs w:val="20"/>
    </w:rPr>
  </w:style>
  <w:style w:type="paragraph" w:customStyle="1" w:styleId="487">
    <w:name w:val="xl34"/>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color w:val="FF0000"/>
      <w:kern w:val="0"/>
      <w:sz w:val="18"/>
      <w:szCs w:val="18"/>
    </w:rPr>
  </w:style>
  <w:style w:type="paragraph" w:customStyle="1" w:styleId="488">
    <w:name w:val="contentarticle"/>
    <w:basedOn w:val="1"/>
    <w:autoRedefine/>
    <w:qFormat/>
    <w:uiPriority w:val="0"/>
    <w:pPr>
      <w:widowControl/>
      <w:spacing w:before="100" w:beforeAutospacing="1" w:after="100" w:afterAutospacing="1"/>
      <w:jc w:val="left"/>
    </w:pPr>
    <w:rPr>
      <w:rFonts w:ascii="宋体" w:hAnsi="宋体" w:cs="宋体"/>
      <w:kern w:val="0"/>
    </w:rPr>
  </w:style>
  <w:style w:type="paragraph" w:customStyle="1" w:styleId="489">
    <w:name w:val="Char1 Char Char Char1"/>
    <w:basedOn w:val="1"/>
    <w:autoRedefine/>
    <w:qFormat/>
    <w:uiPriority w:val="0"/>
  </w:style>
  <w:style w:type="paragraph" w:customStyle="1" w:styleId="490">
    <w:name w:val="4级（小）标题-都"/>
    <w:basedOn w:val="117"/>
    <w:autoRedefine/>
    <w:qFormat/>
    <w:uiPriority w:val="0"/>
    <w:pPr>
      <w:ind w:firstLine="0" w:firstLineChars="0"/>
      <w:outlineLvl w:val="3"/>
    </w:pPr>
    <w:rPr>
      <w:b/>
      <w:kern w:val="2"/>
      <w:szCs w:val="24"/>
    </w:rPr>
  </w:style>
  <w:style w:type="paragraph" w:customStyle="1" w:styleId="491">
    <w:name w:val="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492">
    <w:name w:val="－列表2"/>
    <w:basedOn w:val="1"/>
    <w:autoRedefine/>
    <w:semiHidden/>
    <w:qFormat/>
    <w:uiPriority w:val="0"/>
    <w:pPr>
      <w:jc w:val="center"/>
    </w:pPr>
  </w:style>
  <w:style w:type="paragraph" w:customStyle="1" w:styleId="493">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494">
    <w:name w:val="中文报告书样式"/>
    <w:basedOn w:val="1"/>
    <w:autoRedefine/>
    <w:qFormat/>
    <w:uiPriority w:val="0"/>
    <w:pPr>
      <w:adjustRightInd w:val="0"/>
      <w:spacing w:line="480" w:lineRule="atLeast"/>
      <w:ind w:firstLine="482"/>
      <w:textAlignment w:val="baseline"/>
    </w:pPr>
    <w:rPr>
      <w:kern w:val="24"/>
      <w:sz w:val="24"/>
      <w:szCs w:val="20"/>
    </w:rPr>
  </w:style>
  <w:style w:type="paragraph" w:customStyle="1" w:styleId="495">
    <w:name w:val="_Style 490"/>
    <w:autoRedefine/>
    <w:unhideWhenUsed/>
    <w:qFormat/>
    <w:uiPriority w:val="99"/>
    <w:rPr>
      <w:rFonts w:ascii="Times New Roman" w:hAnsi="Times New Roman" w:eastAsia="宋体" w:cs="Times New Roman"/>
      <w:kern w:val="2"/>
      <w:sz w:val="21"/>
      <w:szCs w:val="21"/>
      <w:lang w:val="en-US" w:eastAsia="zh-CN" w:bidi="ar-SA"/>
    </w:rPr>
  </w:style>
  <w:style w:type="paragraph" w:customStyle="1" w:styleId="496">
    <w:name w:val="表格后文"/>
    <w:basedOn w:val="143"/>
    <w:autoRedefine/>
    <w:qFormat/>
    <w:uiPriority w:val="0"/>
    <w:pPr>
      <w:spacing w:before="300" w:line="460" w:lineRule="exact"/>
      <w:ind w:firstLine="200" w:firstLineChars="200"/>
    </w:pPr>
    <w:rPr>
      <w:sz w:val="24"/>
      <w:szCs w:val="24"/>
    </w:rPr>
  </w:style>
  <w:style w:type="paragraph" w:customStyle="1" w:styleId="497">
    <w:name w:val="样式 样式 正文缩进 + 小四 首行缩进:  2 字符 + 首行缩进:  2 字符 + 首行缩进:  2 字符"/>
    <w:basedOn w:val="1"/>
    <w:autoRedefine/>
    <w:qFormat/>
    <w:uiPriority w:val="99"/>
    <w:pPr>
      <w:spacing w:line="324" w:lineRule="auto"/>
      <w:ind w:firstLine="200" w:firstLineChars="200"/>
    </w:pPr>
    <w:rPr>
      <w:sz w:val="24"/>
    </w:rPr>
  </w:style>
  <w:style w:type="paragraph" w:customStyle="1" w:styleId="498">
    <w:name w:val="样式 样式 纯文本 Char普通文字 Char普通文字 Char CharChar普通文字 Char Char Char C.....4"/>
    <w:basedOn w:val="1"/>
    <w:autoRedefine/>
    <w:qFormat/>
    <w:uiPriority w:val="0"/>
    <w:pPr>
      <w:spacing w:line="360" w:lineRule="auto"/>
      <w:ind w:firstLine="200" w:firstLineChars="200"/>
    </w:pPr>
    <w:rPr>
      <w:rFonts w:ascii="Arial" w:hAnsi="Arial" w:cs="宋体"/>
      <w:sz w:val="24"/>
      <w:szCs w:val="20"/>
    </w:rPr>
  </w:style>
  <w:style w:type="paragraph" w:customStyle="1" w:styleId="499">
    <w:name w:val="表1"/>
    <w:basedOn w:val="1"/>
    <w:next w:val="1"/>
    <w:autoRedefine/>
    <w:qFormat/>
    <w:uiPriority w:val="0"/>
    <w:pPr>
      <w:spacing w:line="300" w:lineRule="auto"/>
      <w:ind w:left="900" w:leftChars="200" w:hanging="480" w:hangingChars="200"/>
      <w:jc w:val="center"/>
    </w:pPr>
    <w:rPr>
      <w:sz w:val="24"/>
    </w:rPr>
  </w:style>
  <w:style w:type="paragraph" w:customStyle="1" w:styleId="500">
    <w:name w:val="font10"/>
    <w:basedOn w:val="1"/>
    <w:autoRedefine/>
    <w:qFormat/>
    <w:uiPriority w:val="0"/>
    <w:pPr>
      <w:widowControl/>
      <w:spacing w:before="100" w:beforeAutospacing="1" w:after="100" w:afterAutospacing="1"/>
      <w:jc w:val="left"/>
    </w:pPr>
    <w:rPr>
      <w:rFonts w:ascii="楷体_GB2312" w:hAnsi="宋体" w:eastAsia="楷体_GB2312" w:cs="宋体"/>
      <w:color w:val="000000"/>
      <w:kern w:val="0"/>
      <w:sz w:val="24"/>
    </w:rPr>
  </w:style>
  <w:style w:type="paragraph" w:customStyle="1" w:styleId="501">
    <w:name w:val="样式 标题 1 + (中文) 宋体 居中"/>
    <w:basedOn w:val="3"/>
    <w:autoRedefine/>
    <w:qFormat/>
    <w:uiPriority w:val="0"/>
    <w:pPr>
      <w:keepLines/>
      <w:overflowPunct/>
      <w:snapToGrid/>
      <w:spacing w:before="100" w:beforeAutospacing="1" w:after="100" w:afterAutospacing="1" w:line="360" w:lineRule="auto"/>
      <w:ind w:left="0" w:firstLine="0"/>
      <w:jc w:val="center"/>
    </w:pPr>
    <w:rPr>
      <w:rFonts w:eastAsia="宋体" w:cs="宋体"/>
      <w:color w:val="auto"/>
      <w:sz w:val="44"/>
      <w:szCs w:val="20"/>
    </w:rPr>
  </w:style>
  <w:style w:type="paragraph" w:customStyle="1" w:styleId="502">
    <w:name w:val="Char Char Char Char Char Char Char Char1"/>
    <w:basedOn w:val="1"/>
    <w:autoRedefine/>
    <w:qFormat/>
    <w:uiPriority w:val="0"/>
    <w:pPr>
      <w:widowControl/>
      <w:jc w:val="left"/>
    </w:pPr>
    <w:rPr>
      <w:rFonts w:ascii="Tahoma" w:hAnsi="Tahoma" w:cs="Tahoma"/>
      <w:color w:val="000000"/>
      <w:kern w:val="0"/>
      <w:sz w:val="24"/>
    </w:rPr>
  </w:style>
  <w:style w:type="paragraph" w:customStyle="1" w:styleId="503">
    <w:name w:val="默认段落字体 Para Char Char Char Char"/>
    <w:basedOn w:val="1"/>
    <w:autoRedefine/>
    <w:qFormat/>
    <w:uiPriority w:val="0"/>
    <w:rPr>
      <w:sz w:val="24"/>
    </w:rPr>
  </w:style>
  <w:style w:type="paragraph" w:customStyle="1" w:styleId="504">
    <w:name w:val="标1"/>
    <w:basedOn w:val="1"/>
    <w:autoRedefine/>
    <w:qFormat/>
    <w:uiPriority w:val="0"/>
    <w:pPr>
      <w:spacing w:before="60" w:line="460" w:lineRule="exact"/>
      <w:outlineLvl w:val="0"/>
    </w:pPr>
    <w:rPr>
      <w:b/>
      <w:sz w:val="32"/>
      <w:szCs w:val="20"/>
    </w:rPr>
  </w:style>
  <w:style w:type="paragraph" w:customStyle="1" w:styleId="505">
    <w:name w:val="Char Char Char Char Char Char Char Char Char Char Char Char Char Char11"/>
    <w:basedOn w:val="1"/>
    <w:autoRedefine/>
    <w:qFormat/>
    <w:uiPriority w:val="0"/>
  </w:style>
  <w:style w:type="paragraph" w:customStyle="1" w:styleId="506">
    <w:name w:val="标题111 Char Char Char Char"/>
    <w:basedOn w:val="1"/>
    <w:autoRedefine/>
    <w:qFormat/>
    <w:uiPriority w:val="0"/>
    <w:pPr>
      <w:spacing w:line="360" w:lineRule="auto"/>
      <w:ind w:firstLine="200" w:firstLineChars="200"/>
    </w:pPr>
    <w:rPr>
      <w:rFonts w:ascii="宋体" w:hAnsi="宋体" w:cs="宋体"/>
      <w:sz w:val="24"/>
    </w:rPr>
  </w:style>
  <w:style w:type="paragraph" w:customStyle="1" w:styleId="507">
    <w:name w:val="Char Char1 Char Char Char Char"/>
    <w:basedOn w:val="1"/>
    <w:autoRedefine/>
    <w:qFormat/>
    <w:uiPriority w:val="0"/>
    <w:pPr>
      <w:widowControl/>
      <w:spacing w:after="160" w:line="240" w:lineRule="exact"/>
      <w:jc w:val="left"/>
    </w:pPr>
    <w:rPr>
      <w:szCs w:val="20"/>
    </w:rPr>
  </w:style>
  <w:style w:type="paragraph" w:customStyle="1" w:styleId="508">
    <w:name w:val="样式 样式 样式 纯文本 Char普通文字 Char普通文字 Char CharChar普通文字 Char Char Char ..."/>
    <w:basedOn w:val="1"/>
    <w:autoRedefine/>
    <w:qFormat/>
    <w:uiPriority w:val="0"/>
    <w:pPr>
      <w:spacing w:line="360" w:lineRule="auto"/>
      <w:ind w:firstLine="480" w:firstLineChars="200"/>
    </w:pPr>
    <w:rPr>
      <w:rFonts w:ascii="Arial" w:hAnsi="Arial" w:cs="宋体"/>
      <w:sz w:val="24"/>
      <w:szCs w:val="20"/>
    </w:rPr>
  </w:style>
  <w:style w:type="paragraph" w:customStyle="1" w:styleId="509">
    <w:name w:val="MTDisplayEquation"/>
    <w:basedOn w:val="1"/>
    <w:next w:val="1"/>
    <w:autoRedefine/>
    <w:qFormat/>
    <w:uiPriority w:val="0"/>
    <w:pPr>
      <w:tabs>
        <w:tab w:val="center" w:pos="4160"/>
        <w:tab w:val="right" w:pos="8300"/>
      </w:tabs>
      <w:spacing w:line="440" w:lineRule="exact"/>
      <w:ind w:firstLine="200" w:firstLineChars="200"/>
    </w:pPr>
    <w:rPr>
      <w:rFonts w:eastAsia="仿宋_GB2312"/>
      <w:bCs/>
      <w:sz w:val="32"/>
    </w:rPr>
  </w:style>
  <w:style w:type="paragraph" w:customStyle="1" w:styleId="510">
    <w:name w:val="纯文本211"/>
    <w:basedOn w:val="1"/>
    <w:autoRedefine/>
    <w:qFormat/>
    <w:uiPriority w:val="0"/>
    <w:pPr>
      <w:adjustRightInd w:val="0"/>
      <w:textAlignment w:val="baseline"/>
    </w:pPr>
    <w:rPr>
      <w:rFonts w:ascii="宋体" w:hAnsi="Courier New"/>
      <w:szCs w:val="20"/>
    </w:rPr>
  </w:style>
  <w:style w:type="paragraph" w:customStyle="1" w:styleId="511">
    <w:name w:val="表内表"/>
    <w:basedOn w:val="1"/>
    <w:autoRedefine/>
    <w:qFormat/>
    <w:uiPriority w:val="0"/>
    <w:pPr>
      <w:jc w:val="center"/>
    </w:pPr>
    <w:rPr>
      <w:rFonts w:eastAsia="仿宋_GB2312"/>
      <w:kern w:val="0"/>
      <w:szCs w:val="20"/>
    </w:rPr>
  </w:style>
  <w:style w:type="paragraph" w:customStyle="1" w:styleId="512">
    <w:name w:val="Char21"/>
    <w:basedOn w:val="1"/>
    <w:autoRedefine/>
    <w:qFormat/>
    <w:uiPriority w:val="0"/>
    <w:pPr>
      <w:spacing w:line="360" w:lineRule="auto"/>
      <w:ind w:firstLine="200" w:firstLineChars="200"/>
    </w:pPr>
    <w:rPr>
      <w:rFonts w:ascii="宋体" w:hAnsi="宋体" w:cs="宋体"/>
      <w:sz w:val="24"/>
    </w:rPr>
  </w:style>
  <w:style w:type="paragraph" w:customStyle="1" w:styleId="513">
    <w:name w:val="正文 首行缩进:  2 字符"/>
    <w:basedOn w:val="1"/>
    <w:autoRedefine/>
    <w:qFormat/>
    <w:uiPriority w:val="0"/>
    <w:pPr>
      <w:spacing w:line="360" w:lineRule="auto"/>
      <w:ind w:firstLine="480" w:firstLineChars="200"/>
      <w:jc w:val="left"/>
    </w:pPr>
    <w:rPr>
      <w:sz w:val="24"/>
    </w:rPr>
  </w:style>
  <w:style w:type="paragraph" w:customStyle="1" w:styleId="514">
    <w:name w:val="Char Char Char Char Char Char Char Char Char Char Char Char Char"/>
    <w:basedOn w:val="1"/>
    <w:autoRedefine/>
    <w:qFormat/>
    <w:uiPriority w:val="0"/>
    <w:pPr>
      <w:tabs>
        <w:tab w:val="left" w:pos="432"/>
      </w:tabs>
      <w:ind w:left="432" w:hanging="432"/>
    </w:pPr>
    <w:rPr>
      <w:rFonts w:ascii="Tahoma" w:hAnsi="Tahoma"/>
      <w:sz w:val="24"/>
      <w:szCs w:val="20"/>
    </w:rPr>
  </w:style>
  <w:style w:type="paragraph" w:customStyle="1" w:styleId="515">
    <w:name w:val="样式4"/>
    <w:basedOn w:val="5"/>
    <w:autoRedefine/>
    <w:qFormat/>
    <w:uiPriority w:val="0"/>
    <w:pPr>
      <w:widowControl/>
      <w:spacing w:line="360" w:lineRule="auto"/>
      <w:ind w:firstLine="480" w:firstLineChars="200"/>
    </w:pPr>
    <w:rPr>
      <w:rFonts w:ascii="Arial" w:hAnsi="Arial"/>
      <w:kern w:val="0"/>
      <w:sz w:val="24"/>
      <w:szCs w:val="24"/>
    </w:rPr>
  </w:style>
  <w:style w:type="paragraph" w:customStyle="1" w:styleId="516">
    <w:name w:val="表格内文字"/>
    <w:basedOn w:val="1"/>
    <w:autoRedefine/>
    <w:qFormat/>
    <w:uiPriority w:val="0"/>
    <w:pPr>
      <w:spacing w:line="320" w:lineRule="exact"/>
      <w:jc w:val="center"/>
    </w:pPr>
  </w:style>
  <w:style w:type="paragraph" w:customStyle="1" w:styleId="517">
    <w:name w:val="ST20_1"/>
    <w:basedOn w:val="1"/>
    <w:autoRedefine/>
    <w:qFormat/>
    <w:uiPriority w:val="0"/>
    <w:pPr>
      <w:autoSpaceDE w:val="0"/>
      <w:autoSpaceDN w:val="0"/>
      <w:adjustRightInd w:val="0"/>
      <w:spacing w:line="312" w:lineRule="atLeast"/>
      <w:jc w:val="center"/>
      <w:textAlignment w:val="baseline"/>
    </w:pPr>
    <w:rPr>
      <w:rFonts w:ascii="宋体" w:hAnsi="Tms Rmn"/>
      <w:kern w:val="0"/>
      <w:sz w:val="24"/>
      <w:szCs w:val="20"/>
    </w:rPr>
  </w:style>
  <w:style w:type="paragraph" w:customStyle="1" w:styleId="518">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519">
    <w:name w:val="Char Char Char Char Char Char Char Char Char Char Char Char Char Char1"/>
    <w:basedOn w:val="1"/>
    <w:autoRedefine/>
    <w:qFormat/>
    <w:uiPriority w:val="0"/>
  </w:style>
  <w:style w:type="paragraph" w:customStyle="1" w:styleId="520">
    <w:name w:val="备注"/>
    <w:basedOn w:val="323"/>
    <w:autoRedefine/>
    <w:qFormat/>
    <w:uiPriority w:val="0"/>
    <w:pPr>
      <w:adjustRightInd/>
      <w:snapToGrid/>
      <w:spacing w:line="240" w:lineRule="auto"/>
      <w:ind w:firstLine="0" w:firstLineChars="0"/>
    </w:pPr>
    <w:rPr>
      <w:rFonts w:hAnsi="宋体" w:eastAsia="楷体_GB2312"/>
      <w:b/>
      <w:sz w:val="21"/>
    </w:rPr>
  </w:style>
  <w:style w:type="paragraph" w:customStyle="1" w:styleId="521">
    <w:name w:val="流程图"/>
    <w:basedOn w:val="1"/>
    <w:autoRedefine/>
    <w:qFormat/>
    <w:uiPriority w:val="0"/>
    <w:pPr>
      <w:tabs>
        <w:tab w:val="left" w:pos="0"/>
      </w:tabs>
      <w:autoSpaceDE w:val="0"/>
      <w:autoSpaceDN w:val="0"/>
      <w:adjustRightInd w:val="0"/>
      <w:spacing w:before="60" w:after="120"/>
      <w:textAlignment w:val="bottom"/>
    </w:pPr>
    <w:rPr>
      <w:rFonts w:ascii="宋体"/>
    </w:rPr>
  </w:style>
  <w:style w:type="paragraph" w:customStyle="1" w:styleId="522">
    <w:name w:val="Char2"/>
    <w:basedOn w:val="1"/>
    <w:autoRedefine/>
    <w:qFormat/>
    <w:uiPriority w:val="0"/>
    <w:pPr>
      <w:spacing w:line="360" w:lineRule="auto"/>
      <w:ind w:firstLine="200" w:firstLineChars="200"/>
    </w:pPr>
    <w:rPr>
      <w:rFonts w:ascii="宋体" w:hAnsi="宋体" w:cs="宋体"/>
      <w:sz w:val="24"/>
    </w:rPr>
  </w:style>
  <w:style w:type="paragraph" w:customStyle="1" w:styleId="523">
    <w:name w:val="默认段落字体 Para Char Char"/>
    <w:basedOn w:val="1"/>
    <w:autoRedefine/>
    <w:semiHidden/>
    <w:qFormat/>
    <w:uiPriority w:val="0"/>
  </w:style>
  <w:style w:type="paragraph" w:customStyle="1" w:styleId="524">
    <w:name w:val="p16"/>
    <w:basedOn w:val="1"/>
    <w:autoRedefine/>
    <w:qFormat/>
    <w:uiPriority w:val="99"/>
    <w:pPr>
      <w:widowControl/>
      <w:spacing w:after="120" w:line="480" w:lineRule="auto"/>
      <w:ind w:left="420"/>
    </w:pPr>
    <w:rPr>
      <w:kern w:val="0"/>
    </w:rPr>
  </w:style>
  <w:style w:type="paragraph" w:customStyle="1" w:styleId="525">
    <w:name w:val="Char Char1 Char Char Char Char Char Char Char Char Char Char Char Char Char Char Char Char Char Char Char Char1 Char"/>
    <w:basedOn w:val="1"/>
    <w:autoRedefine/>
    <w:qFormat/>
    <w:uiPriority w:val="0"/>
    <w:pPr>
      <w:spacing w:line="360" w:lineRule="auto"/>
      <w:ind w:firstLine="200" w:firstLineChars="200"/>
    </w:pPr>
    <w:rPr>
      <w:rFonts w:ascii="宋体" w:hAnsi="宋体" w:cs="宋体"/>
      <w:sz w:val="24"/>
    </w:rPr>
  </w:style>
  <w:style w:type="paragraph" w:customStyle="1" w:styleId="526">
    <w:name w:val="样式 样式 标题 3第二层条3H3h3Underrubrik2h31본문글1.1.1heading 3h32TH...1 + 段..."/>
    <w:basedOn w:val="1"/>
    <w:autoRedefine/>
    <w:qFormat/>
    <w:uiPriority w:val="0"/>
    <w:pPr>
      <w:keepNext/>
      <w:keepLines/>
      <w:tabs>
        <w:tab w:val="left" w:pos="1080"/>
      </w:tabs>
      <w:spacing w:before="50" w:beforeLines="50" w:after="50" w:afterLines="50" w:line="360" w:lineRule="auto"/>
      <w:ind w:left="709" w:hanging="709"/>
      <w:jc w:val="left"/>
      <w:outlineLvl w:val="2"/>
    </w:pPr>
    <w:rPr>
      <w:rFonts w:ascii="Arial" w:hAnsi="Arial" w:cs="宋体"/>
      <w:sz w:val="24"/>
      <w:szCs w:val="20"/>
    </w:rPr>
  </w:style>
  <w:style w:type="paragraph" w:customStyle="1" w:styleId="527">
    <w:name w:val="Char1 Char Char Char2"/>
    <w:basedOn w:val="1"/>
    <w:autoRedefine/>
    <w:qFormat/>
    <w:uiPriority w:val="0"/>
  </w:style>
  <w:style w:type="paragraph" w:customStyle="1" w:styleId="528">
    <w:name w:val="1.1.1"/>
    <w:basedOn w:val="1"/>
    <w:autoRedefine/>
    <w:qFormat/>
    <w:uiPriority w:val="0"/>
    <w:rPr>
      <w:rFonts w:ascii="黑体"/>
      <w:sz w:val="24"/>
    </w:rPr>
  </w:style>
  <w:style w:type="paragraph" w:customStyle="1" w:styleId="529">
    <w:name w:val="Char Char Char Char2"/>
    <w:basedOn w:val="1"/>
    <w:autoRedefine/>
    <w:qFormat/>
    <w:uiPriority w:val="0"/>
    <w:pPr>
      <w:spacing w:line="360" w:lineRule="auto"/>
      <w:ind w:firstLine="200" w:firstLineChars="200"/>
    </w:pPr>
    <w:rPr>
      <w:rFonts w:ascii="宋体" w:hAnsi="宋体" w:cs="宋体"/>
      <w:sz w:val="24"/>
    </w:rPr>
  </w:style>
  <w:style w:type="paragraph" w:customStyle="1" w:styleId="530">
    <w:name w:val="常用责任表"/>
    <w:basedOn w:val="344"/>
    <w:next w:val="344"/>
    <w:autoRedefine/>
    <w:qFormat/>
    <w:uiPriority w:val="0"/>
    <w:pPr>
      <w:ind w:firstLine="0"/>
      <w:jc w:val="center"/>
    </w:pPr>
    <w:rPr>
      <w:rFonts w:ascii="华文新魏" w:eastAsia="华文新魏" w:cs="宋体"/>
      <w:b/>
      <w:bCs/>
      <w:sz w:val="44"/>
      <w:szCs w:val="20"/>
    </w:rPr>
  </w:style>
  <w:style w:type="paragraph" w:customStyle="1" w:styleId="531">
    <w:name w:val="Char Char Char Char Char Char Char Char Char Char Char Char1 Char Char Char Char"/>
    <w:basedOn w:val="1"/>
    <w:autoRedefine/>
    <w:qFormat/>
    <w:uiPriority w:val="0"/>
    <w:pPr>
      <w:spacing w:line="360" w:lineRule="auto"/>
      <w:ind w:firstLine="200" w:firstLineChars="200"/>
    </w:pPr>
  </w:style>
  <w:style w:type="paragraph" w:customStyle="1" w:styleId="532">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33">
    <w:name w:val="Char Char1 Char Char Char Char Char Char Char Char Char Char Char Char Char Char Char Char Char Char Char Char1 Char1"/>
    <w:basedOn w:val="1"/>
    <w:autoRedefine/>
    <w:qFormat/>
    <w:uiPriority w:val="0"/>
    <w:pPr>
      <w:spacing w:line="360" w:lineRule="auto"/>
      <w:ind w:firstLine="200" w:firstLineChars="200"/>
    </w:pPr>
    <w:rPr>
      <w:rFonts w:ascii="宋体" w:hAnsi="宋体" w:cs="宋体"/>
      <w:sz w:val="24"/>
    </w:rPr>
  </w:style>
  <w:style w:type="paragraph" w:customStyle="1" w:styleId="534">
    <w:name w:val="表格文本"/>
    <w:basedOn w:val="1"/>
    <w:next w:val="1"/>
    <w:autoRedefine/>
    <w:qFormat/>
    <w:uiPriority w:val="0"/>
    <w:pPr>
      <w:spacing w:line="240" w:lineRule="exact"/>
      <w:jc w:val="center"/>
    </w:pPr>
    <w:rPr>
      <w:rFonts w:eastAsia="Times New Roman"/>
      <w:szCs w:val="20"/>
    </w:rPr>
  </w:style>
  <w:style w:type="paragraph" w:customStyle="1" w:styleId="535">
    <w:name w:val="样式 正文001 + 首行缩进:  2 字符"/>
    <w:basedOn w:val="181"/>
    <w:autoRedefine/>
    <w:qFormat/>
    <w:uiPriority w:val="0"/>
    <w:pPr>
      <w:spacing w:line="460" w:lineRule="atLeast"/>
      <w:ind w:firstLine="480" w:firstLineChars="200"/>
    </w:pPr>
  </w:style>
  <w:style w:type="paragraph" w:customStyle="1" w:styleId="536">
    <w:name w:val="p15"/>
    <w:basedOn w:val="1"/>
    <w:autoRedefine/>
    <w:qFormat/>
    <w:uiPriority w:val="99"/>
    <w:pPr>
      <w:widowControl/>
      <w:spacing w:line="360" w:lineRule="auto"/>
      <w:ind w:firstLine="420"/>
    </w:pPr>
    <w:rPr>
      <w:rFonts w:ascii="Arial" w:hAnsi="Arial" w:cs="Arial"/>
      <w:kern w:val="0"/>
      <w:sz w:val="24"/>
    </w:rPr>
  </w:style>
  <w:style w:type="paragraph" w:customStyle="1" w:styleId="537">
    <w:name w:val="普通(网站)1"/>
    <w:basedOn w:val="1"/>
    <w:autoRedefine/>
    <w:qFormat/>
    <w:uiPriority w:val="0"/>
    <w:pPr>
      <w:widowControl/>
      <w:spacing w:before="100" w:beforeAutospacing="1" w:after="100" w:afterAutospacing="1"/>
      <w:jc w:val="left"/>
    </w:pPr>
    <w:rPr>
      <w:rFonts w:hint="eastAsia" w:ascii="宋体" w:hAnsi="宋体"/>
      <w:sz w:val="24"/>
      <w:szCs w:val="20"/>
    </w:rPr>
  </w:style>
  <w:style w:type="paragraph" w:customStyle="1" w:styleId="538">
    <w:name w:val="xl37"/>
    <w:basedOn w:val="1"/>
    <w:autoRedefine/>
    <w:qFormat/>
    <w:uiPriority w:val="0"/>
    <w:pPr>
      <w:widowControl/>
      <w:spacing w:before="100" w:beforeAutospacing="1" w:after="100" w:afterAutospacing="1"/>
      <w:jc w:val="center"/>
    </w:pPr>
    <w:rPr>
      <w:rFonts w:ascii="宋体" w:hAnsi="宋体"/>
      <w:kern w:val="0"/>
      <w:sz w:val="24"/>
      <w:szCs w:val="20"/>
    </w:rPr>
  </w:style>
  <w:style w:type="paragraph" w:customStyle="1" w:styleId="539">
    <w:name w:val="Char Char Char Char Char Char3 Char Char Char Char Char Char Char1"/>
    <w:basedOn w:val="1"/>
    <w:next w:val="1"/>
    <w:autoRedefine/>
    <w:qFormat/>
    <w:uiPriority w:val="0"/>
    <w:rPr>
      <w:rFonts w:eastAsia="黑体"/>
      <w:sz w:val="28"/>
    </w:rPr>
  </w:style>
  <w:style w:type="paragraph" w:customStyle="1" w:styleId="540">
    <w:name w:val="zxz5"/>
    <w:next w:val="1"/>
    <w:autoRedefine/>
    <w:qFormat/>
    <w:uiPriority w:val="0"/>
    <w:pPr>
      <w:tabs>
        <w:tab w:val="left" w:pos="0"/>
      </w:tabs>
      <w:jc w:val="center"/>
    </w:pPr>
    <w:rPr>
      <w:rFonts w:ascii="宋体" w:hAnsi="宋体" w:eastAsia="Times New Roman" w:cs="Times New Roman"/>
      <w:kern w:val="2"/>
      <w:sz w:val="18"/>
      <w:lang w:val="en-US" w:eastAsia="zh-CN" w:bidi="ar-SA"/>
    </w:rPr>
  </w:style>
  <w:style w:type="paragraph" w:customStyle="1" w:styleId="541">
    <w:name w:val="List Paragraph1"/>
    <w:basedOn w:val="1"/>
    <w:autoRedefine/>
    <w:qFormat/>
    <w:uiPriority w:val="0"/>
    <w:pPr>
      <w:ind w:firstLine="420" w:firstLineChars="200"/>
    </w:pPr>
  </w:style>
  <w:style w:type="paragraph" w:customStyle="1" w:styleId="542">
    <w:name w:val="_Style 537"/>
    <w:basedOn w:val="3"/>
    <w:next w:val="1"/>
    <w:autoRedefine/>
    <w:qFormat/>
    <w:uiPriority w:val="39"/>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paragraph" w:customStyle="1" w:styleId="543">
    <w:name w:val="p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44">
    <w:name w:val="1 Char Char Char Char Char Char Char Char"/>
    <w:basedOn w:val="1"/>
    <w:autoRedefine/>
    <w:qFormat/>
    <w:uiPriority w:val="0"/>
    <w:rPr>
      <w:sz w:val="24"/>
    </w:rPr>
  </w:style>
  <w:style w:type="paragraph" w:customStyle="1" w:styleId="545">
    <w:name w:val="font5"/>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546">
    <w:name w:val="正文五"/>
    <w:basedOn w:val="1"/>
    <w:autoRedefine/>
    <w:qFormat/>
    <w:uiPriority w:val="99"/>
    <w:pPr>
      <w:snapToGrid w:val="0"/>
      <w:jc w:val="center"/>
    </w:pPr>
    <w:rPr>
      <w:szCs w:val="28"/>
    </w:rPr>
  </w:style>
  <w:style w:type="paragraph" w:customStyle="1" w:styleId="547">
    <w:name w:val="Char Char1 Char Char Char Char1"/>
    <w:basedOn w:val="1"/>
    <w:autoRedefine/>
    <w:qFormat/>
    <w:uiPriority w:val="0"/>
    <w:pPr>
      <w:widowControl/>
      <w:spacing w:after="160" w:line="240" w:lineRule="exact"/>
      <w:jc w:val="left"/>
    </w:pPr>
    <w:rPr>
      <w:szCs w:val="20"/>
    </w:rPr>
  </w:style>
  <w:style w:type="paragraph" w:customStyle="1" w:styleId="548">
    <w:name w:val="Char3"/>
    <w:basedOn w:val="1"/>
    <w:autoRedefine/>
    <w:qFormat/>
    <w:uiPriority w:val="0"/>
    <w:pPr>
      <w:spacing w:line="360" w:lineRule="auto"/>
      <w:ind w:firstLine="200" w:firstLineChars="200"/>
    </w:pPr>
    <w:rPr>
      <w:rFonts w:ascii="宋体" w:hAnsi="宋体" w:cs="宋体"/>
      <w:sz w:val="24"/>
    </w:rPr>
  </w:style>
  <w:style w:type="paragraph" w:customStyle="1" w:styleId="549">
    <w:name w:val="样式 标题 4款标题1.1.1.1标题 4 Char Char标题 4 Char四表格1目H4H41L4Mi..."/>
    <w:basedOn w:val="7"/>
    <w:autoRedefine/>
    <w:qFormat/>
    <w:uiPriority w:val="0"/>
    <w:pPr>
      <w:tabs>
        <w:tab w:val="left" w:pos="851"/>
      </w:tabs>
      <w:adjustRightInd/>
      <w:spacing w:before="0" w:after="0"/>
      <w:ind w:left="1128" w:hanging="561"/>
      <w:jc w:val="center"/>
      <w:textAlignment w:val="auto"/>
    </w:pPr>
    <w:rPr>
      <w:rFonts w:eastAsia="仿宋_GB2312" w:cs="宋体"/>
      <w:b/>
      <w:bCs/>
    </w:rPr>
  </w:style>
  <w:style w:type="paragraph" w:customStyle="1" w:styleId="550">
    <w:name w:val="xl32"/>
    <w:basedOn w:val="1"/>
    <w:autoRedefine/>
    <w:qFormat/>
    <w:uiPriority w:val="0"/>
    <w:pPr>
      <w:widowControl/>
      <w:pBdr>
        <w:left w:val="single" w:color="auto" w:sz="4" w:space="0"/>
        <w:right w:val="single" w:color="auto" w:sz="4" w:space="0"/>
      </w:pBdr>
      <w:spacing w:before="100" w:beforeAutospacing="1" w:after="100" w:afterAutospacing="1"/>
    </w:pPr>
    <w:rPr>
      <w:rFonts w:ascii="宋体" w:hAnsi="宋体"/>
      <w:kern w:val="0"/>
      <w:sz w:val="24"/>
    </w:rPr>
  </w:style>
  <w:style w:type="paragraph" w:customStyle="1" w:styleId="551">
    <w:name w:val="Char Char Char Char Char Char Char Char"/>
    <w:basedOn w:val="1"/>
    <w:autoRedefine/>
    <w:qFormat/>
    <w:uiPriority w:val="0"/>
    <w:pPr>
      <w:widowControl/>
      <w:jc w:val="left"/>
    </w:pPr>
    <w:rPr>
      <w:rFonts w:ascii="Tahoma" w:hAnsi="Tahoma" w:cs="Tahoma"/>
      <w:color w:val="000000"/>
      <w:kern w:val="0"/>
      <w:sz w:val="24"/>
    </w:rPr>
  </w:style>
  <w:style w:type="paragraph" w:customStyle="1" w:styleId="552">
    <w:name w:val="gao"/>
    <w:basedOn w:val="1"/>
    <w:autoRedefine/>
    <w:qFormat/>
    <w:uiPriority w:val="0"/>
    <w:pPr>
      <w:autoSpaceDE w:val="0"/>
      <w:autoSpaceDN w:val="0"/>
      <w:adjustRightInd w:val="0"/>
      <w:spacing w:line="360" w:lineRule="auto"/>
    </w:pPr>
    <w:rPr>
      <w:rFonts w:hint="eastAsia" w:ascii="宋体"/>
      <w:kern w:val="0"/>
      <w:sz w:val="28"/>
      <w:szCs w:val="20"/>
    </w:rPr>
  </w:style>
  <w:style w:type="paragraph" w:customStyle="1" w:styleId="553">
    <w:name w:val="2级标题-都"/>
    <w:basedOn w:val="117"/>
    <w:autoRedefine/>
    <w:qFormat/>
    <w:uiPriority w:val="0"/>
    <w:pPr>
      <w:ind w:firstLine="0" w:firstLineChars="0"/>
      <w:outlineLvl w:val="1"/>
    </w:pPr>
    <w:rPr>
      <w:b/>
      <w:kern w:val="2"/>
      <w:sz w:val="28"/>
      <w:szCs w:val="21"/>
    </w:rPr>
  </w:style>
  <w:style w:type="paragraph" w:customStyle="1" w:styleId="554">
    <w:name w:val="表格头"/>
    <w:basedOn w:val="1"/>
    <w:autoRedefine/>
    <w:qFormat/>
    <w:uiPriority w:val="0"/>
    <w:pPr>
      <w:spacing w:line="360" w:lineRule="auto"/>
      <w:jc w:val="center"/>
    </w:pPr>
    <w:rPr>
      <w:b/>
      <w:bCs/>
      <w:szCs w:val="20"/>
    </w:rPr>
  </w:style>
  <w:style w:type="paragraph" w:customStyle="1" w:styleId="555">
    <w:name w:val="xl7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556">
    <w:name w:val="p21"/>
    <w:basedOn w:val="1"/>
    <w:autoRedefine/>
    <w:qFormat/>
    <w:uiPriority w:val="99"/>
    <w:pPr>
      <w:widowControl/>
      <w:spacing w:before="300" w:line="460" w:lineRule="atLeast"/>
    </w:pPr>
    <w:rPr>
      <w:b/>
      <w:bCs/>
      <w:kern w:val="0"/>
      <w:sz w:val="24"/>
    </w:rPr>
  </w:style>
  <w:style w:type="paragraph" w:customStyle="1" w:styleId="557">
    <w:name w:val="样式 表格样式1 + (西文) Arial (中文) 宋体 自动设置 两端对齐 行距: 单倍行距"/>
    <w:basedOn w:val="1"/>
    <w:autoRedefine/>
    <w:qFormat/>
    <w:uiPriority w:val="0"/>
    <w:pPr>
      <w:jc w:val="center"/>
    </w:pPr>
    <w:rPr>
      <w:rFonts w:ascii="Arial" w:hAnsi="Arial" w:cs="宋体"/>
      <w:kern w:val="0"/>
      <w:szCs w:val="20"/>
    </w:rPr>
  </w:style>
  <w:style w:type="paragraph" w:customStyle="1" w:styleId="558">
    <w:name w:val="1表格"/>
    <w:basedOn w:val="1"/>
    <w:autoRedefine/>
    <w:qFormat/>
    <w:uiPriority w:val="0"/>
    <w:pPr>
      <w:snapToGrid w:val="0"/>
      <w:jc w:val="center"/>
      <w:outlineLvl w:val="4"/>
    </w:pPr>
    <w:rPr>
      <w:spacing w:val="4"/>
    </w:rPr>
  </w:style>
  <w:style w:type="paragraph" w:customStyle="1" w:styleId="559">
    <w:name w:val="正文AAA"/>
    <w:basedOn w:val="1"/>
    <w:autoRedefine/>
    <w:qFormat/>
    <w:uiPriority w:val="99"/>
    <w:pPr>
      <w:spacing w:line="500" w:lineRule="exact"/>
      <w:ind w:firstLine="480" w:firstLineChars="200"/>
    </w:pPr>
    <w:rPr>
      <w:rFonts w:ascii="宋体" w:hAnsi="宋体" w:cs="宋体"/>
      <w:sz w:val="24"/>
      <w:szCs w:val="20"/>
    </w:rPr>
  </w:style>
  <w:style w:type="paragraph" w:customStyle="1" w:styleId="560">
    <w:name w:val="ZW"/>
    <w:basedOn w:val="1"/>
    <w:autoRedefine/>
    <w:qFormat/>
    <w:uiPriority w:val="0"/>
    <w:pPr>
      <w:spacing w:line="480" w:lineRule="exact"/>
      <w:ind w:firstLine="200" w:firstLineChars="200"/>
    </w:pPr>
    <w:rPr>
      <w:spacing w:val="10"/>
      <w:sz w:val="24"/>
    </w:rPr>
  </w:style>
  <w:style w:type="paragraph" w:customStyle="1" w:styleId="561">
    <w:name w:val="标题02"/>
    <w:basedOn w:val="1"/>
    <w:next w:val="1"/>
    <w:autoRedefine/>
    <w:qFormat/>
    <w:uiPriority w:val="0"/>
    <w:pPr>
      <w:snapToGrid w:val="0"/>
      <w:spacing w:line="440" w:lineRule="atLeast"/>
      <w:outlineLvl w:val="1"/>
    </w:pPr>
    <w:rPr>
      <w:b/>
      <w:sz w:val="24"/>
      <w:szCs w:val="20"/>
    </w:rPr>
  </w:style>
  <w:style w:type="paragraph" w:customStyle="1" w:styleId="562">
    <w:name w:val="Char2 Char Char Char Char Char Char4"/>
    <w:basedOn w:val="1"/>
    <w:autoRedefine/>
    <w:qFormat/>
    <w:uiPriority w:val="0"/>
  </w:style>
  <w:style w:type="paragraph" w:customStyle="1" w:styleId="563">
    <w:name w:val="表格文字（都）"/>
    <w:basedOn w:val="1"/>
    <w:autoRedefine/>
    <w:qFormat/>
    <w:uiPriority w:val="0"/>
    <w:pPr>
      <w:jc w:val="center"/>
    </w:pPr>
  </w:style>
  <w:style w:type="paragraph" w:customStyle="1" w:styleId="564">
    <w:name w:val="Char Char1 Char Char Char Char Char Char Char Char Char Char Char Char Char Char Char Char Char Char Char Char1 Char2"/>
    <w:basedOn w:val="1"/>
    <w:autoRedefine/>
    <w:qFormat/>
    <w:uiPriority w:val="0"/>
    <w:pPr>
      <w:spacing w:line="360" w:lineRule="auto"/>
      <w:ind w:firstLine="200" w:firstLineChars="200"/>
    </w:pPr>
    <w:rPr>
      <w:rFonts w:ascii="宋体" w:hAnsi="宋体" w:cs="宋体"/>
      <w:sz w:val="24"/>
    </w:rPr>
  </w:style>
  <w:style w:type="paragraph" w:customStyle="1" w:styleId="565">
    <w:name w:val="表格居中"/>
    <w:autoRedefine/>
    <w:qFormat/>
    <w:uiPriority w:val="0"/>
    <w:pPr>
      <w:jc w:val="center"/>
    </w:pPr>
    <w:rPr>
      <w:rFonts w:ascii="Times New Roman" w:hAnsi="Times New Roman" w:eastAsia="宋体" w:cs="Times New Roman"/>
      <w:kern w:val="2"/>
      <w:sz w:val="24"/>
      <w:szCs w:val="24"/>
      <w:lang w:val="en-US" w:eastAsia="zh-CN" w:bidi="ar-SA"/>
    </w:rPr>
  </w:style>
  <w:style w:type="paragraph" w:customStyle="1" w:styleId="566">
    <w:name w:val="样式33333333333333333333"/>
    <w:basedOn w:val="106"/>
    <w:autoRedefine/>
    <w:qFormat/>
    <w:uiPriority w:val="0"/>
    <w:pPr>
      <w:adjustRightInd/>
      <w:jc w:val="both"/>
      <w:outlineLvl w:val="2"/>
    </w:pPr>
    <w:rPr>
      <w:rFonts w:ascii="Times New Roman" w:eastAsia="黑体" w:cs="Times New Roman"/>
      <w:color w:val="auto"/>
    </w:rPr>
  </w:style>
  <w:style w:type="paragraph" w:customStyle="1" w:styleId="567">
    <w:name w:val="font8"/>
    <w:basedOn w:val="1"/>
    <w:autoRedefine/>
    <w:qFormat/>
    <w:uiPriority w:val="0"/>
    <w:pPr>
      <w:widowControl/>
      <w:spacing w:before="100" w:beforeAutospacing="1" w:after="100" w:afterAutospacing="1"/>
      <w:jc w:val="left"/>
    </w:pPr>
    <w:rPr>
      <w:color w:val="000000"/>
      <w:kern w:val="0"/>
      <w:sz w:val="24"/>
    </w:rPr>
  </w:style>
  <w:style w:type="paragraph" w:customStyle="1" w:styleId="568">
    <w:name w:val="生态表格正文"/>
    <w:basedOn w:val="1"/>
    <w:autoRedefine/>
    <w:qFormat/>
    <w:uiPriority w:val="0"/>
    <w:pPr>
      <w:widowControl/>
      <w:spacing w:line="400" w:lineRule="exact"/>
      <w:jc w:val="center"/>
    </w:pPr>
    <w:rPr>
      <w:rFonts w:ascii="宋体" w:eastAsia="仿宋_GB2312"/>
      <w:kern w:val="0"/>
      <w:sz w:val="24"/>
    </w:rPr>
  </w:style>
  <w:style w:type="paragraph" w:customStyle="1" w:styleId="569">
    <w:name w:val="xl44"/>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eastAsia="Arial Unicode MS"/>
      <w:color w:val="000000"/>
      <w:kern w:val="0"/>
    </w:rPr>
  </w:style>
  <w:style w:type="paragraph" w:customStyle="1" w:styleId="570">
    <w:name w:val="xl30"/>
    <w:basedOn w:val="1"/>
    <w:autoRedefine/>
    <w:qFormat/>
    <w:uiPriority w:val="0"/>
    <w:pPr>
      <w:widowControl/>
      <w:spacing w:before="100" w:beforeAutospacing="1" w:after="100" w:afterAutospacing="1"/>
      <w:jc w:val="center"/>
      <w:textAlignment w:val="center"/>
    </w:pPr>
    <w:rPr>
      <w:rFonts w:ascii="宋体" w:hAnsi="宋体"/>
      <w:kern w:val="0"/>
      <w:sz w:val="24"/>
    </w:rPr>
  </w:style>
  <w:style w:type="paragraph" w:customStyle="1" w:styleId="571">
    <w:name w:val="正文yh"/>
    <w:autoRedefine/>
    <w:qFormat/>
    <w:uiPriority w:val="0"/>
    <w:pPr>
      <w:spacing w:line="480" w:lineRule="exact"/>
      <w:ind w:firstLine="200" w:firstLineChars="200"/>
    </w:pPr>
    <w:rPr>
      <w:rFonts w:ascii="Times New Roman" w:hAnsi="Times New Roman" w:eastAsia="宋体" w:cs="Times New Roman"/>
      <w:color w:val="000000"/>
      <w:sz w:val="24"/>
      <w:szCs w:val="24"/>
      <w:lang w:val="en-US" w:eastAsia="zh-CN" w:bidi="en-US"/>
    </w:rPr>
  </w:style>
  <w:style w:type="paragraph" w:customStyle="1" w:styleId="572">
    <w:name w:val="五号"/>
    <w:basedOn w:val="1"/>
    <w:autoRedefine/>
    <w:qFormat/>
    <w:uiPriority w:val="0"/>
  </w:style>
  <w:style w:type="paragraph" w:customStyle="1" w:styleId="573">
    <w:name w:val="分区正文"/>
    <w:basedOn w:val="1"/>
    <w:autoRedefine/>
    <w:qFormat/>
    <w:uiPriority w:val="0"/>
    <w:pPr>
      <w:spacing w:line="480" w:lineRule="exact"/>
      <w:ind w:firstLine="200" w:firstLineChars="200"/>
    </w:pPr>
    <w:rPr>
      <w:rFonts w:ascii="宋体" w:hAnsi="宋体" w:cs="宋体"/>
      <w:sz w:val="24"/>
      <w:szCs w:val="20"/>
    </w:rPr>
  </w:style>
  <w:style w:type="paragraph" w:customStyle="1" w:styleId="574">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楷体_GB2312" w:hAnsi="宋体" w:eastAsia="楷体_GB2312" w:cs="宋体"/>
      <w:kern w:val="0"/>
      <w:sz w:val="24"/>
    </w:rPr>
  </w:style>
  <w:style w:type="paragraph" w:customStyle="1" w:styleId="575">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576">
    <w:name w:val="4"/>
    <w:basedOn w:val="1"/>
    <w:autoRedefine/>
    <w:qFormat/>
    <w:uiPriority w:val="39"/>
  </w:style>
  <w:style w:type="paragraph" w:customStyle="1" w:styleId="577">
    <w:name w:val="xl36"/>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22"/>
      <w:szCs w:val="22"/>
    </w:rPr>
  </w:style>
  <w:style w:type="paragraph" w:customStyle="1" w:styleId="578">
    <w:name w:val="Char"/>
    <w:basedOn w:val="1"/>
    <w:autoRedefine/>
    <w:qFormat/>
    <w:uiPriority w:val="0"/>
    <w:pPr>
      <w:spacing w:line="360" w:lineRule="auto"/>
      <w:ind w:firstLine="200" w:firstLineChars="200"/>
    </w:pPr>
    <w:rPr>
      <w:rFonts w:ascii="宋体" w:hAnsi="宋体" w:cs="宋体"/>
      <w:sz w:val="24"/>
    </w:rPr>
  </w:style>
  <w:style w:type="paragraph" w:customStyle="1" w:styleId="579">
    <w:name w:val="Char Char Char Char Char Char Char1 Char Char Char Char Char Char Char1"/>
    <w:basedOn w:val="1"/>
    <w:autoRedefine/>
    <w:qFormat/>
    <w:uiPriority w:val="0"/>
    <w:pPr>
      <w:tabs>
        <w:tab w:val="left" w:pos="432"/>
      </w:tabs>
      <w:ind w:left="432" w:hanging="432"/>
    </w:pPr>
    <w:rPr>
      <w:rFonts w:ascii="Tahoma" w:hAnsi="Tahoma"/>
      <w:sz w:val="24"/>
      <w:szCs w:val="20"/>
    </w:rPr>
  </w:style>
  <w:style w:type="paragraph" w:customStyle="1" w:styleId="580">
    <w:name w:val="无间隔1"/>
    <w:autoRedefine/>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581">
    <w:name w:val="Char Char Char Char Char Char Char"/>
    <w:basedOn w:val="1"/>
    <w:autoRedefine/>
    <w:qFormat/>
    <w:uiPriority w:val="0"/>
    <w:rPr>
      <w:sz w:val="24"/>
    </w:rPr>
  </w:style>
  <w:style w:type="paragraph" w:customStyle="1" w:styleId="582">
    <w:name w:val="正文2 Char Char Char Char Char Char Char Char Char Char Char Char1 Char Char Char Char Char Char Char Char1 Char Char Char Char Char Char"/>
    <w:basedOn w:val="1"/>
    <w:autoRedefine/>
    <w:qFormat/>
    <w:uiPriority w:val="0"/>
    <w:pPr>
      <w:widowControl/>
      <w:spacing w:line="400" w:lineRule="exact"/>
      <w:jc w:val="center"/>
    </w:pPr>
    <w:rPr>
      <w:rFonts w:ascii="Verdana" w:hAnsi="Verdana"/>
      <w:kern w:val="0"/>
      <w:szCs w:val="20"/>
      <w:lang w:eastAsia="en-US"/>
    </w:rPr>
  </w:style>
  <w:style w:type="paragraph" w:customStyle="1" w:styleId="583">
    <w:name w:val="1级标题"/>
    <w:basedOn w:val="1"/>
    <w:autoRedefine/>
    <w:qFormat/>
    <w:uiPriority w:val="0"/>
    <w:pPr>
      <w:spacing w:before="60" w:line="460" w:lineRule="exact"/>
      <w:outlineLvl w:val="0"/>
    </w:pPr>
    <w:rPr>
      <w:rFonts w:ascii="Arial" w:hAnsi="Arial"/>
      <w:b/>
      <w:bCs/>
      <w:sz w:val="32"/>
      <w:szCs w:val="28"/>
    </w:rPr>
  </w:style>
  <w:style w:type="paragraph" w:customStyle="1" w:styleId="584">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85">
    <w:name w:val="常用责任表文字"/>
    <w:basedOn w:val="344"/>
    <w:next w:val="344"/>
    <w:autoRedefine/>
    <w:qFormat/>
    <w:uiPriority w:val="99"/>
    <w:pPr>
      <w:spacing w:line="480" w:lineRule="auto"/>
      <w:ind w:firstLine="0"/>
    </w:pPr>
  </w:style>
  <w:style w:type="paragraph" w:customStyle="1" w:styleId="586">
    <w:name w:val="bt2"/>
    <w:basedOn w:val="1"/>
    <w:autoRedefine/>
    <w:qFormat/>
    <w:uiPriority w:val="0"/>
    <w:pPr>
      <w:autoSpaceDE w:val="0"/>
      <w:autoSpaceDN w:val="0"/>
      <w:adjustRightInd w:val="0"/>
      <w:spacing w:line="360" w:lineRule="auto"/>
    </w:pPr>
    <w:rPr>
      <w:rFonts w:ascii="宋体"/>
      <w:b/>
      <w:kern w:val="0"/>
      <w:sz w:val="28"/>
      <w:szCs w:val="20"/>
    </w:rPr>
  </w:style>
  <w:style w:type="paragraph" w:customStyle="1" w:styleId="587">
    <w:name w:val="Char Char1 Char Char Char Char Char Char Char Char Char Char Char Char Char Char Char Char Char Char1"/>
    <w:basedOn w:val="1"/>
    <w:autoRedefine/>
    <w:qFormat/>
    <w:uiPriority w:val="0"/>
    <w:pPr>
      <w:spacing w:line="360" w:lineRule="auto"/>
      <w:ind w:firstLine="200" w:firstLineChars="200"/>
    </w:pPr>
    <w:rPr>
      <w:rFonts w:ascii="宋体" w:hAnsi="宋体" w:cs="宋体"/>
      <w:sz w:val="24"/>
    </w:rPr>
  </w:style>
  <w:style w:type="paragraph" w:customStyle="1" w:styleId="588">
    <w:name w:val="Char Char Char Char"/>
    <w:basedOn w:val="1"/>
    <w:autoRedefine/>
    <w:qFormat/>
    <w:uiPriority w:val="0"/>
    <w:pPr>
      <w:spacing w:line="360" w:lineRule="auto"/>
      <w:ind w:firstLine="200" w:firstLineChars="200"/>
    </w:pPr>
    <w:rPr>
      <w:rFonts w:ascii="宋体" w:hAnsi="宋体" w:cs="宋体"/>
      <w:sz w:val="24"/>
    </w:rPr>
  </w:style>
  <w:style w:type="paragraph" w:customStyle="1" w:styleId="589">
    <w:name w:val="默认段落字体 Para Char Char Char Char Char Char Char Char Char Char"/>
    <w:basedOn w:val="6"/>
    <w:autoRedefine/>
    <w:qFormat/>
    <w:uiPriority w:val="0"/>
    <w:pPr>
      <w:tabs>
        <w:tab w:val="left" w:pos="360"/>
        <w:tab w:val="left" w:pos="900"/>
      </w:tabs>
      <w:snapToGrid w:val="0"/>
      <w:spacing w:before="120" w:after="120" w:line="360" w:lineRule="auto"/>
      <w:ind w:left="542" w:leftChars="-12" w:firstLine="200" w:firstLineChars="200"/>
      <w:jc w:val="left"/>
    </w:pPr>
    <w:rPr>
      <w:rFonts w:eastAsia="黑体"/>
      <w:b w:val="0"/>
      <w:bCs w:val="0"/>
      <w:sz w:val="24"/>
      <w:szCs w:val="24"/>
    </w:rPr>
  </w:style>
  <w:style w:type="paragraph" w:customStyle="1" w:styleId="590">
    <w:name w:val="样式2"/>
    <w:basedOn w:val="5"/>
    <w:autoRedefine/>
    <w:qFormat/>
    <w:uiPriority w:val="99"/>
    <w:pPr>
      <w:spacing w:line="360" w:lineRule="auto"/>
      <w:ind w:firstLine="480" w:firstLineChars="200"/>
    </w:pPr>
    <w:rPr>
      <w:rFonts w:ascii="Arial" w:hAnsi="Arial" w:cs="Arial"/>
      <w:kern w:val="0"/>
      <w:sz w:val="24"/>
      <w:szCs w:val="24"/>
    </w:rPr>
  </w:style>
  <w:style w:type="paragraph" w:customStyle="1" w:styleId="591">
    <w:name w:val="T正文"/>
    <w:autoRedefine/>
    <w:qFormat/>
    <w:uiPriority w:val="99"/>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592">
    <w:name w:val="正文样式1"/>
    <w:basedOn w:val="1"/>
    <w:autoRedefine/>
    <w:qFormat/>
    <w:uiPriority w:val="99"/>
    <w:pPr>
      <w:adjustRightInd w:val="0"/>
      <w:spacing w:line="288" w:lineRule="auto"/>
      <w:ind w:firstLine="360" w:firstLineChars="150"/>
      <w:textAlignment w:val="baseline"/>
    </w:pPr>
    <w:rPr>
      <w:kern w:val="0"/>
      <w:sz w:val="24"/>
      <w:szCs w:val="20"/>
    </w:rPr>
  </w:style>
  <w:style w:type="paragraph" w:customStyle="1" w:styleId="593">
    <w:name w:val="Char3 Char Char Char"/>
    <w:basedOn w:val="1"/>
    <w:autoRedefine/>
    <w:qFormat/>
    <w:uiPriority w:val="0"/>
    <w:pPr>
      <w:spacing w:line="360" w:lineRule="auto"/>
      <w:ind w:firstLine="200" w:firstLineChars="200"/>
    </w:pPr>
    <w:rPr>
      <w:rFonts w:ascii="宋体" w:hAnsi="宋体" w:cs="宋体"/>
      <w:sz w:val="24"/>
    </w:rPr>
  </w:style>
  <w:style w:type="paragraph" w:customStyle="1" w:styleId="594">
    <w:name w:val="Body Text 22"/>
    <w:basedOn w:val="1"/>
    <w:autoRedefine/>
    <w:qFormat/>
    <w:uiPriority w:val="0"/>
    <w:pPr>
      <w:adjustRightInd w:val="0"/>
      <w:spacing w:line="440" w:lineRule="atLeast"/>
      <w:ind w:firstLine="480"/>
      <w:textAlignment w:val="baseline"/>
    </w:pPr>
    <w:rPr>
      <w:rFonts w:eastAsia="仿宋_GB2312"/>
      <w:sz w:val="24"/>
      <w:szCs w:val="20"/>
    </w:rPr>
  </w:style>
  <w:style w:type="paragraph" w:customStyle="1" w:styleId="595">
    <w:name w:val="xl38"/>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pPr>
    <w:rPr>
      <w:rFonts w:ascii="Arial Unicode MS" w:hAnsi="Arial Unicode MS"/>
      <w:kern w:val="0"/>
      <w:sz w:val="22"/>
      <w:szCs w:val="22"/>
    </w:rPr>
  </w:style>
  <w:style w:type="paragraph" w:customStyle="1" w:styleId="596">
    <w:name w:val="Char Char2 Char Char Char Char"/>
    <w:basedOn w:val="1"/>
    <w:autoRedefine/>
    <w:qFormat/>
    <w:uiPriority w:val="0"/>
    <w:rPr>
      <w:szCs w:val="20"/>
    </w:rPr>
  </w:style>
  <w:style w:type="paragraph" w:customStyle="1" w:styleId="597">
    <w:name w:val="五号表格"/>
    <w:basedOn w:val="1"/>
    <w:autoRedefine/>
    <w:qFormat/>
    <w:uiPriority w:val="0"/>
    <w:pPr>
      <w:spacing w:line="360" w:lineRule="auto"/>
      <w:jc w:val="center"/>
    </w:pPr>
    <w:rPr>
      <w:kern w:val="0"/>
      <w:sz w:val="24"/>
      <w:szCs w:val="20"/>
    </w:rPr>
  </w:style>
  <w:style w:type="paragraph" w:customStyle="1" w:styleId="598">
    <w:name w:val="表格2"/>
    <w:basedOn w:val="1"/>
    <w:autoRedefine/>
    <w:qFormat/>
    <w:uiPriority w:val="0"/>
    <w:pPr>
      <w:spacing w:line="360" w:lineRule="atLeast"/>
      <w:jc w:val="center"/>
    </w:pPr>
  </w:style>
  <w:style w:type="paragraph" w:customStyle="1" w:styleId="599">
    <w:name w:val="标题3本文 Char Char Char Char"/>
    <w:basedOn w:val="6"/>
    <w:next w:val="1"/>
    <w:autoRedefine/>
    <w:qFormat/>
    <w:uiPriority w:val="0"/>
    <w:pPr>
      <w:keepNext w:val="0"/>
      <w:tabs>
        <w:tab w:val="left" w:pos="709"/>
      </w:tabs>
      <w:spacing w:before="360" w:after="240" w:line="360" w:lineRule="auto"/>
    </w:pPr>
    <w:rPr>
      <w:rFonts w:cs="宋体"/>
      <w:b w:val="0"/>
      <w:bCs w:val="0"/>
      <w:sz w:val="24"/>
      <w:szCs w:val="24"/>
    </w:rPr>
  </w:style>
  <w:style w:type="paragraph" w:customStyle="1" w:styleId="600">
    <w:name w:val="xl22"/>
    <w:basedOn w:val="1"/>
    <w:autoRedefine/>
    <w:qFormat/>
    <w:uiPriority w:val="0"/>
    <w:pPr>
      <w:widowControl/>
      <w:spacing w:before="100" w:after="100"/>
      <w:jc w:val="center"/>
    </w:pPr>
    <w:rPr>
      <w:kern w:val="0"/>
      <w:sz w:val="24"/>
    </w:rPr>
  </w:style>
  <w:style w:type="paragraph" w:customStyle="1" w:styleId="601">
    <w:name w:val="表格文字"/>
    <w:basedOn w:val="36"/>
    <w:autoRedefine/>
    <w:qFormat/>
    <w:uiPriority w:val="0"/>
    <w:pPr>
      <w:spacing w:line="400" w:lineRule="exact"/>
    </w:pPr>
    <w:rPr>
      <w:rFonts w:ascii="宋体" w:hAnsi="宋体"/>
    </w:rPr>
  </w:style>
  <w:style w:type="paragraph" w:customStyle="1" w:styleId="602">
    <w:name w:val="Char Char Char Char Char Char Char1"/>
    <w:basedOn w:val="1"/>
    <w:autoRedefine/>
    <w:qFormat/>
    <w:uiPriority w:val="99"/>
    <w:rPr>
      <w:sz w:val="24"/>
    </w:rPr>
  </w:style>
  <w:style w:type="paragraph" w:customStyle="1" w:styleId="603">
    <w:name w:val="font9"/>
    <w:basedOn w:val="1"/>
    <w:autoRedefine/>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604">
    <w:name w:val="font7"/>
    <w:basedOn w:val="1"/>
    <w:autoRedefine/>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605">
    <w:name w:val="Char Char Char Char Char Char Char Char2"/>
    <w:basedOn w:val="1"/>
    <w:autoRedefine/>
    <w:qFormat/>
    <w:uiPriority w:val="0"/>
    <w:pPr>
      <w:widowControl/>
      <w:jc w:val="left"/>
    </w:pPr>
    <w:rPr>
      <w:rFonts w:ascii="Tahoma" w:hAnsi="Tahoma" w:cs="Tahoma"/>
      <w:color w:val="000000"/>
      <w:kern w:val="0"/>
      <w:sz w:val="24"/>
    </w:rPr>
  </w:style>
  <w:style w:type="paragraph" w:customStyle="1" w:styleId="606">
    <w:name w:val="正文段落"/>
    <w:basedOn w:val="1"/>
    <w:autoRedefine/>
    <w:qFormat/>
    <w:uiPriority w:val="0"/>
    <w:pPr>
      <w:spacing w:line="360" w:lineRule="auto"/>
    </w:pPr>
    <w:rPr>
      <w:spacing w:val="8"/>
      <w:sz w:val="24"/>
      <w:szCs w:val="20"/>
    </w:rPr>
  </w:style>
  <w:style w:type="paragraph" w:customStyle="1" w:styleId="607">
    <w:name w:val="opsom1"/>
    <w:basedOn w:val="18"/>
    <w:autoRedefine/>
    <w:qFormat/>
    <w:uiPriority w:val="0"/>
    <w:pPr>
      <w:widowControl/>
      <w:spacing w:line="360" w:lineRule="auto"/>
      <w:ind w:left="284" w:hanging="284"/>
      <w:jc w:val="left"/>
    </w:pPr>
    <w:rPr>
      <w:rFonts w:ascii="Arial" w:hAnsi="Arial" w:eastAsia="Times New Roman"/>
      <w:kern w:val="0"/>
      <w:sz w:val="22"/>
      <w:szCs w:val="20"/>
      <w:lang w:val="nl" w:eastAsia="en-US"/>
    </w:rPr>
  </w:style>
  <w:style w:type="paragraph" w:customStyle="1" w:styleId="608">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24"/>
    </w:rPr>
  </w:style>
  <w:style w:type="paragraph" w:customStyle="1" w:styleId="609">
    <w:name w:val="p18"/>
    <w:basedOn w:val="1"/>
    <w:autoRedefine/>
    <w:qFormat/>
    <w:uiPriority w:val="99"/>
    <w:pPr>
      <w:widowControl/>
      <w:spacing w:line="360" w:lineRule="atLeast"/>
      <w:jc w:val="center"/>
    </w:pPr>
    <w:rPr>
      <w:kern w:val="0"/>
    </w:rPr>
  </w:style>
  <w:style w:type="paragraph" w:customStyle="1" w:styleId="610">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611">
    <w:name w:val="小四"/>
    <w:basedOn w:val="1"/>
    <w:autoRedefine/>
    <w:qFormat/>
    <w:uiPriority w:val="0"/>
    <w:rPr>
      <w:sz w:val="24"/>
    </w:rPr>
  </w:style>
  <w:style w:type="paragraph" w:customStyle="1" w:styleId="612">
    <w:name w:val="Char Char Char Char Char Char Char Char Char Char1"/>
    <w:basedOn w:val="1"/>
    <w:autoRedefine/>
    <w:qFormat/>
    <w:uiPriority w:val="0"/>
    <w:pPr>
      <w:spacing w:line="360" w:lineRule="auto"/>
      <w:ind w:firstLine="200" w:firstLineChars="200"/>
    </w:pPr>
    <w:rPr>
      <w:rFonts w:ascii="宋体" w:hAnsi="宋体" w:cs="宋体"/>
      <w:sz w:val="24"/>
    </w:rPr>
  </w:style>
  <w:style w:type="paragraph" w:customStyle="1" w:styleId="613">
    <w:name w:val="样式 正文首行缩进 + 首行缩进:  2 字符1"/>
    <w:basedOn w:val="29"/>
    <w:autoRedefine/>
    <w:qFormat/>
    <w:uiPriority w:val="0"/>
    <w:pPr>
      <w:adjustRightInd/>
      <w:ind w:firstLine="480" w:firstLineChars="200"/>
      <w:textAlignment w:val="auto"/>
    </w:pPr>
    <w:rPr>
      <w:rFonts w:ascii="Times New Roman"/>
      <w:kern w:val="2"/>
      <w:szCs w:val="24"/>
    </w:rPr>
  </w:style>
  <w:style w:type="paragraph" w:customStyle="1" w:styleId="614">
    <w:name w:val="标题四 y"/>
    <w:autoRedefine/>
    <w:qFormat/>
    <w:uiPriority w:val="0"/>
    <w:pPr>
      <w:spacing w:line="480" w:lineRule="exact"/>
      <w:outlineLvl w:val="3"/>
    </w:pPr>
    <w:rPr>
      <w:rFonts w:ascii="Times New Roman" w:hAnsi="Times New Roman" w:eastAsia="宋体" w:cs="Times New Roman"/>
      <w:b/>
      <w:bCs/>
      <w:kern w:val="2"/>
      <w:sz w:val="24"/>
      <w:szCs w:val="24"/>
      <w:lang w:val="en-US" w:eastAsia="zh-CN" w:bidi="ar-SA"/>
    </w:rPr>
  </w:style>
  <w:style w:type="paragraph" w:customStyle="1" w:styleId="615">
    <w:name w:val="正文-1"/>
    <w:basedOn w:val="1"/>
    <w:autoRedefine/>
    <w:qFormat/>
    <w:uiPriority w:val="0"/>
    <w:pPr>
      <w:spacing w:line="560" w:lineRule="exact"/>
      <w:ind w:firstLine="200" w:firstLineChars="200"/>
    </w:pPr>
    <w:rPr>
      <w:rFonts w:eastAsia="仿宋_GB2312"/>
      <w:kern w:val="0"/>
      <w:sz w:val="32"/>
    </w:rPr>
  </w:style>
  <w:style w:type="paragraph" w:customStyle="1" w:styleId="616">
    <w:name w:val="Char Char Char Char Char Char Char Char Char Char Char Char Char1"/>
    <w:basedOn w:val="1"/>
    <w:autoRedefine/>
    <w:qFormat/>
    <w:uiPriority w:val="0"/>
    <w:pPr>
      <w:tabs>
        <w:tab w:val="left" w:pos="432"/>
      </w:tabs>
      <w:ind w:left="432" w:hanging="432"/>
    </w:pPr>
    <w:rPr>
      <w:rFonts w:ascii="Tahoma" w:hAnsi="Tahoma"/>
      <w:sz w:val="24"/>
      <w:szCs w:val="20"/>
    </w:rPr>
  </w:style>
  <w:style w:type="paragraph" w:customStyle="1" w:styleId="617">
    <w:name w:val="方程"/>
    <w:basedOn w:val="1"/>
    <w:autoRedefine/>
    <w:qFormat/>
    <w:uiPriority w:val="0"/>
    <w:pPr>
      <w:widowControl/>
      <w:overflowPunct w:val="0"/>
      <w:adjustRightInd w:val="0"/>
      <w:spacing w:before="60" w:after="60" w:line="440" w:lineRule="atLeast"/>
      <w:ind w:firstLine="482"/>
      <w:jc w:val="center"/>
      <w:textAlignment w:val="bottom"/>
    </w:pPr>
    <w:rPr>
      <w:rFonts w:ascii="CG Times (W1)" w:hAnsi="CG Times (W1)"/>
      <w:kern w:val="0"/>
      <w:sz w:val="28"/>
      <w:szCs w:val="20"/>
    </w:rPr>
  </w:style>
  <w:style w:type="paragraph" w:customStyle="1" w:styleId="618">
    <w:name w:val="pa-6"/>
    <w:basedOn w:val="1"/>
    <w:autoRedefine/>
    <w:qFormat/>
    <w:uiPriority w:val="0"/>
    <w:pPr>
      <w:widowControl/>
      <w:spacing w:before="150" w:after="150"/>
      <w:jc w:val="left"/>
    </w:pPr>
    <w:rPr>
      <w:rFonts w:ascii="宋体" w:hAnsi="宋体" w:cs="宋体"/>
      <w:kern w:val="0"/>
      <w:sz w:val="24"/>
    </w:rPr>
  </w:style>
  <w:style w:type="paragraph" w:customStyle="1" w:styleId="619">
    <w:name w:val="二级无标题条"/>
    <w:basedOn w:val="1"/>
    <w:autoRedefine/>
    <w:qFormat/>
    <w:uiPriority w:val="0"/>
  </w:style>
  <w:style w:type="paragraph" w:customStyle="1" w:styleId="620">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621">
    <w:name w:val="其他正文"/>
    <w:basedOn w:val="1"/>
    <w:autoRedefine/>
    <w:qFormat/>
    <w:uiPriority w:val="0"/>
    <w:pPr>
      <w:spacing w:line="440" w:lineRule="exact"/>
      <w:ind w:firstLine="200" w:firstLineChars="200"/>
    </w:pPr>
    <w:rPr>
      <w:rFonts w:ascii="Arial" w:hAnsi="Arial" w:cs="Arial"/>
      <w:kern w:val="0"/>
      <w:sz w:val="24"/>
      <w:szCs w:val="20"/>
    </w:rPr>
  </w:style>
  <w:style w:type="paragraph" w:customStyle="1" w:styleId="622">
    <w:name w:val="Char Char Char Char Char Char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23">
    <w:name w:val="样式12"/>
    <w:basedOn w:val="1"/>
    <w:autoRedefine/>
    <w:qFormat/>
    <w:uiPriority w:val="99"/>
    <w:pPr>
      <w:spacing w:line="360" w:lineRule="auto"/>
    </w:pPr>
    <w:rPr>
      <w:rFonts w:ascii="Arial" w:hAnsi="Arial"/>
      <w:b/>
      <w:szCs w:val="20"/>
    </w:rPr>
  </w:style>
  <w:style w:type="paragraph" w:customStyle="1" w:styleId="624">
    <w:name w:val="Char Char"/>
    <w:basedOn w:val="1"/>
    <w:autoRedefine/>
    <w:semiHidden/>
    <w:qFormat/>
    <w:uiPriority w:val="0"/>
    <w:pPr>
      <w:tabs>
        <w:tab w:val="left" w:pos="426"/>
      </w:tabs>
      <w:ind w:left="426" w:hanging="420"/>
    </w:pPr>
    <w:rPr>
      <w:sz w:val="24"/>
    </w:rPr>
  </w:style>
  <w:style w:type="paragraph" w:customStyle="1" w:styleId="625">
    <w:name w:val="普通(网站)21"/>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626">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627">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628">
    <w:name w:val="表头 y"/>
    <w:autoRedefine/>
    <w:qFormat/>
    <w:uiPriority w:val="0"/>
    <w:pPr>
      <w:spacing w:line="440" w:lineRule="exact"/>
      <w:ind w:firstLine="200" w:firstLineChars="200"/>
      <w:jc w:val="center"/>
    </w:pPr>
    <w:rPr>
      <w:rFonts w:ascii="Times New Roman" w:hAnsi="Times New Roman" w:eastAsia="宋体" w:cs="Times New Roman"/>
      <w:b/>
      <w:kern w:val="2"/>
      <w:sz w:val="21"/>
      <w:szCs w:val="21"/>
      <w:lang w:val="en-US" w:eastAsia="zh-CN" w:bidi="ar-SA"/>
    </w:rPr>
  </w:style>
  <w:style w:type="paragraph" w:customStyle="1" w:styleId="629">
    <w:name w:val="编号1"/>
    <w:basedOn w:val="1"/>
    <w:autoRedefine/>
    <w:qFormat/>
    <w:uiPriority w:val="0"/>
    <w:pPr>
      <w:tabs>
        <w:tab w:val="left" w:pos="900"/>
      </w:tabs>
      <w:ind w:left="900" w:hanging="360"/>
    </w:pPr>
    <w:rPr>
      <w:szCs w:val="20"/>
    </w:rPr>
  </w:style>
  <w:style w:type="paragraph" w:customStyle="1" w:styleId="630">
    <w:name w:val="表格001"/>
    <w:basedOn w:val="1"/>
    <w:autoRedefine/>
    <w:qFormat/>
    <w:uiPriority w:val="0"/>
    <w:pPr>
      <w:jc w:val="center"/>
    </w:pPr>
    <w:rPr>
      <w:kern w:val="0"/>
      <w:sz w:val="20"/>
    </w:rPr>
  </w:style>
  <w:style w:type="paragraph" w:customStyle="1" w:styleId="631">
    <w:name w:val="样式 正文01 + Times New Roman 首行缩进:  2 字符"/>
    <w:basedOn w:val="143"/>
    <w:autoRedefine/>
    <w:qFormat/>
    <w:uiPriority w:val="0"/>
    <w:pPr>
      <w:spacing w:line="460" w:lineRule="exact"/>
      <w:ind w:firstLine="200" w:firstLineChars="200"/>
    </w:pPr>
    <w:rPr>
      <w:rFonts w:cs="宋体"/>
      <w:sz w:val="24"/>
      <w:szCs w:val="24"/>
    </w:rPr>
  </w:style>
  <w:style w:type="paragraph" w:customStyle="1" w:styleId="632">
    <w:name w:val="1正文段落"/>
    <w:basedOn w:val="1"/>
    <w:autoRedefine/>
    <w:qFormat/>
    <w:uiPriority w:val="99"/>
    <w:pPr>
      <w:spacing w:line="360" w:lineRule="auto"/>
      <w:ind w:firstLine="480" w:firstLineChars="200"/>
      <w:jc w:val="left"/>
    </w:pPr>
    <w:rPr>
      <w:kern w:val="0"/>
      <w:sz w:val="24"/>
    </w:rPr>
  </w:style>
  <w:style w:type="paragraph" w:customStyle="1" w:styleId="633">
    <w:name w:val="2级标题"/>
    <w:basedOn w:val="1"/>
    <w:autoRedefine/>
    <w:qFormat/>
    <w:uiPriority w:val="0"/>
    <w:pPr>
      <w:spacing w:before="60" w:line="460" w:lineRule="exact"/>
      <w:outlineLvl w:val="1"/>
    </w:pPr>
    <w:rPr>
      <w:rFonts w:ascii="Arial" w:hAnsi="Arial"/>
      <w:b/>
      <w:sz w:val="28"/>
      <w:szCs w:val="20"/>
    </w:rPr>
  </w:style>
  <w:style w:type="paragraph" w:customStyle="1" w:styleId="634">
    <w:name w:val="样式 正文（首行缩进两字） + 行距: 固定值 20 磅"/>
    <w:basedOn w:val="5"/>
    <w:autoRedefine/>
    <w:qFormat/>
    <w:uiPriority w:val="0"/>
    <w:pPr>
      <w:spacing w:after="62" w:afterLines="20" w:line="400" w:lineRule="exact"/>
      <w:ind w:firstLine="480" w:firstLineChars="200"/>
    </w:pPr>
    <w:rPr>
      <w:sz w:val="24"/>
    </w:rPr>
  </w:style>
  <w:style w:type="paragraph" w:customStyle="1" w:styleId="635">
    <w:name w:val="Table Paragraph"/>
    <w:basedOn w:val="1"/>
    <w:next w:val="1"/>
    <w:autoRedefine/>
    <w:qFormat/>
    <w:uiPriority w:val="1"/>
    <w:pPr>
      <w:widowControl/>
      <w:jc w:val="left"/>
    </w:pPr>
    <w:rPr>
      <w:rFonts w:ascii="Calibri" w:hAnsi="Calibri"/>
      <w:kern w:val="0"/>
      <w:sz w:val="22"/>
      <w:szCs w:val="22"/>
    </w:rPr>
  </w:style>
  <w:style w:type="paragraph" w:customStyle="1" w:styleId="636">
    <w:name w:val="font0"/>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637">
    <w:name w:val="xl27"/>
    <w:basedOn w:val="1"/>
    <w:autoRedefine/>
    <w:qFormat/>
    <w:uiPriority w:val="0"/>
    <w:pPr>
      <w:widowControl/>
      <w:pBdr>
        <w:bottom w:val="single" w:color="auto" w:sz="4" w:space="0"/>
        <w:right w:val="single" w:color="auto" w:sz="4" w:space="0"/>
      </w:pBdr>
      <w:spacing w:before="100" w:beforeAutospacing="1" w:after="100" w:afterAutospacing="1"/>
      <w:jc w:val="center"/>
    </w:pPr>
    <w:rPr>
      <w:rFonts w:hint="eastAsia" w:ascii="仿宋_GB2312" w:hAnsi="Arial Unicode MS"/>
      <w:kern w:val="0"/>
      <w:szCs w:val="20"/>
    </w:rPr>
  </w:style>
  <w:style w:type="paragraph" w:customStyle="1" w:styleId="638">
    <w:name w:val="xl55"/>
    <w:basedOn w:val="1"/>
    <w:autoRedefine/>
    <w:qFormat/>
    <w:uiPriority w:val="0"/>
    <w:pPr>
      <w:widowControl/>
      <w:pBdr>
        <w:bottom w:val="single" w:color="auto" w:sz="4" w:space="0"/>
      </w:pBdr>
      <w:spacing w:before="100" w:beforeAutospacing="1" w:after="100" w:afterAutospacing="1"/>
      <w:jc w:val="left"/>
    </w:pPr>
    <w:rPr>
      <w:rFonts w:ascii="宋体" w:hAnsi="宋体"/>
      <w:kern w:val="0"/>
      <w:sz w:val="24"/>
    </w:rPr>
  </w:style>
  <w:style w:type="paragraph" w:customStyle="1" w:styleId="639">
    <w:name w:val="Char Char Char Char1"/>
    <w:basedOn w:val="1"/>
    <w:autoRedefine/>
    <w:qFormat/>
    <w:uiPriority w:val="0"/>
    <w:pPr>
      <w:spacing w:line="360" w:lineRule="auto"/>
      <w:ind w:firstLine="200" w:firstLineChars="200"/>
    </w:pPr>
    <w:rPr>
      <w:rFonts w:ascii="宋体" w:hAnsi="宋体" w:cs="宋体"/>
      <w:sz w:val="24"/>
    </w:rPr>
  </w:style>
  <w:style w:type="paragraph" w:customStyle="1" w:styleId="640">
    <w:name w:val="xl77"/>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641">
    <w:name w:val="Char4"/>
    <w:basedOn w:val="1"/>
    <w:autoRedefine/>
    <w:qFormat/>
    <w:uiPriority w:val="0"/>
    <w:pPr>
      <w:spacing w:line="360" w:lineRule="auto"/>
      <w:ind w:firstLine="200" w:firstLineChars="200"/>
    </w:pPr>
    <w:rPr>
      <w:rFonts w:ascii="宋体" w:hAnsi="宋体" w:cs="宋体"/>
      <w:sz w:val="24"/>
    </w:rPr>
  </w:style>
  <w:style w:type="paragraph" w:customStyle="1" w:styleId="642">
    <w:name w:val="纯文本21"/>
    <w:basedOn w:val="1"/>
    <w:autoRedefine/>
    <w:qFormat/>
    <w:uiPriority w:val="0"/>
    <w:pPr>
      <w:adjustRightInd w:val="0"/>
      <w:textAlignment w:val="baseline"/>
    </w:pPr>
    <w:rPr>
      <w:rFonts w:ascii="宋体" w:hAnsi="Courier New"/>
      <w:szCs w:val="20"/>
    </w:rPr>
  </w:style>
  <w:style w:type="paragraph" w:customStyle="1" w:styleId="643">
    <w:name w:val="表后正文"/>
    <w:basedOn w:val="36"/>
    <w:autoRedefine/>
    <w:qFormat/>
    <w:uiPriority w:val="0"/>
    <w:pPr>
      <w:adjustRightInd w:val="0"/>
      <w:spacing w:before="156" w:beforeLines="50"/>
      <w:ind w:firstLine="560"/>
      <w:jc w:val="both"/>
      <w:textAlignment w:val="baseline"/>
    </w:pPr>
    <w:rPr>
      <w:rFonts w:eastAsia="楷体_GB2312"/>
      <w:color w:val="000000"/>
      <w:sz w:val="28"/>
      <w:szCs w:val="20"/>
    </w:rPr>
  </w:style>
  <w:style w:type="paragraph" w:customStyle="1" w:styleId="644">
    <w:name w:val="表题"/>
    <w:basedOn w:val="1"/>
    <w:autoRedefine/>
    <w:qFormat/>
    <w:uiPriority w:val="0"/>
    <w:pPr>
      <w:snapToGrid w:val="0"/>
      <w:jc w:val="center"/>
    </w:pPr>
    <w:rPr>
      <w:rFonts w:eastAsia="黑体"/>
      <w:sz w:val="24"/>
      <w:szCs w:val="20"/>
    </w:rPr>
  </w:style>
  <w:style w:type="paragraph" w:customStyle="1" w:styleId="645">
    <w:name w:val="Char22"/>
    <w:basedOn w:val="1"/>
    <w:autoRedefine/>
    <w:qFormat/>
    <w:uiPriority w:val="0"/>
    <w:pPr>
      <w:spacing w:line="360" w:lineRule="auto"/>
      <w:ind w:firstLine="200" w:firstLineChars="200"/>
    </w:pPr>
    <w:rPr>
      <w:rFonts w:ascii="宋体" w:hAnsi="宋体" w:cs="宋体"/>
      <w:sz w:val="24"/>
    </w:rPr>
  </w:style>
  <w:style w:type="paragraph" w:customStyle="1" w:styleId="646">
    <w:name w:val="样式 样式 标题 2 + Times New Roman + 段前: 0.5 行 段后: 0.5 行1"/>
    <w:basedOn w:val="1"/>
    <w:autoRedefine/>
    <w:qFormat/>
    <w:uiPriority w:val="99"/>
    <w:pPr>
      <w:keepNext/>
      <w:keepLines/>
      <w:spacing w:line="360" w:lineRule="auto"/>
      <w:outlineLvl w:val="1"/>
    </w:pPr>
    <w:rPr>
      <w:rFonts w:cs="宋体"/>
      <w:b/>
      <w:bCs/>
      <w:sz w:val="28"/>
      <w:szCs w:val="20"/>
    </w:rPr>
  </w:style>
  <w:style w:type="paragraph" w:customStyle="1" w:styleId="647">
    <w:name w:val="阿缩进"/>
    <w:basedOn w:val="1"/>
    <w:next w:val="1"/>
    <w:autoRedefine/>
    <w:qFormat/>
    <w:uiPriority w:val="0"/>
    <w:pPr>
      <w:spacing w:line="360" w:lineRule="auto"/>
      <w:ind w:firstLine="880" w:firstLineChars="200"/>
    </w:pPr>
    <w:rPr>
      <w:sz w:val="22"/>
      <w:szCs w:val="20"/>
    </w:rPr>
  </w:style>
  <w:style w:type="paragraph" w:customStyle="1" w:styleId="648">
    <w:name w:val="表格下方正文"/>
    <w:basedOn w:val="1"/>
    <w:autoRedefine/>
    <w:qFormat/>
    <w:uiPriority w:val="0"/>
    <w:pPr>
      <w:spacing w:before="400" w:line="460" w:lineRule="exact"/>
      <w:ind w:firstLine="200" w:firstLineChars="200"/>
    </w:pPr>
    <w:rPr>
      <w:rFonts w:eastAsia="仿宋_GB2312"/>
      <w:sz w:val="24"/>
      <w:szCs w:val="20"/>
    </w:rPr>
  </w:style>
  <w:style w:type="paragraph" w:customStyle="1" w:styleId="649">
    <w:name w:val="表4.6-1"/>
    <w:autoRedefine/>
    <w:qFormat/>
    <w:uiPriority w:val="0"/>
    <w:pPr>
      <w:numPr>
        <w:ilvl w:val="0"/>
        <w:numId w:val="4"/>
      </w:numPr>
      <w:spacing w:line="320" w:lineRule="exact"/>
      <w:ind w:left="0" w:firstLine="0"/>
      <w:jc w:val="center"/>
      <w:outlineLvl w:val="4"/>
    </w:pPr>
    <w:rPr>
      <w:rFonts w:ascii="Arial" w:hAnsi="Arial" w:eastAsia="宋体" w:cs="Times New Roman"/>
      <w:kern w:val="2"/>
      <w:sz w:val="24"/>
      <w:szCs w:val="21"/>
      <w:lang w:val="en-US" w:eastAsia="zh-CN" w:bidi="ar-SA"/>
    </w:rPr>
  </w:style>
  <w:style w:type="paragraph" w:customStyle="1" w:styleId="650">
    <w:name w:val="样式13"/>
    <w:basedOn w:val="1"/>
    <w:autoRedefine/>
    <w:qFormat/>
    <w:uiPriority w:val="99"/>
    <w:pPr>
      <w:spacing w:line="360" w:lineRule="auto"/>
      <w:ind w:firstLine="480" w:firstLineChars="200"/>
    </w:pPr>
    <w:rPr>
      <w:rFonts w:ascii="Arial" w:hAnsi="Arial" w:cs="Arial"/>
      <w:sz w:val="24"/>
    </w:rPr>
  </w:style>
  <w:style w:type="paragraph" w:customStyle="1" w:styleId="651">
    <w:name w:val="Char Char Char Char Char Char1 Char2"/>
    <w:basedOn w:val="1"/>
    <w:autoRedefine/>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652">
    <w:name w:val="xl26"/>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653">
    <w:name w:val="表格标题-都"/>
    <w:basedOn w:val="516"/>
    <w:autoRedefine/>
    <w:qFormat/>
    <w:uiPriority w:val="0"/>
    <w:pPr>
      <w:widowControl/>
      <w:tabs>
        <w:tab w:val="left" w:pos="0"/>
      </w:tabs>
      <w:snapToGrid w:val="0"/>
      <w:spacing w:line="440" w:lineRule="exact"/>
    </w:pPr>
    <w:rPr>
      <w:rFonts w:eastAsia="黑体" w:cs="宋体"/>
      <w:b/>
      <w:kern w:val="0"/>
      <w:szCs w:val="24"/>
    </w:rPr>
  </w:style>
  <w:style w:type="paragraph" w:customStyle="1" w:styleId="654">
    <w:name w:val="Char Char1"/>
    <w:basedOn w:val="1"/>
    <w:autoRedefine/>
    <w:qFormat/>
    <w:uiPriority w:val="0"/>
    <w:pPr>
      <w:spacing w:line="360" w:lineRule="auto"/>
      <w:ind w:firstLine="200" w:firstLineChars="200"/>
    </w:pPr>
    <w:rPr>
      <w:rFonts w:ascii="宋体" w:hAnsi="宋体" w:cs="宋体"/>
      <w:sz w:val="24"/>
    </w:rPr>
  </w:style>
  <w:style w:type="paragraph" w:customStyle="1" w:styleId="655">
    <w:name w:val="xl49"/>
    <w:basedOn w:val="1"/>
    <w:autoRedefine/>
    <w:qFormat/>
    <w:uiPriority w:val="0"/>
    <w:pPr>
      <w:widowControl/>
      <w:pBdr>
        <w:bottom w:val="single" w:color="auto" w:sz="8" w:space="0"/>
      </w:pBdr>
      <w:spacing w:before="100" w:beforeAutospacing="1" w:after="100" w:afterAutospacing="1"/>
      <w:jc w:val="center"/>
    </w:pPr>
    <w:rPr>
      <w:rFonts w:ascii="宋体" w:hAnsi="宋体"/>
      <w:kern w:val="0"/>
      <w:sz w:val="24"/>
    </w:rPr>
  </w:style>
  <w:style w:type="paragraph" w:customStyle="1" w:styleId="656">
    <w:name w:val="表文"/>
    <w:basedOn w:val="2"/>
    <w:next w:val="5"/>
    <w:autoRedefine/>
    <w:qFormat/>
    <w:uiPriority w:val="99"/>
    <w:pPr>
      <w:widowControl w:val="0"/>
      <w:snapToGrid/>
      <w:spacing w:line="240" w:lineRule="auto"/>
      <w:jc w:val="center"/>
    </w:pPr>
    <w:rPr>
      <w:rFonts w:eastAsia="仿宋_GB2312"/>
      <w:kern w:val="2"/>
      <w:sz w:val="28"/>
      <w:szCs w:val="28"/>
    </w:rPr>
  </w:style>
  <w:style w:type="paragraph" w:customStyle="1" w:styleId="657">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rPr>
  </w:style>
  <w:style w:type="paragraph" w:customStyle="1" w:styleId="658">
    <w:name w:val="图文框"/>
    <w:basedOn w:val="1"/>
    <w:autoRedefine/>
    <w:qFormat/>
    <w:uiPriority w:val="99"/>
    <w:pPr>
      <w:jc w:val="center"/>
    </w:pPr>
  </w:style>
  <w:style w:type="paragraph" w:customStyle="1" w:styleId="659">
    <w:name w:val="尾注M01"/>
    <w:basedOn w:val="1"/>
    <w:autoRedefine/>
    <w:qFormat/>
    <w:uiPriority w:val="0"/>
    <w:pPr>
      <w:jc w:val="left"/>
    </w:pPr>
    <w:rPr>
      <w:rFonts w:eastAsia="黑体" w:cs="Arial"/>
      <w:kern w:val="0"/>
      <w:sz w:val="20"/>
      <w:szCs w:val="20"/>
    </w:rPr>
  </w:style>
  <w:style w:type="paragraph" w:customStyle="1" w:styleId="660">
    <w:name w:val="注释"/>
    <w:basedOn w:val="1"/>
    <w:autoRedefine/>
    <w:qFormat/>
    <w:uiPriority w:val="0"/>
    <w:pPr>
      <w:adjustRightInd w:val="0"/>
      <w:snapToGrid w:val="0"/>
      <w:spacing w:line="360" w:lineRule="exact"/>
    </w:pPr>
  </w:style>
  <w:style w:type="paragraph" w:customStyle="1" w:styleId="661">
    <w:name w:val="报告表文字1"/>
    <w:basedOn w:val="1"/>
    <w:autoRedefine/>
    <w:qFormat/>
    <w:uiPriority w:val="0"/>
    <w:pPr>
      <w:jc w:val="center"/>
    </w:pPr>
    <w:rPr>
      <w:rFonts w:ascii="宋体" w:hAnsi="宋体"/>
      <w:sz w:val="24"/>
    </w:rPr>
  </w:style>
  <w:style w:type="paragraph" w:customStyle="1" w:styleId="662">
    <w:name w:val="xl75"/>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663">
    <w:name w:val="表标题"/>
    <w:basedOn w:val="1"/>
    <w:autoRedefine/>
    <w:qFormat/>
    <w:uiPriority w:val="0"/>
    <w:pPr>
      <w:adjustRightInd w:val="0"/>
      <w:snapToGrid w:val="0"/>
      <w:spacing w:line="320" w:lineRule="exact"/>
      <w:jc w:val="center"/>
    </w:pPr>
    <w:rPr>
      <w:b/>
      <w:bCs/>
    </w:rPr>
  </w:style>
  <w:style w:type="paragraph" w:customStyle="1" w:styleId="664">
    <w:name w:val="1111111111"/>
    <w:basedOn w:val="1"/>
    <w:autoRedefine/>
    <w:qFormat/>
    <w:uiPriority w:val="0"/>
    <w:pPr>
      <w:spacing w:line="360" w:lineRule="auto"/>
      <w:ind w:firstLine="560" w:firstLineChars="200"/>
    </w:pPr>
    <w:rPr>
      <w:kern w:val="0"/>
      <w:sz w:val="28"/>
      <w:szCs w:val="20"/>
    </w:rPr>
  </w:style>
  <w:style w:type="paragraph" w:customStyle="1" w:styleId="665">
    <w:name w:val="图题i"/>
    <w:basedOn w:val="1"/>
    <w:autoRedefine/>
    <w:qFormat/>
    <w:uiPriority w:val="99"/>
    <w:rPr>
      <w:rFonts w:eastAsia="黑体"/>
      <w:sz w:val="28"/>
    </w:rPr>
  </w:style>
  <w:style w:type="paragraph" w:customStyle="1" w:styleId="666">
    <w:name w:val="样式 标题 3 + 首行缩进:  2 字符"/>
    <w:basedOn w:val="6"/>
    <w:autoRedefine/>
    <w:qFormat/>
    <w:uiPriority w:val="0"/>
    <w:pPr>
      <w:spacing w:before="30" w:after="30" w:line="500" w:lineRule="exact"/>
    </w:pPr>
    <w:rPr>
      <w:bCs w:val="0"/>
      <w:sz w:val="30"/>
      <w:szCs w:val="20"/>
    </w:rPr>
  </w:style>
  <w:style w:type="paragraph" w:customStyle="1" w:styleId="667">
    <w:name w:val="Char Char Char Char Char Char1 Char Char Char Char1"/>
    <w:basedOn w:val="1"/>
    <w:autoRedefine/>
    <w:qFormat/>
    <w:uiPriority w:val="0"/>
    <w:pPr>
      <w:spacing w:line="360" w:lineRule="auto"/>
      <w:ind w:firstLine="200" w:firstLineChars="200"/>
    </w:pPr>
  </w:style>
  <w:style w:type="table" w:customStyle="1" w:styleId="668">
    <w:name w:val="表格样式2"/>
    <w:basedOn w:val="59"/>
    <w:autoRedefine/>
    <w:qFormat/>
    <w:uiPriority w:val="0"/>
    <w:pPr>
      <w:jc w:val="center"/>
    </w:pPr>
    <w:rPr>
      <w:sz w:val="21"/>
    </w:r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669">
    <w:name w:val="表格样式1"/>
    <w:basedOn w:val="59"/>
    <w:autoRedefine/>
    <w:qFormat/>
    <w:uiPriority w:val="0"/>
    <w:pPr>
      <w:widowControl w:val="0"/>
      <w:jc w:val="center"/>
    </w:pPr>
    <w:rPr>
      <w:rFonts w:ascii="Arial" w:hAnsi="Arial"/>
      <w:sz w:val="21"/>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tblStylePr w:type="firstRow">
      <w:pPr>
        <w:jc w:val="center"/>
      </w:pPr>
      <w:rPr>
        <w:rFonts w:ascii="time" w:hAnsi="time" w:eastAsia="TimesNewRomanPSMT"/>
        <w:sz w:val="24"/>
      </w:rPr>
      <w:tblPr/>
      <w:trPr>
        <w:tblHeader/>
      </w:trPr>
      <w:tcPr>
        <w:tcBorders>
          <w:top w:val="nil"/>
          <w:left w:val="single" w:color="auto" w:sz="12" w:space="0"/>
          <w:bottom w:val="nil"/>
          <w:right w:val="nil"/>
          <w:insideH w:val="nil"/>
          <w:insideV w:val="nil"/>
          <w:tl2br w:val="nil"/>
          <w:tr2bl w:val="nil"/>
        </w:tcBorders>
      </w:tcPr>
    </w:tblStylePr>
    <w:tblStylePr w:type="lastRow">
      <w:rPr>
        <w:rFonts w:ascii="time" w:hAnsi="time" w:eastAsia="TimesNewRomanPSMT"/>
        <w:sz w:val="24"/>
      </w:rPr>
    </w:tblStylePr>
    <w:tblStylePr w:type="firstCol">
      <w:rPr>
        <w:rFonts w:ascii="time" w:hAnsi="time" w:eastAsia="TimesNewRomanPSMT"/>
        <w:sz w:val="24"/>
      </w:rPr>
    </w:tblStylePr>
    <w:tblStylePr w:type="lastCol">
      <w:rPr>
        <w:rFonts w:ascii="time" w:hAnsi="time" w:eastAsia="TimesNewRomanPSMT"/>
        <w:sz w:val="24"/>
      </w:rPr>
    </w:tblStylePr>
  </w:style>
  <w:style w:type="table" w:customStyle="1" w:styleId="670">
    <w:name w:val="网格型（pxg）1"/>
    <w:basedOn w:val="5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71">
    <w:name w:val="浅色列表1"/>
    <w:autoRedefine/>
    <w:qFormat/>
    <w:uiPriority w:val="99"/>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style>
  <w:style w:type="table" w:customStyle="1" w:styleId="672">
    <w:name w:val="Table Normal"/>
    <w:autoRedefine/>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673">
    <w:name w:val="报告书表格"/>
    <w:basedOn w:val="1"/>
    <w:autoRedefine/>
    <w:qFormat/>
    <w:uiPriority w:val="0"/>
    <w:pPr>
      <w:adjustRightInd w:val="0"/>
      <w:spacing w:line="400" w:lineRule="exact"/>
      <w:jc w:val="center"/>
      <w:textAlignment w:val="baseline"/>
    </w:pPr>
    <w:rPr>
      <w:rFonts w:eastAsia="仿宋_GB2312"/>
      <w:kern w:val="0"/>
      <w:sz w:val="24"/>
      <w:szCs w:val="20"/>
    </w:rPr>
  </w:style>
  <w:style w:type="paragraph" w:customStyle="1" w:styleId="674">
    <w:name w:val="Default1"/>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675">
    <w:name w:val="样式5"/>
    <w:basedOn w:val="676"/>
    <w:next w:val="1"/>
    <w:autoRedefine/>
    <w:qFormat/>
    <w:uiPriority w:val="0"/>
    <w:pPr>
      <w:tabs>
        <w:tab w:val="left" w:pos="420"/>
        <w:tab w:val="left" w:pos="1260"/>
      </w:tabs>
      <w:ind w:left="420" w:hanging="420"/>
    </w:pPr>
    <w:rPr>
      <w:sz w:val="20"/>
      <w:lang w:val="zh-CN"/>
    </w:rPr>
  </w:style>
  <w:style w:type="paragraph" w:customStyle="1" w:styleId="676">
    <w:name w:val="样式3"/>
    <w:basedOn w:val="35"/>
    <w:autoRedefine/>
    <w:qFormat/>
    <w:uiPriority w:val="0"/>
    <w:pPr>
      <w:keepLines/>
      <w:spacing w:line="360" w:lineRule="auto"/>
      <w:ind w:firstLine="425"/>
    </w:pPr>
    <w:rPr>
      <w:rFonts w:ascii="宋体"/>
      <w:b/>
    </w:rPr>
  </w:style>
  <w:style w:type="paragraph" w:customStyle="1" w:styleId="677">
    <w:name w:val="WPSOffice手动目录 1"/>
    <w:autoRedefine/>
    <w:qFormat/>
    <w:uiPriority w:val="0"/>
    <w:rPr>
      <w:rFonts w:ascii="Times New Roman" w:hAnsi="Times New Roman" w:eastAsia="宋体" w:cs="Times New Roman"/>
      <w:lang w:val="en-US" w:eastAsia="zh-CN" w:bidi="ar-SA"/>
    </w:rPr>
  </w:style>
  <w:style w:type="paragraph" w:customStyle="1" w:styleId="678">
    <w:name w:val="A环评n的黑体"/>
    <w:basedOn w:val="1"/>
    <w:autoRedefine/>
    <w:qFormat/>
    <w:uiPriority w:val="0"/>
    <w:pPr>
      <w:spacing w:line="360" w:lineRule="auto"/>
      <w:ind w:firstLine="200" w:firstLineChars="200"/>
    </w:pPr>
    <w:rPr>
      <w:b/>
      <w:snapToGrid/>
      <w:sz w:val="24"/>
    </w:rPr>
  </w:style>
  <w:style w:type="paragraph" w:customStyle="1" w:styleId="679">
    <w:name w:val="A环评n"/>
    <w:basedOn w:val="1"/>
    <w:link w:val="680"/>
    <w:autoRedefine/>
    <w:qFormat/>
    <w:uiPriority w:val="0"/>
    <w:pPr>
      <w:spacing w:line="360" w:lineRule="auto"/>
      <w:ind w:firstLine="200" w:firstLineChars="200"/>
    </w:pPr>
    <w:rPr>
      <w:snapToGrid/>
      <w:sz w:val="24"/>
    </w:rPr>
  </w:style>
  <w:style w:type="character" w:customStyle="1" w:styleId="680">
    <w:name w:val="A环评n 字符"/>
    <w:link w:val="679"/>
    <w:autoRedefine/>
    <w:qFormat/>
    <w:uiPriority w:val="0"/>
    <w:rPr>
      <w:kern w:val="2"/>
      <w:sz w:val="24"/>
      <w:szCs w:val="21"/>
    </w:rPr>
  </w:style>
  <w:style w:type="character" w:customStyle="1" w:styleId="681">
    <w:name w:val="font61"/>
    <w:autoRedefine/>
    <w:qFormat/>
    <w:uiPriority w:val="0"/>
    <w:rPr>
      <w:rFonts w:hint="eastAsia" w:ascii="等线" w:hAnsi="等线" w:eastAsia="等线" w:cs="等线"/>
      <w:color w:val="000000"/>
      <w:sz w:val="22"/>
      <w:szCs w:val="22"/>
      <w:u w:val="none"/>
    </w:rPr>
  </w:style>
  <w:style w:type="character" w:customStyle="1" w:styleId="682">
    <w:name w:val="font71"/>
    <w:autoRedefine/>
    <w:qFormat/>
    <w:uiPriority w:val="0"/>
    <w:rPr>
      <w:rFonts w:hint="eastAsia" w:ascii="等线" w:hAnsi="等线" w:eastAsia="等线" w:cs="等线"/>
      <w:color w:val="000000"/>
      <w:sz w:val="22"/>
      <w:szCs w:val="22"/>
      <w:u w:val="none"/>
    </w:rPr>
  </w:style>
  <w:style w:type="character" w:customStyle="1" w:styleId="683">
    <w:name w:val="font81"/>
    <w:autoRedefine/>
    <w:qFormat/>
    <w:uiPriority w:val="0"/>
    <w:rPr>
      <w:rFonts w:hint="eastAsia" w:ascii="宋体" w:hAnsi="宋体" w:eastAsia="宋体" w:cs="宋体"/>
      <w:color w:val="FF0000"/>
      <w:sz w:val="21"/>
      <w:szCs w:val="21"/>
      <w:u w:val="none"/>
    </w:rPr>
  </w:style>
  <w:style w:type="character" w:customStyle="1" w:styleId="684">
    <w:name w:val="font91"/>
    <w:autoRedefine/>
    <w:qFormat/>
    <w:uiPriority w:val="0"/>
    <w:rPr>
      <w:rFonts w:hint="eastAsia" w:ascii="等线" w:hAnsi="等线" w:eastAsia="等线" w:cs="等线"/>
      <w:color w:val="000000"/>
      <w:sz w:val="21"/>
      <w:szCs w:val="21"/>
      <w:u w:val="none"/>
    </w:rPr>
  </w:style>
  <w:style w:type="paragraph" w:customStyle="1" w:styleId="685">
    <w:name w:val="修订1"/>
    <w:autoRedefine/>
    <w:hidden/>
    <w:unhideWhenUsed/>
    <w:qFormat/>
    <w:uiPriority w:val="99"/>
    <w:rPr>
      <w:rFonts w:ascii="Times New Roman" w:hAnsi="Times New Roman" w:eastAsia="宋体" w:cs="Times New Roman"/>
      <w:snapToGrid w:val="0"/>
      <w:kern w:val="2"/>
      <w:sz w:val="21"/>
      <w:szCs w:val="21"/>
      <w:lang w:val="en-US" w:eastAsia="zh-CN" w:bidi="ar-SA"/>
    </w:rPr>
  </w:style>
  <w:style w:type="paragraph" w:customStyle="1" w:styleId="686">
    <w:name w:val="修订2"/>
    <w:autoRedefine/>
    <w:hidden/>
    <w:unhideWhenUsed/>
    <w:qFormat/>
    <w:uiPriority w:val="99"/>
    <w:rPr>
      <w:rFonts w:ascii="Times New Roman" w:hAnsi="Times New Roman" w:eastAsia="宋体" w:cs="Times New Roman"/>
      <w:snapToGrid w:val="0"/>
      <w:kern w:val="2"/>
      <w:sz w:val="21"/>
      <w:szCs w:val="21"/>
      <w:lang w:val="en-US" w:eastAsia="zh-CN" w:bidi="ar-SA"/>
    </w:rPr>
  </w:style>
  <w:style w:type="paragraph" w:customStyle="1" w:styleId="687">
    <w:name w:val="Table Text"/>
    <w:basedOn w:val="1"/>
    <w:autoRedefine/>
    <w:semiHidden/>
    <w:qFormat/>
    <w:uiPriority w:val="0"/>
    <w:rPr>
      <w:rFonts w:eastAsia="Times New Roman"/>
      <w:lang w:eastAsia="en-US"/>
    </w:rPr>
  </w:style>
  <w:style w:type="paragraph" w:customStyle="1" w:styleId="688">
    <w:name w:val="表表文字"/>
    <w:basedOn w:val="1"/>
    <w:autoRedefine/>
    <w:qFormat/>
    <w:uiPriority w:val="99"/>
    <w:pPr>
      <w:wordWrap w:val="0"/>
      <w:adjustRightInd w:val="0"/>
      <w:snapToGrid w:val="0"/>
      <w:jc w:val="center"/>
    </w:pPr>
    <w:rPr>
      <w:rFonts w:ascii="Calibri" w:hAnsi="Calibri"/>
      <w:kern w:val="0"/>
      <w:sz w:val="20"/>
    </w:rPr>
  </w:style>
  <w:style w:type="paragraph" w:customStyle="1" w:styleId="689">
    <w:name w:val="修订3"/>
    <w:autoRedefine/>
    <w:hidden/>
    <w:unhideWhenUsed/>
    <w:qFormat/>
    <w:uiPriority w:val="99"/>
    <w:rPr>
      <w:rFonts w:ascii="Times New Roman" w:hAnsi="Times New Roman" w:eastAsia="宋体" w:cs="Times New Roman"/>
      <w:snapToGrid w:val="0"/>
      <w:kern w:val="2"/>
      <w:sz w:val="21"/>
      <w:szCs w:val="21"/>
      <w:lang w:val="en-US" w:eastAsia="zh-CN" w:bidi="ar-SA"/>
    </w:rPr>
  </w:style>
  <w:style w:type="paragraph" w:customStyle="1" w:styleId="690">
    <w:name w:val="A环评表中表"/>
    <w:autoRedefine/>
    <w:unhideWhenUsed/>
    <w:qFormat/>
    <w:uiPriority w:val="0"/>
    <w:pPr>
      <w:jc w:val="center"/>
    </w:pPr>
    <w:rPr>
      <w:rFonts w:ascii="Times New Roman" w:hAnsi="Times New Roman" w:eastAsia="宋体" w:cs="Times New Roman"/>
      <w:sz w:val="24"/>
      <w:szCs w:val="24"/>
      <w:lang w:val="en-US" w:eastAsia="zh-CN" w:bidi="ar-SA"/>
    </w:rPr>
  </w:style>
  <w:style w:type="paragraph" w:customStyle="1" w:styleId="691">
    <w:name w:val="修订4"/>
    <w:autoRedefine/>
    <w:hidden/>
    <w:unhideWhenUsed/>
    <w:qFormat/>
    <w:uiPriority w:val="99"/>
    <w:rPr>
      <w:rFonts w:ascii="Times New Roman" w:hAnsi="Times New Roman" w:eastAsia="宋体" w:cs="Times New Roman"/>
      <w:snapToGrid w:val="0"/>
      <w:kern w:val="2"/>
      <w:sz w:val="21"/>
      <w:szCs w:val="21"/>
      <w:lang w:val="en-US" w:eastAsia="zh-CN" w:bidi="ar-SA"/>
    </w:rPr>
  </w:style>
  <w:style w:type="paragraph" w:customStyle="1" w:styleId="692">
    <w:name w:val="表格标题1"/>
    <w:basedOn w:val="1"/>
    <w:autoRedefine/>
    <w:qFormat/>
    <w:uiPriority w:val="0"/>
    <w:pPr>
      <w:spacing w:line="360" w:lineRule="auto"/>
      <w:jc w:val="center"/>
    </w:pPr>
    <w:rPr>
      <w:b/>
    </w:rPr>
  </w:style>
  <w:style w:type="paragraph" w:customStyle="1" w:styleId="693">
    <w:name w:val="表格首行"/>
    <w:basedOn w:val="1"/>
    <w:autoRedefine/>
    <w:qFormat/>
    <w:uiPriority w:val="0"/>
    <w:pPr>
      <w:jc w:val="center"/>
    </w:pPr>
    <w:rPr>
      <w:rFonts w:eastAsia="仿宋_GB2312"/>
      <w:b/>
    </w:rPr>
  </w:style>
  <w:style w:type="paragraph" w:customStyle="1" w:styleId="694">
    <w:name w:val="表格 普通文字"/>
    <w:autoRedefine/>
    <w:qFormat/>
    <w:uiPriority w:val="99"/>
    <w:pPr>
      <w:jc w:val="center"/>
    </w:pPr>
    <w:rPr>
      <w:rFonts w:ascii="Times New Roman" w:hAnsi="Times New Roman" w:eastAsia="仿宋_GB2312" w:cs="Times New Roman"/>
      <w:kern w:val="2"/>
      <w:sz w:val="21"/>
      <w:szCs w:val="21"/>
      <w:lang w:val="en-US" w:eastAsia="zh-CN" w:bidi="ar-SA"/>
    </w:rPr>
  </w:style>
  <w:style w:type="paragraph" w:customStyle="1" w:styleId="695">
    <w:name w:val="表格内"/>
    <w:basedOn w:val="1"/>
    <w:autoRedefine/>
    <w:qFormat/>
    <w:uiPriority w:val="0"/>
    <w:pPr>
      <w:adjustRightInd w:val="0"/>
      <w:spacing w:line="240" w:lineRule="atLeast"/>
      <w:jc w:val="center"/>
      <w:textAlignment w:val="baseline"/>
    </w:pPr>
    <w:rPr>
      <w:rFonts w:ascii="宋体"/>
      <w:kern w:val="0"/>
      <w:szCs w:val="20"/>
    </w:rPr>
  </w:style>
  <w:style w:type="paragraph" w:customStyle="1" w:styleId="696">
    <w:name w:val="表格中文字"/>
    <w:basedOn w:val="1"/>
    <w:autoRedefine/>
    <w:qFormat/>
    <w:uiPriority w:val="0"/>
    <w:pPr>
      <w:adjustRightInd w:val="0"/>
      <w:snapToGrid w:val="0"/>
      <w:jc w:val="center"/>
    </w:pPr>
    <w:rPr>
      <w:kern w:val="18"/>
    </w:rPr>
  </w:style>
  <w:style w:type="paragraph" w:customStyle="1" w:styleId="697">
    <w:name w:val="报告表正文"/>
    <w:basedOn w:val="239"/>
    <w:autoRedefine/>
    <w:qFormat/>
    <w:uiPriority w:val="0"/>
    <w:pPr>
      <w:ind w:firstLine="200" w:firstLineChars="200"/>
      <w:jc w:val="left"/>
    </w:pPr>
    <w:rPr>
      <w:rFonts w:ascii="Times New Roman" w:hAnsi="Times New Roman"/>
      <w:szCs w:val="24"/>
    </w:rPr>
  </w:style>
  <w:style w:type="paragraph" w:customStyle="1" w:styleId="698">
    <w:name w:val="表格普通"/>
    <w:basedOn w:val="1"/>
    <w:autoRedefine/>
    <w:qFormat/>
    <w:uiPriority w:val="0"/>
    <w:pPr>
      <w:jc w:val="center"/>
    </w:pPr>
    <w:rPr>
      <w:rFonts w:eastAsia="仿宋_GB2312"/>
    </w:rPr>
  </w:style>
  <w:style w:type="paragraph" w:customStyle="1" w:styleId="699">
    <w:name w:val="图表 标题"/>
    <w:autoRedefine/>
    <w:qFormat/>
    <w:uiPriority w:val="0"/>
    <w:pPr>
      <w:widowControl w:val="0"/>
      <w:spacing w:beforeLines="20" w:afterLines="20"/>
      <w:jc w:val="center"/>
    </w:pPr>
    <w:rPr>
      <w:rFonts w:ascii="Times New Roman" w:hAnsi="Times New Roman" w:eastAsia="仿宋_GB2312" w:cs="Times New Roman"/>
      <w:b/>
      <w:kern w:val="2"/>
      <w:sz w:val="24"/>
      <w:szCs w:val="24"/>
      <w:lang w:val="en-US" w:eastAsia="zh-CN" w:bidi="ar-SA"/>
    </w:rPr>
  </w:style>
  <w:style w:type="paragraph" w:customStyle="1" w:styleId="700">
    <w:name w:val="表格 首行文字"/>
    <w:autoRedefine/>
    <w:qFormat/>
    <w:uiPriority w:val="0"/>
    <w:pPr>
      <w:adjustRightInd w:val="0"/>
      <w:snapToGrid w:val="0"/>
      <w:jc w:val="center"/>
    </w:pPr>
    <w:rPr>
      <w:rFonts w:ascii="Times New Roman" w:hAnsi="Times New Roman" w:eastAsia="仿宋_GB2312" w:cs="Times New Roman"/>
      <w:b/>
      <w:kern w:val="2"/>
      <w:sz w:val="21"/>
      <w:szCs w:val="22"/>
      <w:lang w:val="en-US" w:eastAsia="zh-CN" w:bidi="ar-SA"/>
    </w:rPr>
  </w:style>
  <w:style w:type="paragraph" w:customStyle="1" w:styleId="701">
    <w:name w:val="0000"/>
    <w:basedOn w:val="1"/>
    <w:autoRedefine/>
    <w:qFormat/>
    <w:uiPriority w:val="0"/>
    <w:pPr>
      <w:adjustRightInd w:val="0"/>
      <w:snapToGrid w:val="0"/>
    </w:pPr>
    <w:rPr>
      <w:rFonts w:hint="eastAsia"/>
      <w:sz w:val="24"/>
      <w:lang w:val="zh-TW"/>
    </w:rPr>
  </w:style>
  <w:style w:type="paragraph" w:customStyle="1" w:styleId="702">
    <w:name w:val="环正文"/>
    <w:basedOn w:val="1"/>
    <w:autoRedefine/>
    <w:qFormat/>
    <w:uiPriority w:val="0"/>
    <w:pPr>
      <w:widowControl/>
      <w:tabs>
        <w:tab w:val="left" w:pos="5094"/>
      </w:tabs>
      <w:adjustRightInd w:val="0"/>
      <w:snapToGrid w:val="0"/>
      <w:spacing w:line="500" w:lineRule="exact"/>
      <w:ind w:firstLine="562"/>
      <w:textAlignment w:val="baseline"/>
    </w:pPr>
    <w:rPr>
      <w:rFonts w:eastAsia="仿宋_GB2312"/>
      <w:b/>
      <w:kern w:val="24"/>
      <w:sz w:val="28"/>
      <w:szCs w:val="28"/>
    </w:rPr>
  </w:style>
  <w:style w:type="paragraph" w:customStyle="1" w:styleId="703">
    <w:name w:val="第一、五章 表格正文"/>
    <w:basedOn w:val="21"/>
    <w:autoRedefine/>
    <w:qFormat/>
    <w:uiPriority w:val="0"/>
    <w:pPr>
      <w:jc w:val="center"/>
    </w:pPr>
    <w:rPr>
      <w:rFonts w:eastAsia="仿宋_GB2312"/>
    </w:rPr>
  </w:style>
  <w:style w:type="paragraph" w:customStyle="1" w:styleId="704">
    <w:name w:val="图表"/>
    <w:basedOn w:val="1"/>
    <w:autoRedefine/>
    <w:qFormat/>
    <w:uiPriority w:val="0"/>
    <w:pPr>
      <w:adjustRightInd w:val="0"/>
      <w:snapToGrid w:val="0"/>
      <w:jc w:val="center"/>
    </w:pPr>
    <w:rPr>
      <w:color w:val="000000"/>
      <w:szCs w:val="22"/>
      <w:lang w:val="zh-CN"/>
    </w:rPr>
  </w:style>
  <w:style w:type="paragraph" w:customStyle="1" w:styleId="705">
    <w:name w:val="正本文字"/>
    <w:basedOn w:val="1"/>
    <w:autoRedefine/>
    <w:qFormat/>
    <w:uiPriority w:val="0"/>
    <w:pPr>
      <w:adjustRightInd w:val="0"/>
      <w:snapToGrid w:val="0"/>
      <w:spacing w:line="360" w:lineRule="auto"/>
      <w:ind w:firstLine="200" w:firstLineChars="200"/>
      <w:jc w:val="left"/>
    </w:pPr>
    <w:rPr>
      <w:kern w:val="18"/>
      <w:sz w:val="24"/>
    </w:rPr>
  </w:style>
  <w:style w:type="paragraph" w:customStyle="1" w:styleId="706">
    <w:name w:val="正文加粗"/>
    <w:basedOn w:val="697"/>
    <w:autoRedefine/>
    <w:qFormat/>
    <w:uiPriority w:val="0"/>
    <w:pPr>
      <w:ind w:firstLine="482"/>
    </w:pPr>
    <w:rPr>
      <w:b/>
    </w:rPr>
  </w:style>
  <w:style w:type="paragraph" w:customStyle="1" w:styleId="707">
    <w:name w:val="Char2 Char Char Char1"/>
    <w:basedOn w:val="1"/>
    <w:autoRedefine/>
    <w:qFormat/>
    <w:uiPriority w:val="0"/>
    <w:rPr>
      <w:rFonts w:ascii="宋体"/>
      <w:kern w:val="0"/>
      <w:sz w:val="24"/>
      <w:szCs w:val="20"/>
    </w:rPr>
  </w:style>
  <w:style w:type="paragraph" w:customStyle="1" w:styleId="708">
    <w:name w:val="Char Char24 Char Char Char Char Char Char Char Char Char Char Char Char3"/>
    <w:basedOn w:val="1"/>
    <w:autoRedefine/>
    <w:qFormat/>
    <w:uiPriority w:val="0"/>
    <w:pPr>
      <w:spacing w:line="360" w:lineRule="auto"/>
      <w:ind w:firstLine="200" w:firstLineChars="200"/>
    </w:pPr>
    <w:rPr>
      <w:sz w:val="24"/>
    </w:rPr>
  </w:style>
  <w:style w:type="paragraph" w:customStyle="1" w:styleId="709">
    <w:name w:val="111正文"/>
    <w:basedOn w:val="1"/>
    <w:autoRedefine/>
    <w:qFormat/>
    <w:uiPriority w:val="0"/>
    <w:pPr>
      <w:tabs>
        <w:tab w:val="left" w:pos="600"/>
      </w:tabs>
      <w:spacing w:line="360" w:lineRule="auto"/>
      <w:ind w:firstLine="200" w:firstLineChars="200"/>
    </w:pPr>
    <w:rPr>
      <w:kern w:val="0"/>
      <w:sz w:val="24"/>
      <w:szCs w:val="22"/>
    </w:rPr>
  </w:style>
  <w:style w:type="paragraph" w:customStyle="1" w:styleId="710">
    <w:name w:val="11111"/>
    <w:basedOn w:val="1"/>
    <w:autoRedefine/>
    <w:qFormat/>
    <w:uiPriority w:val="0"/>
    <w:pPr>
      <w:adjustRightInd w:val="0"/>
      <w:snapToGrid w:val="0"/>
      <w:spacing w:line="240" w:lineRule="auto"/>
      <w:ind w:firstLine="0" w:firstLineChars="0"/>
      <w:jc w:val="center"/>
    </w:pPr>
    <w:rPr>
      <w:rFonts w:hint="eastAsia" w:eastAsia="宋体"/>
      <w:kern w:val="0"/>
      <w:sz w:val="21"/>
      <w:szCs w:val="21"/>
      <w:lang w:val="zh-TW"/>
    </w:rPr>
  </w:style>
  <w:style w:type="paragraph" w:customStyle="1" w:styleId="711">
    <w:name w:val="正文内容"/>
    <w:basedOn w:val="1"/>
    <w:autoRedefine/>
    <w:unhideWhenUsed/>
    <w:qFormat/>
    <w:uiPriority w:val="0"/>
    <w:pPr>
      <w:widowControl/>
      <w:spacing w:line="360" w:lineRule="auto"/>
      <w:ind w:firstLine="200" w:firstLineChars="200"/>
      <w:jc w:val="left"/>
    </w:pPr>
    <w:rPr>
      <w:kern w:val="0"/>
      <w:sz w:val="22"/>
      <w:szCs w:val="20"/>
    </w:rPr>
  </w:style>
  <w:style w:type="paragraph" w:customStyle="1" w:styleId="712">
    <w:name w:val="霍尼韦尔"/>
    <w:basedOn w:val="1"/>
    <w:qFormat/>
    <w:uiPriority w:val="0"/>
    <w:pPr>
      <w:spacing w:line="480" w:lineRule="exact"/>
      <w:ind w:firstLine="480" w:firstLineChars="200"/>
      <w:jc w:val="left"/>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29.png"/><Relationship Id="rId50" Type="http://schemas.openxmlformats.org/officeDocument/2006/relationships/image" Target="media/image28.wmf"/><Relationship Id="rId5" Type="http://schemas.openxmlformats.org/officeDocument/2006/relationships/footer" Target="footer3.xml"/><Relationship Id="rId49" Type="http://schemas.openxmlformats.org/officeDocument/2006/relationships/oleObject" Target="embeddings/oleObject16.bin"/><Relationship Id="rId48" Type="http://schemas.openxmlformats.org/officeDocument/2006/relationships/image" Target="media/image27.wmf"/><Relationship Id="rId47" Type="http://schemas.openxmlformats.org/officeDocument/2006/relationships/oleObject" Target="embeddings/oleObject15.bin"/><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footer" Target="footer2.xml"/><Relationship Id="rId39" Type="http://schemas.openxmlformats.org/officeDocument/2006/relationships/image" Target="media/image19.emf"/><Relationship Id="rId38" Type="http://schemas.openxmlformats.org/officeDocument/2006/relationships/oleObject" Target="embeddings/oleObject14.bin"/><Relationship Id="rId37" Type="http://schemas.openxmlformats.org/officeDocument/2006/relationships/image" Target="media/image18.wmf"/><Relationship Id="rId36" Type="http://schemas.openxmlformats.org/officeDocument/2006/relationships/oleObject" Target="embeddings/oleObject13.bin"/><Relationship Id="rId35" Type="http://schemas.openxmlformats.org/officeDocument/2006/relationships/image" Target="media/image17.emf"/><Relationship Id="rId34" Type="http://schemas.openxmlformats.org/officeDocument/2006/relationships/oleObject" Target="embeddings/oleObject12.bin"/><Relationship Id="rId33" Type="http://schemas.openxmlformats.org/officeDocument/2006/relationships/image" Target="media/image16.png"/><Relationship Id="rId32" Type="http://schemas.openxmlformats.org/officeDocument/2006/relationships/image" Target="media/image15.emf"/><Relationship Id="rId31" Type="http://schemas.openxmlformats.org/officeDocument/2006/relationships/oleObject" Target="embeddings/oleObject11.bin"/><Relationship Id="rId30" Type="http://schemas.openxmlformats.org/officeDocument/2006/relationships/image" Target="media/image14.png"/><Relationship Id="rId3" Type="http://schemas.openxmlformats.org/officeDocument/2006/relationships/footer" Target="footer1.xml"/><Relationship Id="rId29" Type="http://schemas.openxmlformats.org/officeDocument/2006/relationships/image" Target="media/image13.png"/><Relationship Id="rId28" Type="http://schemas.openxmlformats.org/officeDocument/2006/relationships/image" Target="media/image12.emf"/><Relationship Id="rId27" Type="http://schemas.openxmlformats.org/officeDocument/2006/relationships/oleObject" Target="embeddings/oleObject10.bin"/><Relationship Id="rId26" Type="http://schemas.openxmlformats.org/officeDocument/2006/relationships/image" Target="media/image11.emf"/><Relationship Id="rId25" Type="http://schemas.openxmlformats.org/officeDocument/2006/relationships/oleObject" Target="embeddings/oleObject9.bin"/><Relationship Id="rId24" Type="http://schemas.openxmlformats.org/officeDocument/2006/relationships/image" Target="media/image10.emf"/><Relationship Id="rId23" Type="http://schemas.openxmlformats.org/officeDocument/2006/relationships/oleObject" Target="embeddings/oleObject8.bin"/><Relationship Id="rId22" Type="http://schemas.openxmlformats.org/officeDocument/2006/relationships/image" Target="media/image9.emf"/><Relationship Id="rId21" Type="http://schemas.openxmlformats.org/officeDocument/2006/relationships/oleObject" Target="embeddings/oleObject7.bin"/><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7.emf"/><Relationship Id="rId17" Type="http://schemas.openxmlformats.org/officeDocument/2006/relationships/oleObject" Target="embeddings/oleObject5.bin"/><Relationship Id="rId16" Type="http://schemas.openxmlformats.org/officeDocument/2006/relationships/image" Target="media/image6.emf"/><Relationship Id="rId15" Type="http://schemas.openxmlformats.org/officeDocument/2006/relationships/oleObject" Target="embeddings/oleObject4.bin"/><Relationship Id="rId14" Type="http://schemas.openxmlformats.org/officeDocument/2006/relationships/image" Target="media/image5.emf"/><Relationship Id="rId13" Type="http://schemas.openxmlformats.org/officeDocument/2006/relationships/oleObject" Target="embeddings/oleObject3.bin"/><Relationship Id="rId12" Type="http://schemas.openxmlformats.org/officeDocument/2006/relationships/image" Target="media/image4.emf"/><Relationship Id="rId11" Type="http://schemas.openxmlformats.org/officeDocument/2006/relationships/oleObject" Target="embeddings/oleObject2.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104</Pages>
  <Words>25179</Words>
  <Characters>27116</Characters>
  <Lines>650</Lines>
  <Paragraphs>183</Paragraphs>
  <TotalTime>11</TotalTime>
  <ScaleCrop>false</ScaleCrop>
  <LinksUpToDate>false</LinksUpToDate>
  <CharactersWithSpaces>27188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2022-01-07T05:11:00Z</dcterms:created>
  <dc:creator>China</dc:creator>
  <cp:lastModifiedBy>球球</cp:lastModifiedBy>
  <cp:lastPrinted>2022-08-02T03:49:00Z</cp:lastPrinted>
  <dcterms:modified xsi:type="dcterms:W3CDTF">2026-01-09T07:13:43Z</dcterms:modified>
  <dc:title>附件2</dc:title>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38C263DB66C2498CB78CEE2F41880A15_13</vt:lpwstr>
  </property>
  <property fmtid="{D5CDD505-2E9C-101B-9397-08002B2CF9AE}" pid="4" name="KSOTemplateDocerSaveRecord">
    <vt:lpwstr>eyJoZGlkIjoiYWZhMzA0MTE2MGQ3ODcwOTgyMWY3NzY0ZDhkYzQxODciLCJ1c2VySWQiOiIzODk2NzQyOTcifQ==</vt:lpwstr>
  </property>
</Properties>
</file>