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15A64">
      <w:pPr>
        <w:rPr>
          <w:rFonts w:hint="eastAsia" w:ascii="Times New Roman" w:hAnsi="Times New Roman" w:eastAsia="宋体" w:cs="Times New Roman"/>
          <w:color w:val="auto"/>
          <w:sz w:val="36"/>
          <w:szCs w:val="36"/>
          <w:lang w:eastAsia="zh-CN"/>
        </w:rPr>
      </w:pPr>
    </w:p>
    <w:p w14:paraId="4D4CBDAB">
      <w:pPr>
        <w:rPr>
          <w:rFonts w:hint="eastAsia" w:ascii="Times New Roman" w:hAnsi="Times New Roman" w:eastAsia="宋体" w:cs="Times New Roman"/>
          <w:color w:val="auto"/>
          <w:sz w:val="36"/>
          <w:szCs w:val="36"/>
          <w:lang w:eastAsia="zh-CN"/>
        </w:rPr>
      </w:pPr>
    </w:p>
    <w:p w14:paraId="1711A919">
      <w:pPr>
        <w:jc w:val="center"/>
        <w:rPr>
          <w:rFonts w:hint="default" w:ascii="Times New Roman" w:hAnsi="Times New Roman" w:eastAsia="宋体" w:cs="Times New Roman"/>
          <w:color w:val="auto"/>
          <w:sz w:val="72"/>
          <w:szCs w:val="72"/>
        </w:rPr>
      </w:pPr>
      <w:r>
        <w:rPr>
          <w:rFonts w:hint="default" w:ascii="Times New Roman" w:hAnsi="Times New Roman" w:eastAsia="宋体" w:cs="Times New Roman"/>
          <w:color w:val="auto"/>
          <w:sz w:val="72"/>
          <w:szCs w:val="72"/>
        </w:rPr>
        <w:t>建设项目环境影响报告表</w:t>
      </w:r>
    </w:p>
    <w:p w14:paraId="3A3535BA">
      <w:pPr>
        <w:adjustRightInd w:val="0"/>
        <w:snapToGrid w:val="0"/>
        <w:spacing w:before="249"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47DCE724">
      <w:pPr>
        <w:jc w:val="center"/>
        <w:rPr>
          <w:rFonts w:hint="default" w:ascii="Times New Roman" w:hAnsi="Times New Roman" w:cs="Times New Roman"/>
          <w:color w:val="auto"/>
          <w:sz w:val="52"/>
          <w:szCs w:val="52"/>
        </w:rPr>
      </w:pPr>
    </w:p>
    <w:p w14:paraId="01CAE68F">
      <w:pPr>
        <w:jc w:val="center"/>
        <w:rPr>
          <w:rFonts w:hint="default" w:ascii="Times New Roman" w:hAnsi="Times New Roman" w:eastAsia="宋体" w:cs="Times New Roman"/>
          <w:color w:val="auto"/>
          <w:sz w:val="52"/>
          <w:szCs w:val="52"/>
        </w:rPr>
      </w:pPr>
    </w:p>
    <w:p w14:paraId="7404C6AA">
      <w:pPr>
        <w:ind w:firstLine="1040"/>
        <w:rPr>
          <w:rFonts w:hint="default" w:ascii="Times New Roman" w:hAnsi="Times New Roman" w:eastAsia="宋体" w:cs="Times New Roman"/>
          <w:color w:val="auto"/>
          <w:sz w:val="44"/>
          <w:szCs w:val="44"/>
        </w:rPr>
      </w:pPr>
    </w:p>
    <w:p w14:paraId="3379C9B7">
      <w:pPr>
        <w:ind w:firstLine="1040"/>
        <w:rPr>
          <w:rFonts w:hint="default" w:ascii="Times New Roman" w:hAnsi="Times New Roman" w:eastAsia="宋体" w:cs="Times New Roman"/>
          <w:color w:val="auto"/>
          <w:sz w:val="44"/>
          <w:szCs w:val="44"/>
        </w:rPr>
      </w:pPr>
    </w:p>
    <w:p w14:paraId="5BEF8ABC">
      <w:pPr>
        <w:ind w:firstLine="1040"/>
        <w:rPr>
          <w:rFonts w:hint="default" w:ascii="Times New Roman" w:hAnsi="Times New Roman" w:eastAsia="宋体" w:cs="Times New Roman"/>
          <w:color w:val="auto"/>
          <w:sz w:val="44"/>
          <w:szCs w:val="44"/>
        </w:rPr>
      </w:pPr>
    </w:p>
    <w:p w14:paraId="2671DB05">
      <w:pPr>
        <w:ind w:firstLine="1040"/>
        <w:rPr>
          <w:rFonts w:hint="default" w:ascii="Times New Roman" w:hAnsi="Times New Roman" w:eastAsia="宋体" w:cs="Times New Roman"/>
          <w:color w:val="auto"/>
          <w:sz w:val="44"/>
          <w:szCs w:val="44"/>
        </w:rPr>
      </w:pPr>
    </w:p>
    <w:p w14:paraId="6B8FD8D7">
      <w:pPr>
        <w:adjustRightInd w:val="0"/>
        <w:snapToGrid w:val="0"/>
        <w:spacing w:line="288" w:lineRule="auto"/>
        <w:ind w:left="1800" w:hanging="1800" w:hangingChars="500"/>
        <w:rPr>
          <w:rFonts w:hint="eastAsia" w:ascii="Times New Roman" w:hAnsi="Times New Roman" w:eastAsia="宋体" w:cs="Times New Roman"/>
          <w:color w:val="auto"/>
          <w:sz w:val="36"/>
          <w:szCs w:val="36"/>
          <w:u w:val="single"/>
          <w:lang w:eastAsia="zh-CN"/>
        </w:rPr>
      </w:pPr>
      <w:r>
        <w:rPr>
          <w:rFonts w:hint="default" w:ascii="Times New Roman" w:hAnsi="Times New Roman" w:eastAsia="宋体" w:cs="Times New Roman"/>
          <w:color w:val="auto"/>
          <w:sz w:val="36"/>
          <w:szCs w:val="36"/>
        </w:rPr>
        <w:t>项目名称：</w:t>
      </w:r>
      <w:bookmarkStart w:id="0" w:name="_Hlk70422165"/>
      <w:r>
        <w:rPr>
          <w:rFonts w:hint="default" w:ascii="Times New Roman" w:hAnsi="Times New Roman" w:eastAsia="宋体" w:cs="Times New Roman"/>
          <w:color w:val="auto"/>
          <w:sz w:val="36"/>
          <w:szCs w:val="36"/>
          <w:u w:val="single"/>
        </w:rPr>
        <w:t xml:space="preserve"> </w:t>
      </w:r>
      <w:bookmarkEnd w:id="0"/>
      <w:r>
        <w:rPr>
          <w:rFonts w:hint="default" w:ascii="Times New Roman" w:hAnsi="Times New Roman" w:eastAsia="宋体" w:cs="Times New Roman"/>
          <w:color w:val="auto"/>
          <w:sz w:val="36"/>
          <w:szCs w:val="36"/>
          <w:u w:val="single"/>
        </w:rPr>
        <w:t xml:space="preserve"> </w:t>
      </w:r>
      <w:r>
        <w:rPr>
          <w:rFonts w:hint="eastAsia" w:ascii="Times New Roman" w:hAnsi="Times New Roman" w:eastAsia="宋体" w:cs="Times New Roman"/>
          <w:color w:val="auto"/>
          <w:sz w:val="36"/>
          <w:szCs w:val="36"/>
          <w:u w:val="single"/>
          <w:lang w:eastAsia="zh-CN"/>
        </w:rPr>
        <w:t>新建年产300万件指纹识别棱镜和50万</w:t>
      </w:r>
    </w:p>
    <w:p w14:paraId="6E04C085">
      <w:pPr>
        <w:adjustRightInd w:val="0"/>
        <w:snapToGrid w:val="0"/>
        <w:spacing w:line="288" w:lineRule="auto"/>
        <w:ind w:left="1795" w:leftChars="855" w:firstLine="0" w:firstLineChars="0"/>
        <w:rPr>
          <w:rFonts w:hint="default" w:ascii="Times New Roman" w:hAnsi="Times New Roman" w:eastAsia="宋体" w:cs="Times New Roman"/>
          <w:color w:val="auto"/>
          <w:sz w:val="36"/>
          <w:szCs w:val="36"/>
          <w:u w:val="single"/>
        </w:rPr>
      </w:pPr>
      <w:r>
        <w:rPr>
          <w:rFonts w:hint="eastAsia" w:ascii="Times New Roman" w:hAnsi="Times New Roman" w:eastAsia="宋体" w:cs="Times New Roman"/>
          <w:color w:val="auto"/>
          <w:sz w:val="36"/>
          <w:szCs w:val="36"/>
          <w:u w:val="single"/>
          <w:lang w:eastAsia="zh-CN"/>
        </w:rPr>
        <w:t>件光学投影棱镜项目</w:t>
      </w:r>
      <w:r>
        <w:rPr>
          <w:rFonts w:hint="default" w:ascii="Times New Roman" w:hAnsi="Times New Roman" w:eastAsia="宋体" w:cs="Times New Roman"/>
          <w:color w:val="auto"/>
          <w:sz w:val="36"/>
          <w:szCs w:val="36"/>
          <w:u w:val="single"/>
        </w:rPr>
        <w:t xml:space="preserve"> </w:t>
      </w:r>
      <w:r>
        <w:rPr>
          <w:rFonts w:hint="eastAsia"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3DA974CC">
      <w:pPr>
        <w:adjustRightInd w:val="0"/>
        <w:snapToGrid w:val="0"/>
        <w:spacing w:line="288" w:lineRule="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建设单位（盖章）：</w:t>
      </w:r>
      <w:bookmarkStart w:id="1" w:name="_Hlk70422153"/>
      <w:r>
        <w:rPr>
          <w:rFonts w:hint="default" w:ascii="Times New Roman" w:hAnsi="Times New Roman" w:eastAsia="宋体" w:cs="Times New Roman"/>
          <w:color w:val="auto"/>
          <w:sz w:val="36"/>
          <w:szCs w:val="36"/>
          <w:u w:val="single"/>
        </w:rPr>
        <w:t xml:space="preserve"> </w:t>
      </w:r>
      <w:bookmarkEnd w:id="1"/>
      <w:r>
        <w:rPr>
          <w:rFonts w:hint="eastAsia" w:ascii="Times New Roman" w:hAnsi="Times New Roman" w:eastAsia="宋体" w:cs="Times New Roman"/>
          <w:color w:val="auto"/>
          <w:sz w:val="36"/>
          <w:szCs w:val="36"/>
          <w:u w:val="single"/>
          <w:lang w:eastAsia="zh-CN"/>
        </w:rPr>
        <w:t>常州市三合光学技术有限公司</w:t>
      </w:r>
      <w:r>
        <w:rPr>
          <w:rFonts w:hint="eastAsia"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lang w:val="en-US" w:eastAsia="zh-CN"/>
        </w:rPr>
        <w:t xml:space="preserve"> </w:t>
      </w:r>
    </w:p>
    <w:p w14:paraId="31FF9963">
      <w:pPr>
        <w:adjustRightInd w:val="0"/>
        <w:snapToGrid w:val="0"/>
        <w:spacing w:line="288" w:lineRule="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编制日期：</w:t>
      </w:r>
      <w:r>
        <w:rPr>
          <w:rFonts w:hint="default" w:ascii="Times New Roman" w:hAnsi="Times New Roman" w:eastAsia="宋体" w:cs="Times New Roman"/>
          <w:color w:val="auto"/>
          <w:sz w:val="36"/>
          <w:szCs w:val="36"/>
          <w:u w:val="single"/>
        </w:rPr>
        <w:t xml:space="preserve">              202</w:t>
      </w:r>
      <w:r>
        <w:rPr>
          <w:rFonts w:hint="eastAsia" w:ascii="Times New Roman" w:hAnsi="Times New Roman" w:eastAsia="宋体" w:cs="Times New Roman"/>
          <w:color w:val="auto"/>
          <w:sz w:val="36"/>
          <w:szCs w:val="36"/>
          <w:u w:val="single"/>
          <w:lang w:val="en-US" w:eastAsia="zh-CN"/>
        </w:rPr>
        <w:t>5</w:t>
      </w:r>
      <w:r>
        <w:rPr>
          <w:rFonts w:hint="default" w:ascii="Times New Roman" w:hAnsi="Times New Roman" w:eastAsia="宋体" w:cs="Times New Roman"/>
          <w:color w:val="auto"/>
          <w:sz w:val="36"/>
          <w:szCs w:val="36"/>
          <w:u w:val="single"/>
        </w:rPr>
        <w:t>年</w:t>
      </w:r>
      <w:r>
        <w:rPr>
          <w:rFonts w:hint="eastAsia" w:ascii="Times New Roman" w:hAnsi="Times New Roman" w:eastAsia="宋体" w:cs="Times New Roman"/>
          <w:color w:val="auto"/>
          <w:sz w:val="36"/>
          <w:szCs w:val="36"/>
          <w:u w:val="single"/>
          <w:lang w:val="en-US" w:eastAsia="zh-CN"/>
        </w:rPr>
        <w:t>11</w:t>
      </w:r>
      <w:r>
        <w:rPr>
          <w:rFonts w:hint="default" w:ascii="Times New Roman" w:hAnsi="Times New Roman" w:eastAsia="宋体" w:cs="Times New Roman"/>
          <w:color w:val="auto"/>
          <w:sz w:val="36"/>
          <w:szCs w:val="36"/>
          <w:u w:val="single"/>
        </w:rPr>
        <w:t xml:space="preserve">月   </w:t>
      </w:r>
      <w:r>
        <w:rPr>
          <w:rFonts w:hint="eastAsia"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76A437F2">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2" w:name="_Hlk57884087"/>
    </w:p>
    <w:p w14:paraId="4A08656A">
      <w:pPr>
        <w:adjustRightInd w:val="0"/>
        <w:snapToGrid w:val="0"/>
        <w:spacing w:line="288" w:lineRule="auto"/>
        <w:ind w:firstLine="1040"/>
        <w:rPr>
          <w:rFonts w:hint="default" w:ascii="Times New Roman" w:hAnsi="Times New Roman" w:eastAsia="宋体" w:cs="Times New Roman"/>
          <w:color w:val="auto"/>
          <w:sz w:val="36"/>
          <w:szCs w:val="36"/>
        </w:rPr>
      </w:pPr>
    </w:p>
    <w:p w14:paraId="667B09AC">
      <w:pPr>
        <w:adjustRightInd w:val="0"/>
        <w:snapToGrid w:val="0"/>
        <w:spacing w:line="288" w:lineRule="auto"/>
        <w:ind w:firstLine="1040"/>
        <w:rPr>
          <w:rFonts w:hint="default" w:ascii="Times New Roman" w:hAnsi="Times New Roman" w:eastAsia="宋体" w:cs="Times New Roman"/>
          <w:color w:val="auto"/>
          <w:sz w:val="36"/>
          <w:szCs w:val="36"/>
        </w:rPr>
      </w:pPr>
    </w:p>
    <w:p w14:paraId="598B62DB">
      <w:pPr>
        <w:adjustRightInd w:val="0"/>
        <w:snapToGrid w:val="0"/>
        <w:spacing w:line="288" w:lineRule="auto"/>
        <w:ind w:firstLine="1040"/>
        <w:rPr>
          <w:rFonts w:hint="default" w:ascii="Times New Roman" w:hAnsi="Times New Roman" w:eastAsia="宋体" w:cs="Times New Roman"/>
          <w:color w:val="auto"/>
          <w:sz w:val="36"/>
          <w:szCs w:val="36"/>
        </w:rPr>
      </w:pPr>
    </w:p>
    <w:p w14:paraId="4B2B1356">
      <w:pPr>
        <w:adjustRightInd w:val="0"/>
        <w:snapToGrid w:val="0"/>
        <w:spacing w:line="288" w:lineRule="auto"/>
        <w:ind w:firstLine="1040"/>
        <w:rPr>
          <w:rFonts w:hint="default" w:ascii="Times New Roman" w:hAnsi="Times New Roman" w:eastAsia="宋体" w:cs="Times New Roman"/>
          <w:color w:val="auto"/>
          <w:sz w:val="36"/>
          <w:szCs w:val="36"/>
        </w:rPr>
      </w:pPr>
    </w:p>
    <w:p w14:paraId="185888DD">
      <w:pPr>
        <w:pStyle w:val="28"/>
        <w:rPr>
          <w:rFonts w:hint="default" w:ascii="Times New Roman" w:hAnsi="Times New Roman" w:cs="Times New Roman"/>
          <w:color w:val="auto"/>
        </w:rPr>
      </w:pPr>
    </w:p>
    <w:p w14:paraId="6CEAD195">
      <w:pPr>
        <w:pStyle w:val="27"/>
        <w:ind w:firstLine="210"/>
        <w:rPr>
          <w:rFonts w:hint="default" w:ascii="Times New Roman" w:hAnsi="Times New Roman" w:cs="Times New Roman"/>
          <w:color w:val="auto"/>
        </w:rPr>
      </w:pPr>
    </w:p>
    <w:bookmarkEnd w:id="2"/>
    <w:p w14:paraId="55D72863">
      <w:pPr>
        <w:adjustRightInd w:val="0"/>
        <w:snapToGrid w:val="0"/>
        <w:spacing w:line="288" w:lineRule="auto"/>
        <w:jc w:val="center"/>
        <w:rPr>
          <w:color w:val="auto"/>
        </w:rPr>
        <w:sectPr>
          <w:footerReference r:id="rId3" w:type="default"/>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auto"/>
          <w:sz w:val="36"/>
          <w:szCs w:val="36"/>
        </w:rPr>
        <w:t>中华人民共和国生态环境部制</w:t>
      </w:r>
    </w:p>
    <w:p w14:paraId="586D6E92">
      <w:pPr>
        <w:pStyle w:val="10"/>
        <w:rPr>
          <w:rFonts w:hint="default"/>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Times New Roman"/>
          <w:color w:val="auto"/>
          <w:sz w:val="36"/>
          <w:szCs w:val="36"/>
          <w:lang w:eastAsia="zh-CN"/>
        </w:rPr>
        <w:drawing>
          <wp:inline distT="0" distB="0" distL="114300" distR="114300">
            <wp:extent cx="5751830" cy="8134985"/>
            <wp:effectExtent l="0" t="0" r="8890" b="3175"/>
            <wp:docPr id="9" name="图片 9" descr="封面+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封面+资质_02"/>
                    <pic:cNvPicPr>
                      <a:picLocks noChangeAspect="1"/>
                    </pic:cNvPicPr>
                  </pic:nvPicPr>
                  <pic:blipFill>
                    <a:blip r:embed="rId8"/>
                    <a:stretch>
                      <a:fillRect/>
                    </a:stretch>
                  </pic:blipFill>
                  <pic:spPr>
                    <a:xfrm>
                      <a:off x="0" y="0"/>
                      <a:ext cx="5751830" cy="8134985"/>
                    </a:xfrm>
                    <a:prstGeom prst="rect">
                      <a:avLst/>
                    </a:prstGeom>
                  </pic:spPr>
                </pic:pic>
              </a:graphicData>
            </a:graphic>
          </wp:inline>
        </w:drawing>
      </w:r>
    </w:p>
    <w:p w14:paraId="76726641">
      <w:pPr>
        <w:pStyle w:val="2"/>
        <w:rPr>
          <w:rFonts w:hint="default" w:ascii="Times New Roman" w:hAnsi="Times New Roman" w:cs="Times New Roman"/>
          <w:color w:val="auto"/>
        </w:rPr>
      </w:pPr>
      <w:r>
        <w:rPr>
          <w:rFonts w:hint="default" w:ascii="Times New Roman" w:hAnsi="Times New Roman" w:cs="Times New Roman"/>
          <w:color w:val="auto"/>
        </w:rPr>
        <w:t>一、建设项目基础情况</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526"/>
        <w:gridCol w:w="2178"/>
        <w:gridCol w:w="3185"/>
      </w:tblGrid>
      <w:tr w14:paraId="0DF3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6B06CA91">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4248" w:type="pct"/>
            <w:gridSpan w:val="3"/>
            <w:vAlign w:val="center"/>
          </w:tcPr>
          <w:p w14:paraId="35F366C5">
            <w:pPr>
              <w:jc w:val="center"/>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新建年产300万件指纹识别棱镜和50万件光学投影棱镜项目</w:t>
            </w:r>
          </w:p>
        </w:tc>
      </w:tr>
      <w:tr w14:paraId="515E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4F40A854">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4248" w:type="pct"/>
            <w:gridSpan w:val="3"/>
            <w:vAlign w:val="center"/>
          </w:tcPr>
          <w:p w14:paraId="7546E6F8">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2409-320413-04-01-556221</w:t>
            </w:r>
          </w:p>
        </w:tc>
      </w:tr>
      <w:tr w14:paraId="5635B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E7D0A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360" w:type="pct"/>
            <w:vAlign w:val="center"/>
          </w:tcPr>
          <w:p w14:paraId="7B481157">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w:t>
            </w:r>
          </w:p>
        </w:tc>
        <w:tc>
          <w:tcPr>
            <w:tcW w:w="1173" w:type="pct"/>
            <w:vAlign w:val="center"/>
          </w:tcPr>
          <w:p w14:paraId="2D740160">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p>
        </w:tc>
        <w:tc>
          <w:tcPr>
            <w:tcW w:w="1715" w:type="pct"/>
            <w:vAlign w:val="center"/>
          </w:tcPr>
          <w:p w14:paraId="768375B2">
            <w:pPr>
              <w:jc w:val="center"/>
              <w:rPr>
                <w:rFonts w:hint="default" w:ascii="Times New Roman" w:hAnsi="Times New Roman" w:eastAsia="宋体" w:cs="Times New Roman"/>
                <w:color w:val="auto"/>
                <w:sz w:val="24"/>
                <w:lang w:val="en-US"/>
              </w:rPr>
            </w:pPr>
            <w:r>
              <w:rPr>
                <w:rFonts w:hint="eastAsia" w:ascii="Times New Roman" w:hAnsi="Times New Roman" w:eastAsia="宋体" w:cs="Times New Roman"/>
                <w:color w:val="auto"/>
                <w:sz w:val="24"/>
                <w:lang w:val="en-US" w:eastAsia="zh-CN"/>
              </w:rPr>
              <w:t>***</w:t>
            </w:r>
          </w:p>
        </w:tc>
      </w:tr>
      <w:tr w14:paraId="31F6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9546754">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4248" w:type="pct"/>
            <w:gridSpan w:val="3"/>
            <w:vAlign w:val="center"/>
          </w:tcPr>
          <w:p w14:paraId="258A7AE6">
            <w:pPr>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常州市金坛区朱林镇唐王村委唐王村62号</w:t>
            </w:r>
          </w:p>
          <w:p w14:paraId="1D9946CA">
            <w:pPr>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（不属于国控站点3公里范围内）</w:t>
            </w:r>
          </w:p>
        </w:tc>
      </w:tr>
      <w:tr w14:paraId="13EF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125A39D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4248" w:type="pct"/>
            <w:gridSpan w:val="3"/>
            <w:vAlign w:val="center"/>
          </w:tcPr>
          <w:p w14:paraId="2A3F2FA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u w:val="single"/>
              </w:rPr>
              <w:t>119°25′45.912″，31°41′12.241″</w:t>
            </w:r>
            <w:r>
              <w:rPr>
                <w:rFonts w:hint="default" w:ascii="Times New Roman" w:hAnsi="Times New Roman" w:eastAsia="宋体" w:cs="Times New Roman"/>
                <w:color w:val="auto"/>
                <w:sz w:val="24"/>
              </w:rPr>
              <w:t>）</w:t>
            </w:r>
          </w:p>
        </w:tc>
      </w:tr>
      <w:tr w14:paraId="7E33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EE71A86">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国民经济行业类别</w:t>
            </w:r>
          </w:p>
        </w:tc>
        <w:tc>
          <w:tcPr>
            <w:tcW w:w="1360" w:type="pct"/>
            <w:vAlign w:val="center"/>
          </w:tcPr>
          <w:p w14:paraId="405F851E">
            <w:pPr>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C</w:t>
            </w:r>
            <w:r>
              <w:rPr>
                <w:rFonts w:hint="eastAsia" w:ascii="Times New Roman" w:hAnsi="Times New Roman" w:eastAsia="宋体" w:cs="Times New Roman"/>
                <w:color w:val="auto"/>
                <w:sz w:val="24"/>
                <w:lang w:val="en-US" w:eastAsia="zh-CN"/>
              </w:rPr>
              <w:t>3052光学玻璃制造</w:t>
            </w:r>
          </w:p>
        </w:tc>
        <w:tc>
          <w:tcPr>
            <w:tcW w:w="1173" w:type="pct"/>
            <w:vAlign w:val="center"/>
          </w:tcPr>
          <w:p w14:paraId="75352F11">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597981E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715" w:type="pct"/>
            <w:vAlign w:val="center"/>
          </w:tcPr>
          <w:p w14:paraId="155F7968">
            <w:pPr>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二十七、非金属矿物制品业 30</w:t>
            </w:r>
            <w:r>
              <w:rPr>
                <w:rFonts w:hint="default" w:ascii="Times New Roman" w:hAnsi="Times New Roman" w:eastAsia="宋体" w:cs="Times New Roman"/>
                <w:color w:val="auto"/>
                <w:sz w:val="24"/>
              </w:rPr>
              <w:t>-5</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 xml:space="preserve"> </w:t>
            </w:r>
            <w:r>
              <w:rPr>
                <w:rFonts w:hint="eastAsia" w:ascii="Times New Roman" w:hAnsi="Times New Roman" w:eastAsia="宋体" w:cs="Times New Roman"/>
                <w:color w:val="auto"/>
                <w:sz w:val="24"/>
                <w:lang w:val="en-US" w:eastAsia="zh-CN"/>
              </w:rPr>
              <w:t>玻璃制品制造305</w:t>
            </w:r>
          </w:p>
        </w:tc>
      </w:tr>
      <w:tr w14:paraId="19A3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Align w:val="center"/>
          </w:tcPr>
          <w:p w14:paraId="319A0C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360" w:type="pct"/>
            <w:vAlign w:val="center"/>
          </w:tcPr>
          <w:p w14:paraId="4C1CC85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sym w:font="Wingdings" w:char="00FE"/>
            </w:r>
            <w:r>
              <w:rPr>
                <w:rFonts w:hint="default" w:ascii="Times New Roman" w:hAnsi="Times New Roman" w:eastAsia="宋体" w:cs="Times New Roman"/>
                <w:color w:val="auto"/>
                <w:sz w:val="24"/>
              </w:rPr>
              <w:t>新建（迁建）</w:t>
            </w:r>
          </w:p>
          <w:p w14:paraId="31C8AAE1">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sym w:font="Wingdings" w:char="00A8"/>
            </w:r>
            <w:r>
              <w:rPr>
                <w:rFonts w:hint="default" w:ascii="Times New Roman" w:hAnsi="Times New Roman" w:eastAsia="宋体" w:cs="Times New Roman"/>
                <w:color w:val="auto"/>
                <w:sz w:val="24"/>
              </w:rPr>
              <w:t>改建</w:t>
            </w:r>
          </w:p>
          <w:p w14:paraId="5D1B863A">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sym w:font="Wingdings" w:char="00A8"/>
            </w:r>
            <w:r>
              <w:rPr>
                <w:rFonts w:hint="default" w:ascii="Times New Roman" w:hAnsi="Times New Roman" w:eastAsia="宋体" w:cs="Times New Roman"/>
                <w:color w:val="auto"/>
                <w:sz w:val="24"/>
              </w:rPr>
              <w:t>扩建</w:t>
            </w:r>
          </w:p>
          <w:p w14:paraId="6F3CF734">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sym w:font="Wingdings" w:char="00A8"/>
            </w:r>
            <w:r>
              <w:rPr>
                <w:rFonts w:hint="default" w:ascii="Times New Roman" w:hAnsi="Times New Roman" w:eastAsia="宋体" w:cs="Times New Roman"/>
                <w:color w:val="auto"/>
                <w:sz w:val="24"/>
              </w:rPr>
              <w:t>技术改造</w:t>
            </w:r>
          </w:p>
        </w:tc>
        <w:tc>
          <w:tcPr>
            <w:tcW w:w="2178" w:type="dxa"/>
            <w:vAlign w:val="center"/>
          </w:tcPr>
          <w:p w14:paraId="3DD6DA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287537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3185" w:type="dxa"/>
            <w:vAlign w:val="center"/>
          </w:tcPr>
          <w:p w14:paraId="4E9AF7F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☑首次申报项目</w:t>
            </w:r>
          </w:p>
          <w:p w14:paraId="0D3E9FA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□不予批准后再次申报项目</w:t>
            </w:r>
          </w:p>
          <w:p w14:paraId="3EA841F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□超五年重新审核项目</w:t>
            </w:r>
          </w:p>
          <w:p w14:paraId="0F2371D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□重大变动重新报批项目</w:t>
            </w:r>
          </w:p>
        </w:tc>
      </w:tr>
      <w:tr w14:paraId="55B1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86BA887">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w:t>
            </w:r>
          </w:p>
          <w:p w14:paraId="01F68B3D">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（核准/备案）部门</w:t>
            </w:r>
          </w:p>
          <w:p w14:paraId="528DA42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（选填）</w:t>
            </w:r>
          </w:p>
        </w:tc>
        <w:tc>
          <w:tcPr>
            <w:tcW w:w="1360" w:type="pct"/>
            <w:vAlign w:val="center"/>
          </w:tcPr>
          <w:p w14:paraId="51B451DF">
            <w:pPr>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常州市金坛区发展和改革局</w:t>
            </w:r>
          </w:p>
        </w:tc>
        <w:tc>
          <w:tcPr>
            <w:tcW w:w="1173" w:type="pct"/>
            <w:vAlign w:val="center"/>
          </w:tcPr>
          <w:p w14:paraId="2C0AE852">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项目审批（核准/备案）文号</w:t>
            </w:r>
          </w:p>
          <w:p w14:paraId="0FF29BD4">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（选填）</w:t>
            </w:r>
          </w:p>
        </w:tc>
        <w:tc>
          <w:tcPr>
            <w:tcW w:w="1715" w:type="pct"/>
            <w:vAlign w:val="center"/>
          </w:tcPr>
          <w:p w14:paraId="1E5BD64E">
            <w:pPr>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坛发改备〔2024〕453号</w:t>
            </w:r>
          </w:p>
        </w:tc>
      </w:tr>
      <w:tr w14:paraId="6C3C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8149D40">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w:t>
            </w:r>
          </w:p>
          <w:p w14:paraId="0ACD503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（万元）</w:t>
            </w:r>
          </w:p>
        </w:tc>
        <w:tc>
          <w:tcPr>
            <w:tcW w:w="1360" w:type="pct"/>
            <w:vAlign w:val="center"/>
          </w:tcPr>
          <w:p w14:paraId="04885545">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00</w:t>
            </w:r>
          </w:p>
        </w:tc>
        <w:tc>
          <w:tcPr>
            <w:tcW w:w="1173" w:type="pct"/>
            <w:vAlign w:val="center"/>
          </w:tcPr>
          <w:p w14:paraId="6519277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w:t>
            </w:r>
          </w:p>
          <w:p w14:paraId="4618BD9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（万元）</w:t>
            </w:r>
          </w:p>
        </w:tc>
        <w:tc>
          <w:tcPr>
            <w:tcW w:w="1715" w:type="pct"/>
            <w:vAlign w:val="center"/>
          </w:tcPr>
          <w:p w14:paraId="43311488">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0</w:t>
            </w:r>
          </w:p>
        </w:tc>
      </w:tr>
      <w:tr w14:paraId="0696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1EF59D7D">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360" w:type="pct"/>
            <w:vAlign w:val="center"/>
          </w:tcPr>
          <w:p w14:paraId="2392FFA5">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8</w:t>
            </w:r>
          </w:p>
        </w:tc>
        <w:tc>
          <w:tcPr>
            <w:tcW w:w="1173" w:type="pct"/>
            <w:vAlign w:val="center"/>
          </w:tcPr>
          <w:p w14:paraId="604339C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1715" w:type="pct"/>
            <w:vAlign w:val="center"/>
          </w:tcPr>
          <w:p w14:paraId="01088E23">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2个月</w:t>
            </w:r>
          </w:p>
        </w:tc>
      </w:tr>
      <w:tr w14:paraId="2043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212B05A">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360" w:type="pct"/>
            <w:vAlign w:val="center"/>
          </w:tcPr>
          <w:p w14:paraId="76B18E11">
            <w:pPr>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sym w:font="Wingdings" w:char="00FE"/>
            </w:r>
            <w:r>
              <w:rPr>
                <w:rFonts w:hint="default" w:ascii="Times New Roman" w:hAnsi="Times New Roman" w:eastAsia="宋体" w:cs="Times New Roman"/>
                <w:color w:val="auto"/>
                <w:sz w:val="24"/>
              </w:rPr>
              <w:t>否</w:t>
            </w:r>
          </w:p>
          <w:p w14:paraId="5DBD582E">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w:t>
            </w:r>
            <w:r>
              <w:rPr>
                <w:rFonts w:hint="default" w:ascii="Times New Roman" w:hAnsi="Times New Roman" w:eastAsia="宋体" w:cs="Times New Roman"/>
                <w:color w:val="auto"/>
                <w:sz w:val="24"/>
                <w:u w:val="single"/>
              </w:rPr>
              <w:t xml:space="preserve">            </w:t>
            </w:r>
          </w:p>
        </w:tc>
        <w:tc>
          <w:tcPr>
            <w:tcW w:w="1173" w:type="pct"/>
            <w:vAlign w:val="center"/>
          </w:tcPr>
          <w:p w14:paraId="48B5FBA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用地（用海）</w:t>
            </w:r>
          </w:p>
          <w:p w14:paraId="5AD05934">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面积（m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tc>
        <w:tc>
          <w:tcPr>
            <w:tcW w:w="1715" w:type="pct"/>
            <w:vAlign w:val="center"/>
          </w:tcPr>
          <w:p w14:paraId="5812AE6E">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2136.5</w:t>
            </w:r>
          </w:p>
        </w:tc>
      </w:tr>
      <w:tr w14:paraId="53FA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EA5A777">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专项评价设置情况</w:t>
            </w:r>
          </w:p>
        </w:tc>
        <w:tc>
          <w:tcPr>
            <w:tcW w:w="7889" w:type="dxa"/>
            <w:gridSpan w:val="3"/>
            <w:vAlign w:val="center"/>
          </w:tcPr>
          <w:p w14:paraId="79F6364A">
            <w:pPr>
              <w:keepNext w:val="0"/>
              <w:keepLines w:val="0"/>
              <w:pageBreakBefore w:val="0"/>
              <w:widowControl w:val="0"/>
              <w:kinsoku/>
              <w:wordWrap/>
              <w:overflowPunct/>
              <w:topLinePunct w:val="0"/>
              <w:bidi w:val="0"/>
              <w:adjustRightInd/>
              <w:snapToGrid w:val="0"/>
              <w:spacing w:line="24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无</w:t>
            </w:r>
          </w:p>
        </w:tc>
      </w:tr>
      <w:tr w14:paraId="72C1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1809BEC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规划情况</w:t>
            </w:r>
          </w:p>
        </w:tc>
        <w:tc>
          <w:tcPr>
            <w:tcW w:w="7889" w:type="dxa"/>
            <w:gridSpan w:val="3"/>
            <w:vAlign w:val="center"/>
          </w:tcPr>
          <w:p w14:paraId="19086E34">
            <w:pPr>
              <w:keepNext w:val="0"/>
              <w:keepLines w:val="0"/>
              <w:pageBreakBefore w:val="0"/>
              <w:widowControl w:val="0"/>
              <w:kinsoku/>
              <w:wordWrap/>
              <w:overflowPunct/>
              <w:topLinePunct w:val="0"/>
              <w:autoSpaceDE/>
              <w:autoSpaceDN/>
              <w:bidi w:val="0"/>
              <w:adjustRightInd/>
              <w:snapToGrid w:val="0"/>
              <w:spacing w:before="12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名称：常州市金坛区国土空间总体规划（2021-2035）</w:t>
            </w:r>
          </w:p>
          <w:p w14:paraId="4828D645">
            <w:pPr>
              <w:keepNext w:val="0"/>
              <w:keepLines w:val="0"/>
              <w:pageBreakBefore w:val="0"/>
              <w:widowControl w:val="0"/>
              <w:kinsoku/>
              <w:wordWrap/>
              <w:overflowPunct/>
              <w:topLinePunct w:val="0"/>
              <w:bidi w:val="0"/>
              <w:adjustRightInd/>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审批机关：江苏省自然资源厅</w:t>
            </w:r>
          </w:p>
          <w:p w14:paraId="20559D8D">
            <w:pPr>
              <w:keepNext w:val="0"/>
              <w:keepLines w:val="0"/>
              <w:pageBreakBefore w:val="0"/>
              <w:widowControl w:val="0"/>
              <w:kinsoku/>
              <w:wordWrap/>
              <w:overflowPunct/>
              <w:topLinePunct w:val="0"/>
              <w:bidi w:val="0"/>
              <w:adjustRightInd/>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审批文件名称及文号：/</w:t>
            </w:r>
          </w:p>
        </w:tc>
      </w:tr>
      <w:tr w14:paraId="4E4D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60BCC4F0">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规划环境影响评价情况</w:t>
            </w:r>
          </w:p>
        </w:tc>
        <w:tc>
          <w:tcPr>
            <w:tcW w:w="7889" w:type="dxa"/>
            <w:gridSpan w:val="3"/>
            <w:vAlign w:val="center"/>
          </w:tcPr>
          <w:p w14:paraId="1840A707">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无</w:t>
            </w:r>
          </w:p>
        </w:tc>
      </w:tr>
      <w:tr w14:paraId="5F14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4F79E987">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规划及规划环境影响评价符合性分析</w:t>
            </w:r>
          </w:p>
        </w:tc>
        <w:tc>
          <w:tcPr>
            <w:tcW w:w="7889" w:type="dxa"/>
            <w:gridSpan w:val="3"/>
            <w:vAlign w:val="center"/>
          </w:tcPr>
          <w:p w14:paraId="1E1AD64A">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（一）与《常州市金坛区国土空间总体规划（2021-2035）》相符性分析</w:t>
            </w:r>
          </w:p>
          <w:p w14:paraId="16DF3B5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经对照《常州市金坛区国土空间总体规划（2021-2035）》，项目所在地</w:t>
            </w:r>
            <w:r>
              <w:rPr>
                <w:rFonts w:hint="eastAsia" w:ascii="Times New Roman" w:hAnsi="Times New Roman" w:eastAsia="宋体" w:cs="Times New Roman"/>
                <w:bCs/>
                <w:color w:val="auto"/>
                <w:sz w:val="24"/>
                <w:lang w:val="en-US" w:eastAsia="zh-CN"/>
              </w:rPr>
              <w:t>不涉及</w:t>
            </w:r>
            <w:r>
              <w:rPr>
                <w:rFonts w:hint="default" w:ascii="Times New Roman" w:hAnsi="Times New Roman" w:eastAsia="宋体" w:cs="Times New Roman"/>
                <w:bCs/>
                <w:color w:val="auto"/>
                <w:sz w:val="24"/>
              </w:rPr>
              <w:t>永久基本农田</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生态保护红线</w:t>
            </w:r>
            <w:r>
              <w:rPr>
                <w:rFonts w:hint="default" w:ascii="Times New Roman" w:hAnsi="Times New Roman" w:eastAsia="宋体" w:cs="Times New Roman"/>
                <w:bCs/>
                <w:color w:val="auto"/>
                <w:sz w:val="24"/>
              </w:rPr>
              <w:t>区域。</w:t>
            </w:r>
            <w:r>
              <w:rPr>
                <w:rFonts w:hint="eastAsia" w:ascii="Times New Roman" w:hAnsi="Times New Roman" w:eastAsia="宋体" w:cs="Times New Roman"/>
                <w:bCs/>
                <w:color w:val="auto"/>
                <w:sz w:val="24"/>
                <w:lang w:val="en-US" w:eastAsia="zh-CN"/>
              </w:rPr>
              <w:t>同时根据建设单位不动产权证（苏（2020）金坛区不动产权第0012233号），项目所在地</w:t>
            </w:r>
            <w:r>
              <w:rPr>
                <w:rFonts w:hint="default" w:ascii="Times New Roman" w:hAnsi="Times New Roman" w:eastAsia="宋体" w:cs="Times New Roman"/>
                <w:bCs/>
                <w:color w:val="auto"/>
                <w:sz w:val="24"/>
              </w:rPr>
              <w:t>用地性质为工业用地，符合国土空间规划。</w:t>
            </w:r>
          </w:p>
          <w:p w14:paraId="64E38E67">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（二）选址合理性</w:t>
            </w:r>
          </w:p>
          <w:p w14:paraId="331ECFB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lang w:val="en-US"/>
              </w:rPr>
            </w:pPr>
            <w:r>
              <w:rPr>
                <w:rFonts w:hint="eastAsia" w:ascii="Times New Roman" w:hAnsi="Times New Roman" w:eastAsia="宋体" w:cs="Times New Roman"/>
                <w:bCs/>
                <w:color w:val="auto"/>
                <w:sz w:val="24"/>
                <w:lang w:val="en-US" w:eastAsia="zh-CN"/>
              </w:rPr>
              <w:t>与</w:t>
            </w:r>
            <w:r>
              <w:rPr>
                <w:rFonts w:hint="eastAsia"/>
                <w:color w:val="auto"/>
                <w:lang w:eastAsia="zh-CN"/>
              </w:rPr>
              <w:t>《</w:t>
            </w:r>
            <w:r>
              <w:rPr>
                <w:rFonts w:hint="default" w:ascii="Times New Roman" w:hAnsi="Times New Roman" w:eastAsia="宋体" w:cs="Times New Roman"/>
                <w:bCs/>
                <w:color w:val="auto"/>
                <w:sz w:val="24"/>
              </w:rPr>
              <w:t>常州市国土空间总体规划（202</w:t>
            </w: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-2035年）</w:t>
            </w:r>
            <w:r>
              <w:rPr>
                <w:rFonts w:hint="eastAsia"/>
                <w:color w:val="auto"/>
                <w:lang w:eastAsia="zh-CN"/>
              </w:rPr>
              <w:t>》</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省政府关于溧阳市、金坛区、武进区、新北区、天宁区、钟楼区国土空间总体规划（2021－2035年）</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（苏政复〔2025〕6号）等文件的相符性分析</w:t>
            </w:r>
          </w:p>
          <w:p w14:paraId="4542CC3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099B41F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（1）市域城镇空间结构</w:t>
            </w:r>
          </w:p>
          <w:p w14:paraId="71F2EB1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6F4CF171">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一极：溧阳发展极。打造长三角休闲康旅目的城市，宁杭科创资源外溢和京深沪先进制造产业拓展承载地，苏浙皖省际边界地区生态创新合作的示范城市。</w:t>
            </w:r>
          </w:p>
          <w:p w14:paraId="541F4CF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7320271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（2）生态空间结构</w:t>
            </w:r>
          </w:p>
          <w:p w14:paraId="3D58252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构建“一江带三湖，九脉串城池，青山护绿城，河网绕圩田”的市域生态保护格局。</w:t>
            </w:r>
          </w:p>
          <w:p w14:paraId="6301D23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“一江带三湖”：长江、太湖、滆湖、长荡湖为主体的生态空间；</w:t>
            </w:r>
          </w:p>
          <w:p w14:paraId="53B1D4A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九脉”：“四横五纵”的九条生态廊道。包括京杭大运河（含京杭运河老线段、关河）、通济河-夏溪河-武南河、尧塘河-北干河-太滆运河、芜申运河-南河、丹金溧漕河、新孟河、德胜河-武宜运河、澡港河-东支河-横塘河-丁塘港-采菱港-永安河、新沟河等主要水系形成的生态廊道；“青山”：茅山、南山、小黄山、横山、竺山等山体为主体的生态空间。</w:t>
            </w:r>
          </w:p>
          <w:p w14:paraId="66F74EC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（3）农业空间结构</w:t>
            </w:r>
          </w:p>
          <w:p w14:paraId="6BF3EBB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60838DD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6A2122A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（4）生态保护红线</w:t>
            </w:r>
          </w:p>
          <w:p w14:paraId="02B6E0D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2A5FE2F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（5）永久基本农田</w:t>
            </w:r>
          </w:p>
          <w:p w14:paraId="746C110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746E443A">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（6）城镇开发边界</w:t>
            </w:r>
          </w:p>
          <w:p w14:paraId="5A435DD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7F9067E7">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rPr>
              <w:t>对照分析：</w:t>
            </w:r>
            <w:r>
              <w:rPr>
                <w:rFonts w:hint="default" w:ascii="Times New Roman" w:hAnsi="Times New Roman" w:eastAsia="宋体" w:cs="Times New Roman"/>
                <w:bCs/>
                <w:color w:val="auto"/>
                <w:sz w:val="24"/>
              </w:rPr>
              <w:t>本项目位于</w:t>
            </w:r>
            <w:r>
              <w:rPr>
                <w:rFonts w:hint="default" w:ascii="Times New Roman" w:hAnsi="Times New Roman" w:eastAsia="宋体" w:cs="Times New Roman"/>
                <w:color w:val="auto"/>
                <w:sz w:val="24"/>
                <w:lang w:eastAsia="zh-CN"/>
              </w:rPr>
              <w:t>常州市金坛区朱林镇唐王村委唐王村62号</w:t>
            </w:r>
            <w:r>
              <w:rPr>
                <w:rFonts w:hint="default" w:ascii="Times New Roman" w:hAnsi="Times New Roman" w:eastAsia="宋体" w:cs="Times New Roman"/>
                <w:bCs/>
                <w:color w:val="auto"/>
                <w:sz w:val="24"/>
              </w:rPr>
              <w:t>，对照</w:t>
            </w:r>
            <w:r>
              <w:rPr>
                <w:rFonts w:hint="eastAsia" w:ascii="Times New Roman" w:hAnsi="Times New Roman" w:eastAsia="宋体" w:cs="Times New Roman"/>
                <w:bCs/>
                <w:color w:val="auto"/>
                <w:sz w:val="24"/>
                <w:lang w:val="en-US" w:eastAsia="zh-CN"/>
              </w:rPr>
              <w:t>金坛</w:t>
            </w:r>
            <w:r>
              <w:rPr>
                <w:rFonts w:hint="default" w:ascii="Times New Roman" w:hAnsi="Times New Roman" w:eastAsia="宋体" w:cs="Times New Roman"/>
                <w:bCs/>
                <w:color w:val="auto"/>
                <w:sz w:val="24"/>
              </w:rPr>
              <w:t>国土空间规划，本项目所在地不涉及永久基本农田，不属于农业空间区域，不在生态保护红线范围内。</w:t>
            </w:r>
          </w:p>
          <w:p w14:paraId="02603D2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综上所述，本项目符合常州市国土空间规划。</w:t>
            </w:r>
          </w:p>
          <w:p w14:paraId="7500BAD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rPr>
            </w:pPr>
          </w:p>
        </w:tc>
      </w:tr>
    </w:tbl>
    <w:p w14:paraId="3F0F774E">
      <w:pPr>
        <w:rPr>
          <w:rFonts w:hint="default" w:ascii="Times New Roman" w:hAnsi="Times New Roman" w:cs="Times New Roman"/>
          <w:color w:val="auto"/>
        </w:rPr>
        <w:sectPr>
          <w:footerReference r:id="rId4"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625"/>
      </w:tblGrid>
      <w:tr w14:paraId="107C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14:paraId="2C58EA5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其他相符性分析</w:t>
            </w:r>
          </w:p>
        </w:tc>
        <w:tc>
          <w:tcPr>
            <w:tcW w:w="4643" w:type="pct"/>
            <w:vAlign w:val="center"/>
          </w:tcPr>
          <w:p w14:paraId="06C71794">
            <w:pPr>
              <w:spacing w:line="360" w:lineRule="auto"/>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1、产业政策相符性分析</w:t>
            </w:r>
          </w:p>
          <w:p w14:paraId="736E0A71">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（1）本项目为</w:t>
            </w:r>
            <w:r>
              <w:rPr>
                <w:rFonts w:hint="eastAsia" w:ascii="Times New Roman" w:hAnsi="Times New Roman" w:eastAsia="宋体" w:cs="Times New Roman"/>
                <w:color w:val="auto"/>
                <w:sz w:val="24"/>
                <w:lang w:eastAsia="zh-CN"/>
              </w:rPr>
              <w:t>新建年产300万件指纹识别棱镜和50万件光学投影棱镜项目</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行业类别属于C3052光学玻璃制造，</w:t>
            </w:r>
            <w:r>
              <w:rPr>
                <w:rFonts w:hint="default" w:ascii="Times New Roman" w:hAnsi="Times New Roman" w:eastAsia="宋体" w:cs="Times New Roman"/>
                <w:color w:val="auto"/>
                <w:sz w:val="24"/>
              </w:rPr>
              <w:t>工艺、设备不属于《产业结构调整指导目录（2024年本）》中限制类或淘汰类项目；不属于《市场准入负面清单（202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年版）》禁止准入类和限制准入类中。</w:t>
            </w:r>
          </w:p>
          <w:p w14:paraId="4503150C">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（2）本项目不属于《江苏省限制用地项目目录（2013年本）》、《江苏省禁止用地项目目录（2013年本）》中所列项目；不属于《</w:t>
            </w:r>
            <w:bookmarkStart w:id="3" w:name="OLE_LINK2"/>
            <w:r>
              <w:rPr>
                <w:rFonts w:hint="default" w:ascii="Times New Roman" w:hAnsi="Times New Roman" w:eastAsia="宋体" w:cs="Times New Roman"/>
                <w:color w:val="auto"/>
                <w:sz w:val="24"/>
              </w:rPr>
              <w:t>长江经济带发展负面清单指南</w:t>
            </w:r>
            <w:bookmarkEnd w:id="3"/>
            <w:r>
              <w:rPr>
                <w:rFonts w:hint="default" w:ascii="Times New Roman" w:hAnsi="Times New Roman" w:eastAsia="宋体" w:cs="Times New Roman"/>
                <w:color w:val="auto"/>
                <w:sz w:val="24"/>
              </w:rPr>
              <w:t>》中禁止类项目</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且本项目符合</w:t>
            </w:r>
            <w:r>
              <w:rPr>
                <w:rFonts w:hint="default" w:ascii="Times New Roman" w:hAnsi="Times New Roman" w:eastAsia="宋体" w:cs="Times New Roman"/>
                <w:color w:val="auto"/>
                <w:sz w:val="24"/>
              </w:rPr>
              <w:t>《&lt;长江经济带发展负面清单指南（试行2022版）&gt;江苏省实施细则》（苏长江办发</w:t>
            </w:r>
            <w:r>
              <w:rPr>
                <w:rFonts w:hint="eastAsia" w:ascii="Times New Roman" w:hAnsi="Times New Roman" w:eastAsia="宋体" w:cs="Times New Roman"/>
                <w:color w:val="auto"/>
                <w:sz w:val="24"/>
              </w:rPr>
              <w:t>〔</w:t>
            </w:r>
            <w:r>
              <w:rPr>
                <w:rFonts w:hint="default" w:ascii="Times New Roman" w:hAnsi="Times New Roman" w:eastAsia="宋体" w:cs="Times New Roman"/>
                <w:color w:val="auto"/>
                <w:sz w:val="24"/>
              </w:rPr>
              <w:t>2022</w:t>
            </w:r>
            <w:r>
              <w:rPr>
                <w:rFonts w:hint="eastAsia" w:ascii="Times New Roman" w:hAnsi="Times New Roman" w:eastAsia="宋体" w:cs="Times New Roman"/>
                <w:color w:val="auto"/>
                <w:sz w:val="24"/>
              </w:rPr>
              <w:t>〕</w:t>
            </w:r>
            <w:r>
              <w:rPr>
                <w:rFonts w:hint="default" w:ascii="Times New Roman" w:hAnsi="Times New Roman" w:eastAsia="宋体" w:cs="Times New Roman"/>
                <w:color w:val="auto"/>
                <w:sz w:val="24"/>
              </w:rPr>
              <w:t>55号）</w:t>
            </w:r>
            <w:r>
              <w:rPr>
                <w:rFonts w:hint="eastAsia" w:ascii="Times New Roman" w:hAnsi="Times New Roman" w:eastAsia="宋体" w:cs="Times New Roman"/>
                <w:color w:val="auto"/>
                <w:sz w:val="24"/>
                <w:lang w:val="en-US" w:eastAsia="zh-CN"/>
              </w:rPr>
              <w:t>中相关要求；</w:t>
            </w:r>
            <w:r>
              <w:rPr>
                <w:rFonts w:hint="default" w:ascii="Times New Roman" w:hAnsi="Times New Roman" w:eastAsia="宋体" w:cs="Times New Roman"/>
                <w:color w:val="auto"/>
                <w:sz w:val="24"/>
              </w:rPr>
              <w:t>本公司位于太湖三级保护区，本公司无氮、磷工业废水外排，不属于《江苏省太湖水污染防治条例》</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中禁止类项目。</w:t>
            </w:r>
          </w:p>
          <w:p w14:paraId="61EF9E32">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因此，本项目符合国家及地方产业政策。</w:t>
            </w:r>
          </w:p>
          <w:p w14:paraId="3D6797C7">
            <w:pPr>
              <w:spacing w:line="360" w:lineRule="auto"/>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2、与江苏省“三线一单”相符性分析</w:t>
            </w:r>
          </w:p>
          <w:p w14:paraId="5492D1CD">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根据《江苏省“三线一单”生态环境分区管控方案》（苏政发〔2020〕49号）及《江苏省2023年度生态环境分区管控动态更新成果公告》，本项目位于太湖流域，属于江苏省重点管控单元。</w:t>
            </w:r>
          </w:p>
          <w:p w14:paraId="14891F14">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表1-</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 xml:space="preserve">  江苏省生态环境准入清单</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4297"/>
              <w:gridCol w:w="2854"/>
            </w:tblGrid>
            <w:tr w14:paraId="04C9E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Align w:val="center"/>
                </w:tcPr>
                <w:p w14:paraId="1956CB78">
                  <w:pPr>
                    <w:tabs>
                      <w:tab w:val="left" w:pos="1935"/>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环境管控单元名称</w:t>
                  </w:r>
                </w:p>
              </w:tc>
              <w:tc>
                <w:tcPr>
                  <w:tcW w:w="2554" w:type="pct"/>
                  <w:vAlign w:val="center"/>
                </w:tcPr>
                <w:p w14:paraId="1959C3EF">
                  <w:pPr>
                    <w:tabs>
                      <w:tab w:val="left" w:pos="1935"/>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生态环境准入清单</w:t>
                  </w:r>
                </w:p>
              </w:tc>
              <w:tc>
                <w:tcPr>
                  <w:tcW w:w="1696" w:type="pct"/>
                  <w:vAlign w:val="center"/>
                </w:tcPr>
                <w:p w14:paraId="1246B71F">
                  <w:pPr>
                    <w:tabs>
                      <w:tab w:val="left" w:pos="1935"/>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对照分析</w:t>
                  </w:r>
                </w:p>
              </w:tc>
            </w:tr>
            <w:tr w14:paraId="5989D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restart"/>
                  <w:vAlign w:val="center"/>
                </w:tcPr>
                <w:p w14:paraId="5B14D31B">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太湖流域</w:t>
                  </w:r>
                </w:p>
              </w:tc>
              <w:tc>
                <w:tcPr>
                  <w:tcW w:w="2554" w:type="pct"/>
                  <w:vAlign w:val="center"/>
                </w:tcPr>
                <w:p w14:paraId="5D698C9B">
                  <w:pPr>
                    <w:tabs>
                      <w:tab w:val="left" w:pos="1935"/>
                    </w:tabs>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间布局约束：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696" w:type="pct"/>
                  <w:vAlign w:val="center"/>
                </w:tcPr>
                <w:p w14:paraId="2A31146B">
                  <w:pPr>
                    <w:tabs>
                      <w:tab w:val="left" w:pos="1935"/>
                    </w:tabs>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本项目位于太湖流域三级保护区，本项目为</w:t>
                  </w:r>
                  <w:r>
                    <w:rPr>
                      <w:rFonts w:hint="eastAsia" w:ascii="Times New Roman" w:hAnsi="Times New Roman" w:eastAsia="宋体" w:cs="Times New Roman"/>
                      <w:color w:val="auto"/>
                      <w:szCs w:val="21"/>
                      <w:lang w:eastAsia="zh-CN"/>
                    </w:rPr>
                    <w:t>新建年产300万件指纹识别棱镜和50万件光学投影棱镜项目</w:t>
                  </w:r>
                  <w:r>
                    <w:rPr>
                      <w:rFonts w:hint="default" w:ascii="Times New Roman" w:hAnsi="Times New Roman" w:eastAsia="宋体" w:cs="Times New Roman"/>
                      <w:color w:val="auto"/>
                      <w:szCs w:val="21"/>
                    </w:rPr>
                    <w:t>，无氮、磷工业废水外排，本项目生活污水接管</w:t>
                  </w:r>
                  <w:r>
                    <w:rPr>
                      <w:rFonts w:hint="eastAsia" w:ascii="Times New Roman" w:hAnsi="Times New Roman" w:eastAsia="宋体" w:cs="Times New Roman"/>
                      <w:color w:val="auto"/>
                      <w:szCs w:val="21"/>
                      <w:lang w:val="en-US" w:eastAsia="zh-CN"/>
                    </w:rPr>
                    <w:t>至唐王村农村生活污水处理站</w:t>
                  </w:r>
                  <w:r>
                    <w:rPr>
                      <w:rFonts w:hint="default" w:ascii="Times New Roman" w:hAnsi="Times New Roman" w:eastAsia="宋体" w:cs="Times New Roman"/>
                      <w:color w:val="auto"/>
                      <w:szCs w:val="21"/>
                    </w:rPr>
                    <w:t>，其执行</w:t>
                  </w:r>
                  <w:r>
                    <w:rPr>
                      <w:rFonts w:hint="default" w:ascii="Times New Roman" w:hAnsi="Times New Roman" w:eastAsia="宋体" w:cs="Times New Roman"/>
                      <w:color w:val="auto"/>
                      <w:szCs w:val="21"/>
                      <w:lang w:val="en-US" w:eastAsia="zh-CN"/>
                    </w:rPr>
                    <w:t>《污水排入城镇下水道水质标准》（GB/T31962-2015）中B级标准</w:t>
                  </w:r>
                  <w:r>
                    <w:rPr>
                      <w:rFonts w:hint="default" w:ascii="Times New Roman" w:hAnsi="Times New Roman" w:eastAsia="宋体" w:cs="Times New Roman"/>
                      <w:color w:val="auto"/>
                      <w:szCs w:val="21"/>
                    </w:rPr>
                    <w:t>和唐王村农村生活污水处理站的接管标准</w:t>
                  </w:r>
                  <w:r>
                    <w:rPr>
                      <w:rFonts w:hint="eastAsia" w:ascii="Times New Roman" w:hAnsi="Times New Roman" w:eastAsia="宋体" w:cs="Times New Roman"/>
                      <w:color w:val="auto"/>
                      <w:szCs w:val="21"/>
                      <w:lang w:eastAsia="zh-CN"/>
                    </w:rPr>
                    <w:t>。</w:t>
                  </w:r>
                </w:p>
              </w:tc>
            </w:tr>
            <w:tr w14:paraId="5F82D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715260D8">
                  <w:pPr>
                    <w:tabs>
                      <w:tab w:val="left" w:pos="1935"/>
                    </w:tabs>
                    <w:jc w:val="center"/>
                    <w:rPr>
                      <w:rFonts w:hint="default" w:ascii="Times New Roman" w:hAnsi="Times New Roman" w:eastAsia="宋体" w:cs="Times New Roman"/>
                      <w:color w:val="auto"/>
                      <w:szCs w:val="21"/>
                    </w:rPr>
                  </w:pPr>
                </w:p>
              </w:tc>
              <w:tc>
                <w:tcPr>
                  <w:tcW w:w="2554" w:type="pct"/>
                  <w:vAlign w:val="center"/>
                </w:tcPr>
                <w:p w14:paraId="7C2477A2">
                  <w:pPr>
                    <w:tabs>
                      <w:tab w:val="left" w:pos="1935"/>
                    </w:tabs>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污染物排放管控：城镇污水处理厂、纺织工业、化学工业、造纸工业、钢铁工业、电镀工业和食品工业的污水处理设施执行《太湖地区城镇污水处理厂及重点工业行业主要水污染物排放限值》。</w:t>
                  </w:r>
                </w:p>
              </w:tc>
              <w:tc>
                <w:tcPr>
                  <w:tcW w:w="1696" w:type="pct"/>
                  <w:vAlign w:val="center"/>
                </w:tcPr>
                <w:p w14:paraId="61825D38">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本项目生活污水接管</w:t>
                  </w:r>
                  <w:r>
                    <w:rPr>
                      <w:rFonts w:hint="eastAsia" w:ascii="Times New Roman" w:hAnsi="Times New Roman" w:eastAsia="宋体" w:cs="Times New Roman"/>
                      <w:color w:val="auto"/>
                      <w:szCs w:val="21"/>
                      <w:lang w:val="en-US" w:eastAsia="zh-CN"/>
                    </w:rPr>
                    <w:t>至唐王村农村生活污水处理站</w:t>
                  </w:r>
                  <w:r>
                    <w:rPr>
                      <w:rFonts w:hint="default" w:ascii="Times New Roman" w:hAnsi="Times New Roman" w:eastAsia="宋体" w:cs="Times New Roman"/>
                      <w:color w:val="auto"/>
                      <w:szCs w:val="21"/>
                    </w:rPr>
                    <w:t>，其执行</w:t>
                  </w:r>
                  <w:r>
                    <w:rPr>
                      <w:rFonts w:hint="default" w:ascii="Times New Roman" w:hAnsi="Times New Roman" w:eastAsia="宋体" w:cs="Times New Roman"/>
                      <w:color w:val="auto"/>
                      <w:szCs w:val="21"/>
                      <w:lang w:val="en-US" w:eastAsia="zh-CN"/>
                    </w:rPr>
                    <w:t>《污水排入城镇下水道水质标准》（GB/T31962-2015）中B级标准</w:t>
                  </w:r>
                  <w:r>
                    <w:rPr>
                      <w:rFonts w:hint="default" w:ascii="Times New Roman" w:hAnsi="Times New Roman" w:eastAsia="宋体" w:cs="Times New Roman"/>
                      <w:color w:val="auto"/>
                      <w:szCs w:val="21"/>
                    </w:rPr>
                    <w:t>和唐王村农村生活污水处理站的接管标准</w:t>
                  </w:r>
                  <w:r>
                    <w:rPr>
                      <w:rFonts w:hint="eastAsia" w:ascii="Times New Roman" w:hAnsi="Times New Roman" w:eastAsia="宋体" w:cs="Times New Roman"/>
                      <w:color w:val="auto"/>
                      <w:szCs w:val="21"/>
                      <w:lang w:eastAsia="zh-CN"/>
                    </w:rPr>
                    <w:t>。</w:t>
                  </w:r>
                </w:p>
              </w:tc>
            </w:tr>
            <w:tr w14:paraId="2C89E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4DFBBBEB">
                  <w:pPr>
                    <w:tabs>
                      <w:tab w:val="left" w:pos="1935"/>
                    </w:tabs>
                    <w:jc w:val="center"/>
                    <w:rPr>
                      <w:rFonts w:hint="default" w:ascii="Times New Roman" w:hAnsi="Times New Roman" w:eastAsia="宋体" w:cs="Times New Roman"/>
                      <w:color w:val="auto"/>
                      <w:szCs w:val="21"/>
                    </w:rPr>
                  </w:pPr>
                </w:p>
              </w:tc>
              <w:tc>
                <w:tcPr>
                  <w:tcW w:w="2554" w:type="pct"/>
                  <w:vAlign w:val="center"/>
                </w:tcPr>
                <w:p w14:paraId="307C6855">
                  <w:pPr>
                    <w:tabs>
                      <w:tab w:val="left" w:pos="1935"/>
                    </w:tabs>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防控：1、运输剧毒物质、危险化学品的船舶不得进入太湖。2、禁止向太湖流域水体排放或者倾倒油类、酸液、碱液、剧毒废渣废液、含放射性废渣废液、含病原体污水、工业废渣以及其他废弃物。3、加强太湖流域生态环境风险应急管控，着力提高防控太湖蓝藻水华风险预警和应急处置能力。</w:t>
                  </w:r>
                </w:p>
              </w:tc>
              <w:tc>
                <w:tcPr>
                  <w:tcW w:w="1696" w:type="pct"/>
                  <w:vAlign w:val="center"/>
                </w:tcPr>
                <w:p w14:paraId="2F6F433C">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本项目不涉及上述内容</w:t>
                  </w:r>
                </w:p>
              </w:tc>
            </w:tr>
            <w:tr w14:paraId="0391F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8" w:type="pct"/>
                  <w:vMerge w:val="continue"/>
                  <w:vAlign w:val="center"/>
                </w:tcPr>
                <w:p w14:paraId="5BF0BDE1">
                  <w:pPr>
                    <w:tabs>
                      <w:tab w:val="left" w:pos="1935"/>
                    </w:tabs>
                    <w:jc w:val="center"/>
                    <w:rPr>
                      <w:rFonts w:hint="default" w:ascii="Times New Roman" w:hAnsi="Times New Roman" w:eastAsia="宋体" w:cs="Times New Roman"/>
                      <w:color w:val="auto"/>
                      <w:szCs w:val="21"/>
                    </w:rPr>
                  </w:pPr>
                </w:p>
              </w:tc>
              <w:tc>
                <w:tcPr>
                  <w:tcW w:w="2554" w:type="pct"/>
                  <w:vAlign w:val="center"/>
                </w:tcPr>
                <w:p w14:paraId="66A4CD22">
                  <w:pPr>
                    <w:tabs>
                      <w:tab w:val="left" w:pos="1935"/>
                    </w:tabs>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资源开发效率要求：1、太湖流域加强水资源配置与调度，优先满足居民生活用水，兼顾生产、生态用水以及航运等需要。2、2020年底前，太湖流域所有省级以上开发区开展园区循环化改造。</w:t>
                  </w:r>
                </w:p>
              </w:tc>
              <w:tc>
                <w:tcPr>
                  <w:tcW w:w="1696" w:type="pct"/>
                  <w:vAlign w:val="center"/>
                </w:tcPr>
                <w:p w14:paraId="4AA97CB2">
                  <w:pPr>
                    <w:tabs>
                      <w:tab w:val="left" w:pos="1935"/>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bl>
          <w:p w14:paraId="1A76EAE9">
            <w:pPr>
              <w:spacing w:line="360" w:lineRule="auto"/>
              <w:ind w:firstLine="482" w:firstLineChars="200"/>
              <w:jc w:val="both"/>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、“三线一单”符合性分析</w:t>
            </w:r>
          </w:p>
          <w:p w14:paraId="4FA3C680">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（1）生态保护红线</w:t>
            </w:r>
          </w:p>
          <w:p w14:paraId="411D58AB">
            <w:pPr>
              <w:spacing w:line="360" w:lineRule="auto"/>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省政府关于印发江苏省生态空间管控区域规划的通知》（苏政发[2020]1号）和《江苏省国家级生态保护红线规划》（苏政发[2018]74号），对照江苏省生态空间保护区域分布图，项目建设区域与国家级生态保护红线范围及江苏省生态空间管控区域范围均无交集，不涉及金坛区内的生态红线区域，不会导致金坛区辖区内生态红线区域服务功能下降，故本项目的建设符合《江苏省生态空间管控区域规划》（苏政发[2020]1号）和《江苏省国家级生态保护红线规划》（苏政发[2018]74号）相关要求。</w:t>
            </w:r>
          </w:p>
          <w:p w14:paraId="0ED2F36E">
            <w:pPr>
              <w:spacing w:line="360" w:lineRule="auto"/>
              <w:ind w:firstLine="480" w:firstLineChars="200"/>
              <w:jc w:val="both"/>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（2）环境质量底线</w:t>
            </w:r>
          </w:p>
          <w:p w14:paraId="14C67C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rPr>
              <w:t>环境空气：</w:t>
            </w:r>
            <w:r>
              <w:rPr>
                <w:rFonts w:hint="default" w:ascii="Times New Roman" w:hAnsi="Times New Roman" w:eastAsia="宋体" w:cs="Times New Roman"/>
                <w:b w:val="0"/>
                <w:bCs w:val="0"/>
                <w:color w:val="auto"/>
                <w:sz w:val="24"/>
                <w:szCs w:val="24"/>
                <w:highlight w:val="none"/>
              </w:rPr>
              <w:t>根据《202</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年常州市生态环境状况公报》</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全市环境空气中细颗粒物</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PM</w:t>
            </w:r>
            <w:r>
              <w:rPr>
                <w:rFonts w:hint="default" w:ascii="Times New Roman" w:hAnsi="Times New Roman" w:eastAsia="宋体" w:cs="Times New Roman"/>
                <w:b w:val="0"/>
                <w:bCs w:val="0"/>
                <w:color w:val="auto"/>
                <w:sz w:val="24"/>
                <w:szCs w:val="24"/>
                <w:highlight w:val="none"/>
                <w:vertAlign w:val="subscript"/>
                <w:lang w:val="en-US" w:eastAsia="zh-CN"/>
              </w:rPr>
              <w:t>2.5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、可吸入颗粒物</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PM</w:t>
            </w:r>
            <w:r>
              <w:rPr>
                <w:rFonts w:hint="default" w:ascii="Times New Roman" w:hAnsi="Times New Roman" w:eastAsia="宋体" w:cs="Times New Roman"/>
                <w:b w:val="0"/>
                <w:bCs w:val="0"/>
                <w:color w:val="auto"/>
                <w:sz w:val="24"/>
                <w:szCs w:val="24"/>
                <w:highlight w:val="none"/>
                <w:vertAlign w:val="subscript"/>
                <w:lang w:val="en-US" w:eastAsia="zh-CN"/>
              </w:rPr>
              <w:t>10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、二氧化硫</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SO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、二氧化氮</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NO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年均浓度分别为3</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微克/立方米、5</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微克/立方米、8微克/立方米、</w:t>
            </w:r>
            <w:r>
              <w:rPr>
                <w:rFonts w:hint="default" w:ascii="Times New Roman" w:hAnsi="Times New Roman" w:eastAsia="宋体" w:cs="Times New Roman"/>
                <w:b w:val="0"/>
                <w:bCs w:val="0"/>
                <w:color w:val="auto"/>
                <w:sz w:val="24"/>
                <w:szCs w:val="24"/>
                <w:highlight w:val="none"/>
                <w:lang w:val="en-US" w:eastAsia="zh-CN"/>
              </w:rPr>
              <w:t>26</w:t>
            </w:r>
            <w:r>
              <w:rPr>
                <w:rFonts w:hint="default" w:ascii="Times New Roman" w:hAnsi="Times New Roman" w:eastAsia="宋体" w:cs="Times New Roman"/>
                <w:b w:val="0"/>
                <w:bCs w:val="0"/>
                <w:color w:val="auto"/>
                <w:sz w:val="24"/>
                <w:szCs w:val="24"/>
                <w:highlight w:val="none"/>
              </w:rPr>
              <w:t>微克/立方米</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一氧化碳</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CO</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和臭氧</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浓度分别为1.1毫克/立方米和1</w:t>
            </w:r>
            <w:r>
              <w:rPr>
                <w:rFonts w:hint="default" w:ascii="Times New Roman" w:hAnsi="Times New Roman" w:eastAsia="宋体" w:cs="Times New Roman"/>
                <w:b w:val="0"/>
                <w:bCs w:val="0"/>
                <w:color w:val="auto"/>
                <w:sz w:val="24"/>
                <w:szCs w:val="24"/>
                <w:highlight w:val="none"/>
                <w:lang w:val="en-US" w:eastAsia="zh-CN"/>
              </w:rPr>
              <w:t>68</w:t>
            </w:r>
            <w:r>
              <w:rPr>
                <w:rFonts w:hint="default" w:ascii="Times New Roman" w:hAnsi="Times New Roman" w:eastAsia="宋体" w:cs="Times New Roman"/>
                <w:b w:val="0"/>
                <w:bCs w:val="0"/>
                <w:color w:val="auto"/>
                <w:sz w:val="24"/>
                <w:szCs w:val="24"/>
                <w:highlight w:val="none"/>
              </w:rPr>
              <w:t>微克/立方米。其中，市区细颗粒物、可吸入颗粒物、二氧化氮、臭氧和一氧化碳浓度均同比下降，降幅依次为2.9%、10.2%、12.9%、4.5%和9.1%。。</w:t>
            </w:r>
          </w:p>
          <w:p w14:paraId="07492D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日均值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日最大8小时滑动平均值的第90百分位数</w:t>
            </w:r>
            <w:r>
              <w:rPr>
                <w:rFonts w:hint="default" w:ascii="Times New Roman" w:hAnsi="Times New Roman" w:eastAsia="宋体" w:cs="Times New Roman"/>
                <w:color w:val="auto"/>
                <w:sz w:val="24"/>
                <w:szCs w:val="24"/>
                <w:lang w:val="en-US" w:eastAsia="zh-CN"/>
              </w:rPr>
              <w:t>及日平均值浓度范围</w:t>
            </w:r>
            <w:r>
              <w:rPr>
                <w:rFonts w:hint="default" w:ascii="Times New Roman" w:hAnsi="Times New Roman" w:eastAsia="宋体" w:cs="Times New Roman"/>
                <w:color w:val="auto"/>
                <w:sz w:val="24"/>
                <w:szCs w:val="24"/>
              </w:rPr>
              <w:t>超过《环境空气质量标准》（GB3095-2012）中二级标准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项目所在区域202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年环境空气质量不达标。</w:t>
            </w:r>
          </w:p>
          <w:p w14:paraId="5B16CD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《常州市空气质量持续改善行动计划实施方案》（常政发〔2024〕51号）</w:t>
            </w:r>
            <w:r>
              <w:rPr>
                <w:rFonts w:hint="default" w:ascii="Times New Roman" w:hAnsi="Times New Roman" w:eastAsia="宋体" w:cs="Times New Roman"/>
                <w:color w:val="auto"/>
                <w:sz w:val="24"/>
                <w:szCs w:val="24"/>
              </w:rPr>
              <w:t>，通过</w:t>
            </w:r>
            <w:r>
              <w:rPr>
                <w:rFonts w:hint="default" w:ascii="Times New Roman" w:hAnsi="Times New Roman" w:eastAsia="宋体" w:cs="Times New Roman"/>
                <w:color w:val="auto"/>
                <w:sz w:val="24"/>
                <w:szCs w:val="24"/>
                <w:lang w:val="en-US" w:eastAsia="zh-CN"/>
              </w:rPr>
              <w:t>调整优化产业结构、推进能源高效利用、加强面源污染治理、强化协同减排、健全大气环境管理体系</w:t>
            </w:r>
            <w:r>
              <w:rPr>
                <w:rFonts w:hint="default" w:ascii="Times New Roman" w:hAnsi="Times New Roman" w:eastAsia="宋体" w:cs="Times New Roman"/>
                <w:color w:val="auto"/>
                <w:sz w:val="24"/>
                <w:szCs w:val="24"/>
              </w:rPr>
              <w:t>等污染防治措施，大气环境质量状况可以得到进一步改善。</w:t>
            </w:r>
          </w:p>
          <w:p w14:paraId="767FE3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水环境：</w:t>
            </w:r>
            <w:r>
              <w:rPr>
                <w:rFonts w:hint="default" w:ascii="Times New Roman" w:hAnsi="Times New Roman" w:eastAsia="宋体" w:cs="Times New Roman"/>
                <w:color w:val="auto"/>
                <w:sz w:val="24"/>
                <w:szCs w:val="24"/>
                <w:lang w:val="zh-TW"/>
              </w:rPr>
              <w:t>根据《202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zh-TW"/>
              </w:rPr>
              <w:t>年常州市生态环境状况公报》，国考、省考断面水质达到或好于Ⅲ类比例完成省定考核要求，太湖水质自2007年蓝藻事件以来首次达、重回</w:t>
            </w:r>
            <w:r>
              <w:rPr>
                <w:rFonts w:hint="default" w:ascii="Times New Roman" w:hAnsi="Times New Roman" w:eastAsia="宋体" w:cs="Times New Roman"/>
                <w:color w:val="auto"/>
                <w:sz w:val="24"/>
                <w:szCs w:val="24"/>
                <w:lang w:val="zh-TW" w:eastAsia="zh-CN"/>
              </w:rPr>
              <w:t>“</w:t>
            </w:r>
            <w:r>
              <w:rPr>
                <w:rFonts w:hint="default" w:ascii="Times New Roman" w:hAnsi="Times New Roman" w:eastAsia="宋体" w:cs="Times New Roman"/>
                <w:color w:val="auto"/>
                <w:sz w:val="24"/>
                <w:szCs w:val="24"/>
                <w:lang w:val="zh-TW"/>
              </w:rPr>
              <w:t>良好</w:t>
            </w:r>
            <w:r>
              <w:rPr>
                <w:rFonts w:hint="default" w:ascii="Times New Roman" w:hAnsi="Times New Roman" w:eastAsia="宋体" w:cs="Times New Roman"/>
                <w:color w:val="auto"/>
                <w:sz w:val="24"/>
                <w:szCs w:val="24"/>
                <w:lang w:val="zh-TW" w:eastAsia="zh-CN"/>
              </w:rPr>
              <w:t>”</w:t>
            </w:r>
            <w:r>
              <w:rPr>
                <w:rFonts w:hint="default" w:ascii="Times New Roman" w:hAnsi="Times New Roman" w:eastAsia="宋体" w:cs="Times New Roman"/>
                <w:color w:val="auto"/>
                <w:sz w:val="24"/>
                <w:szCs w:val="24"/>
                <w:lang w:val="zh-TW"/>
              </w:rPr>
              <w:t>湖泊，连续17年实现安全度夏。长江干流</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zh-TW"/>
              </w:rPr>
              <w:t>常州段</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zh-TW"/>
              </w:rPr>
              <w:t>水质连续8年稳定Ⅱ类水平</w:t>
            </w:r>
            <w:r>
              <w:rPr>
                <w:rFonts w:hint="default" w:ascii="Times New Roman" w:hAnsi="Times New Roman" w:eastAsia="宋体" w:cs="Times New Roman"/>
                <w:color w:val="auto"/>
                <w:sz w:val="24"/>
                <w:szCs w:val="24"/>
                <w:lang w:val="zh-TW" w:eastAsia="zh-CN"/>
              </w:rPr>
              <w:t>，</w:t>
            </w:r>
            <w:r>
              <w:rPr>
                <w:rFonts w:hint="default" w:ascii="Times New Roman" w:hAnsi="Times New Roman" w:eastAsia="宋体" w:cs="Times New Roman"/>
                <w:color w:val="auto"/>
                <w:sz w:val="24"/>
                <w:szCs w:val="24"/>
                <w:lang w:val="zh-TW"/>
              </w:rPr>
              <w:t>主要入湖河道、集中式饮用水源地水质稳定达到省定考核目标</w:t>
            </w:r>
            <w:r>
              <w:rPr>
                <w:rFonts w:hint="default" w:ascii="Times New Roman" w:hAnsi="Times New Roman" w:eastAsia="宋体" w:cs="Times New Roman"/>
                <w:color w:val="auto"/>
                <w:sz w:val="24"/>
                <w:szCs w:val="24"/>
              </w:rPr>
              <w:t>。</w:t>
            </w:r>
          </w:p>
          <w:p w14:paraId="717BE5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val="0"/>
                <w:color w:val="auto"/>
                <w:kern w:val="2"/>
                <w:sz w:val="24"/>
                <w:szCs w:val="24"/>
                <w:lang w:val="en-US" w:eastAsia="zh-CN" w:bidi="ar-SA"/>
              </w:rPr>
              <w:t>声环境：</w:t>
            </w:r>
            <w:r>
              <w:rPr>
                <w:rFonts w:hint="default" w:ascii="Times New Roman" w:hAnsi="Times New Roman" w:eastAsia="宋体" w:cs="Times New Roman"/>
                <w:bCs/>
                <w:color w:val="auto"/>
                <w:sz w:val="24"/>
                <w:szCs w:val="24"/>
              </w:rPr>
              <w:t>本项目周边50米范围内</w:t>
            </w:r>
            <w:r>
              <w:rPr>
                <w:rFonts w:hint="default" w:ascii="Times New Roman" w:hAnsi="Times New Roman" w:eastAsia="宋体" w:cs="Times New Roman"/>
                <w:bCs/>
                <w:color w:val="auto"/>
                <w:sz w:val="24"/>
                <w:szCs w:val="24"/>
                <w:lang w:eastAsia="zh-CN"/>
              </w:rPr>
              <w:t>有</w:t>
            </w:r>
            <w:r>
              <w:rPr>
                <w:rFonts w:hint="default" w:ascii="Times New Roman" w:hAnsi="Times New Roman" w:eastAsia="宋体" w:cs="Times New Roman"/>
                <w:bCs/>
                <w:color w:val="auto"/>
                <w:sz w:val="24"/>
                <w:szCs w:val="24"/>
                <w:lang w:val="en-US" w:eastAsia="zh-CN"/>
              </w:rPr>
              <w:t>唐王村</w:t>
            </w:r>
            <w:r>
              <w:rPr>
                <w:rFonts w:hint="default" w:ascii="Times New Roman" w:hAnsi="Times New Roman" w:eastAsia="宋体" w:cs="Times New Roman"/>
                <w:bCs/>
                <w:color w:val="auto"/>
                <w:sz w:val="24"/>
                <w:szCs w:val="24"/>
              </w:rPr>
              <w:t>，因此</w:t>
            </w:r>
            <w:r>
              <w:rPr>
                <w:rFonts w:hint="default" w:ascii="Times New Roman" w:hAnsi="Times New Roman" w:eastAsia="宋体" w:cs="Times New Roman"/>
                <w:bCs/>
                <w:color w:val="auto"/>
                <w:sz w:val="24"/>
                <w:szCs w:val="24"/>
                <w:lang w:eastAsia="zh-CN"/>
              </w:rPr>
              <w:t>对其</w:t>
            </w:r>
            <w:r>
              <w:rPr>
                <w:rFonts w:hint="eastAsia" w:ascii="Times New Roman" w:hAnsi="Times New Roman" w:eastAsia="宋体" w:cs="Times New Roman"/>
                <w:bCs/>
                <w:color w:val="auto"/>
                <w:sz w:val="24"/>
                <w:szCs w:val="24"/>
                <w:lang w:val="en-US" w:eastAsia="zh-CN"/>
              </w:rPr>
              <w:t>及项目厂界</w:t>
            </w:r>
            <w:r>
              <w:rPr>
                <w:rFonts w:hint="default" w:ascii="Times New Roman" w:hAnsi="Times New Roman" w:eastAsia="宋体" w:cs="Times New Roman"/>
                <w:bCs/>
                <w:color w:val="auto"/>
                <w:sz w:val="24"/>
                <w:szCs w:val="24"/>
              </w:rPr>
              <w:t>开展噪声现状调查</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根据监测结果，厂界及敏感点噪声均能达标</w:t>
            </w:r>
            <w:r>
              <w:rPr>
                <w:rFonts w:hint="eastAsia" w:ascii="Times New Roman" w:hAnsi="Times New Roman" w:eastAsia="宋体" w:cs="Times New Roman"/>
                <w:bCs/>
                <w:color w:val="auto"/>
                <w:sz w:val="24"/>
                <w:szCs w:val="24"/>
                <w:lang w:eastAsia="zh-CN"/>
              </w:rPr>
              <w:t>，</w:t>
            </w:r>
            <w:r>
              <w:rPr>
                <w:rFonts w:hint="eastAsia" w:ascii="宋体" w:hAnsi="宋体" w:eastAsia="宋体" w:cs="宋体"/>
                <w:color w:val="auto"/>
                <w:sz w:val="24"/>
                <w:szCs w:val="24"/>
                <w:lang w:val="en-US" w:eastAsia="zh-CN"/>
              </w:rPr>
              <w:t>因此本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所在地</w:t>
            </w:r>
            <w:r>
              <w:rPr>
                <w:rFonts w:hint="default" w:ascii="Times New Roman" w:hAnsi="Times New Roman" w:eastAsia="宋体" w:cs="Times New Roman"/>
                <w:color w:val="auto"/>
                <w:sz w:val="24"/>
                <w:szCs w:val="24"/>
              </w:rPr>
              <w:t>声环境现状良好。</w:t>
            </w:r>
          </w:p>
          <w:p w14:paraId="2CB84C83">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该项目运营过程中会产生一定的污染物，如废气、污水、固废，采取相应的污染防治措施后，在达标的基础上选用处理效率和可靠性高的处理工艺。设备生产噪声在采取隔声、减振措施后厂界可达标；本项目</w:t>
            </w:r>
            <w:r>
              <w:rPr>
                <w:rFonts w:hint="default" w:ascii="Times New Roman" w:hAnsi="Times New Roman" w:eastAsia="宋体" w:cs="Times New Roman"/>
                <w:color w:val="auto"/>
                <w:sz w:val="24"/>
                <w:szCs w:val="24"/>
                <w:lang w:val="en-US" w:eastAsia="zh-CN"/>
              </w:rPr>
              <w:t>固定</w:t>
            </w:r>
            <w:r>
              <w:rPr>
                <w:rFonts w:hint="default" w:ascii="Times New Roman" w:hAnsi="Times New Roman" w:eastAsia="宋体" w:cs="Times New Roman"/>
                <w:bCs/>
                <w:color w:val="auto"/>
                <w:sz w:val="24"/>
                <w:szCs w:val="24"/>
                <w:lang w:val="en-US" w:eastAsia="zh-CN"/>
              </w:rPr>
              <w:t>工序废气经</w:t>
            </w:r>
            <w:r>
              <w:rPr>
                <w:rFonts w:hint="default" w:ascii="Times New Roman" w:hAnsi="Times New Roman" w:eastAsia="宋体" w:cs="Times New Roman"/>
                <w:bCs/>
                <w:color w:val="auto"/>
                <w:sz w:val="24"/>
                <w:szCs w:val="24"/>
              </w:rPr>
              <w:t>集气罩收集，收集后的废气进入</w:t>
            </w:r>
            <w:r>
              <w:rPr>
                <w:rFonts w:hint="default" w:ascii="Times New Roman" w:hAnsi="Times New Roman" w:eastAsia="宋体" w:cs="Times New Roman"/>
                <w:bCs/>
                <w:color w:val="auto"/>
                <w:sz w:val="24"/>
                <w:szCs w:val="24"/>
                <w:lang w:val="en-US" w:eastAsia="zh-CN"/>
              </w:rPr>
              <w:t>1套</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二级活性炭吸附</w:t>
            </w:r>
            <w:r>
              <w:rPr>
                <w:rFonts w:hint="default" w:ascii="Times New Roman" w:hAnsi="Times New Roman" w:eastAsia="宋体" w:cs="Times New Roman"/>
                <w:bCs/>
                <w:color w:val="auto"/>
                <w:sz w:val="24"/>
                <w:szCs w:val="24"/>
                <w:lang w:eastAsia="zh-CN"/>
              </w:rPr>
              <w:t>装置”</w:t>
            </w:r>
            <w:r>
              <w:rPr>
                <w:rFonts w:hint="default" w:ascii="Times New Roman" w:hAnsi="Times New Roman" w:eastAsia="宋体" w:cs="Times New Roman"/>
                <w:bCs/>
                <w:color w:val="auto"/>
                <w:sz w:val="24"/>
                <w:szCs w:val="24"/>
              </w:rPr>
              <w:t>处理后</w:t>
            </w:r>
            <w:r>
              <w:rPr>
                <w:rFonts w:hint="eastAsia" w:ascii="Times New Roman" w:hAnsi="Times New Roman" w:eastAsia="宋体" w:cs="Times New Roman"/>
                <w:bCs/>
                <w:color w:val="auto"/>
                <w:sz w:val="24"/>
                <w:szCs w:val="24"/>
                <w:lang w:val="en-US" w:eastAsia="zh-CN"/>
              </w:rPr>
              <w:t>无组织排放</w:t>
            </w:r>
            <w:r>
              <w:rPr>
                <w:rFonts w:hint="default" w:ascii="Times New Roman" w:hAnsi="Times New Roman" w:eastAsia="宋体" w:cs="Times New Roman"/>
                <w:color w:val="auto"/>
                <w:sz w:val="24"/>
              </w:rPr>
              <w:t>。污染物排放量较低，对大气环境影响较小；本项目生活污水接管</w:t>
            </w:r>
            <w:r>
              <w:rPr>
                <w:rFonts w:hint="default" w:ascii="Times New Roman" w:hAnsi="Times New Roman" w:eastAsia="宋体" w:cs="Times New Roman"/>
                <w:color w:val="auto"/>
                <w:sz w:val="24"/>
                <w:lang w:val="en-US" w:eastAsia="zh-CN"/>
              </w:rPr>
              <w:t>至唐王村农村生活污水处理站</w:t>
            </w:r>
            <w:r>
              <w:rPr>
                <w:rFonts w:hint="eastAsia" w:ascii="Times New Roman" w:hAnsi="Times New Roman" w:eastAsia="宋体" w:cs="Times New Roman"/>
                <w:color w:val="auto"/>
                <w:sz w:val="24"/>
                <w:lang w:val="en-US" w:eastAsia="zh-CN"/>
              </w:rPr>
              <w:t>处理达标后排放</w:t>
            </w:r>
            <w:r>
              <w:rPr>
                <w:rFonts w:hint="default" w:ascii="Times New Roman" w:hAnsi="Times New Roman" w:eastAsia="宋体" w:cs="Times New Roman"/>
                <w:color w:val="auto"/>
                <w:sz w:val="24"/>
              </w:rPr>
              <w:t>；固体废物均按照要求委托相关单位进行妥善处置。上述措施确保拟建项目污染物排放对环境的影响降到最低，不会突破环境质量底线，</w:t>
            </w:r>
            <w:r>
              <w:rPr>
                <w:rFonts w:hint="eastAsia" w:ascii="Times New Roman" w:hAnsi="Times New Roman" w:eastAsia="宋体" w:cs="Times New Roman"/>
                <w:color w:val="auto"/>
                <w:sz w:val="24"/>
                <w:lang w:val="en-US" w:eastAsia="zh-CN"/>
              </w:rPr>
              <w:t>不</w:t>
            </w:r>
            <w:r>
              <w:rPr>
                <w:rFonts w:hint="default" w:ascii="Times New Roman" w:hAnsi="Times New Roman" w:eastAsia="宋体" w:cs="Times New Roman"/>
                <w:color w:val="auto"/>
                <w:sz w:val="24"/>
              </w:rPr>
              <w:t>改变区域环境功能区。</w:t>
            </w:r>
          </w:p>
          <w:p w14:paraId="15C24200">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（3）资源利用上线</w:t>
            </w:r>
          </w:p>
          <w:p w14:paraId="2AF3C4A2">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利用</w:t>
            </w:r>
            <w:r>
              <w:rPr>
                <w:rFonts w:hint="default" w:ascii="Times New Roman" w:hAnsi="Times New Roman" w:eastAsia="宋体" w:cs="Times New Roman"/>
                <w:color w:val="auto"/>
                <w:sz w:val="24"/>
                <w:lang w:val="en-US" w:eastAsia="zh-CN"/>
              </w:rPr>
              <w:t>现有空置</w:t>
            </w:r>
            <w:r>
              <w:rPr>
                <w:rFonts w:hint="default" w:ascii="Times New Roman" w:hAnsi="Times New Roman" w:eastAsia="宋体" w:cs="Times New Roman"/>
                <w:color w:val="auto"/>
                <w:sz w:val="24"/>
              </w:rPr>
              <w:t>厂房进行生产，所用的资源主要为水资源和电能，用水来自市政供水管网，用电由市政供电管网提供，不会达到资源利用上线；项目占地符合当地规划要求，亦不会达到资源利用上线。</w:t>
            </w:r>
          </w:p>
          <w:p w14:paraId="28317946">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（4）环境准入负面清单</w:t>
            </w:r>
          </w:p>
          <w:p w14:paraId="5C88555E">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项目所在地目前未制定环境准入负面清单，根据前文“产业政策相符性分析”，本项目符合国家及地方产业政策。</w:t>
            </w:r>
          </w:p>
          <w:p w14:paraId="55D9B9FC">
            <w:pPr>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综上所述，本项目符合“三线一单”要求。</w:t>
            </w:r>
          </w:p>
          <w:p w14:paraId="451E07D7">
            <w:pPr>
              <w:spacing w:line="360" w:lineRule="auto"/>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、常州市“三线一单”相符性分析</w:t>
            </w:r>
          </w:p>
          <w:p w14:paraId="1D48C09D">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对照《关于印发常州市“三线一单”生态环境分区管控实施方案的通知》</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常环[2020]95号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《常州市</w:t>
            </w:r>
            <w:r>
              <w:rPr>
                <w:rFonts w:hint="default" w:ascii="Times New Roman" w:hAnsi="Times New Roman" w:eastAsia="宋体" w:cs="Times New Roman"/>
                <w:color w:val="auto"/>
                <w:sz w:val="24"/>
                <w:szCs w:val="24"/>
                <w:lang w:val="en-US" w:eastAsia="zh-CN"/>
              </w:rPr>
              <w:t>2023年生态环境分区管控动态更新成果-总体要求</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rPr>
              <w:t>，本项目位于</w:t>
            </w:r>
            <w:r>
              <w:rPr>
                <w:rFonts w:hint="eastAsia" w:ascii="Times New Roman" w:hAnsi="Times New Roman" w:eastAsia="宋体" w:cs="Times New Roman"/>
                <w:color w:val="auto"/>
                <w:sz w:val="24"/>
                <w:lang w:eastAsia="zh-CN"/>
              </w:rPr>
              <w:t>常州市金坛区朱林镇唐王村委唐王村62号</w:t>
            </w:r>
            <w:r>
              <w:rPr>
                <w:rFonts w:hint="default" w:ascii="Times New Roman" w:hAnsi="Times New Roman" w:eastAsia="宋体" w:cs="Times New Roman"/>
                <w:color w:val="auto"/>
                <w:sz w:val="24"/>
              </w:rPr>
              <w:t>，属于常州市</w:t>
            </w:r>
            <w:r>
              <w:rPr>
                <w:rFonts w:hint="eastAsia" w:ascii="Times New Roman" w:hAnsi="Times New Roman" w:eastAsia="宋体" w:cs="Times New Roman"/>
                <w:color w:val="auto"/>
                <w:sz w:val="24"/>
                <w:lang w:val="en-US" w:eastAsia="zh-CN"/>
              </w:rPr>
              <w:t>一般</w:t>
            </w:r>
            <w:r>
              <w:rPr>
                <w:rFonts w:hint="default" w:ascii="Times New Roman" w:hAnsi="Times New Roman" w:eastAsia="宋体" w:cs="Times New Roman"/>
                <w:color w:val="auto"/>
                <w:sz w:val="24"/>
              </w:rPr>
              <w:t>管控单元：</w:t>
            </w:r>
            <w:r>
              <w:rPr>
                <w:rFonts w:hint="eastAsia" w:ascii="Times New Roman" w:hAnsi="Times New Roman" w:eastAsia="宋体" w:cs="Times New Roman"/>
                <w:color w:val="auto"/>
                <w:sz w:val="24"/>
                <w:lang w:val="en-US" w:eastAsia="zh-CN"/>
              </w:rPr>
              <w:t>朱林镇</w:t>
            </w:r>
            <w:r>
              <w:rPr>
                <w:rFonts w:hint="default" w:ascii="Times New Roman" w:hAnsi="Times New Roman" w:eastAsia="宋体" w:cs="Times New Roman"/>
                <w:color w:val="auto"/>
                <w:sz w:val="24"/>
              </w:rPr>
              <w:t>。与常州市“三线一单”生态环境分区管控实施方案相符性分析如下：</w:t>
            </w:r>
          </w:p>
          <w:p w14:paraId="63E496A5">
            <w:pPr>
              <w:jc w:val="center"/>
              <w:rPr>
                <w:rFonts w:hint="default" w:ascii="Times New Roman" w:hAnsi="Times New Roman" w:eastAsia="宋体" w:cs="Times New Roman"/>
                <w:b/>
                <w:color w:val="auto"/>
                <w:sz w:val="24"/>
              </w:rPr>
            </w:pPr>
          </w:p>
          <w:p w14:paraId="75121267">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表1-</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 xml:space="preserve">  与“常州市市域生态环境管控要求”相符性分析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4466"/>
              <w:gridCol w:w="2481"/>
              <w:gridCol w:w="712"/>
            </w:tblGrid>
            <w:tr w14:paraId="0693E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2272D941">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管控类别</w:t>
                  </w:r>
                </w:p>
              </w:tc>
              <w:tc>
                <w:tcPr>
                  <w:tcW w:w="2655" w:type="pct"/>
                  <w:vAlign w:val="center"/>
                </w:tcPr>
                <w:p w14:paraId="12C5CC2C">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重点管控要求</w:t>
                  </w:r>
                </w:p>
              </w:tc>
              <w:tc>
                <w:tcPr>
                  <w:tcW w:w="1475" w:type="pct"/>
                  <w:vAlign w:val="center"/>
                </w:tcPr>
                <w:p w14:paraId="7AE5B63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对照分析</w:t>
                  </w:r>
                </w:p>
              </w:tc>
              <w:tc>
                <w:tcPr>
                  <w:tcW w:w="423" w:type="pct"/>
                  <w:vAlign w:val="center"/>
                </w:tcPr>
                <w:p w14:paraId="45F4321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w:t>
                  </w:r>
                </w:p>
              </w:tc>
            </w:tr>
            <w:tr w14:paraId="2E2DD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04E40234">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空间布局约束</w:t>
                  </w:r>
                </w:p>
              </w:tc>
              <w:tc>
                <w:tcPr>
                  <w:tcW w:w="2655" w:type="pct"/>
                  <w:vAlign w:val="center"/>
                </w:tcPr>
                <w:p w14:paraId="723BD36C">
                  <w:pPr>
                    <w:numPr>
                      <w:ilvl w:val="0"/>
                      <w:numId w:val="2"/>
                    </w:num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严格执行《江苏省“三线一单”生态环境分区管控方案》（苏政发〔2020〕49号）附件3江苏省省域生态环境管控要求中“空间布局约束”的相关要求。</w:t>
                  </w:r>
                </w:p>
                <w:p w14:paraId="6CC5F340">
                  <w:pPr>
                    <w:numPr>
                      <w:ilvl w:val="0"/>
                      <w:numId w:val="2"/>
                    </w:num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严格执行《关于全面加强生态环境保护坚决打好污染防治攻坚战的实施意见》（常发〔2018〕30号）、《2020年常州市打好污染防治攻坚战工作方案》（常政发〔2020〕29号）、《常州市“两减六治三提升”专项行动实施方案》（常发〔2017〕9号）、《常州市打赢蓝天保卫战行动计划实施方案》（常政发〔2019〕27号）、《常州市水污染防治工作方案》（常政发〔2015〕205号）、《常州市土壤污染防治工作方案》（常政发〔2017〕56号）等文件要求。</w:t>
                  </w:r>
                </w:p>
                <w:p w14:paraId="35EF850C">
                  <w:pPr>
                    <w:numPr>
                      <w:ilvl w:val="0"/>
                      <w:numId w:val="2"/>
                    </w:num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44DC9E8B">
                  <w:pPr>
                    <w:numPr>
                      <w:ilvl w:val="0"/>
                      <w:numId w:val="2"/>
                    </w:num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根据《常州市长江保护修复攻坚战行动计划工作方案》（常污防攻坚指办〔2019〕30号），严禁在长江干支流1公里范围内新建、扩建化工园区和化工项目。</w:t>
                  </w:r>
                </w:p>
                <w:p w14:paraId="7B2DDC6B">
                  <w:pPr>
                    <w:adjustRightInd w:val="0"/>
                    <w:snapToGrid w:val="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（5）根据《常州市城区混凝土、化工、印染企业关闭与搬迁改造计划》（常政办发〔2018〕133号），2020年底前，完成城区范围内的混凝土、化工、印染企业关闭与搬迁改造。</w:t>
                  </w:r>
                </w:p>
              </w:tc>
              <w:tc>
                <w:tcPr>
                  <w:tcW w:w="1475" w:type="pct"/>
                  <w:vAlign w:val="center"/>
                </w:tcPr>
                <w:p w14:paraId="4FDEB6C5">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1、本项目满足《江苏省“三线一单”生态环境分区管控方案》（苏政发〔2020〕49号）附件3江苏省省域生态环境管控要求中“空间布局约束”的相关要求；</w:t>
                  </w:r>
                </w:p>
                <w:p w14:paraId="1B82045D">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2、本项目满足《关于印发常州市“三线一单”生态环境分区管控实施方案的通知》（常环﹝2020﹞95号）空间布局约束中第2条所列的相关法律法规；</w:t>
                  </w:r>
                </w:p>
                <w:p w14:paraId="1190B10D">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3、本项目不属于管控要求中所列相关禁止类或淘汰类产业；</w:t>
                  </w:r>
                </w:p>
                <w:p w14:paraId="1899C8F8">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4、本项目位于</w:t>
                  </w:r>
                  <w:r>
                    <w:rPr>
                      <w:rFonts w:hint="eastAsia" w:ascii="Times New Roman" w:hAnsi="Times New Roman" w:eastAsia="宋体" w:cs="Times New Roman"/>
                      <w:color w:val="auto"/>
                      <w:szCs w:val="21"/>
                      <w:lang w:eastAsia="zh-CN"/>
                    </w:rPr>
                    <w:t>常州市金坛区朱林镇唐王村委唐王村62号</w:t>
                  </w:r>
                  <w:r>
                    <w:rPr>
                      <w:rFonts w:hint="default" w:ascii="Times New Roman" w:hAnsi="Times New Roman" w:eastAsia="宋体" w:cs="Times New Roman"/>
                      <w:color w:val="auto"/>
                      <w:szCs w:val="21"/>
                    </w:rPr>
                    <w:t>，不在长江干支流1公里范围内；</w:t>
                  </w:r>
                </w:p>
                <w:p w14:paraId="6D38729F">
                  <w:pPr>
                    <w:adjustRightInd w:val="0"/>
                    <w:snapToGrid w:val="0"/>
                    <w:spacing w:after="156" w:afterLine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5、本项目为</w:t>
                  </w:r>
                  <w:r>
                    <w:rPr>
                      <w:rFonts w:hint="default" w:ascii="Times New Roman" w:hAnsi="Times New Roman" w:eastAsia="宋体" w:cs="Times New Roman"/>
                      <w:color w:val="auto"/>
                      <w:szCs w:val="21"/>
                      <w:lang w:eastAsia="zh-CN"/>
                    </w:rPr>
                    <w:t>年产300万件指纹识别棱镜和50万件光学投影棱镜项目</w:t>
                  </w:r>
                  <w:r>
                    <w:rPr>
                      <w:rFonts w:hint="default" w:ascii="Times New Roman" w:hAnsi="Times New Roman" w:eastAsia="宋体" w:cs="Times New Roman"/>
                      <w:color w:val="auto"/>
                      <w:szCs w:val="21"/>
                    </w:rPr>
                    <w:t>，不属于混凝土、化工、印染等需关闭与搬迁改造的企业</w:t>
                  </w:r>
                </w:p>
              </w:tc>
              <w:tc>
                <w:tcPr>
                  <w:tcW w:w="423" w:type="pct"/>
                  <w:vAlign w:val="center"/>
                </w:tcPr>
                <w:p w14:paraId="730BB65A">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262F4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346DB3A9">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污染物排放管控</w:t>
                  </w:r>
                </w:p>
              </w:tc>
              <w:tc>
                <w:tcPr>
                  <w:tcW w:w="2655" w:type="pct"/>
                  <w:vAlign w:val="center"/>
                </w:tcPr>
                <w:p w14:paraId="5542EEC1">
                  <w:pPr>
                    <w:numPr>
                      <w:ilvl w:val="0"/>
                      <w:numId w:val="3"/>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坚持生态环境质量只能更好、不能变坏，实施污染物总量控制，以环境容量定产业、定项目、定规模，确保开发建设行为不突破生态环境承载力。</w:t>
                  </w:r>
                </w:p>
                <w:p w14:paraId="2D1ED49F">
                  <w:pPr>
                    <w:numPr>
                      <w:ilvl w:val="0"/>
                      <w:numId w:val="3"/>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江苏省“十三五”节能减排综合实施方案》（苏政发〔2017〕69号），2020年常州市化学需氧量、氨氮、总氮、总磷、二氧化硫、氮氧化物、挥发性有机物排放量不得超过2.84万吨/年、0.42万吨/年、1万吨/年、0.08万吨/年、2.76万吨/年、6.14万吨/年、8.98万吨/年</w:t>
                  </w:r>
                </w:p>
              </w:tc>
              <w:tc>
                <w:tcPr>
                  <w:tcW w:w="1475" w:type="pct"/>
                  <w:vAlign w:val="center"/>
                </w:tcPr>
                <w:p w14:paraId="3922D5F6">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kern w:val="0"/>
                      <w:sz w:val="21"/>
                      <w:szCs w:val="21"/>
                    </w:rPr>
                    <w:t>目前，本项目处于环评编制阶段，在环评审批前将严格落实主要污染物排放总量指标控制制度，取得主要污染物排放总量的控制值指标和平衡方案，故符合文件要求。</w:t>
                  </w:r>
                </w:p>
              </w:tc>
              <w:tc>
                <w:tcPr>
                  <w:tcW w:w="423" w:type="pct"/>
                  <w:vAlign w:val="center"/>
                </w:tcPr>
                <w:p w14:paraId="15069CFB">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4AF9B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356F5149">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环境风险防控</w:t>
                  </w:r>
                </w:p>
              </w:tc>
              <w:tc>
                <w:tcPr>
                  <w:tcW w:w="2655" w:type="pct"/>
                  <w:vAlign w:val="center"/>
                </w:tcPr>
                <w:p w14:paraId="219036EA">
                  <w:pPr>
                    <w:numPr>
                      <w:ilvl w:val="0"/>
                      <w:numId w:val="4"/>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严格执行《江苏省“三线一单”生态环境分区管控方案》（苏政发〔2020〕49号）附件3江苏省省域生态环境管控要求中“环境风险防控”的相关要求。</w:t>
                  </w:r>
                </w:p>
                <w:p w14:paraId="265F22B7">
                  <w:pPr>
                    <w:numPr>
                      <w:ilvl w:val="0"/>
                      <w:numId w:val="4"/>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432B525B">
                  <w:pPr>
                    <w:numPr>
                      <w:ilvl w:val="0"/>
                      <w:numId w:val="4"/>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强化饮用水水源环境风险管控，建成应急水源工程。</w:t>
                  </w:r>
                </w:p>
                <w:p w14:paraId="0632DB53">
                  <w:p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75" w:type="pct"/>
                  <w:vAlign w:val="center"/>
                </w:tcPr>
                <w:p w14:paraId="06E6A4ED">
                  <w:pPr>
                    <w:adjustRightInd w:val="0"/>
                    <w:snapToGrid w:val="0"/>
                    <w:spacing w:before="156" w:beforeLines="5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1、本项目将严格执行《江苏省“三线一单”生态环境分区管控方案》（苏政发〔2020〕49号）附件3江苏省省域生态环境管控要求中“环境风险防控”的相关要求。</w:t>
                  </w:r>
                </w:p>
                <w:p w14:paraId="25FDF5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2、</w:t>
                  </w:r>
                  <w:r>
                    <w:rPr>
                      <w:rFonts w:hint="default" w:ascii="Times New Roman" w:hAnsi="Times New Roman" w:eastAsia="宋体" w:cs="Times New Roman"/>
                      <w:color w:val="auto"/>
                      <w:szCs w:val="21"/>
                    </w:rPr>
                    <w:t>本项目位于</w:t>
                  </w:r>
                  <w:r>
                    <w:rPr>
                      <w:rFonts w:hint="eastAsia" w:ascii="Times New Roman" w:hAnsi="Times New Roman" w:eastAsia="宋体" w:cs="Times New Roman"/>
                      <w:color w:val="auto"/>
                      <w:szCs w:val="21"/>
                      <w:lang w:eastAsia="zh-CN"/>
                    </w:rPr>
                    <w:t>常州市金坛区朱林镇唐王村委唐王村62号</w:t>
                  </w:r>
                  <w:r>
                    <w:rPr>
                      <w:rFonts w:hint="default" w:ascii="Times New Roman" w:hAnsi="Times New Roman" w:eastAsia="宋体" w:cs="Times New Roman"/>
                      <w:color w:val="auto"/>
                      <w:szCs w:val="21"/>
                    </w:rPr>
                    <w:t>，不在长江沿江1公里范围内。</w:t>
                  </w:r>
                </w:p>
                <w:p w14:paraId="6DBEBD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vAlign w:val="center"/>
                </w:tcPr>
                <w:p w14:paraId="5BF56B46">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r w14:paraId="140DD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7E51E192">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资源利用效率要求</w:t>
                  </w:r>
                </w:p>
              </w:tc>
              <w:tc>
                <w:tcPr>
                  <w:tcW w:w="2655" w:type="pct"/>
                  <w:vAlign w:val="center"/>
                </w:tcPr>
                <w:p w14:paraId="17585025">
                  <w:pPr>
                    <w:numPr>
                      <w:ilvl w:val="0"/>
                      <w:numId w:val="5"/>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常州市节水型社会建设规划（修编）》（常政办发〔2017〕136号），2020年常州市用水总量不得超过29.01亿立方米，万元单位地区生产总值用水量降至33.8立方米以下，万元单位工业增加值用水量降至8立方米以下，农田灌溉水利用系数达到0.68。</w:t>
                  </w:r>
                </w:p>
                <w:p w14:paraId="5407C9D5">
                  <w:pPr>
                    <w:numPr>
                      <w:ilvl w:val="0"/>
                      <w:numId w:val="5"/>
                    </w:num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根据《常州市土地利用总体规划（2006～2020年）调整方案》（苏国土资函〔2017〕610号），2020年常州市耕地保有量不得低于15.41万公顷，基本农田保护面积不低于12.71万公顷，开发强度不得高于28.05%。</w:t>
                  </w:r>
                </w:p>
                <w:p w14:paraId="3A488A95">
                  <w:pPr>
                    <w:adjustRightInd w:val="0"/>
                    <w:snapToGrid w:val="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Ⅱ类”（较严），具体包括：除单台出力大于等于20蒸吨/小时锅炉以外燃用的煤炭及其制品；石油焦、油页岩、原油、重油、渣油、煤焦油。②“Ⅲ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tc>
              <w:tc>
                <w:tcPr>
                  <w:tcW w:w="1475" w:type="pct"/>
                  <w:vAlign w:val="center"/>
                </w:tcPr>
                <w:p w14:paraId="42EF18A7">
                  <w:pPr>
                    <w:pStyle w:val="1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本项目使用的主要能源为电能</w:t>
                  </w:r>
                </w:p>
              </w:tc>
              <w:tc>
                <w:tcPr>
                  <w:tcW w:w="423" w:type="pct"/>
                  <w:vAlign w:val="center"/>
                </w:tcPr>
                <w:p w14:paraId="7032045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w:t>
                  </w:r>
                </w:p>
              </w:tc>
            </w:tr>
          </w:tbl>
          <w:p w14:paraId="73CBB662">
            <w:pPr>
              <w:spacing w:before="156"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4"/>
                <w:szCs w:val="24"/>
              </w:rPr>
              <w:t>表1-</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与金坛区环境管控单元-</w:t>
            </w:r>
            <w:r>
              <w:rPr>
                <w:rFonts w:hint="default" w:ascii="Times New Roman" w:hAnsi="Times New Roman" w:eastAsia="宋体" w:cs="Times New Roman"/>
                <w:b/>
                <w:bCs/>
                <w:color w:val="auto"/>
                <w:sz w:val="24"/>
                <w:szCs w:val="24"/>
                <w:lang w:val="en-US" w:eastAsia="zh-CN"/>
              </w:rPr>
              <w:t>朱林镇</w:t>
            </w:r>
            <w:r>
              <w:rPr>
                <w:rFonts w:hint="default" w:ascii="Times New Roman" w:hAnsi="Times New Roman" w:eastAsia="宋体" w:cs="Times New Roman"/>
                <w:b/>
                <w:bCs/>
                <w:color w:val="auto"/>
                <w:sz w:val="24"/>
                <w:szCs w:val="24"/>
              </w:rPr>
              <w:t>生态环境准入清单的相符性分析</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1052"/>
              <w:gridCol w:w="4078"/>
              <w:gridCol w:w="2386"/>
              <w:gridCol w:w="461"/>
            </w:tblGrid>
            <w:tr w14:paraId="7A0C7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Align w:val="center"/>
                </w:tcPr>
                <w:p w14:paraId="34BBD1C7">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所在</w:t>
                  </w:r>
                </w:p>
                <w:p w14:paraId="2658986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区域</w:t>
                  </w:r>
                </w:p>
              </w:tc>
              <w:tc>
                <w:tcPr>
                  <w:tcW w:w="625" w:type="pct"/>
                  <w:vAlign w:val="center"/>
                </w:tcPr>
                <w:p w14:paraId="0C5BD5F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环境管控单元名称</w:t>
                  </w:r>
                </w:p>
              </w:tc>
              <w:tc>
                <w:tcPr>
                  <w:tcW w:w="2424" w:type="pct"/>
                  <w:vAlign w:val="center"/>
                </w:tcPr>
                <w:p w14:paraId="062F127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生态环境准入清单</w:t>
                  </w:r>
                </w:p>
              </w:tc>
              <w:tc>
                <w:tcPr>
                  <w:tcW w:w="1418" w:type="pct"/>
                  <w:vAlign w:val="center"/>
                </w:tcPr>
                <w:p w14:paraId="3F6F1773">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相符性分析</w:t>
                  </w:r>
                </w:p>
              </w:tc>
              <w:tc>
                <w:tcPr>
                  <w:tcW w:w="274" w:type="pct"/>
                  <w:vAlign w:val="center"/>
                </w:tcPr>
                <w:p w14:paraId="69838A52">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相符性</w:t>
                  </w:r>
                </w:p>
              </w:tc>
            </w:tr>
            <w:tr w14:paraId="6F738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Merge w:val="restart"/>
                  <w:vAlign w:val="center"/>
                </w:tcPr>
                <w:p w14:paraId="0886EC6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金坛区</w:t>
                  </w:r>
                </w:p>
              </w:tc>
              <w:tc>
                <w:tcPr>
                  <w:tcW w:w="625" w:type="pct"/>
                  <w:vMerge w:val="restart"/>
                  <w:vAlign w:val="center"/>
                </w:tcPr>
                <w:p w14:paraId="3AE1E3FC">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朱林镇</w:t>
                  </w:r>
                </w:p>
              </w:tc>
              <w:tc>
                <w:tcPr>
                  <w:tcW w:w="2424" w:type="pct"/>
                  <w:vAlign w:val="center"/>
                </w:tcPr>
                <w:p w14:paraId="2856D47B">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空间布局约束：</w:t>
                  </w:r>
                </w:p>
                <w:p w14:paraId="58104E6F">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各类开发建设活动应符合常州市总体规划、控制性详细规划、土地利用规划等相关要求。（2）禁止引入列入《产业结构调整指导目录（2019年本）》、《江苏省产业结构调整限制、淘汰和禁止目录》、《江苏省工业和信息产业结构调整、限制、淘汰目录及能耗限额》淘汰类的产业。（3）禁止引入不符合《江苏省太湖水污染防治条例》要求的项目。（4）不得新建、改建、扩建印染项目。（5）禁养区范围内禁止建设畜禽养殖场、养殖小区。</w:t>
                  </w:r>
                </w:p>
              </w:tc>
              <w:tc>
                <w:tcPr>
                  <w:tcW w:w="1418" w:type="pct"/>
                  <w:vAlign w:val="center"/>
                </w:tcPr>
                <w:p w14:paraId="201A22C7">
                  <w:pPr>
                    <w:adjustRightInd w:val="0"/>
                    <w:snapToGrid w:val="0"/>
                    <w:spacing w:after="156" w:afterLines="5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本项目为</w:t>
                  </w:r>
                  <w:r>
                    <w:rPr>
                      <w:rFonts w:hint="eastAsia" w:ascii="Times New Roman" w:hAnsi="Times New Roman" w:eastAsia="宋体" w:cs="Times New Roman"/>
                      <w:color w:val="auto"/>
                      <w:szCs w:val="21"/>
                      <w:lang w:eastAsia="zh-CN"/>
                    </w:rPr>
                    <w:t>新建年产300万件指纹识别棱镜和50万件光学投影棱镜项目</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属于</w:t>
                  </w:r>
                  <w:r>
                    <w:rPr>
                      <w:rFonts w:hint="eastAsia" w:ascii="Times New Roman" w:hAnsi="Times New Roman" w:eastAsia="宋体" w:cs="Times New Roman"/>
                      <w:color w:val="auto"/>
                      <w:szCs w:val="21"/>
                      <w:lang w:eastAsia="zh-CN"/>
                    </w:rPr>
                    <w:t>C3052光学玻璃制造</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符合相关规划</w:t>
                  </w:r>
                  <w:r>
                    <w:rPr>
                      <w:rFonts w:hint="default" w:ascii="Times New Roman" w:hAnsi="Times New Roman" w:eastAsia="宋体" w:cs="Times New Roman"/>
                      <w:color w:val="auto"/>
                      <w:szCs w:val="21"/>
                    </w:rPr>
                    <w:t>，不属于清单中所列禁止类项目</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不属于印染项目；不属于</w:t>
                  </w:r>
                  <w:r>
                    <w:rPr>
                      <w:rFonts w:hint="default" w:ascii="Times New Roman" w:hAnsi="Times New Roman" w:eastAsia="宋体" w:cs="Times New Roman"/>
                      <w:color w:val="auto"/>
                      <w:szCs w:val="21"/>
                    </w:rPr>
                    <w:t>畜禽养殖场、养殖小区</w:t>
                  </w:r>
                  <w:r>
                    <w:rPr>
                      <w:rFonts w:hint="eastAsia" w:ascii="Times New Roman" w:hAnsi="Times New Roman" w:eastAsia="宋体" w:cs="Times New Roman"/>
                      <w:color w:val="auto"/>
                      <w:szCs w:val="21"/>
                      <w:lang w:eastAsia="zh-CN"/>
                    </w:rPr>
                    <w:t>。</w:t>
                  </w:r>
                </w:p>
              </w:tc>
              <w:tc>
                <w:tcPr>
                  <w:tcW w:w="274" w:type="pct"/>
                  <w:vAlign w:val="center"/>
                </w:tcPr>
                <w:p w14:paraId="06F7BB2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37BCA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Merge w:val="continue"/>
                  <w:vAlign w:val="center"/>
                </w:tcPr>
                <w:p w14:paraId="03C90AB8">
                  <w:pPr>
                    <w:adjustRightInd w:val="0"/>
                    <w:snapToGrid w:val="0"/>
                    <w:jc w:val="center"/>
                    <w:rPr>
                      <w:rFonts w:hint="default" w:ascii="Times New Roman" w:hAnsi="Times New Roman" w:eastAsia="宋体" w:cs="Times New Roman"/>
                      <w:color w:val="auto"/>
                      <w:szCs w:val="21"/>
                    </w:rPr>
                  </w:pPr>
                </w:p>
              </w:tc>
              <w:tc>
                <w:tcPr>
                  <w:tcW w:w="625" w:type="pct"/>
                  <w:vMerge w:val="continue"/>
                  <w:vAlign w:val="center"/>
                </w:tcPr>
                <w:p w14:paraId="60B8F970">
                  <w:pPr>
                    <w:adjustRightInd w:val="0"/>
                    <w:snapToGrid w:val="0"/>
                    <w:jc w:val="center"/>
                    <w:rPr>
                      <w:rFonts w:hint="default" w:ascii="Times New Roman" w:hAnsi="Times New Roman" w:eastAsia="宋体" w:cs="Times New Roman"/>
                      <w:color w:val="auto"/>
                      <w:szCs w:val="21"/>
                    </w:rPr>
                  </w:pPr>
                </w:p>
              </w:tc>
              <w:tc>
                <w:tcPr>
                  <w:tcW w:w="2424" w:type="pct"/>
                  <w:vAlign w:val="center"/>
                </w:tcPr>
                <w:p w14:paraId="619C9110">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污染物排放管控：</w:t>
                  </w:r>
                </w:p>
                <w:p w14:paraId="483EC6AA">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（1）落实污染物总量控制制度，根据区域环境质量改善目标，削减污染物排放总量。 （2）进一步开展管网排查，提升污水收集效率。强化餐饮油烟治理，加强噪声污染防治，严格施工扬尘监管，加强土壤和地下水污染防治与修复。（3）加强农业面源污染治理，严格控制化肥农药施加量，合理水产养殖布局，控制水产养殖污染，逐步削减农业面源污染物排放量。</w:t>
                  </w:r>
                </w:p>
              </w:tc>
              <w:tc>
                <w:tcPr>
                  <w:tcW w:w="1418" w:type="pct"/>
                  <w:vAlign w:val="center"/>
                </w:tcPr>
                <w:p w14:paraId="101655B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color w:val="auto"/>
                      <w:szCs w:val="21"/>
                    </w:rPr>
                    <w:t>本项目</w:t>
                  </w:r>
                  <w:r>
                    <w:rPr>
                      <w:rFonts w:hint="eastAsia" w:ascii="Times New Roman" w:hAnsi="Times New Roman" w:eastAsia="宋体" w:cs="Times New Roman"/>
                      <w:bCs/>
                      <w:color w:val="auto"/>
                      <w:szCs w:val="21"/>
                      <w:lang w:val="en-US" w:eastAsia="zh-CN"/>
                    </w:rPr>
                    <w:t>总量在金坛区内平衡；</w:t>
                  </w:r>
                  <w:r>
                    <w:rPr>
                      <w:rFonts w:hint="default" w:ascii="Times New Roman" w:hAnsi="Times New Roman" w:eastAsia="宋体" w:cs="Times New Roman"/>
                      <w:bCs/>
                      <w:color w:val="auto"/>
                      <w:szCs w:val="21"/>
                      <w:lang w:val="en-US" w:eastAsia="zh-CN"/>
                    </w:rPr>
                    <w:t>无</w:t>
                  </w:r>
                  <w:r>
                    <w:rPr>
                      <w:rFonts w:hint="default" w:ascii="Times New Roman" w:hAnsi="Times New Roman" w:eastAsia="宋体" w:cs="Times New Roman"/>
                      <w:bCs/>
                      <w:color w:val="auto"/>
                      <w:szCs w:val="21"/>
                    </w:rPr>
                    <w:t>生产废水</w:t>
                  </w:r>
                  <w:r>
                    <w:rPr>
                      <w:rFonts w:hint="default" w:ascii="Times New Roman" w:hAnsi="Times New Roman" w:eastAsia="宋体" w:cs="Times New Roman"/>
                      <w:bCs/>
                      <w:color w:val="auto"/>
                      <w:szCs w:val="21"/>
                      <w:lang w:val="en-US" w:eastAsia="zh-CN"/>
                    </w:rPr>
                    <w:t>排放</w:t>
                  </w:r>
                  <w:r>
                    <w:rPr>
                      <w:rFonts w:hint="default" w:ascii="Times New Roman" w:hAnsi="Times New Roman" w:eastAsia="宋体" w:cs="Times New Roman"/>
                      <w:bCs/>
                      <w:color w:val="auto"/>
                      <w:szCs w:val="21"/>
                    </w:rPr>
                    <w:t>，本项目生活污水接管</w:t>
                  </w:r>
                  <w:r>
                    <w:rPr>
                      <w:rFonts w:hint="default" w:ascii="Times New Roman" w:hAnsi="Times New Roman" w:eastAsia="宋体" w:cs="Times New Roman"/>
                      <w:bCs/>
                      <w:color w:val="auto"/>
                      <w:szCs w:val="21"/>
                      <w:lang w:val="en-US" w:eastAsia="zh-CN"/>
                    </w:rPr>
                    <w:t>至唐王村农村生活污水处理站处理达标后排放</w:t>
                  </w:r>
                  <w:r>
                    <w:rPr>
                      <w:rFonts w:hint="eastAsia" w:ascii="Times New Roman" w:hAnsi="Times New Roman" w:eastAsia="宋体" w:cs="Times New Roman"/>
                      <w:bCs/>
                      <w:color w:val="auto"/>
                      <w:szCs w:val="21"/>
                      <w:lang w:val="en-US" w:eastAsia="zh-CN"/>
                    </w:rPr>
                    <w:t>。</w:t>
                  </w:r>
                </w:p>
              </w:tc>
              <w:tc>
                <w:tcPr>
                  <w:tcW w:w="274" w:type="pct"/>
                  <w:vAlign w:val="center"/>
                </w:tcPr>
                <w:p w14:paraId="11F2FE4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5D912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Merge w:val="continue"/>
                  <w:vAlign w:val="center"/>
                </w:tcPr>
                <w:p w14:paraId="50F12915">
                  <w:pPr>
                    <w:adjustRightInd w:val="0"/>
                    <w:snapToGrid w:val="0"/>
                    <w:jc w:val="center"/>
                    <w:rPr>
                      <w:rFonts w:hint="default" w:ascii="Times New Roman" w:hAnsi="Times New Roman" w:eastAsia="宋体" w:cs="Times New Roman"/>
                      <w:color w:val="auto"/>
                      <w:szCs w:val="21"/>
                    </w:rPr>
                  </w:pPr>
                </w:p>
              </w:tc>
              <w:tc>
                <w:tcPr>
                  <w:tcW w:w="625" w:type="pct"/>
                  <w:vMerge w:val="continue"/>
                  <w:vAlign w:val="center"/>
                </w:tcPr>
                <w:p w14:paraId="5F7BC3EC">
                  <w:pPr>
                    <w:adjustRightInd w:val="0"/>
                    <w:snapToGrid w:val="0"/>
                    <w:jc w:val="center"/>
                    <w:rPr>
                      <w:rFonts w:hint="default" w:ascii="Times New Roman" w:hAnsi="Times New Roman" w:eastAsia="宋体" w:cs="Times New Roman"/>
                      <w:color w:val="auto"/>
                      <w:szCs w:val="21"/>
                    </w:rPr>
                  </w:pPr>
                </w:p>
              </w:tc>
              <w:tc>
                <w:tcPr>
                  <w:tcW w:w="2424" w:type="pct"/>
                  <w:vAlign w:val="center"/>
                </w:tcPr>
                <w:p w14:paraId="427C2A46">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环境风险防控：</w:t>
                  </w:r>
                </w:p>
                <w:p w14:paraId="7CBB3A1E">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加强环境风险防范应急体系建设，加强环境应急预案管理，定期开展应急演练，持续开展环境安全隐患排查整治，提升应急监测能力，加强应急物资管理。（2）合理布局商业、居住、科教等功能区块，严格控制噪声、恶臭、油烟等污染排放较大的建设项目布局。</w:t>
                  </w:r>
                </w:p>
              </w:tc>
              <w:tc>
                <w:tcPr>
                  <w:tcW w:w="1418" w:type="pct"/>
                  <w:vAlign w:val="center"/>
                </w:tcPr>
                <w:p w14:paraId="5C29A1A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本项目建成后将根据相关要求编制《突发环境事件应急预案》、《环境风险评估报告》等，并按要求配备相关应急物资，定期开展应急演练，定期开展环境自行监测</w:t>
                  </w:r>
                </w:p>
              </w:tc>
              <w:tc>
                <w:tcPr>
                  <w:tcW w:w="274" w:type="pct"/>
                  <w:vAlign w:val="center"/>
                </w:tcPr>
                <w:p w14:paraId="2DBA5F6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734FB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7" w:type="pct"/>
                  <w:vMerge w:val="continue"/>
                  <w:vAlign w:val="center"/>
                </w:tcPr>
                <w:p w14:paraId="6588E5F9">
                  <w:pPr>
                    <w:adjustRightInd w:val="0"/>
                    <w:snapToGrid w:val="0"/>
                    <w:jc w:val="center"/>
                    <w:rPr>
                      <w:rFonts w:hint="default" w:ascii="Times New Roman" w:hAnsi="Times New Roman" w:eastAsia="宋体" w:cs="Times New Roman"/>
                      <w:color w:val="auto"/>
                      <w:szCs w:val="21"/>
                    </w:rPr>
                  </w:pPr>
                </w:p>
              </w:tc>
              <w:tc>
                <w:tcPr>
                  <w:tcW w:w="625" w:type="pct"/>
                  <w:vMerge w:val="continue"/>
                  <w:vAlign w:val="center"/>
                </w:tcPr>
                <w:p w14:paraId="4605CAA1">
                  <w:pPr>
                    <w:adjustRightInd w:val="0"/>
                    <w:snapToGrid w:val="0"/>
                    <w:jc w:val="center"/>
                    <w:rPr>
                      <w:rFonts w:hint="default" w:ascii="Times New Roman" w:hAnsi="Times New Roman" w:eastAsia="宋体" w:cs="Times New Roman"/>
                      <w:color w:val="auto"/>
                      <w:szCs w:val="21"/>
                    </w:rPr>
                  </w:pPr>
                </w:p>
              </w:tc>
              <w:tc>
                <w:tcPr>
                  <w:tcW w:w="2424" w:type="pct"/>
                  <w:vAlign w:val="center"/>
                </w:tcPr>
                <w:p w14:paraId="3BF10756">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资源开发效率要求：</w:t>
                  </w:r>
                </w:p>
                <w:p w14:paraId="597DA021">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优化能源结构，加强能源清洁利用。（2）万元GDP能耗、万元GDP用水量等指标达到市定目标。（3）提高土地利用效率、节约集约利用土地资源。（4）严格按照《高污染燃料目录》要求，落实相应的禁燃区管控要求。</w:t>
                  </w:r>
                </w:p>
              </w:tc>
              <w:tc>
                <w:tcPr>
                  <w:tcW w:w="1418" w:type="pct"/>
                  <w:vAlign w:val="center"/>
                </w:tcPr>
                <w:p w14:paraId="52B78E6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本项目使用的主要能源为电能；本项目生产过程中不</w:t>
                  </w:r>
                  <w:r>
                    <w:rPr>
                      <w:rFonts w:hint="default" w:ascii="Times New Roman" w:hAnsi="Times New Roman" w:eastAsia="宋体" w:cs="Times New Roman"/>
                      <w:color w:val="auto"/>
                      <w:szCs w:val="21"/>
                      <w:lang w:val="en-US" w:eastAsia="zh-CN"/>
                    </w:rPr>
                    <w:t>建设燃煤设施</w:t>
                  </w:r>
                </w:p>
              </w:tc>
              <w:tc>
                <w:tcPr>
                  <w:tcW w:w="274" w:type="pct"/>
                  <w:vAlign w:val="center"/>
                </w:tcPr>
                <w:p w14:paraId="1A0F841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bl>
          <w:p w14:paraId="07D6F93F">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综上，本项目与常州市“三线一单”生态环境分区管控实施方案相关要求相符。</w:t>
            </w:r>
          </w:p>
          <w:p w14:paraId="45E39165">
            <w:pPr>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4、与太湖流域环境政策相符性分析</w:t>
            </w:r>
          </w:p>
          <w:p w14:paraId="41140512">
            <w:pPr>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与《太湖流域管理条例》、《江苏省太湖水污染防治条例》、《江苏省太湖流域水环境综合治理规划（2021-2035年）》相符性分析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520"/>
              <w:gridCol w:w="77"/>
              <w:gridCol w:w="5050"/>
              <w:gridCol w:w="2167"/>
              <w:gridCol w:w="595"/>
            </w:tblGrid>
            <w:tr w14:paraId="3584684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3" w:hRule="atLeast"/>
                <w:jc w:val="center"/>
              </w:trPr>
              <w:tc>
                <w:tcPr>
                  <w:tcW w:w="3357" w:type="pct"/>
                  <w:gridSpan w:val="3"/>
                  <w:vAlign w:val="center"/>
                </w:tcPr>
                <w:p w14:paraId="3D79DE01">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《太湖流域管理条例》相关要求</w:t>
                  </w:r>
                </w:p>
              </w:tc>
              <w:tc>
                <w:tcPr>
                  <w:tcW w:w="1288" w:type="pct"/>
                  <w:vAlign w:val="center"/>
                </w:tcPr>
                <w:p w14:paraId="61B8D864">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相符性分析</w:t>
                  </w:r>
                </w:p>
              </w:tc>
              <w:tc>
                <w:tcPr>
                  <w:tcW w:w="354" w:type="pct"/>
                  <w:vAlign w:val="center"/>
                </w:tcPr>
                <w:p w14:paraId="0EBCCC5E">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11BBDD3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22AEA102">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第二十八条</w:t>
                  </w:r>
                </w:p>
              </w:tc>
              <w:tc>
                <w:tcPr>
                  <w:tcW w:w="3047" w:type="pct"/>
                  <w:gridSpan w:val="2"/>
                  <w:vAlign w:val="center"/>
                </w:tcPr>
                <w:p w14:paraId="2B1CF385">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排污单位排放水污染物，不得超过经核定的水污染物排放总量，并应当按照规定设置便于检查、采样的规范化排污口，悬挂标志牌；不得私设暗管或者采取其他规避监管的方式排放水污染物。</w:t>
                  </w:r>
                </w:p>
                <w:p w14:paraId="08DE5FDD">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禁止在太湖流域设置不符合国家产业政策和水环境综合治理要求的造纸、制革、酒精、淀粉、冶金、酿造、印染、电镀等排放水污染物的生产项目，现有的生产项目不能实现达标排放的，应当依法关闭。</w:t>
                  </w:r>
                </w:p>
                <w:p w14:paraId="7E8EB35F">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1288" w:type="pct"/>
                  <w:vAlign w:val="center"/>
                </w:tcPr>
                <w:p w14:paraId="3663E085">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生产废水</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，生活污水接管</w:t>
                  </w:r>
                  <w:r>
                    <w:rPr>
                      <w:rFonts w:hint="default" w:ascii="Times New Roman" w:hAnsi="Times New Roman" w:eastAsia="宋体" w:cs="Times New Roman"/>
                      <w:color w:val="auto"/>
                      <w:sz w:val="21"/>
                      <w:szCs w:val="21"/>
                      <w:lang w:val="en-US" w:eastAsia="zh-CN"/>
                    </w:rPr>
                    <w:t>至唐王村农村生活污水处理站处理达标后排放</w:t>
                  </w:r>
                  <w:r>
                    <w:rPr>
                      <w:rFonts w:hint="default" w:ascii="Times New Roman" w:hAnsi="Times New Roman" w:eastAsia="宋体" w:cs="Times New Roman"/>
                      <w:color w:val="auto"/>
                      <w:sz w:val="21"/>
                      <w:szCs w:val="21"/>
                    </w:rPr>
                    <w:t>，环评中已根据本项目情况核算水污染物排放总量，实际运营过程中不会超过该核定量；本项目为</w:t>
                  </w:r>
                  <w:r>
                    <w:rPr>
                      <w:rFonts w:hint="eastAsia" w:ascii="Times New Roman" w:hAnsi="Times New Roman" w:eastAsia="宋体" w:cs="Times New Roman"/>
                      <w:color w:val="auto"/>
                      <w:sz w:val="21"/>
                      <w:szCs w:val="21"/>
                      <w:lang w:eastAsia="zh-CN"/>
                    </w:rPr>
                    <w:t>新建年产300万件指纹识别棱镜和50万件光学投影棱镜项目</w:t>
                  </w:r>
                  <w:r>
                    <w:rPr>
                      <w:rFonts w:hint="default" w:ascii="Times New Roman" w:hAnsi="Times New Roman" w:eastAsia="宋体" w:cs="Times New Roman"/>
                      <w:color w:val="auto"/>
                      <w:sz w:val="21"/>
                      <w:szCs w:val="21"/>
                    </w:rPr>
                    <w:t>，不属于上述禁止项目；项目建成后，将设置便于检查、采样的规范化排污口，悬挂标志牌，定期进行自行监测，监控废水排放达标情况；项目符合清洁生产要求。</w:t>
                  </w:r>
                </w:p>
              </w:tc>
              <w:tc>
                <w:tcPr>
                  <w:tcW w:w="354" w:type="pct"/>
                  <w:vAlign w:val="center"/>
                </w:tcPr>
                <w:p w14:paraId="5F646789">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A82335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36B38E7F">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第二十九条</w:t>
                  </w:r>
                </w:p>
              </w:tc>
              <w:tc>
                <w:tcPr>
                  <w:tcW w:w="3047" w:type="pct"/>
                  <w:gridSpan w:val="2"/>
                  <w:vAlign w:val="center"/>
                </w:tcPr>
                <w:p w14:paraId="22A2001E">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新孟河、望虞河以外的其他主要入太湖河道，自河口1万米上溯至5万米河道岸线内及其岸线两侧各1000米范围内，禁止下列行为：</w:t>
                  </w:r>
                </w:p>
                <w:p w14:paraId="72AEE1CD">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（一）新建、扩建化工、医药生产项目；</w:t>
                  </w:r>
                </w:p>
                <w:p w14:paraId="279C9FD8">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（二）新建、扩建污水集中处理设施排污口以外的排污口；</w:t>
                  </w:r>
                </w:p>
                <w:p w14:paraId="65A389E5">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（三）扩大水产养殖规模。</w:t>
                  </w:r>
                </w:p>
              </w:tc>
              <w:tc>
                <w:tcPr>
                  <w:tcW w:w="1288" w:type="pct"/>
                  <w:vAlign w:val="center"/>
                </w:tcPr>
                <w:p w14:paraId="23AD5F34">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常州市金坛区朱林镇唐王村委唐王村62号</w:t>
                  </w:r>
                  <w:r>
                    <w:rPr>
                      <w:rFonts w:hint="default" w:ascii="Times New Roman" w:hAnsi="Times New Roman" w:eastAsia="宋体" w:cs="Times New Roman"/>
                      <w:color w:val="auto"/>
                      <w:sz w:val="21"/>
                      <w:szCs w:val="21"/>
                    </w:rPr>
                    <w:t>，不在此范围内，不属于太湖流域禁止的行业项目，本项目</w:t>
                  </w: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生产废水</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，生活污水接管</w:t>
                  </w:r>
                  <w:r>
                    <w:rPr>
                      <w:rFonts w:hint="default" w:ascii="Times New Roman" w:hAnsi="Times New Roman" w:eastAsia="宋体" w:cs="Times New Roman"/>
                      <w:color w:val="auto"/>
                      <w:sz w:val="21"/>
                      <w:szCs w:val="21"/>
                      <w:lang w:val="en-US" w:eastAsia="zh-CN"/>
                    </w:rPr>
                    <w:t>至唐王村农村生活污水处理站处理达标后排放</w:t>
                  </w:r>
                </w:p>
              </w:tc>
              <w:tc>
                <w:tcPr>
                  <w:tcW w:w="354" w:type="pct"/>
                  <w:vAlign w:val="center"/>
                </w:tcPr>
                <w:p w14:paraId="2780879E">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B9C88C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76181ACD">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第三十条</w:t>
                  </w:r>
                </w:p>
              </w:tc>
              <w:tc>
                <w:tcPr>
                  <w:tcW w:w="3047" w:type="pct"/>
                  <w:gridSpan w:val="2"/>
                  <w:vAlign w:val="center"/>
                </w:tcPr>
                <w:p w14:paraId="4F143A5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63F5FA7D">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（一）设置剧毒物质、危险化学品的贮存、输送设施和废物回收场、垃圾场；</w:t>
                  </w:r>
                </w:p>
                <w:p w14:paraId="42E75C0B">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（二）设置水上餐饮经营设施；</w:t>
                  </w:r>
                </w:p>
                <w:p w14:paraId="70B63316">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（三）新建、扩建高尔夫球场；</w:t>
                  </w:r>
                </w:p>
                <w:p w14:paraId="1A806F0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（四）新建、扩建畜禽养殖场；</w:t>
                  </w:r>
                </w:p>
                <w:p w14:paraId="5E2D477E">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（五）新建、扩建向水体排放污染物的建设项目；</w:t>
                  </w:r>
                </w:p>
                <w:p w14:paraId="7372C44C">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（六）本条例第二十九条规定的行为。</w:t>
                  </w:r>
                </w:p>
                <w:p w14:paraId="29847E7C">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已经设置前款第一项、第二项规定设施的，当地县级人民政府应当责令拆除或者关闭。</w:t>
                  </w:r>
                </w:p>
              </w:tc>
              <w:tc>
                <w:tcPr>
                  <w:tcW w:w="1288" w:type="pct"/>
                  <w:vAlign w:val="center"/>
                </w:tcPr>
                <w:p w14:paraId="7DDF0464">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eastAsia="zh-CN"/>
                    </w:rPr>
                    <w:t>常州市金坛区朱林镇唐王村委唐王村62号</w:t>
                  </w:r>
                  <w:r>
                    <w:rPr>
                      <w:rFonts w:hint="default" w:ascii="Times New Roman" w:hAnsi="Times New Roman" w:eastAsia="宋体" w:cs="Times New Roman"/>
                      <w:color w:val="auto"/>
                      <w:sz w:val="21"/>
                      <w:szCs w:val="21"/>
                    </w:rPr>
                    <w:t>，不在此范围内，不涉及所列禁止项目，本项目生活污水接管</w:t>
                  </w:r>
                  <w:r>
                    <w:rPr>
                      <w:rFonts w:hint="default" w:ascii="Times New Roman" w:hAnsi="Times New Roman" w:eastAsia="宋体" w:cs="Times New Roman"/>
                      <w:color w:val="auto"/>
                      <w:sz w:val="21"/>
                      <w:szCs w:val="21"/>
                      <w:lang w:val="en-US" w:eastAsia="zh-CN"/>
                    </w:rPr>
                    <w:t>至唐王村农村生活污水处理站处理达标后排放</w:t>
                  </w:r>
                </w:p>
              </w:tc>
              <w:tc>
                <w:tcPr>
                  <w:tcW w:w="354" w:type="pct"/>
                  <w:vAlign w:val="center"/>
                </w:tcPr>
                <w:p w14:paraId="44A580BE">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5D9D265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64" w:hRule="atLeast"/>
                <w:jc w:val="center"/>
              </w:trPr>
              <w:tc>
                <w:tcPr>
                  <w:tcW w:w="3357" w:type="pct"/>
                  <w:gridSpan w:val="3"/>
                  <w:vAlign w:val="center"/>
                </w:tcPr>
                <w:p w14:paraId="4B13614D">
                  <w:pPr>
                    <w:autoSpaceDE w:val="0"/>
                    <w:autoSpaceDN w:val="0"/>
                    <w:adjustRightIn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《江苏省太湖水污染防治条例》相关要求</w:t>
                  </w:r>
                </w:p>
              </w:tc>
              <w:tc>
                <w:tcPr>
                  <w:tcW w:w="1288" w:type="pct"/>
                  <w:vAlign w:val="center"/>
                </w:tcPr>
                <w:p w14:paraId="3E2E711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相符性分析</w:t>
                  </w:r>
                </w:p>
              </w:tc>
              <w:tc>
                <w:tcPr>
                  <w:tcW w:w="354" w:type="pct"/>
                  <w:vAlign w:val="center"/>
                </w:tcPr>
                <w:p w14:paraId="69219A2F">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314574D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018B17BB">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第四十三条</w:t>
                  </w:r>
                </w:p>
              </w:tc>
              <w:tc>
                <w:tcPr>
                  <w:tcW w:w="3047" w:type="pct"/>
                  <w:gridSpan w:val="2"/>
                  <w:vAlign w:val="center"/>
                </w:tcPr>
                <w:p w14:paraId="38F9D6BF">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0E8E62CC">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（一）新建、改建、扩建化学制浆造纸、制革、酿造、染料、印染、电镀以及其他排放含磷、氮等污染物的企业和项目；</w:t>
                  </w:r>
                </w:p>
                <w:p w14:paraId="7904CA95">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（二）销售、使用含磷洗涤用品；</w:t>
                  </w:r>
                </w:p>
                <w:p w14:paraId="1A85E40C">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（三）向水体排放或者倾倒油类、酸液、碱液、剧毒废渣废液、含放射性废渣废液、含病原体污水、工业废渣以及其他废弃物；</w:t>
                  </w:r>
                </w:p>
                <w:p w14:paraId="38AE80FB">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（四）在水体清洗装贮过油类或者有毒有害污染物的车辆、船舶和容器等；</w:t>
                  </w:r>
                </w:p>
                <w:p w14:paraId="34A1021F">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44E99939">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0465170A">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61A316AD">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15C0F61F">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（九）法律、法规禁止的其他行为。</w:t>
                  </w:r>
                </w:p>
              </w:tc>
              <w:tc>
                <w:tcPr>
                  <w:tcW w:w="1288" w:type="pct"/>
                  <w:vAlign w:val="center"/>
                </w:tcPr>
                <w:p w14:paraId="190486F9">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本项目位于太湖流域三级保护区范围内，本项目为</w:t>
                  </w:r>
                  <w:r>
                    <w:rPr>
                      <w:rFonts w:hint="eastAsia" w:ascii="Times New Roman" w:hAnsi="Times New Roman" w:eastAsia="宋体" w:cs="Times New Roman"/>
                      <w:color w:val="auto"/>
                      <w:sz w:val="21"/>
                      <w:szCs w:val="21"/>
                      <w:lang w:eastAsia="zh-CN"/>
                    </w:rPr>
                    <w:t>新建年产300万件指纹识别棱镜和50万件光学投影棱镜项目</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含氮、磷生产废水，生活污水接管</w:t>
                  </w:r>
                  <w:r>
                    <w:rPr>
                      <w:rFonts w:hint="default" w:ascii="Times New Roman" w:hAnsi="Times New Roman" w:eastAsia="宋体" w:cs="Times New Roman"/>
                      <w:color w:val="auto"/>
                      <w:sz w:val="21"/>
                      <w:szCs w:val="21"/>
                      <w:lang w:val="en-US" w:eastAsia="zh-CN"/>
                    </w:rPr>
                    <w:t>至唐王村农村生活污水处理站处理达标后排放</w:t>
                  </w:r>
                  <w:r>
                    <w:rPr>
                      <w:rFonts w:hint="default" w:ascii="Times New Roman" w:hAnsi="Times New Roman" w:eastAsia="宋体" w:cs="Times New Roman"/>
                      <w:color w:val="auto"/>
                      <w:sz w:val="21"/>
                      <w:szCs w:val="21"/>
                    </w:rPr>
                    <w:t>，不直接向水体排放污染物；不属于所列禁止行为</w:t>
                  </w:r>
                </w:p>
              </w:tc>
              <w:tc>
                <w:tcPr>
                  <w:tcW w:w="354" w:type="pct"/>
                  <w:vAlign w:val="center"/>
                </w:tcPr>
                <w:p w14:paraId="2C275912">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DE52AE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696B8B62">
                  <w:pPr>
                    <w:autoSpaceDE w:val="0"/>
                    <w:autoSpaceDN w:val="0"/>
                    <w:adjustRightInd w:val="0"/>
                    <w:spacing w:line="0" w:lineRule="atLeas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第四十六条</w:t>
                  </w:r>
                </w:p>
              </w:tc>
              <w:tc>
                <w:tcPr>
                  <w:tcW w:w="3047" w:type="pct"/>
                  <w:gridSpan w:val="2"/>
                  <w:vAlign w:val="center"/>
                </w:tcPr>
                <w:p w14:paraId="458A918C">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74A073D5">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14:paraId="086AD34C">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本条所指排放含磷、氮等污染物的战略性新兴产业具体类别，由省发展改革部门会同省经济和信息化、环境保护主管部门拟定并报省人民政府批准后公布。</w:t>
                  </w:r>
                </w:p>
                <w:p w14:paraId="7FE52ADF">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288" w:type="pct"/>
                  <w:vAlign w:val="center"/>
                </w:tcPr>
                <w:p w14:paraId="60AC9396">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本项目位于太湖流域三级保护区范围内，本项目为</w:t>
                  </w:r>
                  <w:r>
                    <w:rPr>
                      <w:rFonts w:hint="eastAsia" w:ascii="Times New Roman" w:hAnsi="Times New Roman" w:eastAsia="宋体" w:cs="Times New Roman"/>
                      <w:color w:val="auto"/>
                      <w:sz w:val="21"/>
                      <w:szCs w:val="21"/>
                      <w:lang w:eastAsia="zh-CN"/>
                    </w:rPr>
                    <w:t>新建年产300万件指纹识别棱镜和50万件光学投影棱镜项目</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rPr>
                    <w:t>生产废水</w:t>
                  </w:r>
                  <w:r>
                    <w:rPr>
                      <w:rFonts w:hint="default" w:ascii="Times New Roman" w:hAnsi="Times New Roman" w:eastAsia="宋体" w:cs="Times New Roman"/>
                      <w:color w:val="auto"/>
                      <w:sz w:val="21"/>
                      <w:szCs w:val="21"/>
                      <w:lang w:val="en-US" w:eastAsia="zh-CN"/>
                    </w:rPr>
                    <w:t>排放</w:t>
                  </w:r>
                  <w:r>
                    <w:rPr>
                      <w:rFonts w:hint="default" w:ascii="Times New Roman" w:hAnsi="Times New Roman" w:eastAsia="宋体" w:cs="Times New Roman"/>
                      <w:color w:val="auto"/>
                      <w:sz w:val="21"/>
                      <w:szCs w:val="21"/>
                    </w:rPr>
                    <w:t>，生活污水接管</w:t>
                  </w:r>
                  <w:r>
                    <w:rPr>
                      <w:rFonts w:hint="default" w:ascii="Times New Roman" w:hAnsi="Times New Roman" w:eastAsia="宋体" w:cs="Times New Roman"/>
                      <w:color w:val="auto"/>
                      <w:sz w:val="21"/>
                      <w:szCs w:val="21"/>
                      <w:lang w:val="en-US" w:eastAsia="zh-CN"/>
                    </w:rPr>
                    <w:t>至唐王村农村生活污水处理站处理达标后排放</w:t>
                  </w:r>
                </w:p>
              </w:tc>
              <w:tc>
                <w:tcPr>
                  <w:tcW w:w="354" w:type="pct"/>
                  <w:vAlign w:val="center"/>
                </w:tcPr>
                <w:p w14:paraId="37367E1C">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2C6F5A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357" w:type="pct"/>
                  <w:gridSpan w:val="3"/>
                  <w:vAlign w:val="center"/>
                </w:tcPr>
                <w:p w14:paraId="77C5300B">
                  <w:pPr>
                    <w:autoSpaceDE w:val="0"/>
                    <w:autoSpaceDN w:val="0"/>
                    <w:adjustRightIn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《江苏省太湖流域水环境综合治理规划（2021-2035年）》</w:t>
                  </w:r>
                </w:p>
                <w:p w14:paraId="7C12998A">
                  <w:pPr>
                    <w:autoSpaceDE w:val="0"/>
                    <w:autoSpaceDN w:val="0"/>
                    <w:adjustRightInd w:val="0"/>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（苏政办发【2022】74号）相关要求</w:t>
                  </w:r>
                </w:p>
              </w:tc>
              <w:tc>
                <w:tcPr>
                  <w:tcW w:w="1288" w:type="pct"/>
                  <w:vAlign w:val="center"/>
                </w:tcPr>
                <w:p w14:paraId="46847414">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相符性分析</w:t>
                  </w:r>
                </w:p>
              </w:tc>
              <w:tc>
                <w:tcPr>
                  <w:tcW w:w="354" w:type="pct"/>
                  <w:vAlign w:val="center"/>
                </w:tcPr>
                <w:p w14:paraId="224B29EB">
                  <w:pPr>
                    <w:spacing w:line="0" w:lineRule="atLeas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相符性</w:t>
                  </w:r>
                </w:p>
              </w:tc>
            </w:tr>
            <w:tr w14:paraId="236E0AD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55" w:type="pct"/>
                  <w:gridSpan w:val="2"/>
                  <w:vAlign w:val="center"/>
                </w:tcPr>
                <w:p w14:paraId="7A4691B0">
                  <w:pPr>
                    <w:autoSpaceDE w:val="0"/>
                    <w:autoSpaceDN w:val="0"/>
                    <w:adjustRightInd w:val="0"/>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强化工业污染综合治理</w:t>
                  </w:r>
                </w:p>
              </w:tc>
              <w:tc>
                <w:tcPr>
                  <w:tcW w:w="3001" w:type="pct"/>
                  <w:vAlign w:val="center"/>
                </w:tcPr>
                <w:p w14:paraId="6F10AC82">
                  <w:pPr>
                    <w:autoSpaceDE w:val="0"/>
                    <w:autoSpaceDN w:val="0"/>
                    <w:adjustRightInd w:val="0"/>
                    <w:spacing w:line="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工业和城镇污水分开收集分质处理。新（改、扩）建的化工、电镀、印染、钢铁、电子等工业企业，不得排入城镇污水集中收集处理设施。已接入城镇污水收集处理设施的重点行业工业企业组织全面排查评估，经评估认定不能接入的，限期退出；认定可以接入的，须预处理达标后方可接入。接管企业应依法取得排污许可和排水许可，出水应与城镇污水处理厂联网实时监控。500吨以上的工业废水集中处理设施按规定在进水口、出水口安装水量、水质自动监控设备及配套设施，并与省级行业主管部门联网。大力推进印染、化工、造纸、钢铁、电镀、食品（啤酒、味精）等重点行业企业废水深度处理，加快推进太湖三级保护区内重点行业污水处理设施参照《太湖地区城镇污水处理厂及重点工业行业主要水污染物排放限值》（DB32/1072-2018）一、二级保护区内主要水污染物排放限值开展提标改造。无锡市、常州市、苏州市加快推进工业废水与生活污水分类收集、分质处理到2024年实现应分尽分，全流域到2025年实现应分尽分。</w:t>
                  </w:r>
                </w:p>
              </w:tc>
              <w:tc>
                <w:tcPr>
                  <w:tcW w:w="1288" w:type="pct"/>
                  <w:vAlign w:val="center"/>
                </w:tcPr>
                <w:p w14:paraId="48C31568">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eastAsia" w:ascii="Times New Roman" w:hAnsi="Times New Roman" w:eastAsia="宋体" w:cs="Times New Roman"/>
                      <w:color w:val="auto"/>
                      <w:sz w:val="21"/>
                      <w:szCs w:val="21"/>
                      <w:lang w:eastAsia="zh-CN"/>
                    </w:rPr>
                    <w:t>新建年产300万件指纹识别棱镜和50万件光学投影棱镜项目</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无生产废水排放</w:t>
                  </w:r>
                  <w:r>
                    <w:rPr>
                      <w:rFonts w:hint="default" w:ascii="Times New Roman" w:hAnsi="Times New Roman" w:eastAsia="宋体" w:cs="Times New Roman"/>
                      <w:color w:val="auto"/>
                      <w:sz w:val="21"/>
                      <w:szCs w:val="21"/>
                    </w:rPr>
                    <w:t>，生活污水接管</w:t>
                  </w:r>
                  <w:r>
                    <w:rPr>
                      <w:rFonts w:hint="default" w:ascii="Times New Roman" w:hAnsi="Times New Roman" w:eastAsia="宋体" w:cs="Times New Roman"/>
                      <w:color w:val="auto"/>
                      <w:sz w:val="21"/>
                      <w:szCs w:val="21"/>
                      <w:lang w:val="en-US" w:eastAsia="zh-CN"/>
                    </w:rPr>
                    <w:t>至唐王村农村生活污水处理站处理达标后排放</w:t>
                  </w:r>
                  <w:r>
                    <w:rPr>
                      <w:rFonts w:hint="default" w:ascii="Times New Roman" w:hAnsi="Times New Roman" w:eastAsia="宋体" w:cs="Times New Roman"/>
                      <w:color w:val="auto"/>
                      <w:sz w:val="21"/>
                      <w:szCs w:val="21"/>
                    </w:rPr>
                    <w:t>；本项目实际生产前将依法进行排污许可证申请，做到持证排污、按证排污</w:t>
                  </w:r>
                </w:p>
              </w:tc>
              <w:tc>
                <w:tcPr>
                  <w:tcW w:w="354" w:type="pct"/>
                  <w:vAlign w:val="center"/>
                </w:tcPr>
                <w:p w14:paraId="40DA782B">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003F513B">
            <w:pPr>
              <w:keepNext w:val="0"/>
              <w:keepLines w:val="0"/>
              <w:pageBreakBefore w:val="0"/>
              <w:widowControl w:val="0"/>
              <w:kinsoku/>
              <w:wordWrap/>
              <w:overflowPunct/>
              <w:topLinePunct w:val="0"/>
              <w:autoSpaceDE w:val="0"/>
              <w:autoSpaceDN w:val="0"/>
              <w:bidi w:val="0"/>
              <w:adjustRightInd w:val="0"/>
              <w:snapToGrid w:val="0"/>
              <w:spacing w:before="120" w:line="360" w:lineRule="auto"/>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5、与《长江经济带发展负面清单指南（试行，2022年版）》相符性分析</w:t>
            </w:r>
          </w:p>
          <w:p w14:paraId="596AF16A">
            <w:pPr>
              <w:jc w:val="center"/>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表1-</w:t>
            </w:r>
            <w:r>
              <w:rPr>
                <w:rFonts w:hint="eastAsia" w:ascii="Times New Roman" w:hAnsi="Times New Roman" w:eastAsia="宋体" w:cs="Times New Roman"/>
                <w:b/>
                <w:color w:val="auto"/>
                <w:kern w:val="0"/>
                <w:sz w:val="24"/>
                <w:szCs w:val="24"/>
                <w:lang w:val="en-US" w:eastAsia="zh-CN"/>
              </w:rPr>
              <w:t>5</w:t>
            </w:r>
            <w:r>
              <w:rPr>
                <w:rFonts w:hint="default" w:ascii="Times New Roman" w:hAnsi="Times New Roman" w:eastAsia="宋体" w:cs="Times New Roman"/>
                <w:b/>
                <w:color w:val="auto"/>
                <w:kern w:val="0"/>
                <w:sz w:val="24"/>
                <w:szCs w:val="24"/>
              </w:rPr>
              <w:t xml:space="preserve">  与《长江经济带发展负面清单指南》相符性分析</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6"/>
              <w:gridCol w:w="5189"/>
              <w:gridCol w:w="2714"/>
            </w:tblGrid>
            <w:tr w14:paraId="2A8729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78414AF">
                  <w:pPr>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序号</w:t>
                  </w:r>
                </w:p>
              </w:tc>
              <w:tc>
                <w:tcPr>
                  <w:tcW w:w="3084" w:type="pct"/>
                  <w:vAlign w:val="center"/>
                </w:tcPr>
                <w:p w14:paraId="42A8AAE6">
                  <w:pPr>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政策内容</w:t>
                  </w:r>
                </w:p>
              </w:tc>
              <w:tc>
                <w:tcPr>
                  <w:tcW w:w="1613" w:type="pct"/>
                  <w:vAlign w:val="center"/>
                </w:tcPr>
                <w:p w14:paraId="778AA811">
                  <w:pPr>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相符性分析</w:t>
                  </w:r>
                </w:p>
              </w:tc>
            </w:tr>
            <w:tr w14:paraId="13758C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DD76542">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3084" w:type="pct"/>
                  <w:vAlign w:val="center"/>
                </w:tcPr>
                <w:p w14:paraId="217A62FC">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禁止建设不符合全国和省级港口布局规划以及港口总体规划的码头项目，禁止建设不符合《长江</w:t>
                  </w:r>
                  <w:r>
                    <w:rPr>
                      <w:rFonts w:hint="eastAsia" w:ascii="Times New Roman" w:hAnsi="Times New Roman" w:eastAsia="宋体" w:cs="Times New Roman"/>
                      <w:color w:val="auto"/>
                      <w:kern w:val="0"/>
                      <w:szCs w:val="21"/>
                      <w:lang w:val="en-US" w:eastAsia="zh-CN"/>
                    </w:rPr>
                    <w:t>干线</w:t>
                  </w:r>
                  <w:r>
                    <w:rPr>
                      <w:rFonts w:hint="default" w:ascii="Times New Roman" w:hAnsi="Times New Roman" w:eastAsia="宋体" w:cs="Times New Roman"/>
                      <w:color w:val="auto"/>
                      <w:kern w:val="0"/>
                      <w:szCs w:val="21"/>
                    </w:rPr>
                    <w:t>过江通道布局规划》的过长江通道项目。</w:t>
                  </w:r>
                </w:p>
              </w:tc>
              <w:tc>
                <w:tcPr>
                  <w:tcW w:w="1613" w:type="pct"/>
                  <w:vAlign w:val="center"/>
                </w:tcPr>
                <w:p w14:paraId="5E22FB13">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新建年产300万件指纹识别棱镜和50万件光学投影棱镜项目</w:t>
                  </w:r>
                  <w:r>
                    <w:rPr>
                      <w:rFonts w:hint="default" w:ascii="Times New Roman" w:hAnsi="Times New Roman" w:eastAsia="宋体" w:cs="Times New Roman"/>
                      <w:color w:val="auto"/>
                      <w:kern w:val="0"/>
                      <w:szCs w:val="21"/>
                    </w:rPr>
                    <w:t>，不属于码头项目、长江通道项目</w:t>
                  </w:r>
                </w:p>
              </w:tc>
            </w:tr>
            <w:tr w14:paraId="7E1752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0C03F3E">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3084" w:type="pct"/>
                  <w:vAlign w:val="center"/>
                </w:tcPr>
                <w:p w14:paraId="0F3843D7">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禁止在自然保护区核心区、缓冲区的岸线和河段范围内投资建设旅游和生产经营项目。禁止在风景名胜区核心景区的岸线和河段范围内投资建设与风景名胜资源保护无关的项目。</w:t>
                  </w:r>
                </w:p>
              </w:tc>
              <w:tc>
                <w:tcPr>
                  <w:tcW w:w="1613" w:type="pct"/>
                  <w:vAlign w:val="center"/>
                </w:tcPr>
                <w:p w14:paraId="6F2BC4B5">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w:t>
                  </w:r>
                  <w:r>
                    <w:rPr>
                      <w:rFonts w:hint="eastAsia" w:ascii="Times New Roman" w:hAnsi="Times New Roman" w:eastAsia="宋体" w:cs="Times New Roman"/>
                      <w:color w:val="auto"/>
                      <w:kern w:val="0"/>
                      <w:szCs w:val="21"/>
                      <w:lang w:eastAsia="zh-CN"/>
                    </w:rPr>
                    <w:t>常州市金坛区朱林镇唐王村委唐王村62号</w:t>
                  </w:r>
                  <w:r>
                    <w:rPr>
                      <w:rFonts w:hint="default" w:ascii="Times New Roman" w:hAnsi="Times New Roman" w:eastAsia="宋体" w:cs="Times New Roman"/>
                      <w:color w:val="auto"/>
                      <w:kern w:val="0"/>
                      <w:szCs w:val="21"/>
                    </w:rPr>
                    <w:t>，不位于政策所述区域</w:t>
                  </w:r>
                </w:p>
              </w:tc>
            </w:tr>
            <w:tr w14:paraId="1ACA69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67831571">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3084" w:type="pct"/>
                  <w:vAlign w:val="center"/>
                </w:tcPr>
                <w:p w14:paraId="54FEB3F2">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3" w:type="pct"/>
                  <w:vAlign w:val="center"/>
                </w:tcPr>
                <w:p w14:paraId="2B589B23">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w:t>
                  </w:r>
                  <w:r>
                    <w:rPr>
                      <w:rFonts w:hint="eastAsia" w:ascii="Times New Roman" w:hAnsi="Times New Roman" w:eastAsia="宋体" w:cs="Times New Roman"/>
                      <w:color w:val="auto"/>
                      <w:kern w:val="0"/>
                      <w:szCs w:val="21"/>
                      <w:lang w:eastAsia="zh-CN"/>
                    </w:rPr>
                    <w:t>常州市金坛区朱林镇唐王村委唐王村62号</w:t>
                  </w:r>
                  <w:r>
                    <w:rPr>
                      <w:rFonts w:hint="default" w:ascii="Times New Roman" w:hAnsi="Times New Roman" w:eastAsia="宋体" w:cs="Times New Roman"/>
                      <w:color w:val="auto"/>
                      <w:kern w:val="0"/>
                      <w:szCs w:val="21"/>
                    </w:rPr>
                    <w:t>，不位于饮用水水源一级与二级保护区的岸线和河段范围内</w:t>
                  </w:r>
                </w:p>
              </w:tc>
            </w:tr>
            <w:tr w14:paraId="6EB21D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0D34FB32">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3084" w:type="pct"/>
                  <w:vAlign w:val="center"/>
                </w:tcPr>
                <w:p w14:paraId="6290D717">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3" w:type="pct"/>
                  <w:vAlign w:val="center"/>
                </w:tcPr>
                <w:p w14:paraId="23775047">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w:t>
                  </w:r>
                  <w:r>
                    <w:rPr>
                      <w:rFonts w:hint="eastAsia" w:ascii="Times New Roman" w:hAnsi="Times New Roman" w:eastAsia="宋体" w:cs="Times New Roman"/>
                      <w:color w:val="auto"/>
                      <w:kern w:val="0"/>
                      <w:szCs w:val="21"/>
                      <w:lang w:eastAsia="zh-CN"/>
                    </w:rPr>
                    <w:t>常州市金坛区朱林镇唐王村委唐王村62号</w:t>
                  </w:r>
                  <w:r>
                    <w:rPr>
                      <w:rFonts w:hint="default" w:ascii="Times New Roman" w:hAnsi="Times New Roman" w:eastAsia="宋体" w:cs="Times New Roman"/>
                      <w:color w:val="auto"/>
                      <w:kern w:val="0"/>
                      <w:szCs w:val="21"/>
                    </w:rPr>
                    <w:t>，不位于政策所述区域</w:t>
                  </w:r>
                </w:p>
              </w:tc>
            </w:tr>
            <w:tr w14:paraId="2FDD0E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0871FB4">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3084" w:type="pct"/>
                  <w:vAlign w:val="center"/>
                </w:tcPr>
                <w:p w14:paraId="75FF0FBA">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3" w:type="pct"/>
                  <w:vAlign w:val="center"/>
                </w:tcPr>
                <w:p w14:paraId="04F60249">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本项目位于</w:t>
                  </w:r>
                  <w:r>
                    <w:rPr>
                      <w:rFonts w:hint="eastAsia" w:ascii="Times New Roman" w:hAnsi="Times New Roman" w:eastAsia="宋体" w:cs="Times New Roman"/>
                      <w:color w:val="auto"/>
                      <w:kern w:val="0"/>
                      <w:szCs w:val="21"/>
                      <w:lang w:eastAsia="zh-CN"/>
                    </w:rPr>
                    <w:t>常州市金坛区朱林镇唐王村委唐王村62号</w:t>
                  </w:r>
                  <w:r>
                    <w:rPr>
                      <w:rFonts w:hint="default" w:ascii="Times New Roman" w:hAnsi="Times New Roman" w:eastAsia="宋体" w:cs="Times New Roman"/>
                      <w:color w:val="auto"/>
                      <w:kern w:val="0"/>
                      <w:szCs w:val="21"/>
                    </w:rPr>
                    <w:t>，不位于政策所述区域</w:t>
                  </w:r>
                </w:p>
              </w:tc>
            </w:tr>
            <w:tr w14:paraId="19CE10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472AF85">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3084" w:type="pct"/>
                  <w:vAlign w:val="center"/>
                </w:tcPr>
                <w:p w14:paraId="1FBCA2EA">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禁止未经许可在长江干支流及湖泊新设、改设或扩大排污口。</w:t>
                  </w:r>
                </w:p>
              </w:tc>
              <w:tc>
                <w:tcPr>
                  <w:tcW w:w="1613" w:type="pct"/>
                  <w:vAlign w:val="center"/>
                </w:tcPr>
                <w:p w14:paraId="003BAFC1">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本项目不涉及</w:t>
                  </w:r>
                </w:p>
              </w:tc>
            </w:tr>
            <w:tr w14:paraId="69CAAB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940F880">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3084" w:type="pct"/>
                  <w:vAlign w:val="center"/>
                </w:tcPr>
                <w:p w14:paraId="5DF1C5B3">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禁止在“一江一口两湖七河”和332个水生生物保护区开展生产性捕捞。</w:t>
                  </w:r>
                </w:p>
              </w:tc>
              <w:tc>
                <w:tcPr>
                  <w:tcW w:w="1613" w:type="pct"/>
                  <w:vAlign w:val="center"/>
                </w:tcPr>
                <w:p w14:paraId="31D395E5">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本项目不涉及</w:t>
                  </w:r>
                </w:p>
              </w:tc>
            </w:tr>
            <w:tr w14:paraId="6EE024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6346FF52">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3084" w:type="pct"/>
                  <w:vAlign w:val="center"/>
                </w:tcPr>
                <w:p w14:paraId="13D1E064">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3" w:type="pct"/>
                  <w:vAlign w:val="center"/>
                </w:tcPr>
                <w:p w14:paraId="149F977C">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新建年产300万件指纹识别棱镜和50万件光学投影棱镜项目</w:t>
                  </w:r>
                  <w:r>
                    <w:rPr>
                      <w:rFonts w:hint="default" w:ascii="Times New Roman" w:hAnsi="Times New Roman" w:eastAsia="宋体" w:cs="Times New Roman"/>
                      <w:color w:val="auto"/>
                      <w:kern w:val="0"/>
                      <w:szCs w:val="21"/>
                    </w:rPr>
                    <w:t>，不属于政策中所述禁止项目</w:t>
                  </w:r>
                </w:p>
              </w:tc>
            </w:tr>
            <w:tr w14:paraId="65DF56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39511FC7">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3084" w:type="pct"/>
                  <w:vAlign w:val="center"/>
                </w:tcPr>
                <w:p w14:paraId="021CB6A6">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禁止在合规园区外新建、扩建钢铁、石化、化工、焦化、建材、有色、制浆造纸等高污染项目。</w:t>
                  </w:r>
                </w:p>
              </w:tc>
              <w:tc>
                <w:tcPr>
                  <w:tcW w:w="1613" w:type="pct"/>
                  <w:vAlign w:val="center"/>
                </w:tcPr>
                <w:p w14:paraId="79535F50">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新建年产300万件指纹识别棱镜和50万件光学投影棱镜项目</w:t>
                  </w:r>
                  <w:r>
                    <w:rPr>
                      <w:rFonts w:hint="default" w:ascii="Times New Roman" w:hAnsi="Times New Roman" w:eastAsia="宋体" w:cs="Times New Roman"/>
                      <w:color w:val="auto"/>
                      <w:kern w:val="0"/>
                      <w:szCs w:val="21"/>
                    </w:rPr>
                    <w:t>，不属于政策中所述禁止项目</w:t>
                  </w:r>
                </w:p>
              </w:tc>
            </w:tr>
            <w:tr w14:paraId="59000D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F991A73">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3084" w:type="pct"/>
                  <w:vAlign w:val="center"/>
                </w:tcPr>
                <w:p w14:paraId="5D503A1A">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禁止新建、扩建不符合国家石化、现代煤化工等产业布局规划的项目。</w:t>
                  </w:r>
                </w:p>
              </w:tc>
              <w:tc>
                <w:tcPr>
                  <w:tcW w:w="1613" w:type="pct"/>
                  <w:vAlign w:val="center"/>
                </w:tcPr>
                <w:p w14:paraId="068F617C">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新建年产300万件指纹识别棱镜和50万件光学投影棱镜项目</w:t>
                  </w:r>
                  <w:r>
                    <w:rPr>
                      <w:rFonts w:hint="default" w:ascii="Times New Roman" w:hAnsi="Times New Roman" w:eastAsia="宋体" w:cs="Times New Roman"/>
                      <w:color w:val="auto"/>
                      <w:kern w:val="0"/>
                      <w:szCs w:val="21"/>
                    </w:rPr>
                    <w:t>，不属于政策中所述禁止项目</w:t>
                  </w:r>
                </w:p>
              </w:tc>
            </w:tr>
            <w:tr w14:paraId="28C36D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7E34B553">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11</w:t>
                  </w:r>
                </w:p>
              </w:tc>
              <w:tc>
                <w:tcPr>
                  <w:tcW w:w="3084" w:type="pct"/>
                  <w:vAlign w:val="center"/>
                </w:tcPr>
                <w:p w14:paraId="1F6B8A38">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禁止新建、扩建法律法规和相关政策明令禁止的落后产能项目。禁止新建、扩建不符合国家产能置换要求的严重过剩产能行业的项目。禁止新建、扩建不符合要求的高耗能高排放项目。</w:t>
                  </w:r>
                </w:p>
              </w:tc>
              <w:tc>
                <w:tcPr>
                  <w:tcW w:w="1613" w:type="pct"/>
                  <w:vAlign w:val="center"/>
                </w:tcPr>
                <w:p w14:paraId="6318D221">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本项目为</w:t>
                  </w:r>
                  <w:r>
                    <w:rPr>
                      <w:rFonts w:hint="eastAsia" w:ascii="Times New Roman" w:hAnsi="Times New Roman" w:eastAsia="宋体" w:cs="Times New Roman"/>
                      <w:color w:val="auto"/>
                      <w:kern w:val="0"/>
                      <w:szCs w:val="21"/>
                      <w:lang w:eastAsia="zh-CN"/>
                    </w:rPr>
                    <w:t>新建年产300万件指纹识别棱镜和50万件光学投影棱镜项目</w:t>
                  </w:r>
                  <w:r>
                    <w:rPr>
                      <w:rFonts w:hint="default" w:ascii="Times New Roman" w:hAnsi="Times New Roman" w:eastAsia="宋体" w:cs="Times New Roman"/>
                      <w:color w:val="auto"/>
                      <w:kern w:val="0"/>
                      <w:szCs w:val="21"/>
                    </w:rPr>
                    <w:t>，不属于政策中所述禁止项目</w:t>
                  </w:r>
                </w:p>
              </w:tc>
            </w:tr>
            <w:tr w14:paraId="7B2501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1" w:type="pct"/>
                  <w:vAlign w:val="center"/>
                </w:tcPr>
                <w:p w14:paraId="183E607A">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12</w:t>
                  </w:r>
                </w:p>
              </w:tc>
              <w:tc>
                <w:tcPr>
                  <w:tcW w:w="3084" w:type="pct"/>
                  <w:vAlign w:val="center"/>
                </w:tcPr>
                <w:p w14:paraId="083D7AC1">
                  <w:pP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法律法规及相关政策文件有更加严格规定的从其规定。</w:t>
                  </w:r>
                </w:p>
              </w:tc>
              <w:tc>
                <w:tcPr>
                  <w:tcW w:w="1613" w:type="pct"/>
                  <w:vAlign w:val="center"/>
                </w:tcPr>
                <w:p w14:paraId="41452B64">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bl>
          <w:p w14:paraId="2C05B31C">
            <w:pPr>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6、与《江苏省水污染防治条例》相符性分析</w:t>
            </w:r>
          </w:p>
          <w:p w14:paraId="59D503BE">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表1-</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 xml:space="preserve">  与《江苏省水污染防治条例》的相符性分析</w:t>
            </w:r>
          </w:p>
          <w:tbl>
            <w:tblPr>
              <w:tblStyle w:val="2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858"/>
              <w:gridCol w:w="5406"/>
              <w:gridCol w:w="2145"/>
            </w:tblGrid>
            <w:tr w14:paraId="067A82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3A586317">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条款</w:t>
                  </w:r>
                </w:p>
              </w:tc>
              <w:tc>
                <w:tcPr>
                  <w:tcW w:w="3213" w:type="pct"/>
                  <w:vAlign w:val="center"/>
                </w:tcPr>
                <w:p w14:paraId="70BA4807">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tc>
              <w:tc>
                <w:tcPr>
                  <w:tcW w:w="1275" w:type="pct"/>
                  <w:vAlign w:val="center"/>
                </w:tcPr>
                <w:p w14:paraId="46119829">
                  <w:pPr>
                    <w:widowControl/>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对照分析</w:t>
                  </w:r>
                </w:p>
              </w:tc>
            </w:tr>
            <w:tr w14:paraId="793D3B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48FCE4F3">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第二十三条</w:t>
                  </w:r>
                </w:p>
              </w:tc>
              <w:tc>
                <w:tcPr>
                  <w:tcW w:w="3213" w:type="pct"/>
                  <w:vAlign w:val="center"/>
                </w:tcPr>
                <w:p w14:paraId="141BE68E">
                  <w:pPr>
                    <w:widowControl/>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禁止工业企业、宾馆、餐饮、洗涤等企业事业单位以及个人使用各类含磷洗涤用品。</w:t>
                  </w:r>
                </w:p>
              </w:tc>
              <w:tc>
                <w:tcPr>
                  <w:tcW w:w="1275" w:type="pct"/>
                  <w:vAlign w:val="center"/>
                </w:tcPr>
                <w:p w14:paraId="421BB3A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本项目不使用含磷洗涤用品，无含氮、磷工业废水排放</w:t>
                  </w:r>
                </w:p>
              </w:tc>
            </w:tr>
            <w:tr w14:paraId="669B98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510" w:type="pct"/>
                  <w:vAlign w:val="center"/>
                </w:tcPr>
                <w:p w14:paraId="7D60067D">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第二十六条</w:t>
                  </w:r>
                </w:p>
              </w:tc>
              <w:tc>
                <w:tcPr>
                  <w:tcW w:w="3213" w:type="pct"/>
                  <w:vAlign w:val="center"/>
                </w:tcPr>
                <w:p w14:paraId="6D8CD779">
                  <w:pPr>
                    <w:widowControl/>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向污水集中处理设施排放工业废水的，应当按照国家和省有关规定进行预处理，符合国家、省有关标准和污水集中处理设施的接纳要求。污水集中处理设施尾水，可以采取生态净化等方式处理后排放。</w:t>
                  </w:r>
                </w:p>
                <w:p w14:paraId="6B1BB34C">
                  <w:pPr>
                    <w:widowControl/>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实行工业废水与生活污水分质处理，对不符合城镇污水集中处理设施接纳要求的工业废水，限期退出城镇污水管网。</w:t>
                  </w:r>
                </w:p>
              </w:tc>
              <w:tc>
                <w:tcPr>
                  <w:tcW w:w="1275" w:type="pct"/>
                  <w:vAlign w:val="center"/>
                </w:tcPr>
                <w:p w14:paraId="69372B6B">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szCs w:val="21"/>
                      <w:lang w:val="en-US" w:eastAsia="zh-CN"/>
                    </w:rPr>
                    <w:t>无</w:t>
                  </w:r>
                  <w:r>
                    <w:rPr>
                      <w:rFonts w:hint="default" w:ascii="Times New Roman" w:hAnsi="Times New Roman" w:eastAsia="宋体" w:cs="Times New Roman"/>
                      <w:color w:val="auto"/>
                      <w:szCs w:val="21"/>
                    </w:rPr>
                    <w:t>生产废水</w:t>
                  </w:r>
                  <w:r>
                    <w:rPr>
                      <w:rFonts w:hint="default" w:ascii="Times New Roman" w:hAnsi="Times New Roman" w:eastAsia="宋体" w:cs="Times New Roman"/>
                      <w:color w:val="auto"/>
                      <w:szCs w:val="21"/>
                      <w:lang w:val="en-US" w:eastAsia="zh-CN"/>
                    </w:rPr>
                    <w:t>排放</w:t>
                  </w:r>
                  <w:r>
                    <w:rPr>
                      <w:rFonts w:hint="default" w:ascii="Times New Roman" w:hAnsi="Times New Roman" w:eastAsia="宋体" w:cs="Times New Roman"/>
                      <w:color w:val="auto"/>
                      <w:szCs w:val="21"/>
                    </w:rPr>
                    <w:t>，生活污水接管</w:t>
                  </w:r>
                  <w:r>
                    <w:rPr>
                      <w:rFonts w:hint="default" w:ascii="Times New Roman" w:hAnsi="Times New Roman" w:eastAsia="宋体" w:cs="Times New Roman"/>
                      <w:color w:val="auto"/>
                      <w:szCs w:val="21"/>
                      <w:lang w:val="en-US" w:eastAsia="zh-CN"/>
                    </w:rPr>
                    <w:t>至唐王村农村生活污水处理站处理达标后排放</w:t>
                  </w:r>
                  <w:r>
                    <w:rPr>
                      <w:rFonts w:hint="default" w:ascii="Times New Roman" w:hAnsi="Times New Roman" w:eastAsia="宋体" w:cs="Times New Roman"/>
                      <w:color w:val="auto"/>
                      <w:szCs w:val="21"/>
                    </w:rPr>
                    <w:t>，符合本条例要求</w:t>
                  </w:r>
                </w:p>
              </w:tc>
            </w:tr>
          </w:tbl>
          <w:p w14:paraId="06714332">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rPr>
              <w:t>7</w:t>
            </w:r>
            <w:r>
              <w:rPr>
                <w:rFonts w:hint="default" w:ascii="Times New Roman" w:hAnsi="Times New Roman" w:eastAsia="宋体" w:cs="Times New Roman"/>
                <w:b/>
                <w:bCs/>
                <w:color w:val="auto"/>
                <w:sz w:val="24"/>
                <w:szCs w:val="24"/>
                <w:lang w:val="zh-CN"/>
              </w:rPr>
              <w:t>、与《关于做好生态环境和应急管理部门联动工作的意见》（苏环办[2020]101号）相符性分析</w:t>
            </w:r>
          </w:p>
          <w:p w14:paraId="1507DE97">
            <w:pPr>
              <w:jc w:val="center"/>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表1-</w:t>
            </w:r>
            <w:r>
              <w:rPr>
                <w:rFonts w:hint="eastAsia" w:ascii="Times New Roman" w:hAnsi="Times New Roman" w:eastAsia="宋体" w:cs="Times New Roman"/>
                <w:b/>
                <w:bCs/>
                <w:color w:val="auto"/>
                <w:sz w:val="24"/>
                <w:szCs w:val="24"/>
                <w:lang w:val="en-US" w:eastAsia="zh-CN"/>
              </w:rPr>
              <w:t xml:space="preserve">7 </w:t>
            </w:r>
            <w:r>
              <w:rPr>
                <w:rFonts w:hint="default" w:ascii="Times New Roman" w:hAnsi="Times New Roman" w:eastAsia="宋体" w:cs="Times New Roman"/>
                <w:b/>
                <w:bCs/>
                <w:color w:val="auto"/>
                <w:sz w:val="24"/>
                <w:szCs w:val="24"/>
                <w:lang w:val="zh-CN"/>
              </w:rPr>
              <w:t xml:space="preserve"> 与苏环办[2020]101号文的相符性分析</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84"/>
              <w:gridCol w:w="2842"/>
              <w:gridCol w:w="883"/>
            </w:tblGrid>
            <w:tr w14:paraId="350940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1E79C857">
                  <w:pPr>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文件指导要求</w:t>
                  </w:r>
                </w:p>
              </w:tc>
              <w:tc>
                <w:tcPr>
                  <w:tcW w:w="1689" w:type="pct"/>
                  <w:vAlign w:val="center"/>
                </w:tcPr>
                <w:p w14:paraId="51A4221E">
                  <w:pPr>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本项目相符性分析</w:t>
                  </w:r>
                </w:p>
              </w:tc>
              <w:tc>
                <w:tcPr>
                  <w:tcW w:w="525" w:type="pct"/>
                  <w:vAlign w:val="center"/>
                </w:tcPr>
                <w:p w14:paraId="2C3A4A8E">
                  <w:pPr>
                    <w:jc w:val="center"/>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相符性</w:t>
                  </w:r>
                </w:p>
              </w:tc>
            </w:tr>
            <w:tr w14:paraId="7B6633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11C478C5">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c>
                <w:tcPr>
                  <w:tcW w:w="1689" w:type="pct"/>
                  <w:vAlign w:val="center"/>
                </w:tcPr>
                <w:p w14:paraId="2DDD6F8A">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本项目产生的危险废物包括</w:t>
                  </w:r>
                  <w:r>
                    <w:rPr>
                      <w:rFonts w:hint="default" w:ascii="Times New Roman" w:hAnsi="Times New Roman" w:eastAsia="宋体" w:cs="Times New Roman"/>
                      <w:color w:val="auto"/>
                      <w:szCs w:val="21"/>
                      <w:lang w:val="en-US" w:eastAsia="zh-CN"/>
                    </w:rPr>
                    <w:t>废</w:t>
                  </w:r>
                  <w:r>
                    <w:rPr>
                      <w:rFonts w:hint="eastAsia" w:ascii="Times New Roman" w:hAnsi="Times New Roman" w:eastAsia="宋体" w:cs="Times New Roman"/>
                      <w:color w:val="auto"/>
                      <w:szCs w:val="21"/>
                      <w:lang w:val="en-US" w:eastAsia="zh-CN"/>
                    </w:rPr>
                    <w:t>包装材料、废活性炭、研磨废液、清洗废液、抛光废液</w:t>
                  </w:r>
                  <w:r>
                    <w:rPr>
                      <w:rFonts w:hint="default" w:ascii="Times New Roman" w:hAnsi="Times New Roman" w:eastAsia="宋体" w:cs="Times New Roman"/>
                      <w:bCs/>
                      <w:color w:val="auto"/>
                      <w:szCs w:val="21"/>
                      <w:lang w:val="zh-CN"/>
                    </w:rPr>
                    <w:t>，本项目建成后将按照相关法律法规及标准技术文件对危废进行收集、贮存、运输、处置，危废的管理过程将在“江苏省危险废物全生命周期监控系统”中体现</w:t>
                  </w:r>
                </w:p>
              </w:tc>
              <w:tc>
                <w:tcPr>
                  <w:tcW w:w="525" w:type="pct"/>
                  <w:vAlign w:val="center"/>
                </w:tcPr>
                <w:p w14:paraId="5E5684D1">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相符</w:t>
                  </w:r>
                </w:p>
              </w:tc>
            </w:tr>
            <w:tr w14:paraId="7B9B95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84" w:type="pct"/>
                  <w:vAlign w:val="center"/>
                </w:tcPr>
                <w:p w14:paraId="4F8F8815">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689" w:type="pct"/>
                  <w:vAlign w:val="center"/>
                </w:tcPr>
                <w:p w14:paraId="017E8992">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本项目实施后，按要求编制环保设施安全风险辨识评估报告。</w:t>
                  </w:r>
                </w:p>
              </w:tc>
              <w:tc>
                <w:tcPr>
                  <w:tcW w:w="525" w:type="pct"/>
                  <w:vAlign w:val="center"/>
                </w:tcPr>
                <w:p w14:paraId="5A201BBD">
                  <w:pPr>
                    <w:jc w:val="center"/>
                    <w:rPr>
                      <w:rFonts w:hint="default" w:ascii="Times New Roman" w:hAnsi="Times New Roman" w:eastAsia="宋体" w:cs="Times New Roman"/>
                      <w:bCs/>
                      <w:color w:val="auto"/>
                      <w:szCs w:val="21"/>
                      <w:lang w:val="zh-CN"/>
                    </w:rPr>
                  </w:pPr>
                  <w:r>
                    <w:rPr>
                      <w:rFonts w:hint="default" w:ascii="Times New Roman" w:hAnsi="Times New Roman" w:eastAsia="宋体" w:cs="Times New Roman"/>
                      <w:bCs/>
                      <w:color w:val="auto"/>
                      <w:szCs w:val="21"/>
                      <w:lang w:val="zh-CN"/>
                    </w:rPr>
                    <w:t>相符</w:t>
                  </w:r>
                </w:p>
              </w:tc>
            </w:tr>
          </w:tbl>
          <w:p w14:paraId="64E1CD58">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rPr>
              <w:t>8</w:t>
            </w:r>
            <w:r>
              <w:rPr>
                <w:rFonts w:hint="default" w:ascii="Times New Roman" w:hAnsi="Times New Roman" w:eastAsia="宋体" w:cs="Times New Roman"/>
                <w:b/>
                <w:bCs/>
                <w:color w:val="auto"/>
                <w:sz w:val="24"/>
                <w:szCs w:val="24"/>
                <w:lang w:val="zh-CN"/>
              </w:rPr>
              <w:t>、与《省生态环境厅关于进一步加强建设项目环评审批和服务工作的指导意见》（苏环办[2020]225号）相符性分析</w:t>
            </w:r>
          </w:p>
          <w:p w14:paraId="1188CE35">
            <w:pPr>
              <w:autoSpaceDE w:val="0"/>
              <w:autoSpaceDN w:val="0"/>
              <w:adjustRightInd w:val="0"/>
              <w:jc w:val="center"/>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rPr>
              <w:t>1-</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zh-CN"/>
              </w:rPr>
              <w:t>本项目与苏环办[2020]225号文相符性分析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2"/>
              <w:gridCol w:w="3096"/>
              <w:gridCol w:w="3650"/>
              <w:gridCol w:w="781"/>
            </w:tblGrid>
            <w:tr w14:paraId="714CB3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Align w:val="center"/>
                </w:tcPr>
                <w:p w14:paraId="2AAAA6C9">
                  <w:pPr>
                    <w:autoSpaceDE w:val="0"/>
                    <w:autoSpaceDN w:val="0"/>
                    <w:adjustRightIn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类别</w:t>
                  </w:r>
                </w:p>
              </w:tc>
              <w:tc>
                <w:tcPr>
                  <w:tcW w:w="1840" w:type="pct"/>
                  <w:vAlign w:val="center"/>
                </w:tcPr>
                <w:p w14:paraId="27E4BA74">
                  <w:pPr>
                    <w:autoSpaceDE w:val="0"/>
                    <w:autoSpaceDN w:val="0"/>
                    <w:adjustRightIn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文件要求</w:t>
                  </w:r>
                </w:p>
              </w:tc>
              <w:tc>
                <w:tcPr>
                  <w:tcW w:w="2169" w:type="pct"/>
                  <w:vAlign w:val="center"/>
                </w:tcPr>
                <w:p w14:paraId="437FDB48">
                  <w:pPr>
                    <w:autoSpaceDE w:val="0"/>
                    <w:autoSpaceDN w:val="0"/>
                    <w:adjustRightIn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本项目对照分析</w:t>
                  </w:r>
                </w:p>
              </w:tc>
              <w:tc>
                <w:tcPr>
                  <w:tcW w:w="464" w:type="pct"/>
                  <w:vAlign w:val="center"/>
                </w:tcPr>
                <w:p w14:paraId="15334AFE">
                  <w:pPr>
                    <w:autoSpaceDE w:val="0"/>
                    <w:autoSpaceDN w:val="0"/>
                    <w:adjustRightInd w:val="0"/>
                    <w:ind w:left="-73" w:leftChars="-35" w:right="-73" w:rightChars="-35"/>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相符性</w:t>
                  </w:r>
                </w:p>
              </w:tc>
            </w:tr>
            <w:tr w14:paraId="345C0E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restart"/>
                  <w:vAlign w:val="center"/>
                </w:tcPr>
                <w:p w14:paraId="1AB7B3BB">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严守生态环境质量底线</w:t>
                  </w:r>
                </w:p>
              </w:tc>
              <w:tc>
                <w:tcPr>
                  <w:tcW w:w="1840" w:type="pct"/>
                  <w:vAlign w:val="center"/>
                </w:tcPr>
                <w:p w14:paraId="5BA8949B">
                  <w:pPr>
                    <w:autoSpaceDE w:val="0"/>
                    <w:autoSpaceDN w:val="0"/>
                    <w:adjustRightIn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建设项目所在区域环境质量末达到国家或地方环境质量标准，且项目拟采取的污染防治措施不能满足区域环境质量改善目标管理要求的，一律不得审批。</w:t>
                  </w:r>
                </w:p>
              </w:tc>
              <w:tc>
                <w:tcPr>
                  <w:tcW w:w="2169" w:type="pct"/>
                  <w:vAlign w:val="center"/>
                </w:tcPr>
                <w:p w14:paraId="76DD314E">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根据《202</w:t>
                  </w:r>
                  <w:r>
                    <w:rPr>
                      <w:rFonts w:hint="eastAsia" w:ascii="Times New Roman" w:hAnsi="Times New Roman" w:eastAsia="宋体" w:cs="Times New Roman"/>
                      <w:color w:val="auto"/>
                      <w:kern w:val="0"/>
                      <w:szCs w:val="21"/>
                      <w:lang w:val="en-US" w:eastAsia="zh-CN"/>
                    </w:rPr>
                    <w:t>4</w:t>
                  </w:r>
                  <w:r>
                    <w:rPr>
                      <w:rFonts w:hint="default" w:ascii="Times New Roman" w:hAnsi="Times New Roman" w:eastAsia="宋体" w:cs="Times New Roman"/>
                      <w:color w:val="auto"/>
                      <w:kern w:val="0"/>
                      <w:szCs w:val="21"/>
                    </w:rPr>
                    <w:t>年常州市生态环境状况公报》，项目所在区域大气环境质量属于不达标区。根据环境质量现状监测数据，地表水、声环境质量均能够满足相应功能区划要求。</w:t>
                  </w:r>
                </w:p>
                <w:p w14:paraId="3BFA214B">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项目建成后采取严格的污染防治措施，废水、厂界噪声均可达标排放，固废合理处置，不会使区域环境质量恶化。</w:t>
                  </w:r>
                </w:p>
              </w:tc>
              <w:tc>
                <w:tcPr>
                  <w:tcW w:w="464" w:type="pct"/>
                  <w:vAlign w:val="center"/>
                </w:tcPr>
                <w:p w14:paraId="2F1A062A">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r w14:paraId="5F1989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06E1492D">
                  <w:pPr>
                    <w:autoSpaceDE w:val="0"/>
                    <w:autoSpaceDN w:val="0"/>
                    <w:adjustRightInd w:val="0"/>
                    <w:jc w:val="center"/>
                    <w:rPr>
                      <w:rFonts w:hint="default" w:ascii="Times New Roman" w:hAnsi="Times New Roman" w:eastAsia="宋体" w:cs="Times New Roman"/>
                      <w:color w:val="auto"/>
                      <w:kern w:val="0"/>
                      <w:szCs w:val="21"/>
                    </w:rPr>
                  </w:pPr>
                </w:p>
              </w:tc>
              <w:tc>
                <w:tcPr>
                  <w:tcW w:w="1840" w:type="pct"/>
                  <w:vAlign w:val="center"/>
                </w:tcPr>
                <w:p w14:paraId="74BC790A">
                  <w:pPr>
                    <w:autoSpaceDE w:val="0"/>
                    <w:autoSpaceDN w:val="0"/>
                    <w:adjustRightIn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加强规划环评与建设项目环评联动，对不符合规划环评结论及审查意见的项目环评，依法不予审批。规划所包含项目的环评内容，可根据规划环评结论和审查意见予以简化。</w:t>
                  </w:r>
                </w:p>
              </w:tc>
              <w:tc>
                <w:tcPr>
                  <w:tcW w:w="2169" w:type="pct"/>
                  <w:vAlign w:val="center"/>
                </w:tcPr>
                <w:p w14:paraId="0266C1A5">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本项目建设于</w:t>
                  </w:r>
                  <w:r>
                    <w:rPr>
                      <w:rFonts w:hint="eastAsia" w:ascii="Times New Roman" w:hAnsi="Times New Roman" w:eastAsia="宋体" w:cs="Times New Roman"/>
                      <w:color w:val="auto"/>
                      <w:kern w:val="0"/>
                      <w:szCs w:val="21"/>
                      <w:lang w:eastAsia="zh-CN"/>
                    </w:rPr>
                    <w:t>常州市金坛区朱林镇唐王村委唐王村62号</w:t>
                  </w:r>
                  <w:r>
                    <w:rPr>
                      <w:rFonts w:hint="default" w:ascii="Times New Roman" w:hAnsi="Times New Roman" w:eastAsia="宋体" w:cs="Times New Roman"/>
                      <w:color w:val="auto"/>
                      <w:kern w:val="0"/>
                      <w:szCs w:val="21"/>
                    </w:rPr>
                    <w:t>，位于江苏金坛</w:t>
                  </w:r>
                  <w:r>
                    <w:rPr>
                      <w:rFonts w:hint="default" w:ascii="Times New Roman" w:hAnsi="Times New Roman" w:eastAsia="宋体" w:cs="Times New Roman"/>
                      <w:color w:val="auto"/>
                      <w:kern w:val="0"/>
                      <w:szCs w:val="21"/>
                      <w:lang w:eastAsia="zh-CN"/>
                    </w:rPr>
                    <w:t>朱林镇</w:t>
                  </w:r>
                  <w:r>
                    <w:rPr>
                      <w:rFonts w:hint="default" w:ascii="Times New Roman" w:hAnsi="Times New Roman" w:eastAsia="宋体" w:cs="Times New Roman"/>
                      <w:color w:val="auto"/>
                      <w:kern w:val="0"/>
                      <w:szCs w:val="21"/>
                    </w:rPr>
                    <w:t>，用地性质为工业用地，符合《常州市金坛区国土空间规划近期实施方案》要求</w:t>
                  </w:r>
                </w:p>
              </w:tc>
              <w:tc>
                <w:tcPr>
                  <w:tcW w:w="464" w:type="pct"/>
                  <w:vAlign w:val="center"/>
                </w:tcPr>
                <w:p w14:paraId="217D0C98">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r w14:paraId="5C7DE8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49F22354">
                  <w:pPr>
                    <w:autoSpaceDE w:val="0"/>
                    <w:autoSpaceDN w:val="0"/>
                    <w:adjustRightInd w:val="0"/>
                    <w:jc w:val="center"/>
                    <w:rPr>
                      <w:rFonts w:hint="default" w:ascii="Times New Roman" w:hAnsi="Times New Roman" w:eastAsia="宋体" w:cs="Times New Roman"/>
                      <w:color w:val="auto"/>
                      <w:kern w:val="0"/>
                      <w:szCs w:val="21"/>
                    </w:rPr>
                  </w:pPr>
                </w:p>
              </w:tc>
              <w:tc>
                <w:tcPr>
                  <w:tcW w:w="1840" w:type="pct"/>
                  <w:vAlign w:val="center"/>
                </w:tcPr>
                <w:p w14:paraId="2916267D">
                  <w:pPr>
                    <w:autoSpaceDE w:val="0"/>
                    <w:autoSpaceDN w:val="0"/>
                    <w:adjustRightIn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切实加强区域环境容量、环境承载力研究，不得审批突破环境容量和环境承载力的建设项目。</w:t>
                  </w:r>
                </w:p>
              </w:tc>
              <w:tc>
                <w:tcPr>
                  <w:tcW w:w="2169" w:type="pct"/>
                  <w:vAlign w:val="center"/>
                </w:tcPr>
                <w:p w14:paraId="30407202">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w:t>
                  </w:r>
                  <w:r>
                    <w:rPr>
                      <w:rFonts w:hint="default" w:ascii="Times New Roman" w:hAnsi="Times New Roman" w:eastAsia="宋体" w:cs="Times New Roman"/>
                      <w:color w:val="auto"/>
                      <w:kern w:val="0"/>
                      <w:szCs w:val="21"/>
                      <w:lang w:val="en-US" w:eastAsia="zh-CN"/>
                    </w:rPr>
                    <w:t>无</w:t>
                  </w:r>
                  <w:r>
                    <w:rPr>
                      <w:rFonts w:hint="default" w:ascii="Times New Roman" w:hAnsi="Times New Roman" w:eastAsia="宋体" w:cs="Times New Roman"/>
                      <w:color w:val="auto"/>
                      <w:kern w:val="0"/>
                      <w:szCs w:val="21"/>
                    </w:rPr>
                    <w:t>生产废水</w:t>
                  </w:r>
                  <w:r>
                    <w:rPr>
                      <w:rFonts w:hint="default" w:ascii="Times New Roman" w:hAnsi="Times New Roman" w:eastAsia="宋体" w:cs="Times New Roman"/>
                      <w:color w:val="auto"/>
                      <w:kern w:val="0"/>
                      <w:szCs w:val="21"/>
                      <w:lang w:val="en-US" w:eastAsia="zh-CN"/>
                    </w:rPr>
                    <w:t>排放</w:t>
                  </w:r>
                  <w:r>
                    <w:rPr>
                      <w:rFonts w:hint="default" w:ascii="Times New Roman" w:hAnsi="Times New Roman" w:eastAsia="宋体" w:cs="Times New Roman"/>
                      <w:color w:val="auto"/>
                      <w:kern w:val="0"/>
                      <w:szCs w:val="21"/>
                    </w:rPr>
                    <w:t>，生活污水接管</w:t>
                  </w:r>
                  <w:r>
                    <w:rPr>
                      <w:rFonts w:hint="default" w:ascii="Times New Roman" w:hAnsi="Times New Roman" w:eastAsia="宋体" w:cs="Times New Roman"/>
                      <w:color w:val="auto"/>
                      <w:kern w:val="0"/>
                      <w:szCs w:val="21"/>
                      <w:lang w:val="en-US" w:eastAsia="zh-CN"/>
                    </w:rPr>
                    <w:t>至唐王村农村生活污水处理站处理达标后排放</w:t>
                  </w:r>
                </w:p>
              </w:tc>
              <w:tc>
                <w:tcPr>
                  <w:tcW w:w="464" w:type="pct"/>
                  <w:vAlign w:val="center"/>
                </w:tcPr>
                <w:p w14:paraId="67639568">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r w14:paraId="2A1E33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Merge w:val="continue"/>
                  <w:vAlign w:val="center"/>
                </w:tcPr>
                <w:p w14:paraId="3B1FCC3C">
                  <w:pPr>
                    <w:autoSpaceDE w:val="0"/>
                    <w:autoSpaceDN w:val="0"/>
                    <w:adjustRightInd w:val="0"/>
                    <w:jc w:val="center"/>
                    <w:rPr>
                      <w:rFonts w:hint="default" w:ascii="Times New Roman" w:hAnsi="Times New Roman" w:eastAsia="宋体" w:cs="Times New Roman"/>
                      <w:color w:val="auto"/>
                      <w:kern w:val="0"/>
                      <w:szCs w:val="21"/>
                    </w:rPr>
                  </w:pPr>
                </w:p>
              </w:tc>
              <w:tc>
                <w:tcPr>
                  <w:tcW w:w="1840" w:type="pct"/>
                  <w:vAlign w:val="center"/>
                </w:tcPr>
                <w:p w14:paraId="54C23D1C">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应将“三线一单”作为建设项目环评审批的重要依据，严格落实生态环境分区管控要求，从严把好环境准入关。</w:t>
                  </w:r>
                </w:p>
              </w:tc>
              <w:tc>
                <w:tcPr>
                  <w:tcW w:w="2169" w:type="pct"/>
                  <w:vAlign w:val="center"/>
                </w:tcPr>
                <w:p w14:paraId="63B3A7A8">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本项目符合“三线一单”（即生态</w:t>
                  </w:r>
                </w:p>
                <w:p w14:paraId="410B85CB">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保护红线、环境质量底线、资源利用上线、环境准入负面清单）管理机制的要求</w:t>
                  </w:r>
                </w:p>
              </w:tc>
              <w:tc>
                <w:tcPr>
                  <w:tcW w:w="464" w:type="pct"/>
                  <w:vAlign w:val="center"/>
                </w:tcPr>
                <w:p w14:paraId="79D1EB40">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r w14:paraId="0CFCAA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4" w:type="pct"/>
                  <w:vAlign w:val="center"/>
                </w:tcPr>
                <w:p w14:paraId="07D644C9">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严格重点行业环评审批</w:t>
                  </w:r>
                </w:p>
              </w:tc>
              <w:tc>
                <w:tcPr>
                  <w:tcW w:w="1840" w:type="pct"/>
                  <w:vAlign w:val="center"/>
                </w:tcPr>
                <w:p w14:paraId="287335AA">
                  <w:pPr>
                    <w:autoSpaceDE w:val="0"/>
                    <w:autoSpaceDN w:val="0"/>
                    <w:adjustRightInd w:val="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严格执行《江苏省长江经济带发展负面清单实施细则</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试行</w:t>
                  </w:r>
                  <w:r>
                    <w:rPr>
                      <w:rFonts w:hint="default"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》，禁止在合规园区外新建、扩建钢铁、石化、化工、焦化</w:t>
                  </w:r>
                  <w:r>
                    <w:rPr>
                      <w:rFonts w:hint="eastAsia" w:ascii="Times New Roman" w:hAnsi="Times New Roman" w:eastAsia="宋体" w:cs="Times New Roman"/>
                      <w:color w:val="auto"/>
                      <w:kern w:val="0"/>
                      <w:szCs w:val="21"/>
                      <w:lang w:eastAsia="zh-CN"/>
                    </w:rPr>
                    <w:t>、</w:t>
                  </w:r>
                  <w:r>
                    <w:rPr>
                      <w:rFonts w:hint="default" w:ascii="Times New Roman" w:hAnsi="Times New Roman" w:eastAsia="宋体" w:cs="Times New Roman"/>
                      <w:color w:val="auto"/>
                      <w:kern w:val="0"/>
                      <w:szCs w:val="21"/>
                    </w:rPr>
                    <w:t>建材、有色等行业中的高污染项目。禁止新建</w:t>
                  </w:r>
                  <w:r>
                    <w:rPr>
                      <w:rFonts w:hint="eastAsia" w:ascii="Times New Roman" w:hAnsi="Times New Roman" w:eastAsia="宋体" w:cs="Times New Roman"/>
                      <w:color w:val="auto"/>
                      <w:kern w:val="0"/>
                      <w:szCs w:val="21"/>
                      <w:lang w:val="en-US" w:eastAsia="zh-CN"/>
                    </w:rPr>
                    <w:t>燃煤</w:t>
                  </w:r>
                  <w:r>
                    <w:rPr>
                      <w:rFonts w:hint="default" w:ascii="Times New Roman" w:hAnsi="Times New Roman" w:eastAsia="宋体" w:cs="Times New Roman"/>
                      <w:color w:val="auto"/>
                      <w:kern w:val="0"/>
                      <w:szCs w:val="21"/>
                    </w:rPr>
                    <w:t>电厂。</w:t>
                  </w:r>
                </w:p>
              </w:tc>
              <w:tc>
                <w:tcPr>
                  <w:tcW w:w="2169" w:type="pct"/>
                  <w:vAlign w:val="center"/>
                </w:tcPr>
                <w:p w14:paraId="7CDFC170">
                  <w:pPr>
                    <w:autoSpaceDE w:val="0"/>
                    <w:autoSpaceDN w:val="0"/>
                    <w:adjustRightIn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本项目不属于禁止类项目</w:t>
                  </w:r>
                </w:p>
              </w:tc>
              <w:tc>
                <w:tcPr>
                  <w:tcW w:w="464" w:type="pct"/>
                  <w:vAlign w:val="center"/>
                </w:tcPr>
                <w:p w14:paraId="41CDB719">
                  <w:pPr>
                    <w:autoSpaceDE w:val="0"/>
                    <w:autoSpaceDN w:val="0"/>
                    <w:adjustRightInd w:val="0"/>
                    <w:ind w:left="-73" w:leftChars="-35" w:right="-73" w:rightChars="-35"/>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相符</w:t>
                  </w:r>
                </w:p>
              </w:tc>
            </w:tr>
          </w:tbl>
          <w:p w14:paraId="0C6B98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lang w:val="en-US" w:eastAsia="zh-CN"/>
              </w:rPr>
              <w:t>与《江苏省“两高”项目管理目录（2025年版）》符合性分析</w:t>
            </w:r>
          </w:p>
          <w:p w14:paraId="76673D7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p>
          <w:p w14:paraId="307442E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p>
          <w:p w14:paraId="328674D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p>
          <w:p w14:paraId="2F8D8A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p>
          <w:p w14:paraId="268060F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 xml:space="preserve">1-9  </w:t>
            </w:r>
            <w:r>
              <w:rPr>
                <w:rFonts w:hint="default" w:ascii="Times New Roman" w:hAnsi="Times New Roman" w:eastAsia="宋体" w:cs="Times New Roman"/>
                <w:b/>
                <w:bCs/>
                <w:color w:val="auto"/>
                <w:kern w:val="0"/>
                <w:sz w:val="24"/>
                <w:szCs w:val="24"/>
                <w:highlight w:val="none"/>
                <w:lang w:val="en-US" w:eastAsia="zh-CN" w:bidi="ar"/>
              </w:rPr>
              <w:t>与</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两高</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项目管理目录对照分析</w:t>
            </w:r>
          </w:p>
          <w:tbl>
            <w:tblPr>
              <w:tblStyle w:val="7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49"/>
              <w:gridCol w:w="1357"/>
              <w:gridCol w:w="2916"/>
              <w:gridCol w:w="1838"/>
              <w:gridCol w:w="1147"/>
            </w:tblGrid>
            <w:tr w14:paraId="6892D2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1490" w:type="pct"/>
                  <w:gridSpan w:val="2"/>
                  <w:tcBorders>
                    <w:tl2br w:val="nil"/>
                    <w:tr2bl w:val="nil"/>
                  </w:tcBorders>
                  <w:vAlign w:val="center"/>
                </w:tcPr>
                <w:p w14:paraId="3800C434">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2"/>
                      <w:sz w:val="21"/>
                      <w:szCs w:val="21"/>
                      <w:lang w:eastAsia="zh-CN"/>
                    </w:rPr>
                    <w:t>国民经济行业分类及代码</w:t>
                  </w:r>
                </w:p>
              </w:tc>
              <w:tc>
                <w:tcPr>
                  <w:tcW w:w="2827" w:type="pct"/>
                  <w:gridSpan w:val="2"/>
                  <w:tcBorders>
                    <w:tl2br w:val="nil"/>
                    <w:tr2bl w:val="nil"/>
                  </w:tcBorders>
                  <w:vAlign w:val="center"/>
                </w:tcPr>
                <w:p w14:paraId="6D4038B0">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2"/>
                      <w:sz w:val="21"/>
                      <w:szCs w:val="21"/>
                      <w:lang w:eastAsia="zh-CN"/>
                    </w:rPr>
                    <w:t>纳入重点管理范围的具体产品或装置</w:t>
                  </w:r>
                </w:p>
              </w:tc>
              <w:tc>
                <w:tcPr>
                  <w:tcW w:w="682" w:type="pct"/>
                  <w:vMerge w:val="restart"/>
                  <w:tcBorders>
                    <w:tl2br w:val="nil"/>
                    <w:tr2bl w:val="nil"/>
                  </w:tcBorders>
                  <w:vAlign w:val="center"/>
                </w:tcPr>
                <w:p w14:paraId="52AF67BF">
                  <w:pPr>
                    <w:pStyle w:val="76"/>
                    <w:widowControl/>
                    <w:adjustRightInd w:val="0"/>
                    <w:snapToGrid w:val="0"/>
                    <w:jc w:val="center"/>
                    <w:rPr>
                      <w:rFonts w:hint="default" w:ascii="Times New Roman" w:hAnsi="Times New Roman" w:eastAsia="宋体" w:cs="Times New Roman"/>
                      <w:b/>
                      <w:bCs/>
                      <w:color w:val="auto"/>
                      <w:spacing w:val="-2"/>
                      <w:sz w:val="21"/>
                      <w:szCs w:val="21"/>
                      <w:lang w:eastAsia="zh-CN"/>
                    </w:rPr>
                  </w:pPr>
                  <w:r>
                    <w:rPr>
                      <w:rFonts w:hint="default" w:ascii="Times New Roman" w:hAnsi="Times New Roman" w:eastAsia="宋体" w:cs="Times New Roman"/>
                      <w:b/>
                      <w:bCs/>
                      <w:color w:val="auto"/>
                      <w:spacing w:val="-2"/>
                      <w:sz w:val="21"/>
                      <w:szCs w:val="21"/>
                      <w:lang w:eastAsia="zh-CN"/>
                    </w:rPr>
                    <w:t>对照分析</w:t>
                  </w:r>
                </w:p>
              </w:tc>
            </w:tr>
            <w:tr w14:paraId="0A6C5B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0" w:hRule="atLeast"/>
                <w:jc w:val="center"/>
              </w:trPr>
              <w:tc>
                <w:tcPr>
                  <w:tcW w:w="683" w:type="pct"/>
                  <w:tcBorders>
                    <w:tl2br w:val="nil"/>
                    <w:tr2bl w:val="nil"/>
                  </w:tcBorders>
                  <w:vAlign w:val="center"/>
                </w:tcPr>
                <w:p w14:paraId="7DE4D6F9">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大类</w:t>
                  </w:r>
                </w:p>
              </w:tc>
              <w:tc>
                <w:tcPr>
                  <w:tcW w:w="806" w:type="pct"/>
                  <w:tcBorders>
                    <w:tl2br w:val="nil"/>
                    <w:tr2bl w:val="nil"/>
                  </w:tcBorders>
                  <w:vAlign w:val="center"/>
                </w:tcPr>
                <w:p w14:paraId="0ECCDAA5">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小类</w:t>
                  </w:r>
                </w:p>
              </w:tc>
              <w:tc>
                <w:tcPr>
                  <w:tcW w:w="1734" w:type="pct"/>
                  <w:tcBorders>
                    <w:tl2br w:val="nil"/>
                    <w:tr2bl w:val="nil"/>
                  </w:tcBorders>
                  <w:vAlign w:val="center"/>
                </w:tcPr>
                <w:p w14:paraId="4B3380F7">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产品</w:t>
                  </w:r>
                </w:p>
              </w:tc>
              <w:tc>
                <w:tcPr>
                  <w:tcW w:w="1093" w:type="pct"/>
                  <w:tcBorders>
                    <w:tl2br w:val="nil"/>
                    <w:tr2bl w:val="nil"/>
                  </w:tcBorders>
                  <w:vAlign w:val="center"/>
                </w:tcPr>
                <w:p w14:paraId="65D9BFE8">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装置</w:t>
                  </w:r>
                </w:p>
              </w:tc>
              <w:tc>
                <w:tcPr>
                  <w:tcW w:w="682" w:type="pct"/>
                  <w:vMerge w:val="continue"/>
                  <w:tcBorders>
                    <w:tl2br w:val="nil"/>
                    <w:tr2bl w:val="nil"/>
                  </w:tcBorders>
                  <w:vAlign w:val="center"/>
                </w:tcPr>
                <w:p w14:paraId="2223E153">
                  <w:pPr>
                    <w:pStyle w:val="76"/>
                    <w:widowControl/>
                    <w:adjustRightInd w:val="0"/>
                    <w:snapToGrid w:val="0"/>
                    <w:jc w:val="center"/>
                    <w:rPr>
                      <w:rFonts w:hint="default" w:ascii="Times New Roman" w:hAnsi="Times New Roman" w:eastAsia="宋体" w:cs="Times New Roman"/>
                      <w:b/>
                      <w:bCs/>
                      <w:color w:val="auto"/>
                      <w:spacing w:val="-4"/>
                      <w:sz w:val="21"/>
                      <w:szCs w:val="21"/>
                    </w:rPr>
                  </w:pPr>
                </w:p>
              </w:tc>
            </w:tr>
            <w:tr w14:paraId="0F8066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683" w:type="pct"/>
                  <w:vMerge w:val="restart"/>
                  <w:tcBorders>
                    <w:tl2br w:val="nil"/>
                    <w:tr2bl w:val="nil"/>
                  </w:tcBorders>
                  <w:vAlign w:val="center"/>
                </w:tcPr>
                <w:p w14:paraId="2E75937C">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石油、煤炭及其他燃料加</w:t>
                  </w:r>
                  <w:r>
                    <w:rPr>
                      <w:rFonts w:hint="default" w:ascii="Times New Roman" w:hAnsi="Times New Roman" w:eastAsia="宋体" w:cs="Times New Roman"/>
                      <w:color w:val="auto"/>
                      <w:spacing w:val="17"/>
                      <w:sz w:val="21"/>
                      <w:szCs w:val="21"/>
                      <w:lang w:eastAsia="zh-CN"/>
                    </w:rPr>
                    <w:t>工业（25）</w:t>
                  </w:r>
                </w:p>
              </w:tc>
              <w:tc>
                <w:tcPr>
                  <w:tcW w:w="806" w:type="pct"/>
                  <w:tcBorders>
                    <w:tl2br w:val="nil"/>
                    <w:tr2bl w:val="nil"/>
                  </w:tcBorders>
                  <w:vAlign w:val="center"/>
                </w:tcPr>
                <w:p w14:paraId="4BFE1B80">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原油加工及石油</w:t>
                  </w:r>
                  <w:r>
                    <w:rPr>
                      <w:rFonts w:hint="default" w:ascii="Times New Roman" w:hAnsi="Times New Roman" w:eastAsia="宋体" w:cs="Times New Roman"/>
                      <w:color w:val="auto"/>
                      <w:spacing w:val="3"/>
                      <w:sz w:val="21"/>
                      <w:szCs w:val="21"/>
                    </w:rPr>
                    <w:t>制品制造</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2511</w:t>
                  </w:r>
                  <w:r>
                    <w:rPr>
                      <w:rFonts w:hint="default" w:ascii="Times New Roman" w:hAnsi="Times New Roman" w:eastAsia="宋体" w:cs="Times New Roman"/>
                      <w:color w:val="auto"/>
                      <w:spacing w:val="3"/>
                      <w:sz w:val="21"/>
                      <w:szCs w:val="21"/>
                      <w:lang w:eastAsia="zh-CN"/>
                    </w:rPr>
                    <w:t>）</w:t>
                  </w:r>
                </w:p>
              </w:tc>
              <w:tc>
                <w:tcPr>
                  <w:tcW w:w="1734" w:type="pct"/>
                  <w:tcBorders>
                    <w:tl2br w:val="nil"/>
                    <w:tr2bl w:val="nil"/>
                  </w:tcBorders>
                  <w:vAlign w:val="center"/>
                </w:tcPr>
                <w:p w14:paraId="148EBB76">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汽油、煤油、柴油、燃</w:t>
                  </w:r>
                  <w:r>
                    <w:rPr>
                      <w:rFonts w:hint="default" w:ascii="Times New Roman" w:hAnsi="Times New Roman" w:eastAsia="宋体" w:cs="Times New Roman"/>
                      <w:color w:val="auto"/>
                      <w:spacing w:val="-12"/>
                      <w:sz w:val="21"/>
                      <w:szCs w:val="21"/>
                      <w:lang w:eastAsia="zh-CN"/>
                    </w:rPr>
                    <w:t>料油、石脑油、溶剂油、</w:t>
                  </w:r>
                  <w:r>
                    <w:rPr>
                      <w:rFonts w:hint="default" w:ascii="Times New Roman" w:hAnsi="Times New Roman" w:eastAsia="宋体" w:cs="Times New Roman"/>
                      <w:color w:val="auto"/>
                      <w:spacing w:val="-8"/>
                      <w:sz w:val="21"/>
                      <w:szCs w:val="21"/>
                      <w:lang w:eastAsia="zh-CN"/>
                    </w:rPr>
                    <w:t>石油气、沥青及其他相</w:t>
                  </w:r>
                  <w:r>
                    <w:rPr>
                      <w:rFonts w:hint="default" w:ascii="Times New Roman" w:hAnsi="Times New Roman" w:eastAsia="宋体" w:cs="Times New Roman"/>
                      <w:color w:val="auto"/>
                      <w:spacing w:val="-4"/>
                      <w:sz w:val="21"/>
                      <w:szCs w:val="21"/>
                      <w:lang w:eastAsia="zh-CN"/>
                    </w:rPr>
                    <w:t>关产品（不包括一二次</w:t>
                  </w:r>
                  <w:r>
                    <w:rPr>
                      <w:rFonts w:hint="default" w:ascii="Times New Roman" w:hAnsi="Times New Roman" w:eastAsia="宋体" w:cs="Times New Roman"/>
                      <w:color w:val="auto"/>
                      <w:spacing w:val="-1"/>
                      <w:sz w:val="21"/>
                      <w:szCs w:val="21"/>
                      <w:lang w:eastAsia="zh-CN"/>
                    </w:rPr>
                    <w:t>炼油以外的质量升级</w:t>
                  </w:r>
                  <w:r>
                    <w:rPr>
                      <w:rFonts w:hint="default" w:ascii="Times New Roman" w:hAnsi="Times New Roman" w:eastAsia="宋体" w:cs="Times New Roman"/>
                      <w:color w:val="auto"/>
                      <w:spacing w:val="9"/>
                      <w:sz w:val="21"/>
                      <w:szCs w:val="21"/>
                      <w:lang w:eastAsia="zh-CN"/>
                    </w:rPr>
                    <w:t>油品）</w:t>
                  </w:r>
                </w:p>
              </w:tc>
              <w:tc>
                <w:tcPr>
                  <w:tcW w:w="1093" w:type="pct"/>
                  <w:tcBorders>
                    <w:tl2br w:val="nil"/>
                    <w:tr2bl w:val="nil"/>
                  </w:tcBorders>
                  <w:vAlign w:val="center"/>
                </w:tcPr>
                <w:p w14:paraId="2288C3BA">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sz w:val="21"/>
                      <w:szCs w:val="21"/>
                      <w:lang w:eastAsia="zh-CN"/>
                    </w:rPr>
                    <w:t>常减压装置、</w:t>
                  </w:r>
                  <w:r>
                    <w:rPr>
                      <w:rFonts w:hint="default" w:ascii="Times New Roman" w:hAnsi="Times New Roman" w:eastAsia="宋体" w:cs="Times New Roman"/>
                      <w:color w:val="auto"/>
                      <w:spacing w:val="-1"/>
                      <w:sz w:val="21"/>
                      <w:szCs w:val="21"/>
                      <w:lang w:eastAsia="zh-CN"/>
                    </w:rPr>
                    <w:t>催化裂化（裂解）装置、加</w:t>
                  </w:r>
                  <w:r>
                    <w:rPr>
                      <w:rFonts w:hint="default" w:ascii="Times New Roman" w:hAnsi="Times New Roman" w:eastAsia="宋体" w:cs="Times New Roman"/>
                      <w:color w:val="auto"/>
                      <w:spacing w:val="4"/>
                      <w:sz w:val="21"/>
                      <w:szCs w:val="21"/>
                      <w:lang w:eastAsia="zh-CN"/>
                    </w:rPr>
                    <w:t>氢裂化装置、</w:t>
                  </w:r>
                  <w:r>
                    <w:rPr>
                      <w:rFonts w:hint="default" w:ascii="Times New Roman" w:hAnsi="Times New Roman" w:eastAsia="宋体" w:cs="Times New Roman"/>
                      <w:color w:val="auto"/>
                      <w:spacing w:val="-2"/>
                      <w:sz w:val="21"/>
                      <w:szCs w:val="21"/>
                      <w:lang w:eastAsia="zh-CN"/>
                    </w:rPr>
                    <w:t>延迟焦化装</w:t>
                  </w:r>
                  <w:r>
                    <w:rPr>
                      <w:rFonts w:hint="default" w:ascii="Times New Roman" w:hAnsi="Times New Roman" w:eastAsia="宋体" w:cs="Times New Roman"/>
                      <w:color w:val="auto"/>
                      <w:spacing w:val="-1"/>
                      <w:sz w:val="21"/>
                      <w:szCs w:val="21"/>
                      <w:lang w:eastAsia="zh-CN"/>
                    </w:rPr>
                    <w:t>置、重整装置</w:t>
                  </w:r>
                </w:p>
              </w:tc>
              <w:tc>
                <w:tcPr>
                  <w:tcW w:w="682" w:type="pct"/>
                  <w:vMerge w:val="restart"/>
                  <w:tcBorders>
                    <w:tl2br w:val="nil"/>
                    <w:tr2bl w:val="nil"/>
                  </w:tcBorders>
                  <w:vAlign w:val="center"/>
                </w:tcPr>
                <w:p w14:paraId="3D5D1F37">
                  <w:pPr>
                    <w:pStyle w:val="76"/>
                    <w:widowControl/>
                    <w:adjustRightInd w:val="0"/>
                    <w:snapToGrid w:val="0"/>
                    <w:jc w:val="center"/>
                    <w:rPr>
                      <w:rFonts w:hint="default"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kern w:val="0"/>
                      <w:sz w:val="21"/>
                      <w:szCs w:val="21"/>
                      <w:lang w:eastAsia="zh-CN" w:bidi="ar"/>
                    </w:rPr>
                    <w:t>本项目国民经济行业类别属于</w:t>
                  </w:r>
                  <w:r>
                    <w:rPr>
                      <w:rFonts w:hint="default" w:ascii="Times New Roman" w:hAnsi="Times New Roman" w:eastAsia="宋体" w:cs="Times New Roman"/>
                      <w:b w:val="0"/>
                      <w:bCs w:val="0"/>
                      <w:color w:val="auto"/>
                      <w:kern w:val="2"/>
                      <w:sz w:val="21"/>
                      <w:szCs w:val="21"/>
                      <w:highlight w:val="none"/>
                      <w:lang w:val="en-US" w:eastAsia="zh-CN" w:bidi="ar-SA"/>
                    </w:rPr>
                    <w:t>C3052光学玻璃制造</w:t>
                  </w:r>
                  <w:r>
                    <w:rPr>
                      <w:rFonts w:hint="default" w:ascii="Times New Roman" w:hAnsi="Times New Roman" w:eastAsia="宋体" w:cs="Times New Roman"/>
                      <w:color w:val="auto"/>
                      <w:kern w:val="0"/>
                      <w:sz w:val="21"/>
                      <w:szCs w:val="21"/>
                      <w:lang w:eastAsia="zh-CN" w:bidi="ar"/>
                    </w:rPr>
                    <w:t>，不属于江苏省“两高”项目。</w:t>
                  </w:r>
                </w:p>
              </w:tc>
            </w:tr>
            <w:tr w14:paraId="045A24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683" w:type="pct"/>
                  <w:vMerge w:val="continue"/>
                  <w:tcBorders>
                    <w:tl2br w:val="nil"/>
                    <w:tr2bl w:val="nil"/>
                  </w:tcBorders>
                  <w:vAlign w:val="center"/>
                </w:tcPr>
                <w:p w14:paraId="03484F5A">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1911DDA1">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sz w:val="21"/>
                      <w:szCs w:val="21"/>
                    </w:rPr>
                    <w:t>炼焦</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2521</w:t>
                  </w:r>
                  <w:r>
                    <w:rPr>
                      <w:rFonts w:hint="default" w:ascii="Times New Roman" w:hAnsi="Times New Roman" w:eastAsia="宋体" w:cs="Times New Roman"/>
                      <w:color w:val="auto"/>
                      <w:spacing w:val="4"/>
                      <w:sz w:val="21"/>
                      <w:szCs w:val="21"/>
                      <w:lang w:eastAsia="zh-CN"/>
                    </w:rPr>
                    <w:t>）</w:t>
                  </w:r>
                </w:p>
              </w:tc>
              <w:tc>
                <w:tcPr>
                  <w:tcW w:w="1734" w:type="pct"/>
                  <w:tcBorders>
                    <w:tl2br w:val="nil"/>
                    <w:tr2bl w:val="nil"/>
                  </w:tcBorders>
                  <w:vAlign w:val="center"/>
                </w:tcPr>
                <w:p w14:paraId="60E8D951">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焦炭、半焦</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兰炭</w:t>
                  </w:r>
                  <w:r>
                    <w:rPr>
                      <w:rFonts w:hint="default" w:ascii="Times New Roman" w:hAnsi="Times New Roman" w:eastAsia="宋体" w:cs="Times New Roman"/>
                      <w:color w:val="auto"/>
                      <w:spacing w:val="3"/>
                      <w:sz w:val="21"/>
                      <w:szCs w:val="21"/>
                      <w:lang w:eastAsia="zh-CN"/>
                    </w:rPr>
                    <w:t>）</w:t>
                  </w:r>
                </w:p>
              </w:tc>
              <w:tc>
                <w:tcPr>
                  <w:tcW w:w="1093" w:type="pct"/>
                  <w:tcBorders>
                    <w:tl2br w:val="nil"/>
                    <w:tr2bl w:val="nil"/>
                  </w:tcBorders>
                  <w:vAlign w:val="center"/>
                </w:tcPr>
                <w:p w14:paraId="1BA37A3F">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焦炉</w:t>
                  </w:r>
                </w:p>
              </w:tc>
              <w:tc>
                <w:tcPr>
                  <w:tcW w:w="682" w:type="pct"/>
                  <w:vMerge w:val="continue"/>
                  <w:tcBorders>
                    <w:tl2br w:val="nil"/>
                    <w:tr2bl w:val="nil"/>
                  </w:tcBorders>
                  <w:vAlign w:val="center"/>
                </w:tcPr>
                <w:p w14:paraId="1F6D65C6">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0D69B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683" w:type="pct"/>
                  <w:vMerge w:val="continue"/>
                  <w:tcBorders>
                    <w:tl2br w:val="nil"/>
                    <w:tr2bl w:val="nil"/>
                  </w:tcBorders>
                  <w:vAlign w:val="center"/>
                </w:tcPr>
                <w:p w14:paraId="23F81227">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0B1C791F">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煤制合成气生产</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2522</w:t>
                  </w:r>
                  <w:r>
                    <w:rPr>
                      <w:rFonts w:hint="default" w:ascii="Times New Roman" w:hAnsi="Times New Roman" w:eastAsia="宋体" w:cs="Times New Roman"/>
                      <w:color w:val="auto"/>
                      <w:spacing w:val="-5"/>
                      <w:sz w:val="21"/>
                      <w:szCs w:val="21"/>
                      <w:lang w:eastAsia="zh-CN"/>
                    </w:rPr>
                    <w:t>）</w:t>
                  </w:r>
                </w:p>
              </w:tc>
              <w:tc>
                <w:tcPr>
                  <w:tcW w:w="1734" w:type="pct"/>
                  <w:tcBorders>
                    <w:tl2br w:val="nil"/>
                    <w:tr2bl w:val="nil"/>
                  </w:tcBorders>
                  <w:vAlign w:val="center"/>
                </w:tcPr>
                <w:p w14:paraId="270E4B91">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煤制气</w:t>
                  </w:r>
                </w:p>
              </w:tc>
              <w:tc>
                <w:tcPr>
                  <w:tcW w:w="1093" w:type="pct"/>
                  <w:tcBorders>
                    <w:tl2br w:val="nil"/>
                    <w:tr2bl w:val="nil"/>
                  </w:tcBorders>
                  <w:vAlign w:val="center"/>
                </w:tcPr>
                <w:p w14:paraId="1A4477B7">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煤气化炉</w:t>
                  </w:r>
                </w:p>
              </w:tc>
              <w:tc>
                <w:tcPr>
                  <w:tcW w:w="682" w:type="pct"/>
                  <w:vMerge w:val="continue"/>
                  <w:tcBorders>
                    <w:tl2br w:val="nil"/>
                    <w:tr2bl w:val="nil"/>
                  </w:tcBorders>
                  <w:vAlign w:val="center"/>
                </w:tcPr>
                <w:p w14:paraId="4071C71A">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3244F7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683" w:type="pct"/>
                  <w:vMerge w:val="continue"/>
                  <w:tcBorders>
                    <w:tl2br w:val="nil"/>
                    <w:tr2bl w:val="nil"/>
                  </w:tcBorders>
                  <w:vAlign w:val="center"/>
                </w:tcPr>
                <w:p w14:paraId="69F59662">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55477B74">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煤制液体燃料生</w:t>
                  </w:r>
                  <w:r>
                    <w:rPr>
                      <w:rFonts w:hint="default" w:ascii="Times New Roman" w:hAnsi="Times New Roman" w:eastAsia="宋体" w:cs="Times New Roman"/>
                      <w:color w:val="auto"/>
                      <w:spacing w:val="4"/>
                      <w:sz w:val="21"/>
                      <w:szCs w:val="21"/>
                      <w:lang w:eastAsia="zh-CN"/>
                    </w:rPr>
                    <w:t>产（2523）</w:t>
                  </w:r>
                </w:p>
              </w:tc>
              <w:tc>
                <w:tcPr>
                  <w:tcW w:w="1734" w:type="pct"/>
                  <w:tcBorders>
                    <w:tl2br w:val="nil"/>
                    <w:tr2bl w:val="nil"/>
                  </w:tcBorders>
                  <w:vAlign w:val="center"/>
                </w:tcPr>
                <w:p w14:paraId="4740841B">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煤制油、甲醇、烯烃、</w:t>
                  </w:r>
                  <w:r>
                    <w:rPr>
                      <w:rFonts w:hint="default" w:ascii="Times New Roman" w:hAnsi="Times New Roman" w:eastAsia="宋体" w:cs="Times New Roman"/>
                      <w:color w:val="auto"/>
                      <w:spacing w:val="-3"/>
                      <w:sz w:val="21"/>
                      <w:szCs w:val="21"/>
                      <w:lang w:eastAsia="zh-CN"/>
                    </w:rPr>
                    <w:t>乙二醇</w:t>
                  </w:r>
                </w:p>
              </w:tc>
              <w:tc>
                <w:tcPr>
                  <w:tcW w:w="1093" w:type="pct"/>
                  <w:tcBorders>
                    <w:tl2br w:val="nil"/>
                    <w:tr2bl w:val="nil"/>
                  </w:tcBorders>
                  <w:vAlign w:val="center"/>
                </w:tcPr>
                <w:p w14:paraId="64472F7C">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煤气化炉</w:t>
                  </w:r>
                </w:p>
              </w:tc>
              <w:tc>
                <w:tcPr>
                  <w:tcW w:w="682" w:type="pct"/>
                  <w:vMerge w:val="continue"/>
                  <w:tcBorders>
                    <w:tl2br w:val="nil"/>
                    <w:tr2bl w:val="nil"/>
                  </w:tcBorders>
                  <w:vAlign w:val="center"/>
                </w:tcPr>
                <w:p w14:paraId="329B9F5B">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5A32FE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683" w:type="pct"/>
                  <w:vMerge w:val="restart"/>
                  <w:tcBorders>
                    <w:tl2br w:val="nil"/>
                    <w:tr2bl w:val="nil"/>
                  </w:tcBorders>
                  <w:vAlign w:val="center"/>
                </w:tcPr>
                <w:p w14:paraId="3F5B59FF">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化学原料和化学制品制</w:t>
                  </w:r>
                  <w:r>
                    <w:rPr>
                      <w:rFonts w:hint="default" w:ascii="Times New Roman" w:hAnsi="Times New Roman" w:eastAsia="宋体" w:cs="Times New Roman"/>
                      <w:color w:val="auto"/>
                      <w:spacing w:val="5"/>
                      <w:sz w:val="21"/>
                      <w:szCs w:val="21"/>
                      <w:lang w:eastAsia="zh-CN"/>
                    </w:rPr>
                    <w:t>造业（26）</w:t>
                  </w:r>
                </w:p>
              </w:tc>
              <w:tc>
                <w:tcPr>
                  <w:tcW w:w="806" w:type="pct"/>
                  <w:tcBorders>
                    <w:tl2br w:val="nil"/>
                    <w:tr2bl w:val="nil"/>
                  </w:tcBorders>
                  <w:vAlign w:val="center"/>
                </w:tcPr>
                <w:p w14:paraId="16A5786A">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无机碱制造</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2612</w:t>
                  </w:r>
                  <w:r>
                    <w:rPr>
                      <w:rFonts w:hint="default" w:ascii="Times New Roman" w:hAnsi="Times New Roman" w:eastAsia="宋体" w:cs="Times New Roman"/>
                      <w:color w:val="auto"/>
                      <w:spacing w:val="-5"/>
                      <w:sz w:val="21"/>
                      <w:szCs w:val="21"/>
                      <w:lang w:eastAsia="zh-CN"/>
                    </w:rPr>
                    <w:t>）</w:t>
                  </w:r>
                </w:p>
              </w:tc>
              <w:tc>
                <w:tcPr>
                  <w:tcW w:w="1734" w:type="pct"/>
                  <w:tcBorders>
                    <w:tl2br w:val="nil"/>
                    <w:tr2bl w:val="nil"/>
                  </w:tcBorders>
                  <w:vAlign w:val="center"/>
                </w:tcPr>
                <w:p w14:paraId="19D157E3">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烧碱、纯碱（采用井下</w:t>
                  </w:r>
                  <w:r>
                    <w:rPr>
                      <w:rFonts w:hint="default" w:ascii="Times New Roman" w:hAnsi="Times New Roman" w:eastAsia="宋体" w:cs="Times New Roman"/>
                      <w:color w:val="auto"/>
                      <w:spacing w:val="3"/>
                      <w:sz w:val="21"/>
                      <w:szCs w:val="21"/>
                      <w:lang w:eastAsia="zh-CN"/>
                    </w:rPr>
                    <w:t>循环制碱工艺的除外）</w:t>
                  </w:r>
                </w:p>
              </w:tc>
              <w:tc>
                <w:tcPr>
                  <w:tcW w:w="1093" w:type="pct"/>
                  <w:tcBorders>
                    <w:tl2br w:val="nil"/>
                    <w:tr2bl w:val="nil"/>
                  </w:tcBorders>
                  <w:vAlign w:val="center"/>
                </w:tcPr>
                <w:p w14:paraId="29174D03">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电解槽、碳化</w:t>
                  </w:r>
                  <w:r>
                    <w:rPr>
                      <w:rFonts w:hint="default" w:ascii="Times New Roman" w:hAnsi="Times New Roman" w:eastAsia="宋体" w:cs="Times New Roman"/>
                      <w:color w:val="auto"/>
                      <w:sz w:val="21"/>
                      <w:szCs w:val="21"/>
                    </w:rPr>
                    <w:t>塔</w:t>
                  </w:r>
                </w:p>
              </w:tc>
              <w:tc>
                <w:tcPr>
                  <w:tcW w:w="682" w:type="pct"/>
                  <w:vMerge w:val="continue"/>
                  <w:tcBorders>
                    <w:tl2br w:val="nil"/>
                    <w:tr2bl w:val="nil"/>
                  </w:tcBorders>
                  <w:vAlign w:val="center"/>
                </w:tcPr>
                <w:p w14:paraId="54886ACF">
                  <w:pPr>
                    <w:pStyle w:val="76"/>
                    <w:widowControl/>
                    <w:adjustRightInd w:val="0"/>
                    <w:snapToGrid w:val="0"/>
                    <w:jc w:val="center"/>
                    <w:rPr>
                      <w:rFonts w:hint="default" w:ascii="Times New Roman" w:hAnsi="Times New Roman" w:eastAsia="宋体" w:cs="Times New Roman"/>
                      <w:color w:val="auto"/>
                      <w:sz w:val="21"/>
                      <w:szCs w:val="21"/>
                    </w:rPr>
                  </w:pPr>
                </w:p>
              </w:tc>
            </w:tr>
            <w:tr w14:paraId="05CEB2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683" w:type="pct"/>
                  <w:vMerge w:val="continue"/>
                  <w:tcBorders>
                    <w:tl2br w:val="nil"/>
                    <w:tr2bl w:val="nil"/>
                  </w:tcBorders>
                  <w:vAlign w:val="center"/>
                </w:tcPr>
                <w:p w14:paraId="69184540">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4ECA8D11">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无机盐制造</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2613</w:t>
                  </w:r>
                  <w:r>
                    <w:rPr>
                      <w:rFonts w:hint="default" w:ascii="Times New Roman" w:hAnsi="Times New Roman" w:eastAsia="宋体" w:cs="Times New Roman"/>
                      <w:color w:val="auto"/>
                      <w:spacing w:val="-5"/>
                      <w:sz w:val="21"/>
                      <w:szCs w:val="21"/>
                      <w:lang w:eastAsia="zh-CN"/>
                    </w:rPr>
                    <w:t>）</w:t>
                  </w:r>
                </w:p>
              </w:tc>
              <w:tc>
                <w:tcPr>
                  <w:tcW w:w="1734" w:type="pct"/>
                  <w:tcBorders>
                    <w:tl2br w:val="nil"/>
                    <w:tr2bl w:val="nil"/>
                  </w:tcBorders>
                  <w:vAlign w:val="center"/>
                </w:tcPr>
                <w:p w14:paraId="4EDD7BB4">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电石（碳化钙）、碳化硅</w:t>
                  </w:r>
                </w:p>
              </w:tc>
              <w:tc>
                <w:tcPr>
                  <w:tcW w:w="1093" w:type="pct"/>
                  <w:tcBorders>
                    <w:tl2br w:val="nil"/>
                    <w:tr2bl w:val="nil"/>
                  </w:tcBorders>
                  <w:vAlign w:val="center"/>
                </w:tcPr>
                <w:p w14:paraId="74487A16">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电石炉、石墨</w:t>
                  </w:r>
                  <w:r>
                    <w:rPr>
                      <w:rFonts w:hint="default" w:ascii="Times New Roman" w:hAnsi="Times New Roman" w:eastAsia="宋体" w:cs="Times New Roman"/>
                      <w:color w:val="auto"/>
                      <w:spacing w:val="-2"/>
                      <w:sz w:val="21"/>
                      <w:szCs w:val="21"/>
                    </w:rPr>
                    <w:t>化炉</w:t>
                  </w:r>
                </w:p>
              </w:tc>
              <w:tc>
                <w:tcPr>
                  <w:tcW w:w="682" w:type="pct"/>
                  <w:vMerge w:val="continue"/>
                  <w:tcBorders>
                    <w:tl2br w:val="nil"/>
                    <w:tr2bl w:val="nil"/>
                  </w:tcBorders>
                  <w:vAlign w:val="center"/>
                </w:tcPr>
                <w:p w14:paraId="2F73DBD2">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31C08C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83" w:type="pct"/>
                  <w:vMerge w:val="continue"/>
                  <w:tcBorders>
                    <w:tl2br w:val="nil"/>
                    <w:tr2bl w:val="nil"/>
                  </w:tcBorders>
                  <w:vAlign w:val="center"/>
                </w:tcPr>
                <w:p w14:paraId="33010802">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421A8730">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有机化学原料制</w:t>
                  </w:r>
                  <w:r>
                    <w:rPr>
                      <w:rFonts w:hint="default" w:ascii="Times New Roman" w:hAnsi="Times New Roman" w:eastAsia="宋体" w:cs="Times New Roman"/>
                      <w:color w:val="auto"/>
                      <w:spacing w:val="4"/>
                      <w:sz w:val="21"/>
                      <w:szCs w:val="21"/>
                      <w:lang w:eastAsia="zh-CN"/>
                    </w:rPr>
                    <w:t>造（2614）</w:t>
                  </w:r>
                </w:p>
              </w:tc>
              <w:tc>
                <w:tcPr>
                  <w:tcW w:w="1734" w:type="pct"/>
                  <w:tcBorders>
                    <w:tl2br w:val="nil"/>
                    <w:tr2bl w:val="nil"/>
                  </w:tcBorders>
                  <w:vAlign w:val="center"/>
                </w:tcPr>
                <w:p w14:paraId="339A5AD0">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lang w:eastAsia="zh-CN"/>
                    </w:rPr>
                    <w:t>乙烯、对二甲苯（</w:t>
                  </w:r>
                  <w:r>
                    <w:rPr>
                      <w:rFonts w:hint="default" w:ascii="Times New Roman" w:hAnsi="Times New Roman" w:eastAsia="宋体" w:cs="Times New Roman"/>
                      <w:color w:val="auto"/>
                      <w:sz w:val="21"/>
                      <w:szCs w:val="21"/>
                      <w:lang w:eastAsia="zh-CN"/>
                    </w:rPr>
                    <w:t>PX</w:t>
                  </w:r>
                  <w:r>
                    <w:rPr>
                      <w:rFonts w:hint="default" w:ascii="Times New Roman" w:hAnsi="Times New Roman" w:eastAsia="宋体" w:cs="Times New Roman"/>
                      <w:color w:val="auto"/>
                      <w:spacing w:val="3"/>
                      <w:sz w:val="21"/>
                      <w:szCs w:val="21"/>
                      <w:lang w:eastAsia="zh-CN"/>
                    </w:rPr>
                    <w:t>）</w:t>
                  </w:r>
                </w:p>
              </w:tc>
              <w:tc>
                <w:tcPr>
                  <w:tcW w:w="1093" w:type="pct"/>
                  <w:tcBorders>
                    <w:tl2br w:val="nil"/>
                    <w:tr2bl w:val="nil"/>
                  </w:tcBorders>
                  <w:vAlign w:val="center"/>
                </w:tcPr>
                <w:p w14:paraId="4DC357D0">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乙烯装置、对</w:t>
                  </w:r>
                  <w:r>
                    <w:rPr>
                      <w:rFonts w:hint="default" w:ascii="Times New Roman" w:hAnsi="Times New Roman" w:eastAsia="宋体" w:cs="Times New Roman"/>
                      <w:color w:val="auto"/>
                      <w:spacing w:val="6"/>
                      <w:sz w:val="21"/>
                      <w:szCs w:val="21"/>
                      <w:lang w:eastAsia="zh-CN"/>
                    </w:rPr>
                    <w:t>二甲苯（</w:t>
                  </w:r>
                  <w:r>
                    <w:rPr>
                      <w:rFonts w:hint="default" w:ascii="Times New Roman" w:hAnsi="Times New Roman" w:eastAsia="宋体" w:cs="Times New Roman"/>
                      <w:color w:val="auto"/>
                      <w:sz w:val="21"/>
                      <w:szCs w:val="21"/>
                      <w:lang w:eastAsia="zh-CN"/>
                    </w:rPr>
                    <w:t>PX</w:t>
                  </w:r>
                  <w:r>
                    <w:rPr>
                      <w:rFonts w:hint="default" w:ascii="Times New Roman" w:hAnsi="Times New Roman" w:eastAsia="宋体" w:cs="Times New Roman"/>
                      <w:color w:val="auto"/>
                      <w:spacing w:val="6"/>
                      <w:sz w:val="21"/>
                      <w:szCs w:val="21"/>
                      <w:lang w:eastAsia="zh-CN"/>
                    </w:rPr>
                    <w:t>）</w:t>
                  </w:r>
                  <w:r>
                    <w:rPr>
                      <w:rFonts w:hint="default" w:ascii="Times New Roman" w:hAnsi="Times New Roman" w:eastAsia="宋体" w:cs="Times New Roman"/>
                      <w:color w:val="auto"/>
                      <w:spacing w:val="-2"/>
                      <w:sz w:val="21"/>
                      <w:szCs w:val="21"/>
                      <w:lang w:eastAsia="zh-CN"/>
                    </w:rPr>
                    <w:t>装置</w:t>
                  </w:r>
                </w:p>
              </w:tc>
              <w:tc>
                <w:tcPr>
                  <w:tcW w:w="682" w:type="pct"/>
                  <w:vMerge w:val="continue"/>
                  <w:tcBorders>
                    <w:tl2br w:val="nil"/>
                    <w:tr2bl w:val="nil"/>
                  </w:tcBorders>
                  <w:vAlign w:val="center"/>
                </w:tcPr>
                <w:p w14:paraId="61E79E3C">
                  <w:pPr>
                    <w:pStyle w:val="76"/>
                    <w:widowControl/>
                    <w:adjustRightInd w:val="0"/>
                    <w:snapToGrid w:val="0"/>
                    <w:jc w:val="center"/>
                    <w:rPr>
                      <w:rFonts w:hint="default" w:ascii="Times New Roman" w:hAnsi="Times New Roman" w:eastAsia="宋体" w:cs="Times New Roman"/>
                      <w:color w:val="auto"/>
                      <w:spacing w:val="-2"/>
                      <w:sz w:val="21"/>
                      <w:szCs w:val="21"/>
                      <w:lang w:eastAsia="zh-CN"/>
                    </w:rPr>
                  </w:pPr>
                </w:p>
              </w:tc>
            </w:tr>
            <w:tr w14:paraId="252F20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683" w:type="pct"/>
                  <w:vMerge w:val="continue"/>
                  <w:tcBorders>
                    <w:tl2br w:val="nil"/>
                    <w:tr2bl w:val="nil"/>
                  </w:tcBorders>
                  <w:vAlign w:val="center"/>
                </w:tcPr>
                <w:p w14:paraId="036C56E4">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470334CD">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其他基础化学原</w:t>
                  </w:r>
                  <w:r>
                    <w:rPr>
                      <w:rFonts w:hint="default" w:ascii="Times New Roman" w:hAnsi="Times New Roman" w:eastAsia="宋体" w:cs="Times New Roman"/>
                      <w:color w:val="auto"/>
                      <w:spacing w:val="3"/>
                      <w:sz w:val="21"/>
                      <w:szCs w:val="21"/>
                      <w:lang w:eastAsia="zh-CN"/>
                    </w:rPr>
                    <w:t>料制造（2619）</w:t>
                  </w:r>
                </w:p>
              </w:tc>
              <w:tc>
                <w:tcPr>
                  <w:tcW w:w="1734" w:type="pct"/>
                  <w:tcBorders>
                    <w:tl2br w:val="nil"/>
                    <w:tr2bl w:val="nil"/>
                  </w:tcBorders>
                  <w:vAlign w:val="center"/>
                </w:tcPr>
                <w:p w14:paraId="1270A2BF">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黄磷</w:t>
                  </w:r>
                </w:p>
              </w:tc>
              <w:tc>
                <w:tcPr>
                  <w:tcW w:w="1093" w:type="pct"/>
                  <w:tcBorders>
                    <w:tl2br w:val="nil"/>
                    <w:tr2bl w:val="nil"/>
                  </w:tcBorders>
                  <w:vAlign w:val="center"/>
                </w:tcPr>
                <w:p w14:paraId="1ACEDF1B">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电炉</w:t>
                  </w:r>
                </w:p>
              </w:tc>
              <w:tc>
                <w:tcPr>
                  <w:tcW w:w="682" w:type="pct"/>
                  <w:vMerge w:val="continue"/>
                  <w:tcBorders>
                    <w:tl2br w:val="nil"/>
                    <w:tr2bl w:val="nil"/>
                  </w:tcBorders>
                  <w:vAlign w:val="center"/>
                </w:tcPr>
                <w:p w14:paraId="5C2B5B61">
                  <w:pPr>
                    <w:pStyle w:val="76"/>
                    <w:widowControl/>
                    <w:adjustRightInd w:val="0"/>
                    <w:snapToGrid w:val="0"/>
                    <w:jc w:val="center"/>
                    <w:rPr>
                      <w:rFonts w:hint="default" w:ascii="Times New Roman" w:hAnsi="Times New Roman" w:eastAsia="宋体" w:cs="Times New Roman"/>
                      <w:color w:val="auto"/>
                      <w:spacing w:val="9"/>
                      <w:sz w:val="21"/>
                      <w:szCs w:val="21"/>
                    </w:rPr>
                  </w:pPr>
                </w:p>
              </w:tc>
            </w:tr>
            <w:tr w14:paraId="1A959C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683" w:type="pct"/>
                  <w:vMerge w:val="continue"/>
                  <w:tcBorders>
                    <w:tl2br w:val="nil"/>
                    <w:tr2bl w:val="nil"/>
                  </w:tcBorders>
                  <w:vAlign w:val="center"/>
                </w:tcPr>
                <w:p w14:paraId="18B301AC">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5C8D70DE">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氮肥制造</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2621</w:t>
                  </w:r>
                  <w:r>
                    <w:rPr>
                      <w:rFonts w:hint="default" w:ascii="Times New Roman" w:hAnsi="Times New Roman" w:eastAsia="宋体" w:cs="Times New Roman"/>
                      <w:color w:val="auto"/>
                      <w:spacing w:val="3"/>
                      <w:sz w:val="21"/>
                      <w:szCs w:val="21"/>
                      <w:lang w:eastAsia="zh-CN"/>
                    </w:rPr>
                    <w:t>）</w:t>
                  </w:r>
                </w:p>
              </w:tc>
              <w:tc>
                <w:tcPr>
                  <w:tcW w:w="1734" w:type="pct"/>
                  <w:tcBorders>
                    <w:tl2br w:val="nil"/>
                    <w:tr2bl w:val="nil"/>
                  </w:tcBorders>
                  <w:vAlign w:val="center"/>
                </w:tcPr>
                <w:p w14:paraId="6277775F">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合成氨、尿素</w:t>
                  </w:r>
                </w:p>
              </w:tc>
              <w:tc>
                <w:tcPr>
                  <w:tcW w:w="1093" w:type="pct"/>
                  <w:tcBorders>
                    <w:tl2br w:val="nil"/>
                    <w:tr2bl w:val="nil"/>
                  </w:tcBorders>
                  <w:vAlign w:val="center"/>
                </w:tcPr>
                <w:p w14:paraId="34D7C3C0">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合成氨装置</w:t>
                  </w:r>
                </w:p>
              </w:tc>
              <w:tc>
                <w:tcPr>
                  <w:tcW w:w="682" w:type="pct"/>
                  <w:vMerge w:val="continue"/>
                  <w:tcBorders>
                    <w:tl2br w:val="nil"/>
                    <w:tr2bl w:val="nil"/>
                  </w:tcBorders>
                  <w:vAlign w:val="center"/>
                </w:tcPr>
                <w:p w14:paraId="5F596000">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28A22D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683" w:type="pct"/>
                  <w:vMerge w:val="continue"/>
                  <w:tcBorders>
                    <w:tl2br w:val="nil"/>
                    <w:tr2bl w:val="nil"/>
                  </w:tcBorders>
                  <w:vAlign w:val="center"/>
                </w:tcPr>
                <w:p w14:paraId="686D3BE8">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7BA268A2">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磷肥制造</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2622</w:t>
                  </w:r>
                  <w:r>
                    <w:rPr>
                      <w:rFonts w:hint="default" w:ascii="Times New Roman" w:hAnsi="Times New Roman" w:eastAsia="宋体" w:cs="Times New Roman"/>
                      <w:color w:val="auto"/>
                      <w:spacing w:val="3"/>
                      <w:sz w:val="21"/>
                      <w:szCs w:val="21"/>
                      <w:lang w:eastAsia="zh-CN"/>
                    </w:rPr>
                    <w:t>）</w:t>
                  </w:r>
                </w:p>
              </w:tc>
              <w:tc>
                <w:tcPr>
                  <w:tcW w:w="1734" w:type="pct"/>
                  <w:tcBorders>
                    <w:tl2br w:val="nil"/>
                    <w:tr2bl w:val="nil"/>
                  </w:tcBorders>
                  <w:vAlign w:val="center"/>
                </w:tcPr>
                <w:p w14:paraId="79CC68F5">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磷酸一铵、磷酸二铵</w:t>
                  </w:r>
                </w:p>
              </w:tc>
              <w:tc>
                <w:tcPr>
                  <w:tcW w:w="1093" w:type="pct"/>
                  <w:tcBorders>
                    <w:tl2br w:val="nil"/>
                    <w:tr2bl w:val="nil"/>
                  </w:tcBorders>
                  <w:vAlign w:val="center"/>
                </w:tcPr>
                <w:p w14:paraId="67D269B3">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氨化装置</w:t>
                  </w:r>
                </w:p>
              </w:tc>
              <w:tc>
                <w:tcPr>
                  <w:tcW w:w="682" w:type="pct"/>
                  <w:vMerge w:val="continue"/>
                  <w:tcBorders>
                    <w:tl2br w:val="nil"/>
                    <w:tr2bl w:val="nil"/>
                  </w:tcBorders>
                  <w:vAlign w:val="center"/>
                </w:tcPr>
                <w:p w14:paraId="1F7F5FF1">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22C11A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683" w:type="pct"/>
                  <w:vMerge w:val="continue"/>
                  <w:tcBorders>
                    <w:tl2br w:val="nil"/>
                    <w:tr2bl w:val="nil"/>
                  </w:tcBorders>
                  <w:vAlign w:val="center"/>
                </w:tcPr>
                <w:p w14:paraId="22A53044">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2D6A5E1F">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工业颜料制造</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2643</w:t>
                  </w:r>
                  <w:r>
                    <w:rPr>
                      <w:rFonts w:hint="default" w:ascii="Times New Roman" w:hAnsi="Times New Roman" w:eastAsia="宋体" w:cs="Times New Roman"/>
                      <w:color w:val="auto"/>
                      <w:spacing w:val="-5"/>
                      <w:sz w:val="21"/>
                      <w:szCs w:val="21"/>
                      <w:lang w:eastAsia="zh-CN"/>
                    </w:rPr>
                    <w:t>）</w:t>
                  </w:r>
                </w:p>
              </w:tc>
              <w:tc>
                <w:tcPr>
                  <w:tcW w:w="1734" w:type="pct"/>
                  <w:tcBorders>
                    <w:tl2br w:val="nil"/>
                    <w:tr2bl w:val="nil"/>
                  </w:tcBorders>
                  <w:vAlign w:val="center"/>
                </w:tcPr>
                <w:p w14:paraId="4F017242">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立德粉、钛白粉、铅铬</w:t>
                  </w:r>
                  <w:r>
                    <w:rPr>
                      <w:rFonts w:hint="default" w:ascii="Times New Roman" w:hAnsi="Times New Roman" w:eastAsia="宋体" w:cs="Times New Roman"/>
                      <w:color w:val="auto"/>
                      <w:sz w:val="21"/>
                      <w:szCs w:val="21"/>
                      <w:lang w:eastAsia="zh-CN"/>
                    </w:rPr>
                    <w:t>黄</w:t>
                  </w:r>
                </w:p>
              </w:tc>
              <w:tc>
                <w:tcPr>
                  <w:tcW w:w="1093" w:type="pct"/>
                  <w:tcBorders>
                    <w:tl2br w:val="nil"/>
                    <w:tr2bl w:val="nil"/>
                  </w:tcBorders>
                  <w:vAlign w:val="center"/>
                </w:tcPr>
                <w:p w14:paraId="04B6E0C1">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2" w:type="pct"/>
                  <w:vMerge w:val="continue"/>
                  <w:tcBorders>
                    <w:tl2br w:val="nil"/>
                    <w:tr2bl w:val="nil"/>
                  </w:tcBorders>
                  <w:vAlign w:val="center"/>
                </w:tcPr>
                <w:p w14:paraId="3B3A45C5">
                  <w:pPr>
                    <w:pStyle w:val="76"/>
                    <w:widowControl/>
                    <w:adjustRightInd w:val="0"/>
                    <w:snapToGrid w:val="0"/>
                    <w:jc w:val="center"/>
                    <w:rPr>
                      <w:rFonts w:hint="default" w:ascii="Times New Roman" w:hAnsi="Times New Roman" w:eastAsia="宋体" w:cs="Times New Roman"/>
                      <w:color w:val="auto"/>
                      <w:sz w:val="21"/>
                      <w:szCs w:val="21"/>
                    </w:rPr>
                  </w:pPr>
                </w:p>
              </w:tc>
            </w:tr>
            <w:tr w14:paraId="2B060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683" w:type="pct"/>
                  <w:vMerge w:val="continue"/>
                  <w:tcBorders>
                    <w:tl2br w:val="nil"/>
                    <w:tr2bl w:val="nil"/>
                  </w:tcBorders>
                  <w:vAlign w:val="center"/>
                </w:tcPr>
                <w:p w14:paraId="5E0B5BE2">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54DC1AEB">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初级形态塑料及</w:t>
                  </w:r>
                </w:p>
                <w:p w14:paraId="53D48E73">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合成树脂制造</w:t>
                  </w:r>
                  <w:r>
                    <w:rPr>
                      <w:rFonts w:hint="default" w:ascii="Times New Roman" w:hAnsi="Times New Roman" w:eastAsia="宋体" w:cs="Times New Roman"/>
                      <w:color w:val="auto"/>
                      <w:spacing w:val="-5"/>
                      <w:sz w:val="21"/>
                      <w:szCs w:val="21"/>
                      <w:lang w:eastAsia="zh-CN"/>
                    </w:rPr>
                    <w:t>（2651）</w:t>
                  </w:r>
                </w:p>
              </w:tc>
              <w:tc>
                <w:tcPr>
                  <w:tcW w:w="1734" w:type="pct"/>
                  <w:tcBorders>
                    <w:tl2br w:val="nil"/>
                    <w:tr2bl w:val="nil"/>
                  </w:tcBorders>
                  <w:vAlign w:val="center"/>
                </w:tcPr>
                <w:p w14:paraId="027DC4AF">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电石法聚氯乙烯</w:t>
                  </w:r>
                </w:p>
              </w:tc>
              <w:tc>
                <w:tcPr>
                  <w:tcW w:w="1093" w:type="pct"/>
                  <w:tcBorders>
                    <w:tl2br w:val="nil"/>
                    <w:tr2bl w:val="nil"/>
                  </w:tcBorders>
                  <w:vAlign w:val="center"/>
                </w:tcPr>
                <w:p w14:paraId="6106167B">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2" w:type="pct"/>
                  <w:vMerge w:val="continue"/>
                  <w:tcBorders>
                    <w:tl2br w:val="nil"/>
                    <w:tr2bl w:val="nil"/>
                  </w:tcBorders>
                  <w:vAlign w:val="center"/>
                </w:tcPr>
                <w:p w14:paraId="75643C0E">
                  <w:pPr>
                    <w:pStyle w:val="76"/>
                    <w:widowControl/>
                    <w:adjustRightInd w:val="0"/>
                    <w:snapToGrid w:val="0"/>
                    <w:jc w:val="center"/>
                    <w:rPr>
                      <w:rFonts w:hint="default" w:ascii="Times New Roman" w:hAnsi="Times New Roman" w:eastAsia="宋体" w:cs="Times New Roman"/>
                      <w:color w:val="auto"/>
                      <w:sz w:val="21"/>
                      <w:szCs w:val="21"/>
                    </w:rPr>
                  </w:pPr>
                </w:p>
              </w:tc>
            </w:tr>
            <w:tr w14:paraId="6362CB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683" w:type="pct"/>
                  <w:vMerge w:val="continue"/>
                  <w:tcBorders>
                    <w:tl2br w:val="nil"/>
                    <w:tr2bl w:val="nil"/>
                  </w:tcBorders>
                  <w:vAlign w:val="center"/>
                </w:tcPr>
                <w:p w14:paraId="563B6262">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34682D31">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合成橡胶制造</w:t>
                  </w:r>
                </w:p>
                <w:p w14:paraId="1492663E">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2652</w:t>
                  </w:r>
                  <w:r>
                    <w:rPr>
                      <w:rFonts w:hint="default" w:ascii="Times New Roman" w:hAnsi="Times New Roman" w:eastAsia="宋体" w:cs="Times New Roman"/>
                      <w:color w:val="auto"/>
                      <w:spacing w:val="-5"/>
                      <w:sz w:val="21"/>
                      <w:szCs w:val="21"/>
                      <w:lang w:eastAsia="zh-CN"/>
                    </w:rPr>
                    <w:t>）</w:t>
                  </w:r>
                </w:p>
              </w:tc>
              <w:tc>
                <w:tcPr>
                  <w:tcW w:w="1734" w:type="pct"/>
                  <w:tcBorders>
                    <w:tl2br w:val="nil"/>
                    <w:tr2bl w:val="nil"/>
                  </w:tcBorders>
                  <w:vAlign w:val="center"/>
                </w:tcPr>
                <w:p w14:paraId="185BCD6A">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四氯化碳溶剂法氯化</w:t>
                  </w:r>
                  <w:r>
                    <w:rPr>
                      <w:rFonts w:hint="default" w:ascii="Times New Roman" w:hAnsi="Times New Roman" w:eastAsia="宋体" w:cs="Times New Roman"/>
                      <w:color w:val="auto"/>
                      <w:spacing w:val="-2"/>
                      <w:sz w:val="21"/>
                      <w:szCs w:val="21"/>
                      <w:lang w:eastAsia="zh-CN"/>
                    </w:rPr>
                    <w:t>橡胶</w:t>
                  </w:r>
                </w:p>
              </w:tc>
              <w:tc>
                <w:tcPr>
                  <w:tcW w:w="1093" w:type="pct"/>
                  <w:tcBorders>
                    <w:tl2br w:val="nil"/>
                    <w:tr2bl w:val="nil"/>
                  </w:tcBorders>
                  <w:vAlign w:val="center"/>
                </w:tcPr>
                <w:p w14:paraId="62D10BCC">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2" w:type="pct"/>
                  <w:vMerge w:val="continue"/>
                  <w:tcBorders>
                    <w:tl2br w:val="nil"/>
                    <w:tr2bl w:val="nil"/>
                  </w:tcBorders>
                  <w:vAlign w:val="center"/>
                </w:tcPr>
                <w:p w14:paraId="01833126">
                  <w:pPr>
                    <w:pStyle w:val="76"/>
                    <w:widowControl/>
                    <w:adjustRightInd w:val="0"/>
                    <w:snapToGrid w:val="0"/>
                    <w:jc w:val="center"/>
                    <w:rPr>
                      <w:rFonts w:hint="default" w:ascii="Times New Roman" w:hAnsi="Times New Roman" w:eastAsia="宋体" w:cs="Times New Roman"/>
                      <w:color w:val="auto"/>
                      <w:sz w:val="21"/>
                      <w:szCs w:val="21"/>
                    </w:rPr>
                  </w:pPr>
                </w:p>
              </w:tc>
            </w:tr>
            <w:tr w14:paraId="0951C9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683" w:type="pct"/>
                  <w:vMerge w:val="restart"/>
                  <w:tcBorders>
                    <w:tl2br w:val="nil"/>
                    <w:tr2bl w:val="nil"/>
                  </w:tcBorders>
                  <w:vAlign w:val="center"/>
                </w:tcPr>
                <w:p w14:paraId="2AC63759">
                  <w:pPr>
                    <w:widowControl/>
                    <w:adjustRightInd w:val="0"/>
                    <w:snapToGrid w:val="0"/>
                    <w:jc w:val="center"/>
                    <w:rPr>
                      <w:rFonts w:hint="default" w:ascii="Times New Roman" w:hAnsi="Times New Roman" w:eastAsia="宋体" w:cs="Times New Roman"/>
                      <w:color w:val="auto"/>
                      <w:sz w:val="21"/>
                      <w:szCs w:val="21"/>
                    </w:rPr>
                  </w:pPr>
                </w:p>
                <w:p w14:paraId="6F0A8249">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非金属矿物</w:t>
                  </w:r>
                  <w:r>
                    <w:rPr>
                      <w:rFonts w:hint="default" w:ascii="Times New Roman" w:hAnsi="Times New Roman" w:eastAsia="宋体" w:cs="Times New Roman"/>
                      <w:color w:val="auto"/>
                      <w:spacing w:val="4"/>
                      <w:sz w:val="21"/>
                      <w:szCs w:val="21"/>
                      <w:lang w:eastAsia="zh-CN"/>
                    </w:rPr>
                    <w:t>制品业（30）</w:t>
                  </w:r>
                </w:p>
              </w:tc>
              <w:tc>
                <w:tcPr>
                  <w:tcW w:w="806" w:type="pct"/>
                  <w:tcBorders>
                    <w:tl2br w:val="nil"/>
                    <w:tr2bl w:val="nil"/>
                  </w:tcBorders>
                  <w:vAlign w:val="center"/>
                </w:tcPr>
                <w:p w14:paraId="1A97DD43">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水泥制造</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3011</w:t>
                  </w:r>
                  <w:r>
                    <w:rPr>
                      <w:rFonts w:hint="default" w:ascii="Times New Roman" w:hAnsi="Times New Roman" w:eastAsia="宋体" w:cs="Times New Roman"/>
                      <w:color w:val="auto"/>
                      <w:spacing w:val="3"/>
                      <w:sz w:val="21"/>
                      <w:szCs w:val="21"/>
                      <w:lang w:eastAsia="zh-CN"/>
                    </w:rPr>
                    <w:t>）</w:t>
                  </w:r>
                </w:p>
              </w:tc>
              <w:tc>
                <w:tcPr>
                  <w:tcW w:w="1734" w:type="pct"/>
                  <w:tcBorders>
                    <w:tl2br w:val="nil"/>
                    <w:tr2bl w:val="nil"/>
                  </w:tcBorders>
                  <w:vAlign w:val="center"/>
                </w:tcPr>
                <w:p w14:paraId="0AE35297">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水泥熟料</w:t>
                  </w:r>
                </w:p>
              </w:tc>
              <w:tc>
                <w:tcPr>
                  <w:tcW w:w="1093" w:type="pct"/>
                  <w:tcBorders>
                    <w:tl2br w:val="nil"/>
                    <w:tr2bl w:val="nil"/>
                  </w:tcBorders>
                  <w:vAlign w:val="center"/>
                </w:tcPr>
                <w:p w14:paraId="28F1A736">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水泥窑</w:t>
                  </w:r>
                </w:p>
              </w:tc>
              <w:tc>
                <w:tcPr>
                  <w:tcW w:w="682" w:type="pct"/>
                  <w:vMerge w:val="continue"/>
                  <w:tcBorders>
                    <w:tl2br w:val="nil"/>
                    <w:tr2bl w:val="nil"/>
                  </w:tcBorders>
                  <w:vAlign w:val="center"/>
                </w:tcPr>
                <w:p w14:paraId="7E7622A4">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34E437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3" w:type="pct"/>
                  <w:vMerge w:val="continue"/>
                  <w:tcBorders>
                    <w:tl2br w:val="nil"/>
                    <w:tr2bl w:val="nil"/>
                  </w:tcBorders>
                  <w:vAlign w:val="center"/>
                </w:tcPr>
                <w:p w14:paraId="27492BA3">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7029B55E">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石灰和石膏制造</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3012</w:t>
                  </w:r>
                  <w:r>
                    <w:rPr>
                      <w:rFonts w:hint="default" w:ascii="Times New Roman" w:hAnsi="Times New Roman" w:eastAsia="宋体" w:cs="Times New Roman"/>
                      <w:color w:val="auto"/>
                      <w:spacing w:val="-5"/>
                      <w:sz w:val="21"/>
                      <w:szCs w:val="21"/>
                      <w:lang w:eastAsia="zh-CN"/>
                    </w:rPr>
                    <w:t>）</w:t>
                  </w:r>
                </w:p>
              </w:tc>
              <w:tc>
                <w:tcPr>
                  <w:tcW w:w="1734" w:type="pct"/>
                  <w:tcBorders>
                    <w:tl2br w:val="nil"/>
                    <w:tr2bl w:val="nil"/>
                  </w:tcBorders>
                  <w:vAlign w:val="center"/>
                </w:tcPr>
                <w:p w14:paraId="2018FC45">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石灰</w:t>
                  </w:r>
                </w:p>
              </w:tc>
              <w:tc>
                <w:tcPr>
                  <w:tcW w:w="1093" w:type="pct"/>
                  <w:tcBorders>
                    <w:tl2br w:val="nil"/>
                    <w:tr2bl w:val="nil"/>
                  </w:tcBorders>
                  <w:vAlign w:val="center"/>
                </w:tcPr>
                <w:p w14:paraId="58EBD1D8">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石灰窑</w:t>
                  </w:r>
                </w:p>
              </w:tc>
              <w:tc>
                <w:tcPr>
                  <w:tcW w:w="682" w:type="pct"/>
                  <w:vMerge w:val="continue"/>
                  <w:tcBorders>
                    <w:tl2br w:val="nil"/>
                    <w:tr2bl w:val="nil"/>
                  </w:tcBorders>
                  <w:vAlign w:val="center"/>
                </w:tcPr>
                <w:p w14:paraId="04F9ACDD">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4EFC43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tcBorders>
                    <w:tl2br w:val="nil"/>
                    <w:tr2bl w:val="nil"/>
                  </w:tcBorders>
                  <w:vAlign w:val="center"/>
                </w:tcPr>
                <w:p w14:paraId="7C515B7A">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262FF5F2">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粘土砖瓦及建筑</w:t>
                  </w:r>
                  <w:r>
                    <w:rPr>
                      <w:rFonts w:hint="default" w:ascii="Times New Roman" w:hAnsi="Times New Roman" w:eastAsia="宋体" w:cs="Times New Roman"/>
                      <w:color w:val="auto"/>
                      <w:spacing w:val="3"/>
                      <w:sz w:val="21"/>
                      <w:szCs w:val="21"/>
                      <w:lang w:eastAsia="zh-CN"/>
                    </w:rPr>
                    <w:t>砌块制造（3031）</w:t>
                  </w:r>
                </w:p>
              </w:tc>
              <w:tc>
                <w:tcPr>
                  <w:tcW w:w="1734" w:type="pct"/>
                  <w:tcBorders>
                    <w:tl2br w:val="nil"/>
                    <w:tr2bl w:val="nil"/>
                  </w:tcBorders>
                  <w:vAlign w:val="center"/>
                </w:tcPr>
                <w:p w14:paraId="47ABC37A">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烧结砖、烧结瓦（不包括资源综合利用烧结</w:t>
                  </w:r>
                  <w:r>
                    <w:rPr>
                      <w:rFonts w:hint="default" w:ascii="Times New Roman" w:hAnsi="Times New Roman" w:eastAsia="宋体" w:cs="Times New Roman"/>
                      <w:color w:val="auto"/>
                      <w:spacing w:val="12"/>
                      <w:sz w:val="21"/>
                      <w:szCs w:val="21"/>
                      <w:lang w:eastAsia="zh-CN"/>
                    </w:rPr>
                    <w:t>砖瓦）</w:t>
                  </w:r>
                </w:p>
              </w:tc>
              <w:tc>
                <w:tcPr>
                  <w:tcW w:w="1093" w:type="pct"/>
                  <w:tcBorders>
                    <w:tl2br w:val="nil"/>
                    <w:tr2bl w:val="nil"/>
                  </w:tcBorders>
                  <w:vAlign w:val="center"/>
                </w:tcPr>
                <w:p w14:paraId="0E5892B1">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砖瓦窑</w:t>
                  </w:r>
                </w:p>
              </w:tc>
              <w:tc>
                <w:tcPr>
                  <w:tcW w:w="682" w:type="pct"/>
                  <w:vMerge w:val="continue"/>
                  <w:tcBorders>
                    <w:tl2br w:val="nil"/>
                    <w:tr2bl w:val="nil"/>
                  </w:tcBorders>
                  <w:vAlign w:val="center"/>
                </w:tcPr>
                <w:p w14:paraId="24CF7B03">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23775F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tcBorders>
                    <w:tl2br w:val="nil"/>
                    <w:tr2bl w:val="nil"/>
                  </w:tcBorders>
                  <w:vAlign w:val="center"/>
                </w:tcPr>
                <w:p w14:paraId="7F8FB11C">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77B62483">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平板玻璃制造</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3041</w:t>
                  </w:r>
                  <w:r>
                    <w:rPr>
                      <w:rFonts w:hint="default" w:ascii="Times New Roman" w:hAnsi="Times New Roman" w:eastAsia="宋体" w:cs="Times New Roman"/>
                      <w:color w:val="auto"/>
                      <w:spacing w:val="-5"/>
                      <w:sz w:val="21"/>
                      <w:szCs w:val="21"/>
                      <w:lang w:eastAsia="zh-CN"/>
                    </w:rPr>
                    <w:t>）</w:t>
                  </w:r>
                </w:p>
              </w:tc>
              <w:tc>
                <w:tcPr>
                  <w:tcW w:w="1734" w:type="pct"/>
                  <w:tcBorders>
                    <w:tl2br w:val="nil"/>
                    <w:tr2bl w:val="nil"/>
                  </w:tcBorders>
                  <w:vAlign w:val="center"/>
                </w:tcPr>
                <w:p w14:paraId="2CE166CD">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浮法平板玻璃（不包括基板玻璃）、压延玻璃</w:t>
                  </w:r>
                  <w:r>
                    <w:rPr>
                      <w:rFonts w:hint="default" w:ascii="Times New Roman" w:hAnsi="Times New Roman" w:eastAsia="宋体" w:cs="Times New Roman"/>
                      <w:color w:val="auto"/>
                      <w:spacing w:val="1"/>
                      <w:sz w:val="21"/>
                      <w:szCs w:val="21"/>
                      <w:lang w:eastAsia="zh-CN"/>
                    </w:rPr>
                    <w:t>（不包括光伏压延玻</w:t>
                  </w:r>
                  <w:r>
                    <w:rPr>
                      <w:rFonts w:hint="default" w:ascii="Times New Roman" w:hAnsi="Times New Roman" w:eastAsia="宋体" w:cs="Times New Roman"/>
                      <w:color w:val="auto"/>
                      <w:spacing w:val="5"/>
                      <w:sz w:val="21"/>
                      <w:szCs w:val="21"/>
                      <w:lang w:eastAsia="zh-CN"/>
                    </w:rPr>
                    <w:t>璃、微晶玻璃）</w:t>
                  </w:r>
                </w:p>
              </w:tc>
              <w:tc>
                <w:tcPr>
                  <w:tcW w:w="1093" w:type="pct"/>
                  <w:tcBorders>
                    <w:tl2br w:val="nil"/>
                    <w:tr2bl w:val="nil"/>
                  </w:tcBorders>
                  <w:vAlign w:val="center"/>
                </w:tcPr>
                <w:p w14:paraId="7B9A9A52">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玻璃窑炉</w:t>
                  </w:r>
                </w:p>
              </w:tc>
              <w:tc>
                <w:tcPr>
                  <w:tcW w:w="682" w:type="pct"/>
                  <w:vMerge w:val="continue"/>
                  <w:tcBorders>
                    <w:tl2br w:val="nil"/>
                    <w:tr2bl w:val="nil"/>
                  </w:tcBorders>
                  <w:vAlign w:val="center"/>
                </w:tcPr>
                <w:p w14:paraId="243F90B4">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0D3878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tcBorders>
                    <w:tl2br w:val="nil"/>
                    <w:tr2bl w:val="nil"/>
                  </w:tcBorders>
                  <w:vAlign w:val="center"/>
                </w:tcPr>
                <w:p w14:paraId="605AF4DA">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0576C432">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玻璃纤维及制品</w:t>
                  </w:r>
                  <w:r>
                    <w:rPr>
                      <w:rFonts w:hint="default" w:ascii="Times New Roman" w:hAnsi="Times New Roman" w:eastAsia="宋体" w:cs="Times New Roman"/>
                      <w:color w:val="auto"/>
                      <w:spacing w:val="4"/>
                      <w:sz w:val="21"/>
                      <w:szCs w:val="21"/>
                      <w:lang w:eastAsia="zh-CN"/>
                    </w:rPr>
                    <w:t>制造（3061）</w:t>
                  </w:r>
                </w:p>
              </w:tc>
              <w:tc>
                <w:tcPr>
                  <w:tcW w:w="1734" w:type="pct"/>
                  <w:tcBorders>
                    <w:tl2br w:val="nil"/>
                    <w:tr2bl w:val="nil"/>
                  </w:tcBorders>
                  <w:vAlign w:val="center"/>
                </w:tcPr>
                <w:p w14:paraId="0FA4BC86">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玻璃纤维（《产业结构</w:t>
                  </w:r>
                  <w:r>
                    <w:rPr>
                      <w:rFonts w:hint="default" w:ascii="Times New Roman" w:hAnsi="Times New Roman" w:eastAsia="宋体" w:cs="Times New Roman"/>
                      <w:color w:val="auto"/>
                      <w:sz w:val="21"/>
                      <w:szCs w:val="21"/>
                      <w:lang w:eastAsia="zh-CN"/>
                    </w:rPr>
                    <w:t xml:space="preserve"> </w:t>
                  </w:r>
                  <w:r>
                    <w:rPr>
                      <w:rFonts w:hint="default" w:ascii="Times New Roman" w:hAnsi="Times New Roman" w:eastAsia="宋体" w:cs="Times New Roman"/>
                      <w:color w:val="auto"/>
                      <w:spacing w:val="5"/>
                      <w:sz w:val="21"/>
                      <w:szCs w:val="21"/>
                      <w:lang w:eastAsia="zh-CN"/>
                    </w:rPr>
                    <w:t>调整指导目录（2024</w:t>
                  </w:r>
                  <w:r>
                    <w:rPr>
                      <w:rFonts w:hint="default" w:ascii="Times New Roman" w:hAnsi="Times New Roman" w:eastAsia="宋体" w:cs="Times New Roman"/>
                      <w:color w:val="auto"/>
                      <w:spacing w:val="-1"/>
                      <w:sz w:val="21"/>
                      <w:szCs w:val="21"/>
                      <w:lang w:eastAsia="zh-CN"/>
                    </w:rPr>
                    <w:t>年本）》中鼓励类池窑拉丝、高性能及特种玻</w:t>
                  </w:r>
                  <w:r>
                    <w:rPr>
                      <w:rFonts w:hint="default" w:ascii="Times New Roman" w:hAnsi="Times New Roman" w:eastAsia="宋体" w:cs="Times New Roman"/>
                      <w:color w:val="auto"/>
                      <w:spacing w:val="3"/>
                      <w:sz w:val="21"/>
                      <w:szCs w:val="21"/>
                      <w:lang w:eastAsia="zh-CN"/>
                    </w:rPr>
                    <w:t>璃纤维制造除外）</w:t>
                  </w:r>
                </w:p>
              </w:tc>
              <w:tc>
                <w:tcPr>
                  <w:tcW w:w="1093" w:type="pct"/>
                  <w:tcBorders>
                    <w:tl2br w:val="nil"/>
                    <w:tr2bl w:val="nil"/>
                  </w:tcBorders>
                  <w:vAlign w:val="center"/>
                </w:tcPr>
                <w:p w14:paraId="44A35A10">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玻璃纤维熔</w:t>
                  </w:r>
                  <w:r>
                    <w:rPr>
                      <w:rFonts w:hint="default" w:ascii="Times New Roman" w:hAnsi="Times New Roman" w:eastAsia="宋体" w:cs="Times New Roman"/>
                      <w:color w:val="auto"/>
                      <w:sz w:val="21"/>
                      <w:szCs w:val="21"/>
                    </w:rPr>
                    <w:t>炉</w:t>
                  </w:r>
                </w:p>
              </w:tc>
              <w:tc>
                <w:tcPr>
                  <w:tcW w:w="682" w:type="pct"/>
                  <w:vMerge w:val="continue"/>
                  <w:tcBorders>
                    <w:tl2br w:val="nil"/>
                    <w:tr2bl w:val="nil"/>
                  </w:tcBorders>
                  <w:vAlign w:val="center"/>
                </w:tcPr>
                <w:p w14:paraId="2C21E303">
                  <w:pPr>
                    <w:pStyle w:val="76"/>
                    <w:widowControl/>
                    <w:adjustRightInd w:val="0"/>
                    <w:snapToGrid w:val="0"/>
                    <w:jc w:val="center"/>
                    <w:rPr>
                      <w:rFonts w:hint="default" w:ascii="Times New Roman" w:hAnsi="Times New Roman" w:eastAsia="宋体" w:cs="Times New Roman"/>
                      <w:color w:val="auto"/>
                      <w:sz w:val="21"/>
                      <w:szCs w:val="21"/>
                    </w:rPr>
                  </w:pPr>
                </w:p>
              </w:tc>
            </w:tr>
            <w:tr w14:paraId="79BF5D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tcBorders>
                    <w:tl2br w:val="nil"/>
                    <w:tr2bl w:val="nil"/>
                  </w:tcBorders>
                  <w:vAlign w:val="center"/>
                </w:tcPr>
                <w:p w14:paraId="63AF7AD7">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02D9E194">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建筑陶瓷制品制</w:t>
                  </w:r>
                  <w:r>
                    <w:rPr>
                      <w:rFonts w:hint="default" w:ascii="Times New Roman" w:hAnsi="Times New Roman" w:eastAsia="宋体" w:cs="Times New Roman"/>
                      <w:color w:val="auto"/>
                      <w:spacing w:val="4"/>
                      <w:sz w:val="21"/>
                      <w:szCs w:val="21"/>
                    </w:rPr>
                    <w:t>造</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3071</w:t>
                  </w:r>
                  <w:r>
                    <w:rPr>
                      <w:rFonts w:hint="default" w:ascii="Times New Roman" w:hAnsi="Times New Roman" w:eastAsia="宋体" w:cs="Times New Roman"/>
                      <w:color w:val="auto"/>
                      <w:spacing w:val="4"/>
                      <w:sz w:val="21"/>
                      <w:szCs w:val="21"/>
                      <w:lang w:eastAsia="zh-CN"/>
                    </w:rPr>
                    <w:t>）</w:t>
                  </w:r>
                </w:p>
              </w:tc>
              <w:tc>
                <w:tcPr>
                  <w:tcW w:w="1734" w:type="pct"/>
                  <w:tcBorders>
                    <w:tl2br w:val="nil"/>
                    <w:tr2bl w:val="nil"/>
                  </w:tcBorders>
                  <w:vAlign w:val="center"/>
                </w:tcPr>
                <w:p w14:paraId="1770DEB0">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建筑陶瓷（不包括非经</w:t>
                  </w:r>
                  <w:r>
                    <w:rPr>
                      <w:rFonts w:hint="default" w:ascii="Times New Roman" w:hAnsi="Times New Roman" w:eastAsia="宋体" w:cs="Times New Roman"/>
                      <w:color w:val="auto"/>
                      <w:spacing w:val="-2"/>
                      <w:sz w:val="21"/>
                      <w:szCs w:val="21"/>
                      <w:lang w:eastAsia="zh-CN"/>
                    </w:rPr>
                    <w:t>高温烧结的发泡陶瓷</w:t>
                  </w:r>
                  <w:r>
                    <w:rPr>
                      <w:rFonts w:hint="default" w:ascii="Times New Roman" w:hAnsi="Times New Roman" w:eastAsia="宋体" w:cs="Times New Roman"/>
                      <w:color w:val="auto"/>
                      <w:spacing w:val="7"/>
                      <w:sz w:val="21"/>
                      <w:szCs w:val="21"/>
                      <w:lang w:eastAsia="zh-CN"/>
                    </w:rPr>
                    <w:t xml:space="preserve"> </w:t>
                  </w:r>
                  <w:r>
                    <w:rPr>
                      <w:rFonts w:hint="default" w:ascii="Times New Roman" w:hAnsi="Times New Roman" w:eastAsia="宋体" w:cs="Times New Roman"/>
                      <w:color w:val="auto"/>
                      <w:spacing w:val="12"/>
                      <w:sz w:val="21"/>
                      <w:szCs w:val="21"/>
                      <w:lang w:eastAsia="zh-CN"/>
                    </w:rPr>
                    <w:t>板等）</w:t>
                  </w:r>
                </w:p>
              </w:tc>
              <w:tc>
                <w:tcPr>
                  <w:tcW w:w="1093" w:type="pct"/>
                  <w:tcBorders>
                    <w:tl2br w:val="nil"/>
                    <w:tr2bl w:val="nil"/>
                  </w:tcBorders>
                  <w:vAlign w:val="center"/>
                </w:tcPr>
                <w:p w14:paraId="0406D0B5">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窑炉</w:t>
                  </w:r>
                </w:p>
              </w:tc>
              <w:tc>
                <w:tcPr>
                  <w:tcW w:w="682" w:type="pct"/>
                  <w:vMerge w:val="continue"/>
                  <w:tcBorders>
                    <w:tl2br w:val="nil"/>
                    <w:tr2bl w:val="nil"/>
                  </w:tcBorders>
                  <w:vAlign w:val="center"/>
                </w:tcPr>
                <w:p w14:paraId="2F067DD5">
                  <w:pPr>
                    <w:pStyle w:val="76"/>
                    <w:widowControl/>
                    <w:adjustRightInd w:val="0"/>
                    <w:snapToGrid w:val="0"/>
                    <w:jc w:val="center"/>
                    <w:rPr>
                      <w:rFonts w:hint="default" w:ascii="Times New Roman" w:hAnsi="Times New Roman" w:eastAsia="宋体" w:cs="Times New Roman"/>
                      <w:color w:val="auto"/>
                      <w:spacing w:val="5"/>
                      <w:sz w:val="21"/>
                      <w:szCs w:val="21"/>
                    </w:rPr>
                  </w:pPr>
                </w:p>
              </w:tc>
            </w:tr>
            <w:tr w14:paraId="2784B2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tcBorders>
                    <w:tl2br w:val="nil"/>
                    <w:tr2bl w:val="nil"/>
                  </w:tcBorders>
                  <w:vAlign w:val="center"/>
                </w:tcPr>
                <w:p w14:paraId="731FB818">
                  <w:pPr>
                    <w:widowControl/>
                    <w:adjustRightInd w:val="0"/>
                    <w:snapToGrid w:val="0"/>
                    <w:jc w:val="center"/>
                    <w:rPr>
                      <w:rFonts w:hint="default" w:ascii="Times New Roman" w:hAnsi="Times New Roman" w:eastAsia="宋体" w:cs="Times New Roman"/>
                      <w:color w:val="auto"/>
                      <w:sz w:val="21"/>
                      <w:szCs w:val="21"/>
                    </w:rPr>
                  </w:pPr>
                </w:p>
              </w:tc>
              <w:tc>
                <w:tcPr>
                  <w:tcW w:w="806" w:type="pct"/>
                  <w:tcBorders>
                    <w:tl2br w:val="nil"/>
                    <w:tr2bl w:val="nil"/>
                  </w:tcBorders>
                  <w:vAlign w:val="center"/>
                </w:tcPr>
                <w:p w14:paraId="0B98B8D3">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卫生陶瓷制品制</w:t>
                  </w:r>
                  <w:r>
                    <w:rPr>
                      <w:rFonts w:hint="default" w:ascii="Times New Roman" w:hAnsi="Times New Roman" w:eastAsia="宋体" w:cs="Times New Roman"/>
                      <w:color w:val="auto"/>
                      <w:spacing w:val="4"/>
                      <w:sz w:val="21"/>
                      <w:szCs w:val="21"/>
                      <w:lang w:eastAsia="zh-CN"/>
                    </w:rPr>
                    <w:t>造（3072）</w:t>
                  </w:r>
                </w:p>
              </w:tc>
              <w:tc>
                <w:tcPr>
                  <w:tcW w:w="1734" w:type="pct"/>
                  <w:tcBorders>
                    <w:tl2br w:val="nil"/>
                    <w:tr2bl w:val="nil"/>
                  </w:tcBorders>
                  <w:vAlign w:val="center"/>
                </w:tcPr>
                <w:p w14:paraId="22E50514">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卫生陶瓷</w:t>
                  </w:r>
                </w:p>
              </w:tc>
              <w:tc>
                <w:tcPr>
                  <w:tcW w:w="1093" w:type="pct"/>
                  <w:tcBorders>
                    <w:tl2br w:val="nil"/>
                    <w:tr2bl w:val="nil"/>
                  </w:tcBorders>
                  <w:vAlign w:val="center"/>
                </w:tcPr>
                <w:p w14:paraId="7D4E465F">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窑炉</w:t>
                  </w:r>
                </w:p>
              </w:tc>
              <w:tc>
                <w:tcPr>
                  <w:tcW w:w="682" w:type="pct"/>
                  <w:vMerge w:val="continue"/>
                  <w:tcBorders>
                    <w:tl2br w:val="nil"/>
                    <w:tr2bl w:val="nil"/>
                  </w:tcBorders>
                  <w:vAlign w:val="center"/>
                </w:tcPr>
                <w:p w14:paraId="44059CA9">
                  <w:pPr>
                    <w:pStyle w:val="76"/>
                    <w:widowControl/>
                    <w:adjustRightInd w:val="0"/>
                    <w:snapToGrid w:val="0"/>
                    <w:jc w:val="center"/>
                    <w:rPr>
                      <w:rFonts w:hint="default" w:ascii="Times New Roman" w:hAnsi="Times New Roman" w:eastAsia="宋体" w:cs="Times New Roman"/>
                      <w:color w:val="auto"/>
                      <w:spacing w:val="5"/>
                      <w:sz w:val="21"/>
                      <w:szCs w:val="21"/>
                    </w:rPr>
                  </w:pPr>
                </w:p>
              </w:tc>
            </w:tr>
            <w:tr w14:paraId="1AFA47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13408BE9">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12F7A3CB">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耐火陶瓷制品及其他耐火材料制</w:t>
                  </w:r>
                  <w:r>
                    <w:rPr>
                      <w:rFonts w:hint="default" w:ascii="Times New Roman" w:hAnsi="Times New Roman" w:eastAsia="宋体" w:cs="Times New Roman"/>
                      <w:color w:val="auto"/>
                      <w:spacing w:val="4"/>
                      <w:sz w:val="21"/>
                      <w:szCs w:val="21"/>
                    </w:rPr>
                    <w:t>造</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3089</w:t>
                  </w:r>
                  <w:r>
                    <w:rPr>
                      <w:rFonts w:hint="default" w:ascii="Times New Roman" w:hAnsi="Times New Roman" w:eastAsia="宋体" w:cs="Times New Roman"/>
                      <w:color w:val="auto"/>
                      <w:spacing w:val="4"/>
                      <w:sz w:val="21"/>
                      <w:szCs w:val="21"/>
                      <w:lang w:eastAsia="zh-CN"/>
                    </w:rPr>
                    <w:t>）</w:t>
                  </w:r>
                </w:p>
              </w:tc>
              <w:tc>
                <w:tcPr>
                  <w:tcW w:w="1734" w:type="pct"/>
                  <w:vAlign w:val="center"/>
                </w:tcPr>
                <w:p w14:paraId="41D9AFFC">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耐火材料</w:t>
                  </w:r>
                </w:p>
              </w:tc>
              <w:tc>
                <w:tcPr>
                  <w:tcW w:w="1093" w:type="pct"/>
                  <w:vAlign w:val="center"/>
                </w:tcPr>
                <w:p w14:paraId="1EA2F6B1">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耐火材料高温窑炉</w:t>
                  </w:r>
                </w:p>
              </w:tc>
              <w:tc>
                <w:tcPr>
                  <w:tcW w:w="682" w:type="pct"/>
                  <w:vMerge w:val="continue"/>
                  <w:vAlign w:val="center"/>
                </w:tcPr>
                <w:p w14:paraId="5529E613">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37F580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5CD1A246">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03060BF9">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rPr>
                    <w:t>石墨及碳素制品</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4"/>
                      <w:sz w:val="21"/>
                      <w:szCs w:val="21"/>
                    </w:rPr>
                    <w:t>制造</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3091</w:t>
                  </w:r>
                  <w:r>
                    <w:rPr>
                      <w:rFonts w:hint="default" w:ascii="Times New Roman" w:hAnsi="Times New Roman" w:eastAsia="宋体" w:cs="Times New Roman"/>
                      <w:color w:val="auto"/>
                      <w:spacing w:val="4"/>
                      <w:sz w:val="21"/>
                      <w:szCs w:val="21"/>
                      <w:lang w:eastAsia="zh-CN"/>
                    </w:rPr>
                    <w:t>）</w:t>
                  </w:r>
                </w:p>
              </w:tc>
              <w:tc>
                <w:tcPr>
                  <w:tcW w:w="1734" w:type="pct"/>
                  <w:vAlign w:val="center"/>
                </w:tcPr>
                <w:p w14:paraId="040F5E55">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碳块、碳电极、碳糊、</w:t>
                  </w:r>
                </w:p>
                <w:p w14:paraId="26612461">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铝用炭素（不包括天然</w:t>
                  </w:r>
                  <w:r>
                    <w:rPr>
                      <w:rFonts w:hint="default" w:ascii="Times New Roman" w:hAnsi="Times New Roman" w:eastAsia="宋体" w:cs="Times New Roman"/>
                      <w:color w:val="auto"/>
                      <w:spacing w:val="2"/>
                      <w:sz w:val="21"/>
                      <w:szCs w:val="21"/>
                      <w:lang w:eastAsia="zh-CN"/>
                    </w:rPr>
                    <w:t xml:space="preserve"> </w:t>
                  </w:r>
                  <w:r>
                    <w:rPr>
                      <w:rFonts w:hint="default" w:ascii="Times New Roman" w:hAnsi="Times New Roman" w:eastAsia="宋体" w:cs="Times New Roman"/>
                      <w:color w:val="auto"/>
                      <w:spacing w:val="4"/>
                      <w:sz w:val="21"/>
                      <w:szCs w:val="21"/>
                      <w:lang w:eastAsia="zh-CN"/>
                    </w:rPr>
                    <w:t>石墨及制品）</w:t>
                  </w:r>
                </w:p>
              </w:tc>
              <w:tc>
                <w:tcPr>
                  <w:tcW w:w="1093" w:type="pct"/>
                  <w:vAlign w:val="center"/>
                </w:tcPr>
                <w:p w14:paraId="6E98B29F">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煅烧炉、焙烧</w:t>
                  </w:r>
                  <w:r>
                    <w:rPr>
                      <w:rFonts w:hint="default" w:ascii="Times New Roman" w:hAnsi="Times New Roman" w:eastAsia="宋体" w:cs="Times New Roman"/>
                      <w:color w:val="auto"/>
                      <w:spacing w:val="-2"/>
                      <w:sz w:val="21"/>
                      <w:szCs w:val="21"/>
                      <w:lang w:eastAsia="zh-CN"/>
                    </w:rPr>
                    <w:t>炉、石墨化炉</w:t>
                  </w:r>
                </w:p>
              </w:tc>
              <w:tc>
                <w:tcPr>
                  <w:tcW w:w="682" w:type="pct"/>
                  <w:vMerge w:val="continue"/>
                  <w:vAlign w:val="center"/>
                </w:tcPr>
                <w:p w14:paraId="5CE35F2B">
                  <w:pPr>
                    <w:pStyle w:val="76"/>
                    <w:widowControl/>
                    <w:adjustRightInd w:val="0"/>
                    <w:snapToGrid w:val="0"/>
                    <w:jc w:val="center"/>
                    <w:rPr>
                      <w:rFonts w:hint="default" w:ascii="Times New Roman" w:hAnsi="Times New Roman" w:eastAsia="宋体" w:cs="Times New Roman"/>
                      <w:color w:val="auto"/>
                      <w:spacing w:val="-2"/>
                      <w:sz w:val="21"/>
                      <w:szCs w:val="21"/>
                      <w:lang w:eastAsia="zh-CN"/>
                    </w:rPr>
                  </w:pPr>
                </w:p>
              </w:tc>
            </w:tr>
            <w:tr w14:paraId="5FA82F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61BC26E2">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069CF45A">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其他非金属矿物</w:t>
                  </w:r>
                  <w:r>
                    <w:rPr>
                      <w:rFonts w:hint="default" w:ascii="Times New Roman" w:hAnsi="Times New Roman" w:eastAsia="宋体" w:cs="Times New Roman"/>
                      <w:color w:val="auto"/>
                      <w:spacing w:val="3"/>
                      <w:sz w:val="21"/>
                      <w:szCs w:val="21"/>
                      <w:lang w:eastAsia="zh-CN"/>
                    </w:rPr>
                    <w:t>制品制造（3099）</w:t>
                  </w:r>
                </w:p>
              </w:tc>
              <w:tc>
                <w:tcPr>
                  <w:tcW w:w="1734" w:type="pct"/>
                  <w:vAlign w:val="center"/>
                </w:tcPr>
                <w:p w14:paraId="3371DE5D">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多晶硅（高纯多晶硅除</w:t>
                  </w:r>
                  <w:r>
                    <w:rPr>
                      <w:rFonts w:hint="default" w:ascii="Times New Roman" w:hAnsi="Times New Roman" w:eastAsia="宋体" w:cs="Times New Roman"/>
                      <w:color w:val="auto"/>
                      <w:spacing w:val="-1"/>
                      <w:sz w:val="21"/>
                      <w:szCs w:val="21"/>
                      <w:lang w:eastAsia="zh-CN"/>
                    </w:rPr>
                    <w:t>外）、单晶硅（高效单</w:t>
                  </w:r>
                  <w:r>
                    <w:rPr>
                      <w:rFonts w:hint="default" w:ascii="Times New Roman" w:hAnsi="Times New Roman" w:eastAsia="宋体" w:cs="Times New Roman"/>
                      <w:color w:val="auto"/>
                      <w:sz w:val="21"/>
                      <w:szCs w:val="21"/>
                      <w:lang w:eastAsia="zh-CN"/>
                    </w:rPr>
                    <w:t>晶硅棒、高效单晶硅</w:t>
                  </w:r>
                  <w:r>
                    <w:rPr>
                      <w:rFonts w:hint="default" w:ascii="Times New Roman" w:hAnsi="Times New Roman" w:eastAsia="宋体" w:cs="Times New Roman"/>
                      <w:color w:val="auto"/>
                      <w:spacing w:val="1"/>
                      <w:sz w:val="21"/>
                      <w:szCs w:val="21"/>
                      <w:lang w:eastAsia="zh-CN"/>
                    </w:rPr>
                    <w:t>片、直径200</w:t>
                  </w:r>
                  <w:r>
                    <w:rPr>
                      <w:rFonts w:hint="default" w:ascii="Times New Roman" w:hAnsi="Times New Roman" w:eastAsia="宋体" w:cs="Times New Roman"/>
                      <w:color w:val="auto"/>
                      <w:sz w:val="21"/>
                      <w:szCs w:val="21"/>
                      <w:lang w:eastAsia="zh-CN"/>
                    </w:rPr>
                    <w:t>mm</w:t>
                  </w:r>
                  <w:r>
                    <w:rPr>
                      <w:rFonts w:hint="default" w:ascii="Times New Roman" w:hAnsi="Times New Roman" w:eastAsia="宋体" w:cs="Times New Roman"/>
                      <w:color w:val="auto"/>
                      <w:spacing w:val="1"/>
                      <w:sz w:val="21"/>
                      <w:szCs w:val="21"/>
                      <w:lang w:eastAsia="zh-CN"/>
                    </w:rPr>
                    <w:t>以上</w:t>
                  </w:r>
                  <w:r>
                    <w:rPr>
                      <w:rFonts w:hint="default" w:ascii="Times New Roman" w:hAnsi="Times New Roman" w:eastAsia="宋体" w:cs="Times New Roman"/>
                      <w:color w:val="auto"/>
                      <w:spacing w:val="4"/>
                      <w:sz w:val="21"/>
                      <w:szCs w:val="21"/>
                      <w:lang w:eastAsia="zh-CN"/>
                    </w:rPr>
                    <w:t>硅单晶除外）</w:t>
                  </w:r>
                </w:p>
              </w:tc>
              <w:tc>
                <w:tcPr>
                  <w:tcW w:w="1093" w:type="pct"/>
                  <w:vAlign w:val="center"/>
                </w:tcPr>
                <w:p w14:paraId="77143630">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单晶炉、还原炉、精馏塔</w:t>
                  </w:r>
                </w:p>
              </w:tc>
              <w:tc>
                <w:tcPr>
                  <w:tcW w:w="682" w:type="pct"/>
                  <w:vMerge w:val="continue"/>
                  <w:vAlign w:val="center"/>
                </w:tcPr>
                <w:p w14:paraId="30DFEB99">
                  <w:pPr>
                    <w:pStyle w:val="76"/>
                    <w:widowControl/>
                    <w:adjustRightInd w:val="0"/>
                    <w:snapToGrid w:val="0"/>
                    <w:jc w:val="center"/>
                    <w:rPr>
                      <w:rFonts w:hint="default" w:ascii="Times New Roman" w:hAnsi="Times New Roman" w:eastAsia="宋体" w:cs="Times New Roman"/>
                      <w:color w:val="auto"/>
                      <w:spacing w:val="-2"/>
                      <w:sz w:val="21"/>
                      <w:szCs w:val="21"/>
                      <w:lang w:eastAsia="zh-CN"/>
                    </w:rPr>
                  </w:pPr>
                </w:p>
              </w:tc>
            </w:tr>
            <w:tr w14:paraId="70861B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restart"/>
                  <w:vAlign w:val="center"/>
                </w:tcPr>
                <w:p w14:paraId="6CEA57E8">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黑色金属冶</w:t>
                  </w:r>
                  <w:r>
                    <w:rPr>
                      <w:rFonts w:hint="default" w:ascii="Times New Roman" w:hAnsi="Times New Roman" w:eastAsia="宋体" w:cs="Times New Roman"/>
                      <w:color w:val="auto"/>
                      <w:spacing w:val="-2"/>
                      <w:sz w:val="21"/>
                      <w:szCs w:val="21"/>
                      <w:lang w:eastAsia="zh-CN"/>
                    </w:rPr>
                    <w:t>炼和压延加</w:t>
                  </w:r>
                  <w:r>
                    <w:rPr>
                      <w:rFonts w:hint="default" w:ascii="Times New Roman" w:hAnsi="Times New Roman" w:eastAsia="宋体" w:cs="Times New Roman"/>
                      <w:color w:val="auto"/>
                      <w:spacing w:val="5"/>
                      <w:sz w:val="21"/>
                      <w:szCs w:val="21"/>
                      <w:lang w:eastAsia="zh-CN"/>
                    </w:rPr>
                    <w:t>工业（31）</w:t>
                  </w:r>
                </w:p>
              </w:tc>
              <w:tc>
                <w:tcPr>
                  <w:tcW w:w="806" w:type="pct"/>
                  <w:vAlign w:val="center"/>
                </w:tcPr>
                <w:p w14:paraId="13C7647D">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sz w:val="21"/>
                      <w:szCs w:val="21"/>
                    </w:rPr>
                    <w:t>炼铁</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3110</w:t>
                  </w:r>
                  <w:r>
                    <w:rPr>
                      <w:rFonts w:hint="default" w:ascii="Times New Roman" w:hAnsi="Times New Roman" w:eastAsia="宋体" w:cs="Times New Roman"/>
                      <w:color w:val="auto"/>
                      <w:spacing w:val="4"/>
                      <w:sz w:val="21"/>
                      <w:szCs w:val="21"/>
                      <w:lang w:eastAsia="zh-CN"/>
                    </w:rPr>
                    <w:t>）</w:t>
                  </w:r>
                </w:p>
              </w:tc>
              <w:tc>
                <w:tcPr>
                  <w:tcW w:w="1734" w:type="pct"/>
                  <w:vAlign w:val="center"/>
                </w:tcPr>
                <w:p w14:paraId="323A4E08">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炼钢用生铁、熔融还原铁、铸造用生铁</w:t>
                  </w:r>
                </w:p>
              </w:tc>
              <w:tc>
                <w:tcPr>
                  <w:tcW w:w="1093" w:type="pct"/>
                  <w:vAlign w:val="center"/>
                </w:tcPr>
                <w:p w14:paraId="38F2575B">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高炉、非高炉</w:t>
                  </w:r>
                  <w:r>
                    <w:rPr>
                      <w:rFonts w:hint="default" w:ascii="Times New Roman" w:hAnsi="Times New Roman" w:eastAsia="宋体" w:cs="Times New Roman"/>
                      <w:color w:val="auto"/>
                      <w:spacing w:val="-2"/>
                      <w:sz w:val="21"/>
                      <w:szCs w:val="21"/>
                      <w:lang w:eastAsia="zh-CN"/>
                    </w:rPr>
                    <w:t>炼铁装置（氢</w:t>
                  </w:r>
                  <w:r>
                    <w:rPr>
                      <w:rFonts w:hint="default" w:ascii="Times New Roman" w:hAnsi="Times New Roman" w:eastAsia="宋体" w:cs="Times New Roman"/>
                      <w:color w:val="auto"/>
                      <w:spacing w:val="7"/>
                      <w:sz w:val="21"/>
                      <w:szCs w:val="21"/>
                      <w:lang w:eastAsia="zh-CN"/>
                    </w:rPr>
                    <w:t>还原除外）</w:t>
                  </w:r>
                </w:p>
              </w:tc>
              <w:tc>
                <w:tcPr>
                  <w:tcW w:w="682" w:type="pct"/>
                  <w:vMerge w:val="continue"/>
                  <w:vAlign w:val="center"/>
                </w:tcPr>
                <w:p w14:paraId="4F1B6C42">
                  <w:pPr>
                    <w:pStyle w:val="76"/>
                    <w:widowControl/>
                    <w:adjustRightInd w:val="0"/>
                    <w:snapToGrid w:val="0"/>
                    <w:jc w:val="center"/>
                    <w:rPr>
                      <w:rFonts w:hint="default" w:ascii="Times New Roman" w:hAnsi="Times New Roman" w:eastAsia="宋体" w:cs="Times New Roman"/>
                      <w:color w:val="auto"/>
                      <w:spacing w:val="-2"/>
                      <w:sz w:val="21"/>
                      <w:szCs w:val="21"/>
                      <w:lang w:eastAsia="zh-CN"/>
                    </w:rPr>
                  </w:pPr>
                </w:p>
              </w:tc>
            </w:tr>
            <w:tr w14:paraId="06149C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3930CEFB">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2A488B6E">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sz w:val="21"/>
                      <w:szCs w:val="21"/>
                    </w:rPr>
                    <w:t>炼钢</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3120</w:t>
                  </w:r>
                  <w:r>
                    <w:rPr>
                      <w:rFonts w:hint="default" w:ascii="Times New Roman" w:hAnsi="Times New Roman" w:eastAsia="宋体" w:cs="Times New Roman"/>
                      <w:color w:val="auto"/>
                      <w:spacing w:val="4"/>
                      <w:sz w:val="21"/>
                      <w:szCs w:val="21"/>
                      <w:lang w:eastAsia="zh-CN"/>
                    </w:rPr>
                    <w:t>）</w:t>
                  </w:r>
                </w:p>
              </w:tc>
              <w:tc>
                <w:tcPr>
                  <w:tcW w:w="1734" w:type="pct"/>
                  <w:vAlign w:val="center"/>
                </w:tcPr>
                <w:p w14:paraId="449EAA81">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非合金钢粗钢、低合金钢粗钢、合金钢粗钢</w:t>
                  </w:r>
                  <w:r>
                    <w:rPr>
                      <w:rFonts w:hint="default" w:ascii="Times New Roman" w:hAnsi="Times New Roman" w:eastAsia="宋体" w:cs="Times New Roman"/>
                      <w:color w:val="auto"/>
                      <w:spacing w:val="3"/>
                      <w:sz w:val="21"/>
                      <w:szCs w:val="21"/>
                      <w:lang w:eastAsia="zh-CN"/>
                    </w:rPr>
                    <w:t>（不包括短流程炼钢）</w:t>
                  </w:r>
                </w:p>
              </w:tc>
              <w:tc>
                <w:tcPr>
                  <w:tcW w:w="1093" w:type="pct"/>
                  <w:vAlign w:val="center"/>
                </w:tcPr>
                <w:p w14:paraId="3BAA8C74">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转炉</w:t>
                  </w:r>
                </w:p>
              </w:tc>
              <w:tc>
                <w:tcPr>
                  <w:tcW w:w="682" w:type="pct"/>
                  <w:vMerge w:val="continue"/>
                  <w:vAlign w:val="center"/>
                </w:tcPr>
                <w:p w14:paraId="013DB664">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45BD9D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107BD018">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5297FFDA">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钢压延加工</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3130</w:t>
                  </w:r>
                  <w:r>
                    <w:rPr>
                      <w:rFonts w:hint="default" w:ascii="Times New Roman" w:hAnsi="Times New Roman" w:eastAsia="宋体" w:cs="Times New Roman"/>
                      <w:color w:val="auto"/>
                      <w:spacing w:val="-5"/>
                      <w:sz w:val="21"/>
                      <w:szCs w:val="21"/>
                      <w:lang w:eastAsia="zh-CN"/>
                    </w:rPr>
                    <w:t>）</w:t>
                  </w:r>
                </w:p>
              </w:tc>
              <w:tc>
                <w:tcPr>
                  <w:tcW w:w="1734" w:type="pct"/>
                  <w:vAlign w:val="center"/>
                </w:tcPr>
                <w:p w14:paraId="456C7EFC">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列入《战略性新兴产业分类（2018）》重点产</w:t>
                  </w:r>
                  <w:r>
                    <w:rPr>
                      <w:rFonts w:hint="default" w:ascii="Times New Roman" w:hAnsi="Times New Roman" w:eastAsia="宋体" w:cs="Times New Roman"/>
                      <w:color w:val="auto"/>
                      <w:sz w:val="21"/>
                      <w:szCs w:val="21"/>
                      <w:lang w:eastAsia="zh-CN"/>
                    </w:rPr>
                    <w:t>品和服务目录的先进</w:t>
                  </w:r>
                </w:p>
                <w:p w14:paraId="5CBA5076">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钢铁材料制造除外；近</w:t>
                  </w:r>
                  <w:r>
                    <w:rPr>
                      <w:rFonts w:hint="default" w:ascii="Times New Roman" w:hAnsi="Times New Roman" w:eastAsia="宋体" w:cs="Times New Roman"/>
                      <w:color w:val="auto"/>
                      <w:spacing w:val="2"/>
                      <w:sz w:val="21"/>
                      <w:szCs w:val="21"/>
                      <w:lang w:eastAsia="zh-CN"/>
                    </w:rPr>
                    <w:t>终形铸轧一体化除外；</w:t>
                  </w:r>
                  <w:r>
                    <w:rPr>
                      <w:rFonts w:hint="default" w:ascii="Times New Roman" w:hAnsi="Times New Roman" w:eastAsia="宋体" w:cs="Times New Roman"/>
                      <w:color w:val="auto"/>
                      <w:spacing w:val="-1"/>
                      <w:sz w:val="21"/>
                      <w:szCs w:val="21"/>
                      <w:lang w:eastAsia="zh-CN"/>
                    </w:rPr>
                    <w:t>采用加热炉高效燃烧</w:t>
                  </w:r>
                  <w:r>
                    <w:rPr>
                      <w:rFonts w:hint="default" w:ascii="Times New Roman" w:hAnsi="Times New Roman" w:eastAsia="宋体" w:cs="Times New Roman"/>
                      <w:color w:val="auto"/>
                      <w:sz w:val="21"/>
                      <w:szCs w:val="21"/>
                      <w:lang w:eastAsia="zh-CN"/>
                    </w:rPr>
                    <w:t>（包括全氧、富氧、低</w:t>
                  </w:r>
                  <w:r>
                    <w:rPr>
                      <w:rFonts w:hint="default" w:ascii="Times New Roman" w:hAnsi="Times New Roman" w:eastAsia="宋体" w:cs="Times New Roman"/>
                      <w:color w:val="auto"/>
                      <w:spacing w:val="-1"/>
                      <w:sz w:val="21"/>
                      <w:szCs w:val="21"/>
                      <w:lang w:eastAsia="zh-CN"/>
                    </w:rPr>
                    <w:t>氮燃烧）的除外。</w:t>
                  </w:r>
                </w:p>
              </w:tc>
              <w:tc>
                <w:tcPr>
                  <w:tcW w:w="1093" w:type="pct"/>
                  <w:vAlign w:val="center"/>
                </w:tcPr>
                <w:p w14:paraId="172CC0FC">
                  <w:pPr>
                    <w:widowControl/>
                    <w:adjustRightInd w:val="0"/>
                    <w:snapToGrid w:val="0"/>
                    <w:jc w:val="center"/>
                    <w:rPr>
                      <w:rFonts w:hint="default" w:ascii="Times New Roman" w:hAnsi="Times New Roman" w:eastAsia="宋体" w:cs="Times New Roman"/>
                      <w:color w:val="auto"/>
                      <w:sz w:val="21"/>
                      <w:szCs w:val="21"/>
                    </w:rPr>
                  </w:pPr>
                </w:p>
                <w:p w14:paraId="79D43921">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2" w:type="pct"/>
                  <w:vMerge w:val="continue"/>
                  <w:vAlign w:val="center"/>
                </w:tcPr>
                <w:p w14:paraId="2E7A109B">
                  <w:pPr>
                    <w:pStyle w:val="76"/>
                    <w:widowControl/>
                    <w:adjustRightInd w:val="0"/>
                    <w:snapToGrid w:val="0"/>
                    <w:jc w:val="center"/>
                    <w:rPr>
                      <w:rFonts w:hint="default" w:ascii="Times New Roman" w:hAnsi="Times New Roman" w:eastAsia="宋体" w:cs="Times New Roman"/>
                      <w:color w:val="auto"/>
                      <w:sz w:val="21"/>
                      <w:szCs w:val="21"/>
                    </w:rPr>
                  </w:pPr>
                </w:p>
              </w:tc>
            </w:tr>
            <w:tr w14:paraId="5A23E2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29DE71D1">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5E204E7A">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rPr>
                    <w:t>铁合金冶炼</w:t>
                  </w:r>
                  <w:r>
                    <w:rPr>
                      <w:rFonts w:hint="default" w:ascii="Times New Roman" w:hAnsi="Times New Roman" w:eastAsia="宋体" w:cs="Times New Roman"/>
                      <w:color w:val="auto"/>
                      <w:spacing w:val="-5"/>
                      <w:sz w:val="21"/>
                      <w:szCs w:val="21"/>
                      <w:lang w:eastAsia="zh-CN"/>
                    </w:rPr>
                    <w:t>（</w:t>
                  </w:r>
                  <w:r>
                    <w:rPr>
                      <w:rFonts w:hint="default" w:ascii="Times New Roman" w:hAnsi="Times New Roman" w:eastAsia="宋体" w:cs="Times New Roman"/>
                      <w:color w:val="auto"/>
                      <w:spacing w:val="-5"/>
                      <w:sz w:val="21"/>
                      <w:szCs w:val="21"/>
                    </w:rPr>
                    <w:t>3140</w:t>
                  </w:r>
                  <w:r>
                    <w:rPr>
                      <w:rFonts w:hint="default" w:ascii="Times New Roman" w:hAnsi="Times New Roman" w:eastAsia="宋体" w:cs="Times New Roman"/>
                      <w:color w:val="auto"/>
                      <w:spacing w:val="-5"/>
                      <w:sz w:val="21"/>
                      <w:szCs w:val="21"/>
                      <w:lang w:eastAsia="zh-CN"/>
                    </w:rPr>
                    <w:t>）</w:t>
                  </w:r>
                </w:p>
              </w:tc>
              <w:tc>
                <w:tcPr>
                  <w:tcW w:w="1734" w:type="pct"/>
                  <w:vAlign w:val="center"/>
                </w:tcPr>
                <w:p w14:paraId="56BB3CA8">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硅铁、锰硅合金、高碳铬铁、镍铁及其他铁合</w:t>
                  </w:r>
                  <w:r>
                    <w:rPr>
                      <w:rFonts w:hint="default" w:ascii="Times New Roman" w:hAnsi="Times New Roman" w:eastAsia="宋体" w:cs="Times New Roman"/>
                      <w:color w:val="auto"/>
                      <w:spacing w:val="5"/>
                      <w:sz w:val="21"/>
                      <w:szCs w:val="21"/>
                      <w:lang w:eastAsia="zh-CN"/>
                    </w:rPr>
                    <w:t>金产品</w:t>
                  </w:r>
                </w:p>
              </w:tc>
              <w:tc>
                <w:tcPr>
                  <w:tcW w:w="1093" w:type="pct"/>
                  <w:vAlign w:val="center"/>
                </w:tcPr>
                <w:p w14:paraId="3037C0F7">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矿热炉、电弧</w:t>
                  </w:r>
                  <w:r>
                    <w:rPr>
                      <w:rFonts w:hint="default" w:ascii="Times New Roman" w:hAnsi="Times New Roman" w:eastAsia="宋体" w:cs="Times New Roman"/>
                      <w:color w:val="auto"/>
                      <w:sz w:val="21"/>
                      <w:szCs w:val="21"/>
                    </w:rPr>
                    <w:t>炉</w:t>
                  </w:r>
                </w:p>
              </w:tc>
              <w:tc>
                <w:tcPr>
                  <w:tcW w:w="682" w:type="pct"/>
                  <w:vMerge w:val="continue"/>
                  <w:vAlign w:val="center"/>
                </w:tcPr>
                <w:p w14:paraId="37E5BC9A">
                  <w:pPr>
                    <w:pStyle w:val="76"/>
                    <w:widowControl/>
                    <w:adjustRightInd w:val="0"/>
                    <w:snapToGrid w:val="0"/>
                    <w:jc w:val="center"/>
                    <w:rPr>
                      <w:rFonts w:hint="default" w:ascii="Times New Roman" w:hAnsi="Times New Roman" w:eastAsia="宋体" w:cs="Times New Roman"/>
                      <w:color w:val="auto"/>
                      <w:sz w:val="21"/>
                      <w:szCs w:val="21"/>
                    </w:rPr>
                  </w:pPr>
                </w:p>
              </w:tc>
            </w:tr>
            <w:tr w14:paraId="3874E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restart"/>
                  <w:vAlign w:val="center"/>
                </w:tcPr>
                <w:p w14:paraId="44BB0F53">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有色金属冶炼和压延加</w:t>
                  </w:r>
                  <w:r>
                    <w:rPr>
                      <w:rFonts w:hint="default" w:ascii="Times New Roman" w:hAnsi="Times New Roman" w:eastAsia="宋体" w:cs="Times New Roman"/>
                      <w:color w:val="auto"/>
                      <w:spacing w:val="5"/>
                      <w:sz w:val="21"/>
                      <w:szCs w:val="21"/>
                      <w:lang w:eastAsia="zh-CN"/>
                    </w:rPr>
                    <w:t>工业（32）</w:t>
                  </w:r>
                </w:p>
              </w:tc>
              <w:tc>
                <w:tcPr>
                  <w:tcW w:w="806" w:type="pct"/>
                  <w:vAlign w:val="center"/>
                </w:tcPr>
                <w:p w14:paraId="350B651F">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铜冶炼</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3211</w:t>
                  </w:r>
                  <w:r>
                    <w:rPr>
                      <w:rFonts w:hint="default" w:ascii="Times New Roman" w:hAnsi="Times New Roman" w:eastAsia="宋体" w:cs="Times New Roman"/>
                      <w:color w:val="auto"/>
                      <w:spacing w:val="3"/>
                      <w:sz w:val="21"/>
                      <w:szCs w:val="21"/>
                      <w:lang w:eastAsia="zh-CN"/>
                    </w:rPr>
                    <w:t>）</w:t>
                  </w:r>
                </w:p>
              </w:tc>
              <w:tc>
                <w:tcPr>
                  <w:tcW w:w="1734" w:type="pct"/>
                  <w:vAlign w:val="center"/>
                </w:tcPr>
                <w:p w14:paraId="7D2C506B">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2"/>
                      <w:sz w:val="21"/>
                      <w:szCs w:val="21"/>
                      <w:lang w:eastAsia="zh-CN"/>
                    </w:rPr>
                    <w:t>阴极铜、阳极铜、粗铜、</w:t>
                  </w:r>
                  <w:r>
                    <w:rPr>
                      <w:rFonts w:hint="default" w:ascii="Times New Roman" w:hAnsi="Times New Roman" w:eastAsia="宋体" w:cs="Times New Roman"/>
                      <w:color w:val="auto"/>
                      <w:sz w:val="21"/>
                      <w:szCs w:val="21"/>
                      <w:lang w:eastAsia="zh-CN"/>
                    </w:rPr>
                    <w:t>电解铜（不包括再生有</w:t>
                  </w:r>
                  <w:r>
                    <w:rPr>
                      <w:rFonts w:hint="default" w:ascii="Times New Roman" w:hAnsi="Times New Roman" w:eastAsia="宋体" w:cs="Times New Roman"/>
                      <w:color w:val="auto"/>
                      <w:spacing w:val="4"/>
                      <w:sz w:val="21"/>
                      <w:szCs w:val="21"/>
                      <w:lang w:eastAsia="zh-CN"/>
                    </w:rPr>
                    <w:t>色资源冶炼）</w:t>
                  </w:r>
                </w:p>
              </w:tc>
              <w:tc>
                <w:tcPr>
                  <w:tcW w:w="1093" w:type="pct"/>
                  <w:vAlign w:val="center"/>
                </w:tcPr>
                <w:p w14:paraId="26F74398">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电解槽</w:t>
                  </w:r>
                </w:p>
              </w:tc>
              <w:tc>
                <w:tcPr>
                  <w:tcW w:w="682" w:type="pct"/>
                  <w:vMerge w:val="continue"/>
                  <w:vAlign w:val="center"/>
                </w:tcPr>
                <w:p w14:paraId="6E6F1DDA">
                  <w:pPr>
                    <w:pStyle w:val="76"/>
                    <w:widowControl/>
                    <w:adjustRightInd w:val="0"/>
                    <w:snapToGrid w:val="0"/>
                    <w:jc w:val="center"/>
                    <w:rPr>
                      <w:rFonts w:hint="default" w:ascii="Times New Roman" w:hAnsi="Times New Roman" w:eastAsia="宋体" w:cs="Times New Roman"/>
                      <w:color w:val="auto"/>
                      <w:spacing w:val="1"/>
                      <w:sz w:val="21"/>
                      <w:szCs w:val="21"/>
                    </w:rPr>
                  </w:pPr>
                </w:p>
              </w:tc>
            </w:tr>
            <w:tr w14:paraId="184E6C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56800EF6">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55EB07F9">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铅锌冶炼</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3212</w:t>
                  </w:r>
                  <w:r>
                    <w:rPr>
                      <w:rFonts w:hint="default" w:ascii="Times New Roman" w:hAnsi="Times New Roman" w:eastAsia="宋体" w:cs="Times New Roman"/>
                      <w:color w:val="auto"/>
                      <w:spacing w:val="3"/>
                      <w:sz w:val="21"/>
                      <w:szCs w:val="21"/>
                      <w:lang w:eastAsia="zh-CN"/>
                    </w:rPr>
                    <w:t>）</w:t>
                  </w:r>
                </w:p>
              </w:tc>
              <w:tc>
                <w:tcPr>
                  <w:tcW w:w="1734" w:type="pct"/>
                  <w:vAlign w:val="center"/>
                </w:tcPr>
                <w:p w14:paraId="2251725C">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粗铅、电解铅、粗锌、</w:t>
                  </w:r>
                  <w:r>
                    <w:rPr>
                      <w:rFonts w:hint="default" w:ascii="Times New Roman" w:hAnsi="Times New Roman" w:eastAsia="宋体" w:cs="Times New Roman"/>
                      <w:color w:val="auto"/>
                      <w:sz w:val="21"/>
                      <w:szCs w:val="21"/>
                      <w:lang w:eastAsia="zh-CN"/>
                    </w:rPr>
                    <w:t>电解锌（不包括再生有</w:t>
                  </w:r>
                  <w:r>
                    <w:rPr>
                      <w:rFonts w:hint="default" w:ascii="Times New Roman" w:hAnsi="Times New Roman" w:eastAsia="宋体" w:cs="Times New Roman"/>
                      <w:color w:val="auto"/>
                      <w:spacing w:val="4"/>
                      <w:sz w:val="21"/>
                      <w:szCs w:val="21"/>
                      <w:lang w:eastAsia="zh-CN"/>
                    </w:rPr>
                    <w:t>色资源冶炼）</w:t>
                  </w:r>
                </w:p>
              </w:tc>
              <w:tc>
                <w:tcPr>
                  <w:tcW w:w="1093" w:type="pct"/>
                  <w:vAlign w:val="center"/>
                </w:tcPr>
                <w:p w14:paraId="75C97AA6">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电解槽</w:t>
                  </w:r>
                </w:p>
              </w:tc>
              <w:tc>
                <w:tcPr>
                  <w:tcW w:w="682" w:type="pct"/>
                  <w:vMerge w:val="continue"/>
                  <w:vAlign w:val="center"/>
                </w:tcPr>
                <w:p w14:paraId="01C41D69">
                  <w:pPr>
                    <w:pStyle w:val="76"/>
                    <w:widowControl/>
                    <w:adjustRightInd w:val="0"/>
                    <w:snapToGrid w:val="0"/>
                    <w:jc w:val="center"/>
                    <w:rPr>
                      <w:rFonts w:hint="default" w:ascii="Times New Roman" w:hAnsi="Times New Roman" w:eastAsia="宋体" w:cs="Times New Roman"/>
                      <w:color w:val="auto"/>
                      <w:spacing w:val="1"/>
                      <w:sz w:val="21"/>
                      <w:szCs w:val="21"/>
                    </w:rPr>
                  </w:pPr>
                </w:p>
              </w:tc>
            </w:tr>
            <w:tr w14:paraId="686E6F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0DBA5E90">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6A292FDE">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铝冶炼</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3216</w:t>
                  </w:r>
                  <w:r>
                    <w:rPr>
                      <w:rFonts w:hint="default" w:ascii="Times New Roman" w:hAnsi="Times New Roman" w:eastAsia="宋体" w:cs="Times New Roman"/>
                      <w:color w:val="auto"/>
                      <w:spacing w:val="3"/>
                      <w:sz w:val="21"/>
                      <w:szCs w:val="21"/>
                      <w:lang w:eastAsia="zh-CN"/>
                    </w:rPr>
                    <w:t>）</w:t>
                  </w:r>
                </w:p>
              </w:tc>
              <w:tc>
                <w:tcPr>
                  <w:tcW w:w="1734" w:type="pct"/>
                  <w:vAlign w:val="center"/>
                </w:tcPr>
                <w:p w14:paraId="7686F1E5">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氧化铝、电解铝（不包</w:t>
                  </w:r>
                  <w:r>
                    <w:rPr>
                      <w:rFonts w:hint="default" w:ascii="Times New Roman" w:hAnsi="Times New Roman" w:eastAsia="宋体" w:cs="Times New Roman"/>
                      <w:color w:val="auto"/>
                      <w:spacing w:val="2"/>
                      <w:sz w:val="21"/>
                      <w:szCs w:val="21"/>
                      <w:lang w:eastAsia="zh-CN"/>
                    </w:rPr>
                    <w:t>括再生有色资源冶炼）</w:t>
                  </w:r>
                </w:p>
              </w:tc>
              <w:tc>
                <w:tcPr>
                  <w:tcW w:w="1093" w:type="pct"/>
                  <w:vAlign w:val="center"/>
                </w:tcPr>
                <w:p w14:paraId="39AB85B5">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电解槽</w:t>
                  </w:r>
                </w:p>
              </w:tc>
              <w:tc>
                <w:tcPr>
                  <w:tcW w:w="682" w:type="pct"/>
                  <w:vMerge w:val="continue"/>
                  <w:vAlign w:val="center"/>
                </w:tcPr>
                <w:p w14:paraId="4D90B922">
                  <w:pPr>
                    <w:pStyle w:val="76"/>
                    <w:widowControl/>
                    <w:adjustRightInd w:val="0"/>
                    <w:snapToGrid w:val="0"/>
                    <w:jc w:val="center"/>
                    <w:rPr>
                      <w:rFonts w:hint="default" w:ascii="Times New Roman" w:hAnsi="Times New Roman" w:eastAsia="宋体" w:cs="Times New Roman"/>
                      <w:color w:val="auto"/>
                      <w:spacing w:val="1"/>
                      <w:sz w:val="21"/>
                      <w:szCs w:val="21"/>
                    </w:rPr>
                  </w:pPr>
                </w:p>
              </w:tc>
            </w:tr>
            <w:tr w14:paraId="1FC264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77637AAA">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51BBA300">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硅冶炼</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3218</w:t>
                  </w:r>
                  <w:r>
                    <w:rPr>
                      <w:rFonts w:hint="default" w:ascii="Times New Roman" w:hAnsi="Times New Roman" w:eastAsia="宋体" w:cs="Times New Roman"/>
                      <w:color w:val="auto"/>
                      <w:spacing w:val="3"/>
                      <w:sz w:val="21"/>
                      <w:szCs w:val="21"/>
                      <w:lang w:eastAsia="zh-CN"/>
                    </w:rPr>
                    <w:t>）</w:t>
                  </w:r>
                </w:p>
              </w:tc>
              <w:tc>
                <w:tcPr>
                  <w:tcW w:w="1734" w:type="pct"/>
                  <w:vAlign w:val="center"/>
                </w:tcPr>
                <w:p w14:paraId="3603A64B">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工业硅</w:t>
                  </w:r>
                </w:p>
              </w:tc>
              <w:tc>
                <w:tcPr>
                  <w:tcW w:w="1093" w:type="pct"/>
                  <w:vAlign w:val="center"/>
                </w:tcPr>
                <w:p w14:paraId="636E4927">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矿热炉</w:t>
                  </w:r>
                </w:p>
              </w:tc>
              <w:tc>
                <w:tcPr>
                  <w:tcW w:w="682" w:type="pct"/>
                  <w:vMerge w:val="continue"/>
                  <w:vAlign w:val="center"/>
                </w:tcPr>
                <w:p w14:paraId="1AE54F2C">
                  <w:pPr>
                    <w:pStyle w:val="76"/>
                    <w:widowControl/>
                    <w:adjustRightInd w:val="0"/>
                    <w:snapToGrid w:val="0"/>
                    <w:jc w:val="center"/>
                    <w:rPr>
                      <w:rFonts w:hint="default" w:ascii="Times New Roman" w:hAnsi="Times New Roman" w:eastAsia="宋体" w:cs="Times New Roman"/>
                      <w:color w:val="auto"/>
                      <w:spacing w:val="-2"/>
                      <w:sz w:val="21"/>
                      <w:szCs w:val="21"/>
                    </w:rPr>
                  </w:pPr>
                </w:p>
              </w:tc>
            </w:tr>
            <w:tr w14:paraId="05CD63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restart"/>
                  <w:vAlign w:val="center"/>
                </w:tcPr>
                <w:p w14:paraId="36E1C124">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电力、热力生</w:t>
                  </w:r>
                  <w:r>
                    <w:rPr>
                      <w:rFonts w:hint="default" w:ascii="Times New Roman" w:hAnsi="Times New Roman" w:eastAsia="宋体" w:cs="Times New Roman"/>
                      <w:color w:val="auto"/>
                      <w:spacing w:val="-1"/>
                      <w:sz w:val="21"/>
                      <w:szCs w:val="21"/>
                      <w:lang w:eastAsia="zh-CN"/>
                    </w:rPr>
                    <w:t>产和供应业</w:t>
                  </w:r>
                  <w:r>
                    <w:rPr>
                      <w:rFonts w:hint="default" w:ascii="Times New Roman" w:hAnsi="Times New Roman" w:eastAsia="宋体" w:cs="Times New Roman"/>
                      <w:color w:val="auto"/>
                      <w:spacing w:val="-7"/>
                      <w:sz w:val="21"/>
                      <w:szCs w:val="21"/>
                      <w:lang w:eastAsia="zh-CN"/>
                    </w:rPr>
                    <w:t>（44）</w:t>
                  </w:r>
                </w:p>
              </w:tc>
              <w:tc>
                <w:tcPr>
                  <w:tcW w:w="806" w:type="pct"/>
                  <w:vAlign w:val="center"/>
                </w:tcPr>
                <w:p w14:paraId="280F442C">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火力发电</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4411</w:t>
                  </w:r>
                  <w:r>
                    <w:rPr>
                      <w:rFonts w:hint="default" w:ascii="Times New Roman" w:hAnsi="Times New Roman" w:eastAsia="宋体" w:cs="Times New Roman"/>
                      <w:color w:val="auto"/>
                      <w:spacing w:val="3"/>
                      <w:sz w:val="21"/>
                      <w:szCs w:val="21"/>
                      <w:lang w:eastAsia="zh-CN"/>
                    </w:rPr>
                    <w:t>）</w:t>
                  </w:r>
                </w:p>
              </w:tc>
              <w:tc>
                <w:tcPr>
                  <w:tcW w:w="1734" w:type="pct"/>
                  <w:vAlign w:val="center"/>
                </w:tcPr>
                <w:p w14:paraId="22D210F9">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燃煤发电（包括煤矸石</w:t>
                  </w:r>
                  <w:r>
                    <w:rPr>
                      <w:rFonts w:hint="default" w:ascii="Times New Roman" w:hAnsi="Times New Roman" w:eastAsia="宋体" w:cs="Times New Roman"/>
                      <w:color w:val="auto"/>
                      <w:spacing w:val="12"/>
                      <w:sz w:val="21"/>
                      <w:szCs w:val="21"/>
                      <w:lang w:eastAsia="zh-CN"/>
                    </w:rPr>
                    <w:t>发电）</w:t>
                  </w:r>
                </w:p>
              </w:tc>
              <w:tc>
                <w:tcPr>
                  <w:tcW w:w="1093" w:type="pct"/>
                  <w:vAlign w:val="center"/>
                </w:tcPr>
                <w:p w14:paraId="352DF34A">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2" w:type="pct"/>
                  <w:vMerge w:val="continue"/>
                  <w:vAlign w:val="center"/>
                </w:tcPr>
                <w:p w14:paraId="7B69DF0D">
                  <w:pPr>
                    <w:pStyle w:val="76"/>
                    <w:widowControl/>
                    <w:adjustRightInd w:val="0"/>
                    <w:snapToGrid w:val="0"/>
                    <w:jc w:val="center"/>
                    <w:rPr>
                      <w:rFonts w:hint="default" w:ascii="Times New Roman" w:hAnsi="Times New Roman" w:eastAsia="宋体" w:cs="Times New Roman"/>
                      <w:color w:val="auto"/>
                      <w:sz w:val="21"/>
                      <w:szCs w:val="21"/>
                    </w:rPr>
                  </w:pPr>
                </w:p>
              </w:tc>
            </w:tr>
            <w:tr w14:paraId="4DE0E8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Merge w:val="continue"/>
                  <w:vAlign w:val="center"/>
                </w:tcPr>
                <w:p w14:paraId="22D60E29">
                  <w:pPr>
                    <w:widowControl/>
                    <w:adjustRightInd w:val="0"/>
                    <w:snapToGrid w:val="0"/>
                    <w:jc w:val="center"/>
                    <w:rPr>
                      <w:rFonts w:hint="default" w:ascii="Times New Roman" w:hAnsi="Times New Roman" w:eastAsia="宋体" w:cs="Times New Roman"/>
                      <w:color w:val="auto"/>
                      <w:sz w:val="21"/>
                      <w:szCs w:val="21"/>
                    </w:rPr>
                  </w:pPr>
                </w:p>
              </w:tc>
              <w:tc>
                <w:tcPr>
                  <w:tcW w:w="806" w:type="pct"/>
                  <w:vAlign w:val="center"/>
                </w:tcPr>
                <w:p w14:paraId="6E27D239">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热电联产</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3"/>
                      <w:sz w:val="21"/>
                      <w:szCs w:val="21"/>
                    </w:rPr>
                    <w:t>4412</w:t>
                  </w:r>
                  <w:r>
                    <w:rPr>
                      <w:rFonts w:hint="default" w:ascii="Times New Roman" w:hAnsi="Times New Roman" w:eastAsia="宋体" w:cs="Times New Roman"/>
                      <w:color w:val="auto"/>
                      <w:spacing w:val="3"/>
                      <w:sz w:val="21"/>
                      <w:szCs w:val="21"/>
                      <w:lang w:eastAsia="zh-CN"/>
                    </w:rPr>
                    <w:t>）</w:t>
                  </w:r>
                </w:p>
              </w:tc>
              <w:tc>
                <w:tcPr>
                  <w:tcW w:w="1734" w:type="pct"/>
                  <w:vAlign w:val="center"/>
                </w:tcPr>
                <w:p w14:paraId="437F0DF1">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燃煤热电联产</w:t>
                  </w:r>
                </w:p>
              </w:tc>
              <w:tc>
                <w:tcPr>
                  <w:tcW w:w="1093" w:type="pct"/>
                  <w:vAlign w:val="center"/>
                </w:tcPr>
                <w:p w14:paraId="60E23080">
                  <w:pPr>
                    <w:pStyle w:val="76"/>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82" w:type="pct"/>
                  <w:vMerge w:val="continue"/>
                  <w:vAlign w:val="center"/>
                </w:tcPr>
                <w:p w14:paraId="03284B14">
                  <w:pPr>
                    <w:pStyle w:val="76"/>
                    <w:widowControl/>
                    <w:adjustRightInd w:val="0"/>
                    <w:snapToGrid w:val="0"/>
                    <w:jc w:val="center"/>
                    <w:rPr>
                      <w:rFonts w:hint="default" w:ascii="Times New Roman" w:hAnsi="Times New Roman" w:eastAsia="宋体" w:cs="Times New Roman"/>
                      <w:color w:val="auto"/>
                      <w:sz w:val="21"/>
                      <w:szCs w:val="21"/>
                    </w:rPr>
                  </w:pPr>
                </w:p>
              </w:tc>
            </w:tr>
            <w:tr w14:paraId="25EADB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683" w:type="pct"/>
                  <w:vAlign w:val="center"/>
                </w:tcPr>
                <w:p w14:paraId="7856A25C">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软件和信息技术服务业</w:t>
                  </w:r>
                  <w:r>
                    <w:rPr>
                      <w:rFonts w:hint="default" w:ascii="Times New Roman" w:hAnsi="Times New Roman" w:eastAsia="宋体" w:cs="Times New Roman"/>
                      <w:color w:val="auto"/>
                      <w:spacing w:val="-7"/>
                      <w:sz w:val="21"/>
                      <w:szCs w:val="21"/>
                      <w:lang w:eastAsia="zh-CN"/>
                    </w:rPr>
                    <w:t>（65）</w:t>
                  </w:r>
                </w:p>
              </w:tc>
              <w:tc>
                <w:tcPr>
                  <w:tcW w:w="806" w:type="pct"/>
                  <w:vAlign w:val="center"/>
                </w:tcPr>
                <w:p w14:paraId="1E2BA0F3">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sz w:val="21"/>
                      <w:szCs w:val="21"/>
                      <w:lang w:eastAsia="zh-CN"/>
                    </w:rPr>
                    <w:t>信息处理和存储</w:t>
                  </w:r>
                  <w:r>
                    <w:rPr>
                      <w:rFonts w:hint="default" w:ascii="Times New Roman" w:hAnsi="Times New Roman" w:eastAsia="宋体" w:cs="Times New Roman"/>
                      <w:color w:val="auto"/>
                      <w:spacing w:val="3"/>
                      <w:sz w:val="21"/>
                      <w:szCs w:val="21"/>
                      <w:lang w:eastAsia="zh-CN"/>
                    </w:rPr>
                    <w:t>支持服务（6550）</w:t>
                  </w:r>
                </w:p>
              </w:tc>
              <w:tc>
                <w:tcPr>
                  <w:tcW w:w="1734" w:type="pct"/>
                  <w:vAlign w:val="center"/>
                </w:tcPr>
                <w:p w14:paraId="77E1E5CC">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2"/>
                      <w:sz w:val="21"/>
                      <w:szCs w:val="21"/>
                      <w:lang w:eastAsia="zh-CN"/>
                    </w:rPr>
                    <w:t>数据中心（含智算中</w:t>
                  </w:r>
                  <w:r>
                    <w:rPr>
                      <w:rFonts w:hint="default" w:ascii="Times New Roman" w:hAnsi="Times New Roman" w:eastAsia="宋体" w:cs="Times New Roman"/>
                      <w:color w:val="auto"/>
                      <w:spacing w:val="-6"/>
                      <w:sz w:val="21"/>
                      <w:szCs w:val="21"/>
                      <w:lang w:eastAsia="zh-CN"/>
                    </w:rPr>
                    <w:t>心</w:t>
                  </w:r>
                  <w:r>
                    <w:rPr>
                      <w:rFonts w:hint="default" w:ascii="Times New Roman" w:hAnsi="Times New Roman" w:eastAsia="宋体" w:cs="Times New Roman"/>
                      <w:color w:val="auto"/>
                      <w:spacing w:val="-30"/>
                      <w:sz w:val="21"/>
                      <w:szCs w:val="21"/>
                      <w:lang w:eastAsia="zh-CN"/>
                    </w:rPr>
                    <w:t xml:space="preserve"> </w:t>
                  </w:r>
                  <w:r>
                    <w:rPr>
                      <w:rFonts w:hint="default" w:ascii="Times New Roman" w:hAnsi="Times New Roman" w:eastAsia="宋体" w:cs="Times New Roman"/>
                      <w:color w:val="auto"/>
                      <w:spacing w:val="-6"/>
                      <w:sz w:val="21"/>
                      <w:szCs w:val="21"/>
                      <w:lang w:eastAsia="zh-CN"/>
                    </w:rPr>
                    <w:t>）</w:t>
                  </w:r>
                </w:p>
              </w:tc>
              <w:tc>
                <w:tcPr>
                  <w:tcW w:w="1093" w:type="pct"/>
                  <w:vAlign w:val="center"/>
                </w:tcPr>
                <w:p w14:paraId="664C0637">
                  <w:pPr>
                    <w:pStyle w:val="76"/>
                    <w:widowControl/>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682" w:type="pct"/>
                  <w:vMerge w:val="continue"/>
                  <w:vAlign w:val="center"/>
                </w:tcPr>
                <w:p w14:paraId="1390C34A">
                  <w:pPr>
                    <w:pStyle w:val="76"/>
                    <w:widowControl/>
                    <w:adjustRightInd w:val="0"/>
                    <w:snapToGrid w:val="0"/>
                    <w:jc w:val="center"/>
                    <w:rPr>
                      <w:rFonts w:hint="default" w:ascii="Times New Roman" w:hAnsi="Times New Roman" w:eastAsia="宋体" w:cs="Times New Roman"/>
                      <w:color w:val="auto"/>
                      <w:sz w:val="21"/>
                      <w:szCs w:val="21"/>
                      <w:lang w:eastAsia="zh-CN"/>
                    </w:rPr>
                  </w:pPr>
                </w:p>
              </w:tc>
            </w:tr>
          </w:tbl>
          <w:p w14:paraId="4A8A81D8">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bCs/>
                <w:color w:val="auto"/>
                <w:sz w:val="24"/>
              </w:rPr>
              <w:t>根据上表可知，本项目国民经济行业类别属于</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color w:val="auto"/>
                <w:sz w:val="24"/>
              </w:rPr>
              <w:t>C</w:t>
            </w:r>
            <w:r>
              <w:rPr>
                <w:rFonts w:hint="eastAsia" w:ascii="Times New Roman" w:hAnsi="Times New Roman" w:eastAsia="宋体" w:cs="Times New Roman"/>
                <w:color w:val="auto"/>
                <w:sz w:val="24"/>
                <w:lang w:val="en-US" w:eastAsia="zh-CN"/>
              </w:rPr>
              <w:t>3052光学玻璃制造</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，不属于江苏省</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两高</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项目。</w:t>
            </w:r>
          </w:p>
          <w:p w14:paraId="346CCF53">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zh-CN"/>
              </w:rPr>
              <w:t>与</w:t>
            </w:r>
            <w:r>
              <w:rPr>
                <w:rFonts w:hint="default" w:ascii="Times New Roman" w:hAnsi="Times New Roman" w:eastAsia="宋体" w:cs="Times New Roman"/>
                <w:b/>
                <w:bCs/>
                <w:color w:val="auto"/>
                <w:sz w:val="24"/>
                <w:szCs w:val="24"/>
              </w:rPr>
              <w:t>《关于发布&lt;有毒有害大气污染物名录</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2018 年</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&gt;的公告》</w:t>
            </w:r>
            <w:r>
              <w:rPr>
                <w:rFonts w:hint="default" w:ascii="Times New Roman" w:hAnsi="Times New Roman" w:eastAsia="宋体" w:cs="Times New Roman"/>
                <w:b/>
                <w:bCs/>
                <w:color w:val="auto"/>
                <w:sz w:val="24"/>
                <w:szCs w:val="24"/>
                <w:lang w:val="zh-CN"/>
              </w:rPr>
              <w:t>相符性分析</w:t>
            </w:r>
          </w:p>
          <w:p w14:paraId="0524B5A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根据生态环境部、国家卫生健康委员会关于发布《有毒有害大气污染物名录（2018 年）》的公告，有毒有害大气污染物名录（2018年）包含二氯甲烷、甲醛、三氯甲烷、三氯乙烯、四氯乙烯、乙醛、镉及其化合物、铬及其化合物、汞及其化合物、铅及其化合物、砷及其化合物。</w:t>
            </w:r>
          </w:p>
          <w:p w14:paraId="1538C8F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本项目主要使用</w:t>
            </w:r>
            <w:r>
              <w:rPr>
                <w:rFonts w:hint="eastAsia" w:ascii="Times New Roman" w:hAnsi="Times New Roman" w:eastAsia="宋体" w:cs="Times New Roman"/>
                <w:bCs/>
                <w:color w:val="auto"/>
                <w:sz w:val="24"/>
                <w:szCs w:val="24"/>
                <w:lang w:val="en-US" w:eastAsia="zh-CN"/>
              </w:rPr>
              <w:t>冷却液、</w:t>
            </w:r>
            <w:r>
              <w:rPr>
                <w:rFonts w:hint="eastAsia" w:ascii="Times New Roman" w:hAnsi="Times New Roman" w:eastAsia="宋体" w:cs="Times New Roman"/>
                <w:color w:val="auto"/>
                <w:sz w:val="24"/>
                <w:lang w:val="en-US" w:eastAsia="zh-CN"/>
              </w:rPr>
              <w:t>热熔胶</w:t>
            </w:r>
            <w:r>
              <w:rPr>
                <w:rFonts w:hint="default" w:ascii="Times New Roman" w:hAnsi="Times New Roman" w:eastAsia="宋体" w:cs="Times New Roman"/>
                <w:bCs/>
                <w:color w:val="auto"/>
                <w:sz w:val="24"/>
                <w:szCs w:val="24"/>
                <w:lang w:val="en-US" w:eastAsia="zh-CN"/>
              </w:rPr>
              <w:t>等</w:t>
            </w:r>
            <w:r>
              <w:rPr>
                <w:rFonts w:hint="default" w:ascii="Times New Roman" w:hAnsi="Times New Roman" w:eastAsia="宋体" w:cs="Times New Roman"/>
                <w:bCs/>
                <w:color w:val="auto"/>
                <w:sz w:val="24"/>
                <w:szCs w:val="24"/>
              </w:rPr>
              <w:t>，同时生产过程中有</w:t>
            </w:r>
            <w:r>
              <w:rPr>
                <w:rFonts w:hint="default" w:ascii="Times New Roman" w:hAnsi="Times New Roman" w:eastAsia="宋体" w:cs="Times New Roman"/>
                <w:bCs/>
                <w:color w:val="auto"/>
                <w:sz w:val="24"/>
                <w:szCs w:val="24"/>
                <w:lang w:val="en-US" w:eastAsia="zh-CN"/>
              </w:rPr>
              <w:t>VOCs</w:t>
            </w:r>
            <w:r>
              <w:rPr>
                <w:rFonts w:hint="default" w:ascii="Times New Roman" w:hAnsi="Times New Roman" w:eastAsia="宋体" w:cs="Times New Roman"/>
                <w:bCs/>
                <w:color w:val="auto"/>
                <w:sz w:val="24"/>
                <w:szCs w:val="24"/>
              </w:rPr>
              <w:t>（含</w:t>
            </w:r>
            <w:r>
              <w:rPr>
                <w:rFonts w:hint="default" w:ascii="Times New Roman" w:hAnsi="Times New Roman" w:eastAsia="宋体" w:cs="Times New Roman"/>
                <w:bCs/>
                <w:color w:val="auto"/>
                <w:sz w:val="24"/>
                <w:szCs w:val="24"/>
                <w:lang w:val="en-US" w:eastAsia="zh-CN"/>
              </w:rPr>
              <w:t>非甲烷总烃</w:t>
            </w:r>
            <w:r>
              <w:rPr>
                <w:rFonts w:hint="default" w:ascii="Times New Roman" w:hAnsi="Times New Roman" w:eastAsia="宋体" w:cs="Times New Roman"/>
                <w:bCs/>
                <w:color w:val="auto"/>
                <w:sz w:val="24"/>
                <w:szCs w:val="24"/>
              </w:rPr>
              <w:t>）产生，不属于有毒有害大气污染物名录（2018年）中包含的大气污染物，与上述内容相符。</w:t>
            </w:r>
          </w:p>
          <w:p w14:paraId="6CF48A30">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color w:val="auto"/>
                <w:sz w:val="24"/>
                <w:szCs w:val="24"/>
                <w:lang w:val="en-US" w:eastAsia="zh-CN"/>
              </w:rPr>
              <w:t>1</w:t>
            </w:r>
            <w:r>
              <w:rPr>
                <w:rFonts w:hint="eastAsia"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rPr>
              <w:t>与</w:t>
            </w:r>
            <w:r>
              <w:rPr>
                <w:rFonts w:hint="default" w:ascii="Times New Roman" w:hAnsi="Times New Roman" w:eastAsia="宋体" w:cs="Times New Roman"/>
                <w:b/>
                <w:bCs/>
                <w:color w:val="auto"/>
                <w:sz w:val="24"/>
                <w:szCs w:val="24"/>
              </w:rPr>
              <w:t>《市生态环境局关于建设项目的审批指导意见》（试行）</w:t>
            </w:r>
            <w:r>
              <w:rPr>
                <w:rFonts w:hint="default" w:ascii="Times New Roman" w:hAnsi="Times New Roman" w:eastAsia="宋体" w:cs="Times New Roman"/>
                <w:b/>
                <w:color w:val="auto"/>
                <w:sz w:val="24"/>
                <w:szCs w:val="24"/>
              </w:rPr>
              <w:t>的相符性分析</w:t>
            </w:r>
          </w:p>
          <w:p w14:paraId="54A25FF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1、严格项目总量。实施建设项目大气污染物总量负增长原则，即重点区域内建设项目使用大气污染物总量，原则上在重点区域范围内实施总量平衡，且必须实行总量2倍减量替代。</w:t>
            </w:r>
          </w:p>
          <w:p w14:paraId="7895647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2、强化环评审批。对重点区域内新上的大气污染物排放的建设项目及全市范围内新上高能耗项目，审批部门对其环评文本应实施质量评估。</w:t>
            </w:r>
          </w:p>
          <w:p w14:paraId="195ADCB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3、推进减污降碳。对重点区域内新上的涉及大气污染物排放的建设项目及全市范围内新上高能耗建设项目的严格审批，区级审批部门审批前需向市生态环境局报备，审批部门方可出具审批文件。</w:t>
            </w:r>
          </w:p>
          <w:p w14:paraId="0E9A684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做好项目正面引导。及时与属地经济部门做好衔接沟通，在项目筹备初期提前介入服务，引导项目从自身实际出发，采用建造绿色建筑、加大清洁能源使用比例、优化生产工艺技术、使用先进高效治污设施等切实有力的措施。</w:t>
            </w:r>
          </w:p>
          <w:p w14:paraId="2A34505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本项目距离最近的国控点（金坛城区大气国控站点）约13km，不在重点区域内。</w:t>
            </w:r>
          </w:p>
          <w:p w14:paraId="439720E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w:t>
            </w:r>
            <w:r>
              <w:rPr>
                <w:rFonts w:hint="eastAsia" w:ascii="Times New Roman" w:hAnsi="Times New Roman" w:eastAsia="宋体" w:cs="Times New Roman"/>
                <w:color w:val="auto"/>
                <w:sz w:val="24"/>
                <w:lang w:eastAsia="zh-CN"/>
              </w:rPr>
              <w:t>新建年产300万件指纹识别棱镜和50万件光学投影棱镜项目</w:t>
            </w:r>
            <w:r>
              <w:rPr>
                <w:rFonts w:hint="default" w:ascii="Times New Roman" w:hAnsi="Times New Roman" w:eastAsia="宋体" w:cs="Times New Roman"/>
                <w:color w:val="auto"/>
                <w:sz w:val="24"/>
                <w:szCs w:val="24"/>
              </w:rPr>
              <w:t>，行业类别为C</w:t>
            </w:r>
            <w:r>
              <w:rPr>
                <w:rFonts w:hint="default" w:ascii="Times New Roman" w:hAnsi="Times New Roman" w:eastAsia="宋体" w:cs="Times New Roman"/>
                <w:color w:val="auto"/>
                <w:sz w:val="24"/>
                <w:szCs w:val="24"/>
                <w:lang w:val="en-US" w:eastAsia="zh-CN"/>
              </w:rPr>
              <w:t>3052光学玻璃制造</w:t>
            </w:r>
            <w:r>
              <w:rPr>
                <w:rFonts w:hint="default" w:ascii="Times New Roman" w:hAnsi="Times New Roman" w:eastAsia="宋体" w:cs="Times New Roman"/>
                <w:color w:val="auto"/>
                <w:sz w:val="24"/>
                <w:szCs w:val="24"/>
              </w:rPr>
              <w:t>，对照《省生态环境厅关于报送高耗能、高排放项目清单的通知》项目报送范围，本项目不属于两高项目。</w:t>
            </w:r>
          </w:p>
          <w:p w14:paraId="38414444">
            <w:pPr>
              <w:keepNext w:val="0"/>
              <w:keepLines w:val="0"/>
              <w:pageBreakBefore w:val="0"/>
              <w:widowControl w:val="0"/>
              <w:kinsoku/>
              <w:wordWrap/>
              <w:overflowPunct/>
              <w:topLinePunct w:val="0"/>
              <w:bidi w:val="0"/>
              <w:adjustRightInd/>
              <w:snapToGrid/>
              <w:spacing w:line="360" w:lineRule="auto"/>
              <w:jc w:val="left"/>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1</w:t>
            </w: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rPr>
              <w:t>与</w:t>
            </w:r>
            <w:r>
              <w:rPr>
                <w:rFonts w:hint="default" w:ascii="Times New Roman" w:hAnsi="Times New Roman" w:eastAsia="宋体" w:cs="Times New Roman"/>
                <w:b/>
                <w:bCs/>
                <w:color w:val="auto"/>
                <w:sz w:val="24"/>
                <w:szCs w:val="24"/>
              </w:rPr>
              <w:t>《关于加快解决当前挥发性有机物治理突出问题的通知》（环大气[2021]65号）</w:t>
            </w:r>
            <w:r>
              <w:rPr>
                <w:rFonts w:hint="default" w:ascii="Times New Roman" w:hAnsi="Times New Roman" w:eastAsia="宋体" w:cs="Times New Roman"/>
                <w:b/>
                <w:color w:val="auto"/>
                <w:sz w:val="24"/>
                <w:szCs w:val="24"/>
              </w:rPr>
              <w:t>的相符性分析</w:t>
            </w:r>
          </w:p>
          <w:p w14:paraId="7EEB5F2E">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根据文件要求：《挥发性有机物治理突出问题排查整治工作要求》</w:t>
            </w:r>
          </w:p>
          <w:p w14:paraId="3868157B">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五、废气收集设施</w:t>
            </w:r>
          </w:p>
          <w:p w14:paraId="40AF4F07">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治理要求。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w:t>
            </w:r>
          </w:p>
          <w:p w14:paraId="4C9EE58E">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七、有机废气治理设施</w:t>
            </w:r>
          </w:p>
          <w:p w14:paraId="3626DAE9">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治理要求。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p w14:paraId="7AB12301">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p w14:paraId="5FBAC53D">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/g（BET法）。一次性活性炭吸附工艺宜采用颗粒活性炭作为吸附剂。活性炭、活性炭纤维产品销售时应提供产品质量证明材料。</w:t>
            </w:r>
          </w:p>
          <w:p w14:paraId="572BC2C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本项目产生的有机废气经捕集后进</w:t>
            </w:r>
            <w:r>
              <w:rPr>
                <w:rFonts w:hint="eastAsia" w:ascii="Times New Roman" w:hAnsi="Times New Roman" w:eastAsia="宋体" w:cs="Times New Roman"/>
                <w:color w:val="auto"/>
                <w:sz w:val="24"/>
                <w:szCs w:val="24"/>
                <w:lang w:val="en-US" w:eastAsia="zh-CN"/>
              </w:rPr>
              <w:t>二级活性炭吸附</w:t>
            </w:r>
            <w:r>
              <w:rPr>
                <w:rFonts w:hint="default" w:ascii="Times New Roman" w:hAnsi="Times New Roman" w:eastAsia="宋体" w:cs="Times New Roman"/>
                <w:color w:val="auto"/>
                <w:sz w:val="24"/>
                <w:szCs w:val="24"/>
                <w:lang w:val="en-US" w:eastAsia="zh-CN"/>
              </w:rPr>
              <w:t>装置</w:t>
            </w:r>
            <w:r>
              <w:rPr>
                <w:rFonts w:hint="default" w:ascii="Times New Roman" w:hAnsi="Times New Roman" w:eastAsia="宋体" w:cs="Times New Roman"/>
                <w:color w:val="auto"/>
                <w:sz w:val="24"/>
                <w:szCs w:val="24"/>
              </w:rPr>
              <w:t>处理</w:t>
            </w:r>
            <w:r>
              <w:rPr>
                <w:rFonts w:hint="eastAsia" w:ascii="Times New Roman" w:hAnsi="Times New Roman" w:eastAsia="宋体" w:cs="Times New Roman"/>
                <w:color w:val="auto"/>
                <w:sz w:val="24"/>
                <w:szCs w:val="24"/>
                <w:lang w:val="en-US" w:eastAsia="zh-CN"/>
              </w:rPr>
              <w:t>无组织排放</w:t>
            </w:r>
            <w:r>
              <w:rPr>
                <w:rFonts w:hint="default" w:ascii="Times New Roman" w:hAnsi="Times New Roman" w:eastAsia="宋体" w:cs="Times New Roman"/>
                <w:color w:val="auto"/>
                <w:sz w:val="24"/>
                <w:szCs w:val="24"/>
              </w:rPr>
              <w:t>，废气输送管道定期检修，确保密闭、无破损。本项目有机废气采用</w:t>
            </w:r>
            <w:r>
              <w:rPr>
                <w:rFonts w:hint="eastAsia" w:ascii="Times New Roman" w:hAnsi="Times New Roman" w:eastAsia="宋体" w:cs="Times New Roman"/>
                <w:color w:val="auto"/>
                <w:sz w:val="24"/>
                <w:szCs w:val="24"/>
                <w:lang w:val="en-US" w:eastAsia="zh-CN"/>
              </w:rPr>
              <w:t>二级活性炭吸附装置</w:t>
            </w:r>
            <w:r>
              <w:rPr>
                <w:rFonts w:hint="default" w:ascii="Times New Roman" w:hAnsi="Times New Roman" w:eastAsia="宋体" w:cs="Times New Roman"/>
                <w:color w:val="auto"/>
                <w:sz w:val="24"/>
                <w:szCs w:val="24"/>
              </w:rPr>
              <w:t>处理，废气设施“先启后停”，在治理设施达到正常运行后方可开始实验操作，在</w:t>
            </w:r>
            <w:r>
              <w:rPr>
                <w:rFonts w:hint="eastAsia"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rPr>
              <w:t>停止后，残留VOCs废气收集处理完毕后，方可停运治理设施。</w:t>
            </w:r>
          </w:p>
          <w:p w14:paraId="19D5EB47">
            <w:pPr>
              <w:autoSpaceDE w:val="0"/>
              <w:autoSpaceDN w:val="0"/>
              <w:adjustRightInd w:val="0"/>
              <w:jc w:val="center"/>
              <w:rPr>
                <w:rFonts w:hint="default" w:ascii="Times New Roman" w:hAnsi="Times New Roman" w:eastAsia="宋体" w:cs="Times New Roman"/>
                <w:b/>
                <w:bCs/>
                <w:color w:val="auto"/>
                <w:sz w:val="24"/>
                <w:szCs w:val="24"/>
                <w:lang w:val="zh-CN"/>
              </w:rPr>
            </w:pPr>
          </w:p>
          <w:p w14:paraId="7CD5099E">
            <w:pPr>
              <w:spacing w:line="360" w:lineRule="auto"/>
              <w:jc w:val="left"/>
              <w:rPr>
                <w:rFonts w:hint="default" w:ascii="Times New Roman" w:hAnsi="Times New Roman" w:eastAsia="宋体" w:cs="Times New Roman"/>
                <w:color w:val="auto"/>
                <w:sz w:val="24"/>
              </w:rPr>
            </w:pPr>
          </w:p>
        </w:tc>
      </w:tr>
    </w:tbl>
    <w:p w14:paraId="2A149D99">
      <w:pPr>
        <w:rPr>
          <w:rFonts w:hint="default" w:ascii="Times New Roman" w:hAnsi="Times New Roman" w:eastAsia="宋体" w:cs="Times New Roman"/>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978"/>
      </w:tblGrid>
      <w:tr w14:paraId="1B2E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31CCE36F">
            <w:pPr>
              <w:pStyle w:val="4"/>
              <w:rPr>
                <w:rFonts w:hint="default" w:ascii="Times New Roman" w:hAnsi="Times New Roman" w:cs="Times New Roman"/>
                <w:color w:val="auto"/>
                <w:vertAlign w:val="baseline"/>
              </w:rPr>
            </w:pPr>
          </w:p>
        </w:tc>
        <w:tc>
          <w:tcPr>
            <w:tcW w:w="12978" w:type="dxa"/>
          </w:tcPr>
          <w:p w14:paraId="09434059">
            <w:pPr>
              <w:spacing w:line="360" w:lineRule="auto"/>
              <w:jc w:val="left"/>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16</w:t>
            </w:r>
            <w:r>
              <w:rPr>
                <w:rFonts w:hint="default" w:ascii="Times New Roman" w:hAnsi="Times New Roman" w:eastAsia="宋体" w:cs="Times New Roman"/>
                <w:b/>
                <w:color w:val="auto"/>
                <w:kern w:val="0"/>
                <w:sz w:val="24"/>
                <w:szCs w:val="24"/>
              </w:rPr>
              <w:t>、与相关环保法律法规相符性分析</w:t>
            </w:r>
          </w:p>
          <w:p w14:paraId="7A3A0FF3">
            <w:pPr>
              <w:spacing w:line="360" w:lineRule="auto"/>
              <w:ind w:firstLine="480"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kern w:val="0"/>
                <w:sz w:val="24"/>
                <w:szCs w:val="24"/>
              </w:rPr>
              <w:t>本项目与相关法律法规相符性分析见表1-</w:t>
            </w: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w:t>
            </w:r>
          </w:p>
          <w:p w14:paraId="35B016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表1-</w:t>
            </w:r>
            <w:r>
              <w:rPr>
                <w:rFonts w:hint="default" w:ascii="Times New Roman" w:hAnsi="Times New Roman" w:eastAsia="宋体" w:cs="Times New Roman"/>
                <w:b/>
                <w:color w:val="auto"/>
                <w:sz w:val="24"/>
                <w:szCs w:val="24"/>
                <w:lang w:val="en-US" w:eastAsia="zh-CN"/>
              </w:rPr>
              <w:t>1</w:t>
            </w:r>
            <w:r>
              <w:rPr>
                <w:rFonts w:hint="eastAsia" w:ascii="Times New Roman" w:hAnsi="Times New Roman" w:eastAsia="宋体" w:cs="Times New Roman"/>
                <w:b/>
                <w:color w:val="auto"/>
                <w:sz w:val="24"/>
                <w:szCs w:val="24"/>
                <w:lang w:val="en-US" w:eastAsia="zh-CN"/>
              </w:rPr>
              <w:t>0</w:t>
            </w:r>
            <w:r>
              <w:rPr>
                <w:rFonts w:hint="default" w:ascii="Times New Roman" w:hAnsi="Times New Roman" w:eastAsia="宋体" w:cs="Times New Roman"/>
                <w:b/>
                <w:color w:val="auto"/>
                <w:sz w:val="24"/>
                <w:szCs w:val="24"/>
              </w:rPr>
              <w:t xml:space="preserve">  项目与相关环保法律法规相符性分析</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048"/>
              <w:gridCol w:w="6470"/>
              <w:gridCol w:w="2827"/>
              <w:gridCol w:w="886"/>
            </w:tblGrid>
            <w:tr w14:paraId="194CC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7CF51336">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802" w:type="pct"/>
                  <w:tcBorders>
                    <w:tl2br w:val="nil"/>
                    <w:tr2bl w:val="nil"/>
                  </w:tcBorders>
                  <w:vAlign w:val="center"/>
                </w:tcPr>
                <w:p w14:paraId="6DBC725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文件名称</w:t>
                  </w:r>
                </w:p>
              </w:tc>
              <w:tc>
                <w:tcPr>
                  <w:tcW w:w="2534" w:type="pct"/>
                  <w:tcBorders>
                    <w:tl2br w:val="nil"/>
                    <w:tr2bl w:val="nil"/>
                  </w:tcBorders>
                  <w:vAlign w:val="center"/>
                </w:tcPr>
                <w:p w14:paraId="5DA9C5B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文件要求</w:t>
                  </w:r>
                </w:p>
              </w:tc>
              <w:tc>
                <w:tcPr>
                  <w:tcW w:w="1107" w:type="pct"/>
                  <w:tcBorders>
                    <w:tl2br w:val="nil"/>
                    <w:tr2bl w:val="nil"/>
                  </w:tcBorders>
                  <w:vAlign w:val="center"/>
                </w:tcPr>
                <w:p w14:paraId="3AC3B16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本项目情况</w:t>
                  </w:r>
                </w:p>
              </w:tc>
              <w:tc>
                <w:tcPr>
                  <w:tcW w:w="347" w:type="pct"/>
                  <w:tcBorders>
                    <w:tl2br w:val="nil"/>
                    <w:tr2bl w:val="nil"/>
                  </w:tcBorders>
                  <w:vAlign w:val="center"/>
                </w:tcPr>
                <w:p w14:paraId="64759C9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是否符合</w:t>
                  </w:r>
                </w:p>
              </w:tc>
            </w:tr>
            <w:tr w14:paraId="6893A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208" w:type="pct"/>
                  <w:tcBorders>
                    <w:tl2br w:val="nil"/>
                    <w:tr2bl w:val="nil"/>
                  </w:tcBorders>
                  <w:vAlign w:val="center"/>
                </w:tcPr>
                <w:p w14:paraId="65A5E7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02" w:type="pct"/>
                  <w:tcBorders>
                    <w:tl2br w:val="nil"/>
                    <w:tr2bl w:val="nil"/>
                  </w:tcBorders>
                  <w:vAlign w:val="center"/>
                </w:tcPr>
                <w:p w14:paraId="1CF53E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《中华人民共和国大气污染防治法》（2018年修正）</w:t>
                  </w:r>
                </w:p>
              </w:tc>
              <w:tc>
                <w:tcPr>
                  <w:tcW w:w="2534" w:type="pct"/>
                  <w:tcBorders>
                    <w:tl2br w:val="nil"/>
                    <w:tr2bl w:val="nil"/>
                  </w:tcBorders>
                  <w:vAlign w:val="center"/>
                </w:tcPr>
                <w:p w14:paraId="521E15DA">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第四十三条  钢铁、建材、有色金属、石油、化工等企业生产过程中排放粉尘、硫化物和氮氧化物的，应当采用清洁生产工艺，配套建设除尘、脱硫、脱硝等装置，或者采取技术改造等其他控制大气污染物排放的措施。</w:t>
                  </w:r>
                </w:p>
                <w:p w14:paraId="3D0203F6">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第四十五条  产生含挥发性有机物废气的生产和服务活动，应当在密闭空间或者设备中进行，并按照规定安装、使用污染防治设施；无法密闭的，应当采取措施减少废气排放。</w:t>
                  </w:r>
                </w:p>
              </w:tc>
              <w:tc>
                <w:tcPr>
                  <w:tcW w:w="1107" w:type="pct"/>
                  <w:vMerge w:val="restart"/>
                  <w:tcBorders>
                    <w:tl2br w:val="nil"/>
                    <w:tr2bl w:val="nil"/>
                  </w:tcBorders>
                  <w:vAlign w:val="center"/>
                </w:tcPr>
                <w:p w14:paraId="110F94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lang w:eastAsia="zh-CN"/>
                    </w:rPr>
                    <w:t>年产300万件指纹识别棱镜和50万件光学投影棱镜项目</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固定工序废气</w:t>
                  </w:r>
                  <w:r>
                    <w:rPr>
                      <w:rFonts w:hint="default" w:ascii="Times New Roman" w:hAnsi="Times New Roman" w:eastAsia="宋体" w:cs="Times New Roman"/>
                      <w:color w:val="auto"/>
                      <w:sz w:val="21"/>
                      <w:szCs w:val="21"/>
                    </w:rPr>
                    <w:t>经半密闭集气罩收集，收集后的废气进入</w:t>
                  </w:r>
                  <w:r>
                    <w:rPr>
                      <w:rFonts w:hint="default" w:ascii="Times New Roman" w:hAnsi="Times New Roman" w:eastAsia="宋体" w:cs="Times New Roman"/>
                      <w:color w:val="auto"/>
                      <w:sz w:val="21"/>
                      <w:szCs w:val="21"/>
                      <w:lang w:val="en-US" w:eastAsia="zh-CN"/>
                    </w:rPr>
                    <w:t>1套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二级活性炭吸附</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val="en-US" w:eastAsia="zh-CN"/>
                    </w:rPr>
                    <w:t>无组织排放</w:t>
                  </w:r>
                  <w:r>
                    <w:rPr>
                      <w:rFonts w:hint="default" w:ascii="Times New Roman" w:hAnsi="Times New Roman" w:eastAsia="宋体" w:cs="Times New Roman"/>
                      <w:color w:val="auto"/>
                      <w:sz w:val="21"/>
                      <w:szCs w:val="21"/>
                    </w:rPr>
                    <w:t>；废气通过集气罩收集，两级活性炭吸附装置对废气的处理效率达90%。本项目不属于重点行业，废气处理设施对有机废气的处理效率不低于75%。本项目产生的废气采取了有效的防治措施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对周围环境影响较小。</w:t>
                  </w:r>
                </w:p>
              </w:tc>
              <w:tc>
                <w:tcPr>
                  <w:tcW w:w="347" w:type="pct"/>
                  <w:vMerge w:val="restart"/>
                  <w:tcBorders>
                    <w:tl2br w:val="nil"/>
                    <w:tr2bl w:val="nil"/>
                  </w:tcBorders>
                  <w:vAlign w:val="center"/>
                </w:tcPr>
                <w:p w14:paraId="40C14A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0ECDC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208" w:type="pct"/>
                  <w:tcBorders>
                    <w:tl2br w:val="nil"/>
                    <w:tr2bl w:val="nil"/>
                  </w:tcBorders>
                  <w:vAlign w:val="center"/>
                </w:tcPr>
                <w:p w14:paraId="50E989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02" w:type="pct"/>
                  <w:tcBorders>
                    <w:tl2br w:val="nil"/>
                    <w:tr2bl w:val="nil"/>
                  </w:tcBorders>
                  <w:vAlign w:val="center"/>
                </w:tcPr>
                <w:p w14:paraId="2B1EA6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《江苏省大气污染防治条例》（2018年修正）</w:t>
                  </w:r>
                </w:p>
              </w:tc>
              <w:tc>
                <w:tcPr>
                  <w:tcW w:w="2534" w:type="pct"/>
                  <w:tcBorders>
                    <w:tl2br w:val="nil"/>
                    <w:tr2bl w:val="nil"/>
                  </w:tcBorders>
                  <w:vAlign w:val="center"/>
                </w:tcPr>
                <w:p w14:paraId="69F36411">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第三十八条  在生产经营过程中产生有毒有害大气污染物的，排污单位应当安装收集净化装置或者采取其他措施，达到国家和省规定的排放标准或者其他相关要求。禁止直接排放有毒有害大气污染物。</w:t>
                  </w:r>
                </w:p>
                <w:p w14:paraId="1B63A664">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107" w:type="pct"/>
                  <w:vMerge w:val="continue"/>
                  <w:tcBorders>
                    <w:tl2br w:val="nil"/>
                    <w:tr2bl w:val="nil"/>
                  </w:tcBorders>
                  <w:vAlign w:val="center"/>
                </w:tcPr>
                <w:p w14:paraId="7837B458">
                  <w:pPr>
                    <w:widowControl/>
                    <w:jc w:val="left"/>
                    <w:rPr>
                      <w:rFonts w:hint="default" w:ascii="Times New Roman" w:hAnsi="Times New Roman" w:eastAsia="宋体" w:cs="Times New Roman"/>
                      <w:color w:val="auto"/>
                      <w:sz w:val="21"/>
                      <w:szCs w:val="21"/>
                    </w:rPr>
                  </w:pPr>
                </w:p>
              </w:tc>
              <w:tc>
                <w:tcPr>
                  <w:tcW w:w="347" w:type="pct"/>
                  <w:vMerge w:val="continue"/>
                  <w:tcBorders>
                    <w:tl2br w:val="nil"/>
                    <w:tr2bl w:val="nil"/>
                  </w:tcBorders>
                  <w:vAlign w:val="center"/>
                </w:tcPr>
                <w:p w14:paraId="1EB64722">
                  <w:pPr>
                    <w:widowControl/>
                    <w:jc w:val="left"/>
                    <w:rPr>
                      <w:rFonts w:hint="default" w:ascii="Times New Roman" w:hAnsi="Times New Roman" w:eastAsia="宋体" w:cs="Times New Roman"/>
                      <w:color w:val="auto"/>
                      <w:sz w:val="21"/>
                      <w:szCs w:val="21"/>
                    </w:rPr>
                  </w:pPr>
                </w:p>
              </w:tc>
            </w:tr>
            <w:tr w14:paraId="5451D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10C7223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802" w:type="pct"/>
                  <w:tcBorders>
                    <w:tl2br w:val="nil"/>
                    <w:tr2bl w:val="nil"/>
                  </w:tcBorders>
                  <w:vAlign w:val="center"/>
                </w:tcPr>
                <w:p w14:paraId="3CA4E1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《江苏省挥发性有机物污染防治管理办法》（省政府令第119号）</w:t>
                  </w:r>
                </w:p>
              </w:tc>
              <w:tc>
                <w:tcPr>
                  <w:tcW w:w="2534" w:type="pct"/>
                  <w:tcBorders>
                    <w:tl2br w:val="nil"/>
                    <w:tr2bl w:val="nil"/>
                  </w:tcBorders>
                  <w:vAlign w:val="center"/>
                </w:tcPr>
                <w:p w14:paraId="0D4B81C2">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第二十一条</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55BF8B91">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无法在密闭空间进行的生产经营活动应当采取有效措施，减少挥发性有机物排放量。</w:t>
                  </w:r>
                </w:p>
              </w:tc>
              <w:tc>
                <w:tcPr>
                  <w:tcW w:w="1107" w:type="pct"/>
                  <w:vMerge w:val="continue"/>
                  <w:tcBorders>
                    <w:tl2br w:val="nil"/>
                    <w:tr2bl w:val="nil"/>
                  </w:tcBorders>
                  <w:vAlign w:val="center"/>
                </w:tcPr>
                <w:p w14:paraId="5A77BFEC">
                  <w:pPr>
                    <w:widowControl/>
                    <w:jc w:val="left"/>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4B2B6677">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48E97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405DBCE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802" w:type="pct"/>
                  <w:tcBorders>
                    <w:tl2br w:val="nil"/>
                    <w:tr2bl w:val="nil"/>
                  </w:tcBorders>
                  <w:vAlign w:val="center"/>
                </w:tcPr>
                <w:p w14:paraId="13CE4047">
                  <w:pPr>
                    <w:widowControl/>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《江苏省重点行业挥发性有机物污染控制指南》（苏环办[2014]128号）</w:t>
                  </w:r>
                </w:p>
              </w:tc>
              <w:tc>
                <w:tcPr>
                  <w:tcW w:w="2534" w:type="pct"/>
                  <w:tcBorders>
                    <w:tl2br w:val="nil"/>
                    <w:tr2bl w:val="nil"/>
                  </w:tcBorders>
                  <w:vAlign w:val="center"/>
                </w:tcPr>
                <w:p w14:paraId="34743998">
                  <w:pPr>
                    <w:widowControl/>
                    <w:spacing w:line="240" w:lineRule="atLeas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废气处理的工艺路线应根据废气产生量、污染物组分和性质、温度、压力等因素，综合分析后合理选择</w:t>
                  </w:r>
                </w:p>
              </w:tc>
              <w:tc>
                <w:tcPr>
                  <w:tcW w:w="1107" w:type="pct"/>
                  <w:vMerge w:val="continue"/>
                  <w:tcBorders>
                    <w:tl2br w:val="nil"/>
                    <w:tr2bl w:val="nil"/>
                  </w:tcBorders>
                  <w:vAlign w:val="center"/>
                </w:tcPr>
                <w:p w14:paraId="38F36564">
                  <w:pPr>
                    <w:widowControl/>
                    <w:jc w:val="left"/>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4572F5C5">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0212B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32BA801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802" w:type="pct"/>
                  <w:tcBorders>
                    <w:tl2br w:val="nil"/>
                    <w:tr2bl w:val="nil"/>
                  </w:tcBorders>
                  <w:vAlign w:val="center"/>
                </w:tcPr>
                <w:p w14:paraId="2B269478">
                  <w:pPr>
                    <w:widowControl/>
                    <w:spacing w:line="240" w:lineRule="atLeast"/>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highlight w:val="none"/>
                    </w:rPr>
                    <w:t>生态环境部《2020年挥发性有机物治理攻坚方案》</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环大气[2020]33号</w:t>
                  </w:r>
                  <w:r>
                    <w:rPr>
                      <w:rFonts w:hint="eastAsia" w:ascii="Times New Roman" w:hAnsi="Times New Roman" w:eastAsia="宋体" w:cs="Times New Roman"/>
                      <w:color w:val="auto"/>
                      <w:kern w:val="0"/>
                      <w:sz w:val="21"/>
                      <w:szCs w:val="21"/>
                      <w:highlight w:val="none"/>
                      <w:lang w:eastAsia="zh-CN"/>
                    </w:rPr>
                    <w:t>）</w:t>
                  </w:r>
                </w:p>
              </w:tc>
              <w:tc>
                <w:tcPr>
                  <w:tcW w:w="2534" w:type="pct"/>
                  <w:tcBorders>
                    <w:tl2br w:val="nil"/>
                    <w:tr2bl w:val="nil"/>
                  </w:tcBorders>
                  <w:vAlign w:val="center"/>
                </w:tcPr>
                <w:p w14:paraId="1C1B96BD">
                  <w:pPr>
                    <w:widowControl/>
                    <w:numPr>
                      <w:ilvl w:val="0"/>
                      <w:numId w:val="0"/>
                    </w:numPr>
                    <w:spacing w:line="240" w:lineRule="atLeas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三、聚焦治污设施“三率”，提升综合治理效率</w:t>
                  </w:r>
                </w:p>
                <w:p w14:paraId="57E245AE">
                  <w:pPr>
                    <w:widowControl/>
                    <w:numPr>
                      <w:ilvl w:val="0"/>
                      <w:numId w:val="0"/>
                    </w:numPr>
                    <w:spacing w:line="240" w:lineRule="atLeast"/>
                    <w:ind w:left="0" w:lef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组织企业对现有VOCs废气收集率、治理设施同步运行率和去除率开展自查，重点关注单一采用光氧化、光催化、低温等离子、一次性活性炭吸附、喷淋吸收等工艺的治理设施。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107" w:type="pct"/>
                  <w:vMerge w:val="continue"/>
                  <w:tcBorders>
                    <w:tl2br w:val="nil"/>
                    <w:tr2bl w:val="nil"/>
                  </w:tcBorders>
                  <w:vAlign w:val="center"/>
                </w:tcPr>
                <w:p w14:paraId="02418568">
                  <w:pPr>
                    <w:widowControl/>
                    <w:jc w:val="left"/>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53532A8F">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78C66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459BBF8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802" w:type="pct"/>
                  <w:tcBorders>
                    <w:tl2br w:val="nil"/>
                    <w:tr2bl w:val="nil"/>
                  </w:tcBorders>
                  <w:vAlign w:val="center"/>
                </w:tcPr>
                <w:p w14:paraId="04F8E0E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省大气办关于印发《江苏省挥发性有机物清洁原料替代工作方案》的通知（苏大气办[2021]2号）</w:t>
                  </w:r>
                </w:p>
              </w:tc>
              <w:tc>
                <w:tcPr>
                  <w:tcW w:w="2534" w:type="pct"/>
                  <w:tcBorders>
                    <w:tl2br w:val="nil"/>
                    <w:tr2bl w:val="nil"/>
                  </w:tcBorders>
                  <w:vAlign w:val="center"/>
                </w:tcPr>
                <w:p w14:paraId="0926DC95">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明确替代要求。以工业涂装、包装印刷、木材加工、纺织等行业为重点，分阶段推进3130家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tc>
              <w:tc>
                <w:tcPr>
                  <w:tcW w:w="1107" w:type="pct"/>
                  <w:vMerge w:val="restart"/>
                  <w:tcBorders>
                    <w:tl2br w:val="nil"/>
                    <w:tr2bl w:val="nil"/>
                  </w:tcBorders>
                  <w:vAlign w:val="center"/>
                </w:tcPr>
                <w:p w14:paraId="1B6426F5">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本项目清洗过程使用纯碱，不涉及VOCs。</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固定工序废气</w:t>
                  </w:r>
                  <w:r>
                    <w:rPr>
                      <w:rFonts w:hint="default" w:ascii="Times New Roman" w:hAnsi="Times New Roman" w:eastAsia="宋体" w:cs="Times New Roman"/>
                      <w:color w:val="auto"/>
                      <w:sz w:val="21"/>
                      <w:szCs w:val="21"/>
                    </w:rPr>
                    <w:t>经集气罩收集，收集后的废气进入</w:t>
                  </w:r>
                  <w:r>
                    <w:rPr>
                      <w:rFonts w:hint="default" w:ascii="Times New Roman" w:hAnsi="Times New Roman" w:eastAsia="宋体" w:cs="Times New Roman"/>
                      <w:color w:val="auto"/>
                      <w:sz w:val="21"/>
                      <w:szCs w:val="21"/>
                      <w:lang w:val="en-US" w:eastAsia="zh-CN"/>
                    </w:rPr>
                    <w:t>1套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二级活性炭吸附</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val="en-US" w:eastAsia="zh-CN"/>
                    </w:rPr>
                    <w:t>无组织排放</w:t>
                  </w:r>
                  <w:r>
                    <w:rPr>
                      <w:rFonts w:hint="default" w:ascii="Times New Roman" w:hAnsi="Times New Roman" w:eastAsia="宋体" w:cs="Times New Roman"/>
                      <w:color w:val="auto"/>
                      <w:sz w:val="21"/>
                      <w:szCs w:val="21"/>
                      <w:lang w:eastAsia="zh-CN"/>
                    </w:rPr>
                    <w:t>。</w:t>
                  </w:r>
                </w:p>
              </w:tc>
              <w:tc>
                <w:tcPr>
                  <w:tcW w:w="347" w:type="pct"/>
                  <w:tcBorders>
                    <w:tl2br w:val="nil"/>
                    <w:tr2bl w:val="nil"/>
                  </w:tcBorders>
                  <w:vAlign w:val="center"/>
                </w:tcPr>
                <w:p w14:paraId="195564E5">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是</w:t>
                  </w:r>
                </w:p>
              </w:tc>
            </w:tr>
            <w:tr w14:paraId="115D3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267A186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802" w:type="pct"/>
                  <w:tcBorders>
                    <w:tl2br w:val="nil"/>
                    <w:tr2bl w:val="nil"/>
                  </w:tcBorders>
                  <w:vAlign w:val="center"/>
                </w:tcPr>
                <w:p w14:paraId="4495F26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《关于印发常州市挥发性有机物清洁原料替代工作方案的通知》（常污防攻坚指办[2021]32号）</w:t>
                  </w:r>
                </w:p>
              </w:tc>
              <w:tc>
                <w:tcPr>
                  <w:tcW w:w="2534" w:type="pct"/>
                  <w:tcBorders>
                    <w:tl2br w:val="nil"/>
                    <w:tr2bl w:val="nil"/>
                  </w:tcBorders>
                  <w:vAlign w:val="center"/>
                </w:tcPr>
                <w:p w14:paraId="33DDD860">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二、重点任务</w:t>
                  </w:r>
                </w:p>
                <w:p w14:paraId="684EBC2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（一）明确替代要求。以工业涂装、包装印刷、木材加工、纺织等行业为重点……胶粘剂等产品应符合相关标准中VOCs含量的限值要求。</w:t>
                  </w:r>
                </w:p>
                <w:p w14:paraId="4FF0E389">
                  <w:pPr>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（二）严格准入条件。禁止建设生产和使用高VOCs含量的涂料、油墨、胶粘剂等项目。</w:t>
                  </w:r>
                </w:p>
              </w:tc>
              <w:tc>
                <w:tcPr>
                  <w:tcW w:w="1107" w:type="pct"/>
                  <w:vMerge w:val="continue"/>
                  <w:tcBorders>
                    <w:tl2br w:val="nil"/>
                    <w:tr2bl w:val="nil"/>
                  </w:tcBorders>
                  <w:vAlign w:val="center"/>
                </w:tcPr>
                <w:p w14:paraId="1B0E5D27">
                  <w:pPr>
                    <w:widowControl/>
                    <w:jc w:val="center"/>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4A23FF98">
                  <w:pPr>
                    <w:pStyle w:val="28"/>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73862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444ED3E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802" w:type="pct"/>
                  <w:tcBorders>
                    <w:tl2br w:val="nil"/>
                    <w:tr2bl w:val="nil"/>
                  </w:tcBorders>
                  <w:vAlign w:val="center"/>
                </w:tcPr>
                <w:p w14:paraId="3F2F8A64">
                  <w:pPr>
                    <w:widowControl/>
                    <w:spacing w:line="24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《关于印发《重点行业挥发性有机物综合治理方案》的通知》（环大气[2019]53号）</w:t>
                  </w:r>
                </w:p>
              </w:tc>
              <w:tc>
                <w:tcPr>
                  <w:tcW w:w="2534" w:type="pct"/>
                  <w:tcBorders>
                    <w:tl2br w:val="nil"/>
                    <w:tr2bl w:val="nil"/>
                  </w:tcBorders>
                  <w:vAlign w:val="center"/>
                </w:tcPr>
                <w:p w14:paraId="0C8974CD">
                  <w:pPr>
                    <w:widowControl/>
                    <w:numPr>
                      <w:ilvl w:val="0"/>
                      <w:numId w:val="6"/>
                    </w:numPr>
                    <w:spacing w:line="240" w:lineRule="atLeast"/>
                    <w:ind w:firstLine="210" w:firstLineChars="1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7D442F3D">
                  <w:pPr>
                    <w:widowControl/>
                    <w:numPr>
                      <w:ilvl w:val="0"/>
                      <w:numId w:val="0"/>
                    </w:numPr>
                    <w:spacing w:line="240" w:lineRule="atLeast"/>
                    <w:ind w:left="0" w:lef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107" w:type="pct"/>
                  <w:vMerge w:val="continue"/>
                  <w:tcBorders>
                    <w:tl2br w:val="nil"/>
                    <w:tr2bl w:val="nil"/>
                  </w:tcBorders>
                  <w:vAlign w:val="center"/>
                </w:tcPr>
                <w:p w14:paraId="77343E1E">
                  <w:pPr>
                    <w:widowControl/>
                    <w:jc w:val="center"/>
                    <w:rPr>
                      <w:rFonts w:hint="default" w:ascii="Times New Roman" w:hAnsi="Times New Roman" w:eastAsia="宋体" w:cs="Times New Roman"/>
                      <w:color w:val="auto"/>
                      <w:sz w:val="21"/>
                      <w:szCs w:val="21"/>
                    </w:rPr>
                  </w:pPr>
                </w:p>
              </w:tc>
              <w:tc>
                <w:tcPr>
                  <w:tcW w:w="347" w:type="pct"/>
                  <w:tcBorders>
                    <w:tl2br w:val="nil"/>
                    <w:tr2bl w:val="nil"/>
                  </w:tcBorders>
                  <w:vAlign w:val="center"/>
                </w:tcPr>
                <w:p w14:paraId="579C78B7">
                  <w:pPr>
                    <w:pStyle w:val="28"/>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0314B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6569679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802" w:type="pct"/>
                  <w:tcBorders>
                    <w:tl2br w:val="nil"/>
                    <w:tr2bl w:val="nil"/>
                  </w:tcBorders>
                  <w:vAlign w:val="center"/>
                </w:tcPr>
                <w:p w14:paraId="7BEF48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《省生态环境厅关于报送高耗能、高排放项目清单的通知》（苏环便函[2021]903号）</w:t>
                  </w:r>
                </w:p>
              </w:tc>
              <w:tc>
                <w:tcPr>
                  <w:tcW w:w="2534" w:type="pct"/>
                  <w:tcBorders>
                    <w:tl2br w:val="nil"/>
                    <w:tr2bl w:val="nil"/>
                  </w:tcBorders>
                  <w:vAlign w:val="center"/>
                </w:tcPr>
                <w:p w14:paraId="0B1458FF">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一、“两高”项目范围</w:t>
                  </w:r>
                </w:p>
                <w:p w14:paraId="65F95AE3">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两高（高耗能、高排放）项目范围包括煤电、石化化工、钢铁、有色金属冶炼、建材、造纸、纺织印染行业，根据附件1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建材项目报送范围为：3011水泥制造、3012石灰和石膏制造、3031粘土砖瓦及建筑砌块制造、3041平板玻璃制造、3061玻璃纤维及制品制造、3071建筑陶瓷制品制造、3089耐火陶瓷制品及其他耐火材料制造。</w:t>
                  </w:r>
                </w:p>
              </w:tc>
              <w:tc>
                <w:tcPr>
                  <w:tcW w:w="1107" w:type="pct"/>
                  <w:vMerge w:val="restart"/>
                  <w:tcBorders>
                    <w:tl2br w:val="nil"/>
                    <w:tr2bl w:val="nil"/>
                  </w:tcBorders>
                  <w:vAlign w:val="center"/>
                </w:tcPr>
                <w:p w14:paraId="381038C9">
                  <w:pPr>
                    <w:widowControl/>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为年产300万件指纹识别棱镜和50万件光学投影棱镜项目</w:t>
                  </w:r>
                  <w:r>
                    <w:rPr>
                      <w:rFonts w:hint="default" w:ascii="Times New Roman" w:hAnsi="Times New Roman" w:eastAsia="宋体" w:cs="Times New Roman"/>
                      <w:color w:val="auto"/>
                      <w:sz w:val="21"/>
                      <w:szCs w:val="21"/>
                    </w:rPr>
                    <w:t>，行业类别为C</w:t>
                  </w:r>
                  <w:r>
                    <w:rPr>
                      <w:rFonts w:hint="default" w:ascii="Times New Roman" w:hAnsi="Times New Roman" w:eastAsia="宋体" w:cs="Times New Roman"/>
                      <w:color w:val="auto"/>
                      <w:sz w:val="21"/>
                      <w:szCs w:val="21"/>
                      <w:lang w:val="en-US" w:eastAsia="zh-CN"/>
                    </w:rPr>
                    <w:t>3052光学玻璃制造</w:t>
                  </w:r>
                  <w:r>
                    <w:rPr>
                      <w:rFonts w:hint="default" w:ascii="Times New Roman" w:hAnsi="Times New Roman" w:eastAsia="宋体" w:cs="Times New Roman"/>
                      <w:color w:val="auto"/>
                      <w:sz w:val="21"/>
                      <w:szCs w:val="21"/>
                    </w:rPr>
                    <w:t>，不在《环境保护综合名录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2021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年版》的“高污染、高环境风险”产品名录中，不属于两高行业。项目距离最近的国控站点金坛城区直线距离约</w:t>
                  </w:r>
                  <w:r>
                    <w:rPr>
                      <w:rFonts w:hint="eastAsia"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rPr>
                    <w:t>km，不属于重点区域。</w:t>
                  </w:r>
                </w:p>
              </w:tc>
              <w:tc>
                <w:tcPr>
                  <w:tcW w:w="347" w:type="pct"/>
                  <w:vMerge w:val="restart"/>
                  <w:tcBorders>
                    <w:tl2br w:val="nil"/>
                    <w:tr2bl w:val="nil"/>
                  </w:tcBorders>
                  <w:vAlign w:val="center"/>
                </w:tcPr>
                <w:p w14:paraId="0768C4B8">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4FE20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1BE3291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802" w:type="pct"/>
                  <w:tcBorders>
                    <w:tl2br w:val="nil"/>
                    <w:tr2bl w:val="nil"/>
                  </w:tcBorders>
                  <w:vAlign w:val="center"/>
                </w:tcPr>
                <w:p w14:paraId="180D70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《关于加强高耗能、高排放建设项目生态环境源头防控的指导意见》（环环评[2021]45号）</w:t>
                  </w:r>
                </w:p>
              </w:tc>
              <w:tc>
                <w:tcPr>
                  <w:tcW w:w="2534" w:type="pct"/>
                  <w:tcBorders>
                    <w:tl2br w:val="nil"/>
                    <w:tr2bl w:val="nil"/>
                  </w:tcBorders>
                  <w:vAlign w:val="center"/>
                </w:tcPr>
                <w:p w14:paraId="5355585F">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二、严格“两高”项目环评审批</w:t>
                  </w:r>
                </w:p>
                <w:p w14:paraId="3617A8F9">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107" w:type="pct"/>
                  <w:vMerge w:val="continue"/>
                  <w:tcBorders>
                    <w:tl2br w:val="nil"/>
                    <w:tr2bl w:val="nil"/>
                  </w:tcBorders>
                  <w:vAlign w:val="center"/>
                </w:tcPr>
                <w:p w14:paraId="575F056E">
                  <w:pPr>
                    <w:widowControl/>
                    <w:jc w:val="left"/>
                    <w:rPr>
                      <w:rFonts w:hint="default" w:ascii="Times New Roman" w:hAnsi="Times New Roman" w:eastAsia="宋体" w:cs="Times New Roman"/>
                      <w:color w:val="auto"/>
                      <w:sz w:val="21"/>
                      <w:szCs w:val="21"/>
                    </w:rPr>
                  </w:pPr>
                </w:p>
              </w:tc>
              <w:tc>
                <w:tcPr>
                  <w:tcW w:w="347" w:type="pct"/>
                  <w:vMerge w:val="continue"/>
                  <w:tcBorders>
                    <w:tl2br w:val="nil"/>
                    <w:tr2bl w:val="nil"/>
                  </w:tcBorders>
                  <w:vAlign w:val="center"/>
                </w:tcPr>
                <w:p w14:paraId="24095DCE">
                  <w:pPr>
                    <w:widowControl/>
                    <w:jc w:val="left"/>
                    <w:rPr>
                      <w:rFonts w:hint="default" w:ascii="Times New Roman" w:hAnsi="Times New Roman" w:eastAsia="宋体" w:cs="Times New Roman"/>
                      <w:color w:val="auto"/>
                      <w:sz w:val="21"/>
                      <w:szCs w:val="21"/>
                    </w:rPr>
                  </w:pPr>
                </w:p>
              </w:tc>
            </w:tr>
            <w:tr w14:paraId="0E27A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1EDBA65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802" w:type="pct"/>
                  <w:tcBorders>
                    <w:tl2br w:val="nil"/>
                    <w:tr2bl w:val="nil"/>
                  </w:tcBorders>
                  <w:vAlign w:val="center"/>
                </w:tcPr>
                <w:p w14:paraId="35452A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关于印发《环境保护综合名录（2021年版）的通知》</w:t>
                  </w:r>
                </w:p>
              </w:tc>
              <w:tc>
                <w:tcPr>
                  <w:tcW w:w="2534" w:type="pct"/>
                  <w:tcBorders>
                    <w:tl2br w:val="nil"/>
                    <w:tr2bl w:val="nil"/>
                  </w:tcBorders>
                  <w:vAlign w:val="center"/>
                </w:tcPr>
                <w:p w14:paraId="6B956A20">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深入贯彻习近平生态文明思想，落实党的十九大和十九届二中、三中、四中、五中全会精神，深入打好污染防治攻坚战，坚决遏制“两高”项目盲目发展，引导企业绿色转型，推动行业高质量发展，我部在《环境保护综合名录（2017年版）》基础上，修订形成了《环境保护综合名录（2021年版）》。</w:t>
                  </w:r>
                </w:p>
              </w:tc>
              <w:tc>
                <w:tcPr>
                  <w:tcW w:w="1107" w:type="pct"/>
                  <w:vMerge w:val="continue"/>
                  <w:tcBorders>
                    <w:tl2br w:val="nil"/>
                    <w:tr2bl w:val="nil"/>
                  </w:tcBorders>
                  <w:vAlign w:val="center"/>
                </w:tcPr>
                <w:p w14:paraId="7F47CA2E">
                  <w:pPr>
                    <w:widowControl/>
                    <w:jc w:val="left"/>
                    <w:rPr>
                      <w:rFonts w:hint="default" w:ascii="Times New Roman" w:hAnsi="Times New Roman" w:eastAsia="宋体" w:cs="Times New Roman"/>
                      <w:color w:val="auto"/>
                      <w:sz w:val="21"/>
                      <w:szCs w:val="21"/>
                    </w:rPr>
                  </w:pPr>
                </w:p>
              </w:tc>
              <w:tc>
                <w:tcPr>
                  <w:tcW w:w="347" w:type="pct"/>
                  <w:vMerge w:val="continue"/>
                  <w:tcBorders>
                    <w:tl2br w:val="nil"/>
                    <w:tr2bl w:val="nil"/>
                  </w:tcBorders>
                  <w:vAlign w:val="center"/>
                </w:tcPr>
                <w:p w14:paraId="35004181">
                  <w:pPr>
                    <w:widowControl/>
                    <w:jc w:val="left"/>
                    <w:rPr>
                      <w:rFonts w:hint="default" w:ascii="Times New Roman" w:hAnsi="Times New Roman" w:eastAsia="宋体" w:cs="Times New Roman"/>
                      <w:color w:val="auto"/>
                      <w:sz w:val="21"/>
                      <w:szCs w:val="21"/>
                    </w:rPr>
                  </w:pPr>
                </w:p>
              </w:tc>
            </w:tr>
          </w:tbl>
          <w:p w14:paraId="6BA47F09">
            <w:pPr>
              <w:pStyle w:val="4"/>
              <w:rPr>
                <w:rFonts w:hint="default" w:ascii="Times New Roman" w:hAnsi="Times New Roman" w:cs="Times New Roman"/>
                <w:color w:val="auto"/>
                <w:vertAlign w:val="baseline"/>
              </w:rPr>
            </w:pPr>
          </w:p>
        </w:tc>
      </w:tr>
    </w:tbl>
    <w:p w14:paraId="1CBCD8A8">
      <w:pPr>
        <w:pStyle w:val="4"/>
        <w:rPr>
          <w:rFonts w:hint="default" w:ascii="Times New Roman" w:hAnsi="Times New Roman" w:cs="Times New Roman"/>
          <w:color w:val="auto"/>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14:paraId="10EC0A92">
      <w:pPr>
        <w:pStyle w:val="2"/>
        <w:rPr>
          <w:rFonts w:hint="default" w:ascii="Times New Roman" w:hAnsi="Times New Roman" w:cs="Times New Roman"/>
          <w:color w:val="auto"/>
        </w:rPr>
      </w:pPr>
      <w:r>
        <w:rPr>
          <w:rFonts w:hint="default" w:ascii="Times New Roman" w:hAnsi="Times New Roman" w:cs="Times New Roman"/>
          <w:color w:val="auto"/>
        </w:rPr>
        <w:t>二、建设项目工程分析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8586"/>
      </w:tblGrid>
      <w:tr w14:paraId="203D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010AB21C">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建设内容</w:t>
            </w:r>
          </w:p>
        </w:tc>
        <w:tc>
          <w:tcPr>
            <w:tcW w:w="4622" w:type="pct"/>
          </w:tcPr>
          <w:p w14:paraId="7AB40CBB">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1、工程概况</w:t>
            </w:r>
          </w:p>
          <w:p w14:paraId="2908A7A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州市三合光学技术有限公司成立于2019年11月20日，注册地位于常州市金坛区朱林镇唐王村委唐王村62号，法定代表人为黄杰。经营范围包括光学技术研发；光学指纹识别元器件、光学镜头、光学仪器元器件制造。</w:t>
            </w:r>
          </w:p>
          <w:p w14:paraId="4F6F69E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企业</w:t>
            </w:r>
            <w:r>
              <w:rPr>
                <w:rFonts w:hint="eastAsia" w:ascii="Times New Roman" w:hAnsi="Times New Roman" w:eastAsia="宋体" w:cs="Times New Roman"/>
                <w:color w:val="auto"/>
                <w:sz w:val="24"/>
                <w:lang w:val="en-US" w:eastAsia="zh-CN"/>
              </w:rPr>
              <w:t>利用</w:t>
            </w:r>
            <w:r>
              <w:rPr>
                <w:rFonts w:hint="default" w:ascii="Times New Roman" w:hAnsi="Times New Roman" w:eastAsia="宋体" w:cs="Times New Roman"/>
                <w:color w:val="auto"/>
                <w:sz w:val="24"/>
                <w:lang w:val="en-US" w:eastAsia="zh-CN"/>
              </w:rPr>
              <w:t>现有空置</w:t>
            </w:r>
            <w:r>
              <w:rPr>
                <w:rFonts w:hint="eastAsia" w:ascii="Times New Roman" w:hAnsi="Times New Roman" w:eastAsia="宋体" w:cs="Times New Roman"/>
                <w:color w:val="auto"/>
                <w:sz w:val="24"/>
                <w:lang w:val="en-US" w:eastAsia="zh-CN"/>
              </w:rPr>
              <w:t>厂区</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占地</w:t>
            </w:r>
            <w:r>
              <w:rPr>
                <w:rFonts w:hint="default" w:ascii="Times New Roman" w:hAnsi="Times New Roman" w:eastAsia="宋体" w:cs="Times New Roman"/>
                <w:color w:val="auto"/>
                <w:sz w:val="24"/>
                <w:lang w:val="en-US" w:eastAsia="zh-CN"/>
              </w:rPr>
              <w:t>面积为</w:t>
            </w:r>
            <w:r>
              <w:rPr>
                <w:rFonts w:hint="eastAsia" w:ascii="Times New Roman" w:hAnsi="Times New Roman" w:eastAsia="宋体" w:cs="Times New Roman"/>
                <w:color w:val="auto"/>
                <w:sz w:val="24"/>
                <w:lang w:val="en-US" w:eastAsia="zh-CN"/>
              </w:rPr>
              <w:t>2136.5</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新建</w:t>
            </w:r>
            <w:r>
              <w:rPr>
                <w:rFonts w:hint="eastAsia" w:ascii="Times New Roman" w:hAnsi="Times New Roman" w:eastAsia="宋体" w:cs="Times New Roman"/>
                <w:color w:val="auto"/>
                <w:sz w:val="24"/>
                <w:lang w:eastAsia="zh-CN"/>
              </w:rPr>
              <w:t>年产300万件指纹识别棱镜和50万件光学投影棱镜项目</w:t>
            </w:r>
            <w:r>
              <w:rPr>
                <w:rFonts w:hint="default" w:ascii="Times New Roman" w:hAnsi="Times New Roman" w:eastAsia="宋体" w:cs="Times New Roman"/>
                <w:color w:val="auto"/>
                <w:sz w:val="24"/>
              </w:rPr>
              <w:t>。</w:t>
            </w:r>
          </w:p>
          <w:p w14:paraId="68E661B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该项目已于202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13</w:t>
            </w:r>
            <w:r>
              <w:rPr>
                <w:rFonts w:hint="default" w:ascii="Times New Roman" w:hAnsi="Times New Roman" w:eastAsia="宋体" w:cs="Times New Roman"/>
                <w:color w:val="auto"/>
                <w:sz w:val="24"/>
              </w:rPr>
              <w:t>日取得</w:t>
            </w:r>
            <w:r>
              <w:rPr>
                <w:rFonts w:hint="eastAsia" w:ascii="Times New Roman" w:hAnsi="Times New Roman" w:eastAsia="宋体" w:cs="Times New Roman"/>
                <w:color w:val="auto"/>
                <w:sz w:val="24"/>
                <w:lang w:eastAsia="zh-CN"/>
              </w:rPr>
              <w:t>常州市金坛区发展和改革局</w:t>
            </w:r>
            <w:r>
              <w:rPr>
                <w:rFonts w:hint="default" w:ascii="Times New Roman" w:hAnsi="Times New Roman" w:eastAsia="宋体" w:cs="Times New Roman"/>
                <w:color w:val="auto"/>
                <w:sz w:val="24"/>
              </w:rPr>
              <w:t>的项目备案证明，备案证号：</w:t>
            </w:r>
            <w:r>
              <w:rPr>
                <w:rFonts w:hint="eastAsia" w:ascii="Times New Roman" w:hAnsi="Times New Roman" w:eastAsia="宋体" w:cs="Times New Roman"/>
                <w:color w:val="auto"/>
                <w:sz w:val="24"/>
                <w:lang w:eastAsia="zh-CN"/>
              </w:rPr>
              <w:t>坛发改备〔2024〕453号</w:t>
            </w:r>
            <w:r>
              <w:rPr>
                <w:rFonts w:hint="default" w:ascii="Times New Roman" w:hAnsi="Times New Roman" w:eastAsia="宋体" w:cs="Times New Roman"/>
                <w:color w:val="auto"/>
                <w:sz w:val="24"/>
              </w:rPr>
              <w:t>，项目代码：2409-320413-04-01-556221，项目建成后将形成</w:t>
            </w:r>
            <w:r>
              <w:rPr>
                <w:rFonts w:hint="eastAsia" w:ascii="Times New Roman" w:hAnsi="Times New Roman" w:eastAsia="宋体" w:cs="Times New Roman"/>
                <w:color w:val="auto"/>
                <w:sz w:val="24"/>
                <w:lang w:eastAsia="zh-CN"/>
              </w:rPr>
              <w:t>年产300万件指纹识别棱镜和50万件光学投影棱镜</w:t>
            </w:r>
            <w:r>
              <w:rPr>
                <w:rFonts w:hint="default" w:ascii="Times New Roman" w:hAnsi="Times New Roman" w:eastAsia="宋体" w:cs="Times New Roman"/>
                <w:color w:val="auto"/>
                <w:sz w:val="24"/>
              </w:rPr>
              <w:t>的生产能力。</w:t>
            </w:r>
          </w:p>
          <w:p w14:paraId="21E40CA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华人民共和国环境保护法》（2015年1月1日）、《中华人民共和国环境影响评价法》（2018年12月29日）及《国务院关于修改&lt;建设项目环境保护管理条例&gt;的决定》（国令第682号）的有关规定，本项目应进行环境影响评价。根据《建设项目环境影响评价分类管理名录》（2021年版）环境管理要求，该项目属于</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二十七、非金属矿物制品业30</w:t>
            </w:r>
            <w:r>
              <w:rPr>
                <w:rFonts w:hint="default" w:ascii="Times New Roman" w:hAnsi="Times New Roman" w:eastAsia="宋体" w:cs="Times New Roman"/>
                <w:color w:val="auto"/>
                <w:sz w:val="24"/>
              </w:rPr>
              <w:t>-5</w:t>
            </w:r>
            <w:r>
              <w:rPr>
                <w:rFonts w:hint="eastAsia" w:ascii="Times New Roman" w:hAnsi="Times New Roman" w:eastAsia="宋体" w:cs="Times New Roman"/>
                <w:color w:val="auto"/>
                <w:sz w:val="24"/>
                <w:lang w:val="en-US" w:eastAsia="zh-CN"/>
              </w:rPr>
              <w:t>7玻璃制品制造305</w:t>
            </w:r>
            <w:r>
              <w:rPr>
                <w:rFonts w:hint="default" w:ascii="Times New Roman" w:hAnsi="Times New Roman" w:eastAsia="宋体" w:cs="Times New Roman"/>
                <w:color w:val="auto"/>
                <w:sz w:val="24"/>
              </w:rPr>
              <w:t>-玻璃制品制造</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电加热的除外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仅切割、打磨、成型的除外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，应编制环境影响评价报告表。</w:t>
            </w:r>
            <w:r>
              <w:rPr>
                <w:rFonts w:hint="eastAsia" w:ascii="Times New Roman" w:hAnsi="Times New Roman" w:eastAsia="宋体" w:cs="Times New Roman"/>
                <w:color w:val="auto"/>
                <w:sz w:val="24"/>
                <w:lang w:eastAsia="zh-CN"/>
              </w:rPr>
              <w:t>常州市三合光学技术有限公司</w:t>
            </w:r>
            <w:r>
              <w:rPr>
                <w:rFonts w:hint="default" w:ascii="Times New Roman" w:hAnsi="Times New Roman" w:eastAsia="宋体" w:cs="Times New Roman"/>
                <w:color w:val="auto"/>
                <w:sz w:val="24"/>
              </w:rPr>
              <w:t>委托</w:t>
            </w:r>
            <w:r>
              <w:rPr>
                <w:rFonts w:hint="default" w:ascii="Times New Roman" w:hAnsi="Times New Roman" w:eastAsia="宋体" w:cs="Times New Roman"/>
                <w:color w:val="auto"/>
                <w:sz w:val="24"/>
                <w:lang w:eastAsia="zh-CN"/>
              </w:rPr>
              <w:t>常州爱森环保科技有限公司</w:t>
            </w:r>
            <w:r>
              <w:rPr>
                <w:rFonts w:hint="default" w:ascii="Times New Roman" w:hAnsi="Times New Roman" w:eastAsia="宋体" w:cs="Times New Roman"/>
                <w:color w:val="auto"/>
                <w:sz w:val="24"/>
              </w:rPr>
              <w:t>编制建设项目环境影响报告表，</w:t>
            </w:r>
            <w:bookmarkStart w:id="16" w:name="_GoBack"/>
            <w:r>
              <w:rPr>
                <w:rFonts w:hint="default" w:ascii="Times New Roman" w:hAnsi="Times New Roman" w:eastAsia="宋体" w:cs="Times New Roman"/>
                <w:color w:val="auto"/>
                <w:sz w:val="24"/>
                <w:lang w:eastAsia="zh-CN"/>
              </w:rPr>
              <w:t>常州爱森环保科技有限公司</w:t>
            </w:r>
            <w:bookmarkEnd w:id="16"/>
            <w:r>
              <w:rPr>
                <w:rFonts w:hint="default" w:ascii="Times New Roman" w:hAnsi="Times New Roman" w:eastAsia="宋体" w:cs="Times New Roman"/>
                <w:color w:val="auto"/>
                <w:sz w:val="24"/>
              </w:rPr>
              <w:t>接受委托后即组织进行现场勘查、相关资料收集及其他相关工作，最终完成了该项目环境影响评价报告表的编制。</w:t>
            </w:r>
          </w:p>
          <w:p w14:paraId="43C4B066">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2、建设内容和规模</w:t>
            </w:r>
          </w:p>
          <w:p w14:paraId="3E92B6E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w:t>
            </w:r>
            <w:r>
              <w:rPr>
                <w:rFonts w:hint="eastAsia" w:ascii="Times New Roman" w:hAnsi="Times New Roman" w:eastAsia="宋体" w:cs="Times New Roman"/>
                <w:color w:val="auto"/>
                <w:sz w:val="24"/>
                <w:lang w:eastAsia="zh-CN"/>
              </w:rPr>
              <w:t>新建年产300万件指纹识别棱镜和50万件光学投影棱镜项目</w:t>
            </w:r>
            <w:r>
              <w:rPr>
                <w:rFonts w:hint="default" w:ascii="Times New Roman" w:hAnsi="Times New Roman" w:eastAsia="宋体" w:cs="Times New Roman"/>
                <w:color w:val="auto"/>
                <w:sz w:val="24"/>
              </w:rPr>
              <w:t>；</w:t>
            </w:r>
          </w:p>
          <w:p w14:paraId="1D99AF9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r>
              <w:rPr>
                <w:rFonts w:hint="eastAsia" w:ascii="Times New Roman" w:hAnsi="Times New Roman" w:eastAsia="宋体" w:cs="Times New Roman"/>
                <w:color w:val="auto"/>
                <w:sz w:val="24"/>
                <w:lang w:eastAsia="zh-CN"/>
              </w:rPr>
              <w:t>常州市三合光学技术有限公司</w:t>
            </w:r>
            <w:r>
              <w:rPr>
                <w:rFonts w:hint="default" w:ascii="Times New Roman" w:hAnsi="Times New Roman" w:eastAsia="宋体" w:cs="Times New Roman"/>
                <w:color w:val="auto"/>
                <w:sz w:val="24"/>
              </w:rPr>
              <w:t>；</w:t>
            </w:r>
          </w:p>
          <w:p w14:paraId="70FAE77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r>
              <w:rPr>
                <w:rFonts w:hint="eastAsia" w:ascii="Times New Roman" w:hAnsi="Times New Roman" w:eastAsia="宋体" w:cs="Times New Roman"/>
                <w:color w:val="auto"/>
                <w:sz w:val="24"/>
                <w:lang w:eastAsia="zh-CN"/>
              </w:rPr>
              <w:t>常州市金坛区朱林镇唐王村委唐王村62号</w:t>
            </w:r>
            <w:r>
              <w:rPr>
                <w:rFonts w:hint="default" w:ascii="Times New Roman" w:hAnsi="Times New Roman" w:eastAsia="宋体" w:cs="Times New Roman"/>
                <w:color w:val="auto"/>
                <w:sz w:val="24"/>
              </w:rPr>
              <w:t>；</w:t>
            </w:r>
          </w:p>
          <w:p w14:paraId="3A0F4C1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建设性质：新建；</w:t>
            </w:r>
          </w:p>
          <w:p w14:paraId="707BA307">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占地</w:t>
            </w:r>
            <w:r>
              <w:rPr>
                <w:rFonts w:hint="default" w:ascii="Times New Roman" w:hAnsi="Times New Roman" w:eastAsia="宋体" w:cs="Times New Roman"/>
                <w:color w:val="auto"/>
                <w:sz w:val="24"/>
              </w:rPr>
              <w:t>面积：</w:t>
            </w:r>
            <w:r>
              <w:rPr>
                <w:rFonts w:hint="default" w:ascii="Times New Roman" w:hAnsi="Times New Roman" w:eastAsia="宋体" w:cs="Times New Roman"/>
                <w:color w:val="auto"/>
                <w:sz w:val="24"/>
                <w:lang w:val="en-US" w:eastAsia="zh-CN"/>
              </w:rPr>
              <w:t>2136.5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p w14:paraId="2EB52CF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建设内容和规模：</w:t>
            </w:r>
            <w:r>
              <w:rPr>
                <w:rFonts w:hint="eastAsia" w:ascii="Times New Roman" w:hAnsi="Times New Roman" w:eastAsia="宋体" w:cs="Times New Roman"/>
                <w:color w:val="auto"/>
                <w:sz w:val="24"/>
                <w:lang w:eastAsia="zh-CN"/>
              </w:rPr>
              <w:t>常州市三合光学技术有限公司</w:t>
            </w:r>
            <w:r>
              <w:rPr>
                <w:rFonts w:hint="default" w:ascii="Times New Roman" w:hAnsi="Times New Roman" w:eastAsia="宋体" w:cs="Times New Roman"/>
                <w:color w:val="auto"/>
                <w:sz w:val="24"/>
              </w:rPr>
              <w:t>拟投资</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00万元，</w:t>
            </w:r>
            <w:r>
              <w:rPr>
                <w:rFonts w:hint="eastAsia" w:ascii="Times New Roman" w:hAnsi="Times New Roman" w:eastAsia="宋体" w:cs="Times New Roman"/>
                <w:color w:val="auto"/>
                <w:sz w:val="24"/>
                <w:lang w:val="en-US" w:eastAsia="zh-CN"/>
              </w:rPr>
              <w:t>利用</w:t>
            </w:r>
            <w:r>
              <w:rPr>
                <w:rFonts w:hint="default" w:ascii="Times New Roman" w:hAnsi="Times New Roman" w:eastAsia="宋体" w:cs="Times New Roman"/>
                <w:color w:val="auto"/>
                <w:sz w:val="24"/>
                <w:lang w:val="en-US" w:eastAsia="zh-CN"/>
              </w:rPr>
              <w:t>现有空置</w:t>
            </w:r>
            <w:r>
              <w:rPr>
                <w:rFonts w:hint="eastAsia" w:ascii="Times New Roman" w:hAnsi="Times New Roman" w:eastAsia="宋体" w:cs="Times New Roman"/>
                <w:color w:val="auto"/>
                <w:sz w:val="24"/>
                <w:lang w:val="en-US" w:eastAsia="zh-CN"/>
              </w:rPr>
              <w:t>厂区</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占地</w:t>
            </w:r>
            <w:r>
              <w:rPr>
                <w:rFonts w:hint="default" w:ascii="Times New Roman" w:hAnsi="Times New Roman" w:eastAsia="宋体" w:cs="Times New Roman"/>
                <w:color w:val="auto"/>
                <w:sz w:val="24"/>
                <w:lang w:val="en-US" w:eastAsia="zh-CN"/>
              </w:rPr>
              <w:t>面积为</w:t>
            </w:r>
            <w:r>
              <w:rPr>
                <w:rFonts w:hint="eastAsia" w:ascii="Times New Roman" w:hAnsi="Times New Roman" w:eastAsia="宋体" w:cs="Times New Roman"/>
                <w:color w:val="auto"/>
                <w:sz w:val="24"/>
                <w:lang w:val="en-US" w:eastAsia="zh-CN"/>
              </w:rPr>
              <w:t>2136.5</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新建</w:t>
            </w:r>
            <w:r>
              <w:rPr>
                <w:rFonts w:hint="eastAsia" w:ascii="Times New Roman" w:hAnsi="Times New Roman" w:eastAsia="宋体" w:cs="Times New Roman"/>
                <w:color w:val="auto"/>
                <w:sz w:val="24"/>
                <w:lang w:eastAsia="zh-CN"/>
              </w:rPr>
              <w:t>年产300万件指纹识别棱镜和50万件光学投影棱镜项目</w:t>
            </w:r>
            <w:r>
              <w:rPr>
                <w:rFonts w:hint="default" w:ascii="Times New Roman" w:hAnsi="Times New Roman" w:eastAsia="宋体" w:cs="Times New Roman"/>
                <w:color w:val="auto"/>
                <w:sz w:val="24"/>
              </w:rPr>
              <w:t>。</w:t>
            </w:r>
          </w:p>
          <w:p w14:paraId="0E8C7A5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投资情况：</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00万元，其中环保投资</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0万元，占总投资的</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w:t>
            </w:r>
          </w:p>
          <w:p w14:paraId="19847B0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劳动定员及工作制度：</w:t>
            </w:r>
            <w:r>
              <w:rPr>
                <w:rFonts w:hint="default" w:ascii="Times New Roman" w:hAnsi="Times New Roman" w:eastAsia="宋体" w:cs="Times New Roman"/>
                <w:bCs/>
                <w:color w:val="auto"/>
                <w:sz w:val="24"/>
                <w:szCs w:val="24"/>
              </w:rPr>
              <w:t>初步劳动定员为</w:t>
            </w:r>
            <w:r>
              <w:rPr>
                <w:rFonts w:hint="eastAsia" w:ascii="Times New Roman" w:hAnsi="Times New Roman" w:eastAsia="宋体" w:cs="Times New Roman"/>
                <w:bCs/>
                <w:color w:val="auto"/>
                <w:sz w:val="24"/>
                <w:szCs w:val="24"/>
                <w:lang w:val="en-US" w:eastAsia="zh-CN"/>
              </w:rPr>
              <w:t>12</w:t>
            </w:r>
            <w:r>
              <w:rPr>
                <w:rFonts w:hint="default" w:ascii="Times New Roman" w:hAnsi="Times New Roman" w:eastAsia="宋体" w:cs="Times New Roman"/>
                <w:bCs/>
                <w:color w:val="auto"/>
                <w:sz w:val="24"/>
                <w:szCs w:val="24"/>
              </w:rPr>
              <w:t>人</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rPr>
              <w:t>年工作300天，每天工作1班，每班工作8小时，年工作时间为2400小时；</w:t>
            </w:r>
          </w:p>
          <w:p w14:paraId="57F6B73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其他：本项目</w:t>
            </w:r>
            <w:r>
              <w:rPr>
                <w:rFonts w:hint="eastAsia" w:ascii="Times New Roman" w:hAnsi="Times New Roman" w:eastAsia="宋体" w:cs="Times New Roman"/>
                <w:color w:val="auto"/>
                <w:sz w:val="24"/>
                <w:lang w:val="en-US" w:eastAsia="zh-CN"/>
              </w:rPr>
              <w:t>不</w:t>
            </w:r>
            <w:r>
              <w:rPr>
                <w:rFonts w:hint="default" w:ascii="Times New Roman" w:hAnsi="Times New Roman" w:eastAsia="宋体" w:cs="Times New Roman"/>
                <w:color w:val="auto"/>
                <w:sz w:val="24"/>
              </w:rPr>
              <w:t>设置食堂</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设置宿舍等其他生活设施。</w:t>
            </w:r>
          </w:p>
          <w:p w14:paraId="55DB1637">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、产品及产能</w:t>
            </w:r>
          </w:p>
          <w:p w14:paraId="2E782D57">
            <w:pPr>
              <w:pStyle w:val="56"/>
              <w:spacing w:line="360" w:lineRule="auto"/>
              <w:ind w:firstLine="484"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color w:val="auto"/>
                <w:spacing w:val="1"/>
                <w:sz w:val="24"/>
              </w:rPr>
              <w:t>本项目</w:t>
            </w:r>
            <w:r>
              <w:rPr>
                <w:rFonts w:hint="default" w:ascii="Times New Roman" w:hAnsi="Times New Roman" w:eastAsia="宋体" w:cs="Times New Roman"/>
                <w:color w:val="auto"/>
                <w:spacing w:val="-2"/>
                <w:sz w:val="24"/>
              </w:rPr>
              <w:t>产品方案详见表2-1。</w:t>
            </w:r>
          </w:p>
          <w:p w14:paraId="1BDE5772">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 xml:space="preserve">  建设项目产品方案</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92"/>
              <w:gridCol w:w="1574"/>
              <w:gridCol w:w="1396"/>
              <w:gridCol w:w="2483"/>
              <w:gridCol w:w="1375"/>
              <w:gridCol w:w="1047"/>
            </w:tblGrid>
            <w:tr w14:paraId="6E74DA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4" w:type="pct"/>
                  <w:vAlign w:val="center"/>
                </w:tcPr>
                <w:p w14:paraId="40A873CE">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940" w:type="pct"/>
                  <w:vAlign w:val="center"/>
                </w:tcPr>
                <w:p w14:paraId="40285594">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产品名称</w:t>
                  </w:r>
                </w:p>
              </w:tc>
              <w:tc>
                <w:tcPr>
                  <w:tcW w:w="834" w:type="pct"/>
                  <w:vAlign w:val="center"/>
                </w:tcPr>
                <w:p w14:paraId="4A1BEDE5">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产品参数</w:t>
                  </w:r>
                </w:p>
              </w:tc>
              <w:tc>
                <w:tcPr>
                  <w:tcW w:w="1483" w:type="pct"/>
                  <w:vAlign w:val="center"/>
                </w:tcPr>
                <w:p w14:paraId="726578C2">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产品照片</w:t>
                  </w:r>
                </w:p>
              </w:tc>
              <w:tc>
                <w:tcPr>
                  <w:tcW w:w="821" w:type="pct"/>
                  <w:vAlign w:val="center"/>
                </w:tcPr>
                <w:p w14:paraId="6AD4AC3B">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设计能力</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lang w:val="en-US" w:eastAsia="zh-CN"/>
                    </w:rPr>
                    <w:t>万</w:t>
                  </w:r>
                  <w:r>
                    <w:rPr>
                      <w:rFonts w:hint="eastAsia" w:ascii="Times New Roman" w:hAnsi="Times New Roman" w:eastAsia="宋体" w:cs="Times New Roman"/>
                      <w:b/>
                      <w:bCs w:val="0"/>
                      <w:color w:val="auto"/>
                      <w:sz w:val="21"/>
                      <w:szCs w:val="21"/>
                      <w:lang w:val="en-US" w:eastAsia="zh-CN"/>
                    </w:rPr>
                    <w:t>件</w:t>
                  </w:r>
                  <w:r>
                    <w:rPr>
                      <w:rFonts w:hint="default" w:ascii="Times New Roman" w:hAnsi="Times New Roman" w:eastAsia="宋体" w:cs="Times New Roman"/>
                      <w:b/>
                      <w:bCs w:val="0"/>
                      <w:color w:val="auto"/>
                      <w:sz w:val="21"/>
                      <w:szCs w:val="21"/>
                    </w:rPr>
                    <w:t>/a</w:t>
                  </w:r>
                  <w:r>
                    <w:rPr>
                      <w:rFonts w:hint="default" w:ascii="Times New Roman" w:hAnsi="Times New Roman" w:eastAsia="宋体" w:cs="Times New Roman"/>
                      <w:b/>
                      <w:bCs w:val="0"/>
                      <w:color w:val="auto"/>
                      <w:sz w:val="21"/>
                      <w:szCs w:val="21"/>
                      <w:lang w:eastAsia="zh-CN"/>
                    </w:rPr>
                    <w:t>）</w:t>
                  </w:r>
                </w:p>
              </w:tc>
              <w:tc>
                <w:tcPr>
                  <w:tcW w:w="625" w:type="pct"/>
                  <w:vAlign w:val="center"/>
                </w:tcPr>
                <w:p w14:paraId="3772DA9A">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年运行时数</w:t>
                  </w:r>
                </w:p>
              </w:tc>
            </w:tr>
            <w:tr w14:paraId="2BB652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4" w:type="pct"/>
                  <w:vAlign w:val="center"/>
                </w:tcPr>
                <w:p w14:paraId="7D632E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40" w:type="pct"/>
                  <w:vAlign w:val="center"/>
                </w:tcPr>
                <w:p w14:paraId="6D842D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指纹识别棱镜</w:t>
                  </w:r>
                </w:p>
              </w:tc>
              <w:tc>
                <w:tcPr>
                  <w:tcW w:w="1396" w:type="dxa"/>
                  <w:vAlign w:val="center"/>
                </w:tcPr>
                <w:p w14:paraId="5D73DEC4">
                  <w:pPr>
                    <w:pStyle w:val="5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18✕23mm</w:t>
                  </w:r>
                </w:p>
              </w:tc>
              <w:tc>
                <w:tcPr>
                  <w:tcW w:w="2483" w:type="dxa"/>
                  <w:vAlign w:val="center"/>
                </w:tcPr>
                <w:p w14:paraId="0BD2E038">
                  <w:pPr>
                    <w:pStyle w:val="5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216660" cy="833755"/>
                        <wp:effectExtent l="0" t="0" r="2540" b="4445"/>
                        <wp:docPr id="13" name="图片 13" descr="微信图片_2024112608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1126081814"/>
                                <pic:cNvPicPr>
                                  <a:picLocks noChangeAspect="1"/>
                                </pic:cNvPicPr>
                              </pic:nvPicPr>
                              <pic:blipFill>
                                <a:blip r:embed="rId9"/>
                                <a:stretch>
                                  <a:fillRect/>
                                </a:stretch>
                              </pic:blipFill>
                              <pic:spPr>
                                <a:xfrm>
                                  <a:off x="0" y="0"/>
                                  <a:ext cx="1216660" cy="833755"/>
                                </a:xfrm>
                                <a:prstGeom prst="rect">
                                  <a:avLst/>
                                </a:prstGeom>
                              </pic:spPr>
                            </pic:pic>
                          </a:graphicData>
                        </a:graphic>
                      </wp:inline>
                    </w:drawing>
                  </w:r>
                </w:p>
              </w:tc>
              <w:tc>
                <w:tcPr>
                  <w:tcW w:w="821" w:type="pct"/>
                  <w:vAlign w:val="center"/>
                </w:tcPr>
                <w:p w14:paraId="24FF3BF3">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300</w:t>
                  </w:r>
                </w:p>
              </w:tc>
              <w:tc>
                <w:tcPr>
                  <w:tcW w:w="625" w:type="pct"/>
                  <w:vMerge w:val="restart"/>
                  <w:vAlign w:val="center"/>
                </w:tcPr>
                <w:p w14:paraId="576405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2400h</w:t>
                  </w:r>
                </w:p>
              </w:tc>
            </w:tr>
            <w:tr w14:paraId="3F26F7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4" w:type="pct"/>
                  <w:vAlign w:val="center"/>
                </w:tcPr>
                <w:p w14:paraId="6A619F6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940" w:type="pct"/>
                  <w:vAlign w:val="center"/>
                </w:tcPr>
                <w:p w14:paraId="71E1DA8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光学投影棱镜</w:t>
                  </w:r>
                </w:p>
              </w:tc>
              <w:tc>
                <w:tcPr>
                  <w:tcW w:w="1396" w:type="dxa"/>
                  <w:vAlign w:val="center"/>
                </w:tcPr>
                <w:p w14:paraId="0E7E3EF1">
                  <w:pPr>
                    <w:pStyle w:val="55"/>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26✕36mm</w:t>
                  </w:r>
                </w:p>
              </w:tc>
              <w:tc>
                <w:tcPr>
                  <w:tcW w:w="2483" w:type="dxa"/>
                  <w:vAlign w:val="center"/>
                </w:tcPr>
                <w:p w14:paraId="4A9996EF">
                  <w:pPr>
                    <w:pStyle w:val="55"/>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drawing>
                      <wp:inline distT="0" distB="0" distL="114300" distR="114300">
                        <wp:extent cx="1216660" cy="800735"/>
                        <wp:effectExtent l="0" t="0" r="2540" b="6985"/>
                        <wp:docPr id="15" name="图片 15" descr="微信图片_202411260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1126081825"/>
                                <pic:cNvPicPr>
                                  <a:picLocks noChangeAspect="1"/>
                                </pic:cNvPicPr>
                              </pic:nvPicPr>
                              <pic:blipFill>
                                <a:blip r:embed="rId10"/>
                                <a:stretch>
                                  <a:fillRect/>
                                </a:stretch>
                              </pic:blipFill>
                              <pic:spPr>
                                <a:xfrm>
                                  <a:off x="0" y="0"/>
                                  <a:ext cx="1216660" cy="800735"/>
                                </a:xfrm>
                                <a:prstGeom prst="rect">
                                  <a:avLst/>
                                </a:prstGeom>
                              </pic:spPr>
                            </pic:pic>
                          </a:graphicData>
                        </a:graphic>
                      </wp:inline>
                    </w:drawing>
                  </w:r>
                </w:p>
              </w:tc>
              <w:tc>
                <w:tcPr>
                  <w:tcW w:w="821" w:type="pct"/>
                  <w:vAlign w:val="center"/>
                </w:tcPr>
                <w:p w14:paraId="27DC416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625" w:type="pct"/>
                  <w:vMerge w:val="continue"/>
                  <w:vAlign w:val="center"/>
                </w:tcPr>
                <w:p w14:paraId="1910CCBB">
                  <w:pPr>
                    <w:jc w:val="center"/>
                    <w:rPr>
                      <w:rFonts w:hint="default" w:ascii="Times New Roman" w:hAnsi="Times New Roman" w:eastAsia="宋体" w:cs="Times New Roman"/>
                      <w:color w:val="auto"/>
                      <w:sz w:val="21"/>
                      <w:szCs w:val="21"/>
                    </w:rPr>
                  </w:pPr>
                </w:p>
              </w:tc>
            </w:tr>
          </w:tbl>
          <w:p w14:paraId="70B10EBE">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、生产设施</w:t>
            </w:r>
          </w:p>
          <w:p w14:paraId="060E9080">
            <w:pPr>
              <w:pStyle w:val="57"/>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本项目主要设备见表2-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14:paraId="17B73952">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 xml:space="preserve">  主要设备清单一览表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3"/>
              <w:gridCol w:w="1657"/>
              <w:gridCol w:w="1642"/>
              <w:gridCol w:w="1118"/>
              <w:gridCol w:w="1027"/>
              <w:gridCol w:w="1780"/>
            </w:tblGrid>
            <w:tr w14:paraId="3627B7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83" w:type="pct"/>
                  <w:vAlign w:val="center"/>
                </w:tcPr>
                <w:p w14:paraId="76C7229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990" w:type="pct"/>
                  <w:vAlign w:val="center"/>
                </w:tcPr>
                <w:p w14:paraId="38C89877">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设备名称</w:t>
                  </w:r>
                </w:p>
              </w:tc>
              <w:tc>
                <w:tcPr>
                  <w:tcW w:w="981" w:type="pct"/>
                  <w:vAlign w:val="center"/>
                </w:tcPr>
                <w:p w14:paraId="6557F82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规格、型号</w:t>
                  </w:r>
                </w:p>
              </w:tc>
              <w:tc>
                <w:tcPr>
                  <w:tcW w:w="668" w:type="pct"/>
                  <w:vAlign w:val="center"/>
                </w:tcPr>
                <w:p w14:paraId="5C854CA7">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613" w:type="pct"/>
                  <w:vAlign w:val="center"/>
                </w:tcPr>
                <w:p w14:paraId="34C5308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1063" w:type="pct"/>
                  <w:vAlign w:val="center"/>
                </w:tcPr>
                <w:p w14:paraId="4B16249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0C9554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83" w:type="pct"/>
                  <w:vMerge w:val="restart"/>
                  <w:vAlign w:val="center"/>
                </w:tcPr>
                <w:p w14:paraId="0408EA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990" w:type="pct"/>
                  <w:shd w:val="clear" w:color="auto" w:fill="auto"/>
                  <w:vAlign w:val="center"/>
                </w:tcPr>
                <w:p w14:paraId="2FA8727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平面铣磨机</w:t>
                  </w:r>
                </w:p>
              </w:tc>
              <w:tc>
                <w:tcPr>
                  <w:tcW w:w="981" w:type="pct"/>
                  <w:shd w:val="clear" w:color="auto" w:fill="auto"/>
                  <w:vAlign w:val="center"/>
                </w:tcPr>
                <w:p w14:paraId="071DA9F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PM-500</w:t>
                  </w:r>
                </w:p>
              </w:tc>
              <w:tc>
                <w:tcPr>
                  <w:tcW w:w="668" w:type="pct"/>
                  <w:shd w:val="clear" w:color="auto" w:fill="auto"/>
                  <w:vAlign w:val="center"/>
                </w:tcPr>
                <w:p w14:paraId="2A10890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11</w:t>
                  </w:r>
                </w:p>
              </w:tc>
              <w:tc>
                <w:tcPr>
                  <w:tcW w:w="613" w:type="pct"/>
                  <w:vAlign w:val="center"/>
                </w:tcPr>
                <w:p w14:paraId="385FEB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63" w:type="pct"/>
                  <w:vAlign w:val="center"/>
                </w:tcPr>
                <w:p w14:paraId="16D1DC5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研磨</w:t>
                  </w:r>
                </w:p>
              </w:tc>
            </w:tr>
            <w:tr w14:paraId="70F7AD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83" w:type="pct"/>
                  <w:vMerge w:val="continue"/>
                  <w:vAlign w:val="center"/>
                </w:tcPr>
                <w:p w14:paraId="29054FBF">
                  <w:pPr>
                    <w:jc w:val="center"/>
                    <w:rPr>
                      <w:rFonts w:hint="default" w:ascii="Times New Roman" w:hAnsi="Times New Roman" w:eastAsia="宋体" w:cs="Times New Roman"/>
                      <w:color w:val="auto"/>
                      <w:sz w:val="21"/>
                      <w:szCs w:val="21"/>
                    </w:rPr>
                  </w:pPr>
                </w:p>
              </w:tc>
              <w:tc>
                <w:tcPr>
                  <w:tcW w:w="990" w:type="pct"/>
                  <w:shd w:val="clear" w:color="auto" w:fill="auto"/>
                  <w:vAlign w:val="center"/>
                </w:tcPr>
                <w:p w14:paraId="5211165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单轴抛光机</w:t>
                  </w:r>
                </w:p>
              </w:tc>
              <w:tc>
                <w:tcPr>
                  <w:tcW w:w="981" w:type="pct"/>
                  <w:shd w:val="clear" w:color="auto" w:fill="auto"/>
                  <w:vAlign w:val="center"/>
                </w:tcPr>
                <w:p w14:paraId="58DAFE5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PG360</w:t>
                  </w:r>
                </w:p>
              </w:tc>
              <w:tc>
                <w:tcPr>
                  <w:tcW w:w="668" w:type="pct"/>
                  <w:shd w:val="clear" w:color="auto" w:fill="auto"/>
                  <w:vAlign w:val="center"/>
                </w:tcPr>
                <w:p w14:paraId="68BE4BC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13" w:type="pct"/>
                  <w:vAlign w:val="center"/>
                </w:tcPr>
                <w:p w14:paraId="1B7724B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1063" w:type="pct"/>
                  <w:vAlign w:val="center"/>
                </w:tcPr>
                <w:p w14:paraId="70426E8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抛光</w:t>
                  </w:r>
                </w:p>
              </w:tc>
            </w:tr>
            <w:tr w14:paraId="6352AC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trPr>
              <w:tc>
                <w:tcPr>
                  <w:tcW w:w="683" w:type="pct"/>
                  <w:vMerge w:val="continue"/>
                  <w:vAlign w:val="center"/>
                </w:tcPr>
                <w:p w14:paraId="1198B629">
                  <w:pPr>
                    <w:jc w:val="center"/>
                    <w:rPr>
                      <w:rFonts w:hint="default" w:ascii="Times New Roman" w:hAnsi="Times New Roman" w:eastAsia="宋体" w:cs="Times New Roman"/>
                      <w:color w:val="auto"/>
                      <w:sz w:val="21"/>
                      <w:szCs w:val="21"/>
                    </w:rPr>
                  </w:pPr>
                </w:p>
              </w:tc>
              <w:tc>
                <w:tcPr>
                  <w:tcW w:w="990" w:type="pct"/>
                  <w:shd w:val="clear" w:color="auto" w:fill="auto"/>
                  <w:vAlign w:val="center"/>
                </w:tcPr>
                <w:p w14:paraId="389E3A3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超声波清洗</w:t>
                  </w:r>
                  <w:r>
                    <w:rPr>
                      <w:rFonts w:hint="eastAsia" w:ascii="Times New Roman" w:hAnsi="Times New Roman" w:eastAsia="宋体" w:cs="Times New Roman"/>
                      <w:i w:val="0"/>
                      <w:iCs w:val="0"/>
                      <w:color w:val="auto"/>
                      <w:kern w:val="0"/>
                      <w:sz w:val="21"/>
                      <w:szCs w:val="21"/>
                      <w:u w:val="none"/>
                      <w:lang w:val="en-US" w:eastAsia="zh-CN" w:bidi="ar"/>
                    </w:rPr>
                    <w:t>机</w:t>
                  </w:r>
                </w:p>
              </w:tc>
              <w:tc>
                <w:tcPr>
                  <w:tcW w:w="981" w:type="pct"/>
                  <w:shd w:val="clear" w:color="auto" w:fill="auto"/>
                  <w:vAlign w:val="center"/>
                </w:tcPr>
                <w:p w14:paraId="364AEC8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11C</w:t>
                  </w:r>
                </w:p>
              </w:tc>
              <w:tc>
                <w:tcPr>
                  <w:tcW w:w="668" w:type="pct"/>
                  <w:shd w:val="clear" w:color="auto" w:fill="auto"/>
                  <w:vAlign w:val="center"/>
                </w:tcPr>
                <w:p w14:paraId="3B376016">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613" w:type="pct"/>
                  <w:vAlign w:val="center"/>
                </w:tcPr>
                <w:p w14:paraId="59584D18">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套</w:t>
                  </w:r>
                </w:p>
              </w:tc>
              <w:tc>
                <w:tcPr>
                  <w:tcW w:w="1063" w:type="pct"/>
                  <w:vAlign w:val="center"/>
                </w:tcPr>
                <w:p w14:paraId="48066BB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w:t>
                  </w:r>
                </w:p>
              </w:tc>
            </w:tr>
            <w:tr w14:paraId="1FE5D3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83" w:type="pct"/>
                  <w:vMerge w:val="continue"/>
                  <w:vAlign w:val="center"/>
                </w:tcPr>
                <w:p w14:paraId="2A46F0C3">
                  <w:pPr>
                    <w:jc w:val="center"/>
                    <w:rPr>
                      <w:rFonts w:hint="default" w:ascii="Times New Roman" w:hAnsi="Times New Roman" w:eastAsia="宋体" w:cs="Times New Roman"/>
                      <w:color w:val="auto"/>
                      <w:sz w:val="21"/>
                      <w:szCs w:val="21"/>
                    </w:rPr>
                  </w:pPr>
                </w:p>
              </w:tc>
              <w:tc>
                <w:tcPr>
                  <w:tcW w:w="990" w:type="pct"/>
                  <w:shd w:val="clear" w:color="auto" w:fill="auto"/>
                  <w:vAlign w:val="center"/>
                </w:tcPr>
                <w:p w14:paraId="78C2CBCE">
                  <w:pPr>
                    <w:widowControl/>
                    <w:jc w:val="center"/>
                    <w:textAlignment w:val="bottom"/>
                    <w:rPr>
                      <w:rFonts w:hint="default" w:ascii="Times New Roman" w:hAnsi="Times New Roman" w:cs="Times New Roman" w:eastAsiaTheme="minorEastAsia"/>
                      <w:color w:val="auto"/>
                      <w:kern w:val="2"/>
                      <w:sz w:val="21"/>
                      <w:szCs w:val="21"/>
                      <w:lang w:val="en-US" w:eastAsia="zh-CN" w:bidi="ar-SA"/>
                    </w:rPr>
                  </w:pPr>
                  <w:r>
                    <w:rPr>
                      <w:rFonts w:hint="eastAsia" w:ascii="宋体" w:hAnsi="宋体" w:eastAsia="宋体" w:cs="宋体"/>
                      <w:color w:val="auto"/>
                      <w:sz w:val="21"/>
                      <w:szCs w:val="21"/>
                      <w:lang w:val="en-US" w:eastAsia="zh-CN"/>
                    </w:rPr>
                    <w:t>电炉</w:t>
                  </w:r>
                </w:p>
              </w:tc>
              <w:tc>
                <w:tcPr>
                  <w:tcW w:w="981" w:type="pct"/>
                  <w:shd w:val="clear" w:color="auto" w:fill="auto"/>
                  <w:vAlign w:val="center"/>
                </w:tcPr>
                <w:p w14:paraId="6C8DFD6F">
                  <w:pPr>
                    <w:widowControl/>
                    <w:jc w:val="center"/>
                    <w:textAlignment w:val="bottom"/>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68" w:type="pct"/>
                  <w:shd w:val="clear" w:color="auto" w:fill="auto"/>
                  <w:vAlign w:val="center"/>
                </w:tcPr>
                <w:p w14:paraId="7077A53F">
                  <w:pPr>
                    <w:widowControl/>
                    <w:jc w:val="center"/>
                    <w:textAlignment w:val="bottom"/>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12</w:t>
                  </w:r>
                </w:p>
              </w:tc>
              <w:tc>
                <w:tcPr>
                  <w:tcW w:w="613" w:type="pct"/>
                  <w:vAlign w:val="center"/>
                </w:tcPr>
                <w:p w14:paraId="422CA9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063" w:type="pct"/>
                  <w:vAlign w:val="center"/>
                </w:tcPr>
                <w:p w14:paraId="2458A11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固定</w:t>
                  </w:r>
                </w:p>
              </w:tc>
            </w:tr>
            <w:tr w14:paraId="71A178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83" w:type="pct"/>
                  <w:vMerge w:val="continue"/>
                  <w:vAlign w:val="center"/>
                </w:tcPr>
                <w:p w14:paraId="52DD7DBC">
                  <w:pPr>
                    <w:jc w:val="center"/>
                    <w:rPr>
                      <w:rFonts w:hint="default" w:ascii="Times New Roman" w:hAnsi="Times New Roman" w:eastAsia="宋体" w:cs="Times New Roman"/>
                      <w:color w:val="auto"/>
                      <w:sz w:val="21"/>
                      <w:szCs w:val="21"/>
                    </w:rPr>
                  </w:pPr>
                </w:p>
              </w:tc>
              <w:tc>
                <w:tcPr>
                  <w:tcW w:w="990" w:type="pct"/>
                  <w:shd w:val="clear" w:color="auto" w:fill="auto"/>
                  <w:vAlign w:val="center"/>
                </w:tcPr>
                <w:p w14:paraId="5F6D3394">
                  <w:pPr>
                    <w:widowControl/>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空压机</w:t>
                  </w:r>
                </w:p>
              </w:tc>
              <w:tc>
                <w:tcPr>
                  <w:tcW w:w="981" w:type="pct"/>
                  <w:shd w:val="clear" w:color="auto" w:fill="auto"/>
                  <w:vAlign w:val="center"/>
                </w:tcPr>
                <w:p w14:paraId="3B8AF7C2">
                  <w:pPr>
                    <w:widowControl/>
                    <w:jc w:val="center"/>
                    <w:textAlignment w:val="bottom"/>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68" w:type="pct"/>
                  <w:shd w:val="clear" w:color="auto" w:fill="auto"/>
                  <w:vAlign w:val="center"/>
                </w:tcPr>
                <w:p w14:paraId="26F91AEC">
                  <w:pPr>
                    <w:widowControl/>
                    <w:jc w:val="center"/>
                    <w:textAlignment w:val="bottom"/>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613" w:type="pct"/>
                  <w:vAlign w:val="center"/>
                </w:tcPr>
                <w:p w14:paraId="27EB672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台</w:t>
                  </w:r>
                </w:p>
              </w:tc>
              <w:tc>
                <w:tcPr>
                  <w:tcW w:w="1063" w:type="pct"/>
                  <w:vAlign w:val="center"/>
                </w:tcPr>
                <w:p w14:paraId="4E17C56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14:paraId="6FC20CF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bCs w:val="0"/>
                <w:color w:val="auto"/>
                <w:sz w:val="24"/>
                <w:lang w:val="en-US" w:eastAsia="zh-CN"/>
              </w:rPr>
              <w:t>产能匹配性分析：</w:t>
            </w:r>
            <w:r>
              <w:rPr>
                <w:rFonts w:hint="default" w:ascii="Times New Roman" w:hAnsi="Times New Roman" w:eastAsia="宋体" w:cs="Times New Roman"/>
                <w:b w:val="0"/>
                <w:bCs/>
                <w:color w:val="auto"/>
                <w:sz w:val="24"/>
                <w:lang w:val="en-US" w:eastAsia="zh-CN"/>
              </w:rPr>
              <w:t>根据建设单位提供资料，1台超声波清洗日产能约</w:t>
            </w:r>
            <w:r>
              <w:rPr>
                <w:rFonts w:hint="eastAsia" w:ascii="Times New Roman" w:hAnsi="Times New Roman" w:eastAsia="宋体" w:cs="Times New Roman"/>
                <w:b w:val="0"/>
                <w:bCs/>
                <w:color w:val="auto"/>
                <w:sz w:val="24"/>
                <w:lang w:val="en-US" w:eastAsia="zh-CN"/>
              </w:rPr>
              <w:t>6000件</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d</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共计2台超声波清洗机，日产能为1.2万件</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d，年清洗产能为360万件</w:t>
            </w:r>
            <w:r>
              <w:rPr>
                <w:rFonts w:hint="default" w:ascii="Times New Roman" w:hAnsi="Times New Roman" w:eastAsia="宋体" w:cs="Times New Roman"/>
                <w:b w:val="0"/>
                <w:bCs/>
                <w:color w:val="auto"/>
                <w:sz w:val="24"/>
                <w:lang w:val="en-US" w:eastAsia="zh-CN"/>
              </w:rPr>
              <w:t>，可以满足本项目</w:t>
            </w:r>
            <w:r>
              <w:rPr>
                <w:rFonts w:hint="eastAsia" w:ascii="Times New Roman" w:hAnsi="Times New Roman" w:eastAsia="宋体" w:cs="Times New Roman"/>
                <w:b w:val="0"/>
                <w:bCs/>
                <w:color w:val="auto"/>
                <w:sz w:val="24"/>
                <w:lang w:val="en-US" w:eastAsia="zh-CN"/>
              </w:rPr>
              <w:t>350万件/a</w:t>
            </w:r>
            <w:r>
              <w:rPr>
                <w:rFonts w:hint="default" w:ascii="Times New Roman" w:hAnsi="Times New Roman" w:eastAsia="宋体" w:cs="Times New Roman"/>
                <w:b w:val="0"/>
                <w:bCs/>
                <w:color w:val="auto"/>
                <w:sz w:val="24"/>
                <w:lang w:val="en-US" w:eastAsia="zh-CN"/>
              </w:rPr>
              <w:t>的要求。</w:t>
            </w:r>
          </w:p>
          <w:p w14:paraId="67899188">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、原辅材料</w:t>
            </w:r>
          </w:p>
          <w:p w14:paraId="6A76A1B5">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1）原辅料用量及成分</w:t>
            </w:r>
          </w:p>
          <w:p w14:paraId="2D58DD9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本项目主要原辅材料见表2-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23C89DFE">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 xml:space="preserve">  建设项目原辅料及资源能源消耗</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06"/>
              <w:gridCol w:w="1972"/>
              <w:gridCol w:w="2106"/>
              <w:gridCol w:w="1273"/>
              <w:gridCol w:w="1142"/>
              <w:gridCol w:w="968"/>
            </w:tblGrid>
            <w:tr w14:paraId="33D527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Align w:val="center"/>
                </w:tcPr>
                <w:p w14:paraId="0FDE087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类别</w:t>
                  </w:r>
                </w:p>
              </w:tc>
              <w:tc>
                <w:tcPr>
                  <w:tcW w:w="1178" w:type="pct"/>
                  <w:vAlign w:val="center"/>
                </w:tcPr>
                <w:p w14:paraId="3A91DC4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258" w:type="pct"/>
                  <w:vAlign w:val="center"/>
                </w:tcPr>
                <w:p w14:paraId="4834A46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重要组分、规格及指标</w:t>
                  </w:r>
                </w:p>
              </w:tc>
              <w:tc>
                <w:tcPr>
                  <w:tcW w:w="760" w:type="pct"/>
                  <w:vAlign w:val="center"/>
                </w:tcPr>
                <w:p w14:paraId="17DCD3C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年耗量</w:t>
                  </w:r>
                </w:p>
              </w:tc>
              <w:tc>
                <w:tcPr>
                  <w:tcW w:w="682" w:type="pct"/>
                  <w:vAlign w:val="center"/>
                </w:tcPr>
                <w:p w14:paraId="716DDBD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最大储存量</w:t>
                  </w:r>
                </w:p>
              </w:tc>
              <w:tc>
                <w:tcPr>
                  <w:tcW w:w="578" w:type="pct"/>
                  <w:vAlign w:val="center"/>
                </w:tcPr>
                <w:p w14:paraId="079AB78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来源及</w:t>
                  </w:r>
                </w:p>
                <w:p w14:paraId="53F87D7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运输</w:t>
                  </w:r>
                </w:p>
              </w:tc>
            </w:tr>
            <w:tr w14:paraId="6B3A55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Merge w:val="restart"/>
                  <w:vAlign w:val="center"/>
                </w:tcPr>
                <w:p w14:paraId="701C3F2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生产原料</w:t>
                  </w:r>
                </w:p>
              </w:tc>
              <w:tc>
                <w:tcPr>
                  <w:tcW w:w="1178" w:type="pct"/>
                  <w:shd w:val="clear" w:color="auto" w:fill="auto"/>
                  <w:vAlign w:val="center"/>
                </w:tcPr>
                <w:p w14:paraId="1D87E5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光学玻璃毛坯（24mm*19.5mm）</w:t>
                  </w:r>
                </w:p>
              </w:tc>
              <w:tc>
                <w:tcPr>
                  <w:tcW w:w="1258" w:type="pct"/>
                  <w:vAlign w:val="center"/>
                </w:tcPr>
                <w:p w14:paraId="264C7468">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60" w:type="pct"/>
                  <w:shd w:val="clear" w:color="auto" w:fill="auto"/>
                  <w:vAlign w:val="center"/>
                </w:tcPr>
                <w:p w14:paraId="03C1C2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350万件</w:t>
                  </w:r>
                  <w:r>
                    <w:rPr>
                      <w:rFonts w:hint="default" w:ascii="Times New Roman" w:hAnsi="Times New Roman" w:eastAsia="宋体" w:cs="Times New Roman"/>
                      <w:b w:val="0"/>
                      <w:bCs w:val="0"/>
                      <w:color w:val="auto"/>
                      <w:kern w:val="1"/>
                      <w:sz w:val="21"/>
                      <w:szCs w:val="21"/>
                    </w:rPr>
                    <w:t>/a</w:t>
                  </w:r>
                </w:p>
              </w:tc>
              <w:tc>
                <w:tcPr>
                  <w:tcW w:w="682" w:type="pct"/>
                  <w:vAlign w:val="center"/>
                </w:tcPr>
                <w:p w14:paraId="419FE339">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r>
                    <w:rPr>
                      <w:rFonts w:hint="default" w:ascii="Times New Roman" w:hAnsi="Times New Roman" w:eastAsia="宋体" w:cs="Times New Roman"/>
                      <w:b w:val="0"/>
                      <w:bCs w:val="0"/>
                      <w:i w:val="0"/>
                      <w:iCs w:val="0"/>
                      <w:color w:val="auto"/>
                      <w:kern w:val="0"/>
                      <w:sz w:val="21"/>
                      <w:szCs w:val="21"/>
                      <w:u w:val="none"/>
                      <w:lang w:val="en-US" w:eastAsia="zh-CN" w:bidi="ar"/>
                    </w:rPr>
                    <w:t>万件</w:t>
                  </w:r>
                </w:p>
              </w:tc>
              <w:tc>
                <w:tcPr>
                  <w:tcW w:w="578" w:type="pct"/>
                  <w:vMerge w:val="restart"/>
                  <w:vAlign w:val="center"/>
                </w:tcPr>
                <w:p w14:paraId="1233B03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w:t>
                  </w:r>
                </w:p>
                <w:p w14:paraId="210CE64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车运</w:t>
                  </w:r>
                </w:p>
              </w:tc>
            </w:tr>
            <w:tr w14:paraId="191D4F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Merge w:val="continue"/>
                  <w:vAlign w:val="center"/>
                </w:tcPr>
                <w:p w14:paraId="386CD85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c>
                <w:tcPr>
                  <w:tcW w:w="1178" w:type="pct"/>
                  <w:shd w:val="clear" w:color="auto" w:fill="auto"/>
                  <w:vAlign w:val="center"/>
                </w:tcPr>
                <w:p w14:paraId="33D2E8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光学玻璃毛坯（26mm*37mm）</w:t>
                  </w:r>
                </w:p>
              </w:tc>
              <w:tc>
                <w:tcPr>
                  <w:tcW w:w="1258" w:type="pct"/>
                  <w:vAlign w:val="center"/>
                </w:tcPr>
                <w:p w14:paraId="44F6B361">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60" w:type="pct"/>
                  <w:shd w:val="clear" w:color="auto" w:fill="auto"/>
                  <w:vAlign w:val="center"/>
                </w:tcPr>
                <w:p w14:paraId="61481C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60万件</w:t>
                  </w:r>
                  <w:r>
                    <w:rPr>
                      <w:rFonts w:hint="default" w:ascii="Times New Roman" w:hAnsi="Times New Roman" w:eastAsia="宋体" w:cs="Times New Roman"/>
                      <w:b w:val="0"/>
                      <w:bCs w:val="0"/>
                      <w:color w:val="auto"/>
                      <w:kern w:val="1"/>
                      <w:sz w:val="21"/>
                      <w:szCs w:val="21"/>
                    </w:rPr>
                    <w:t>/a</w:t>
                  </w:r>
                </w:p>
              </w:tc>
              <w:tc>
                <w:tcPr>
                  <w:tcW w:w="682" w:type="pct"/>
                  <w:vAlign w:val="center"/>
                </w:tcPr>
                <w:p w14:paraId="44FED5E6">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b w:val="0"/>
                      <w:bCs w:val="0"/>
                      <w:i w:val="0"/>
                      <w:iCs w:val="0"/>
                      <w:color w:val="auto"/>
                      <w:kern w:val="0"/>
                      <w:sz w:val="21"/>
                      <w:szCs w:val="21"/>
                      <w:u w:val="none"/>
                      <w:lang w:val="en-US" w:eastAsia="zh-CN" w:bidi="ar"/>
                    </w:rPr>
                    <w:t>万件</w:t>
                  </w:r>
                </w:p>
              </w:tc>
              <w:tc>
                <w:tcPr>
                  <w:tcW w:w="578" w:type="pct"/>
                  <w:vMerge w:val="continue"/>
                  <w:vAlign w:val="center"/>
                </w:tcPr>
                <w:p w14:paraId="28D95B8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r>
            <w:tr w14:paraId="127AB0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Merge w:val="continue"/>
                  <w:vAlign w:val="center"/>
                </w:tcPr>
                <w:p w14:paraId="54D8437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178" w:type="pct"/>
                  <w:shd w:val="clear" w:color="auto" w:fill="auto"/>
                  <w:vAlign w:val="center"/>
                </w:tcPr>
                <w:p w14:paraId="4E37919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rPr>
                    <w:t>玻璃磨削</w:t>
                  </w:r>
                  <w:r>
                    <w:rPr>
                      <w:rFonts w:hint="default" w:ascii="Times New Roman" w:hAnsi="Times New Roman" w:eastAsia="宋体" w:cs="Times New Roman"/>
                      <w:color w:val="auto"/>
                      <w:kern w:val="1"/>
                      <w:sz w:val="21"/>
                      <w:szCs w:val="21"/>
                      <w:lang w:val="en-US" w:eastAsia="zh-CN"/>
                    </w:rPr>
                    <w:t>冷却液</w:t>
                  </w:r>
                </w:p>
              </w:tc>
              <w:tc>
                <w:tcPr>
                  <w:tcW w:w="1258" w:type="pct"/>
                  <w:vAlign w:val="center"/>
                </w:tcPr>
                <w:p w14:paraId="127EA47F">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十二烷基硫酸钠30-50%、硼砂6-8%、苯甲酸钠5-10%、硅酸钠5-6%、水40-50%</w:t>
                  </w:r>
                </w:p>
              </w:tc>
              <w:tc>
                <w:tcPr>
                  <w:tcW w:w="760" w:type="pct"/>
                  <w:shd w:val="clear" w:color="auto" w:fill="auto"/>
                  <w:vAlign w:val="center"/>
                </w:tcPr>
                <w:p w14:paraId="7D8F866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color w:val="auto"/>
                      <w:kern w:val="1"/>
                      <w:sz w:val="21"/>
                      <w:szCs w:val="21"/>
                      <w:lang w:val="en-US" w:eastAsia="zh-CN"/>
                    </w:rPr>
                    <w:t>100kg</w:t>
                  </w:r>
                  <w:r>
                    <w:rPr>
                      <w:rFonts w:hint="default" w:ascii="Times New Roman" w:hAnsi="Times New Roman" w:eastAsia="宋体" w:cs="Times New Roman"/>
                      <w:b w:val="0"/>
                      <w:bCs w:val="0"/>
                      <w:color w:val="auto"/>
                      <w:kern w:val="1"/>
                      <w:sz w:val="21"/>
                      <w:szCs w:val="21"/>
                    </w:rPr>
                    <w:t>/a</w:t>
                  </w:r>
                </w:p>
              </w:tc>
              <w:tc>
                <w:tcPr>
                  <w:tcW w:w="682" w:type="pct"/>
                  <w:vAlign w:val="center"/>
                </w:tcPr>
                <w:p w14:paraId="4C1CA3C8">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20kg</w:t>
                  </w:r>
                </w:p>
              </w:tc>
              <w:tc>
                <w:tcPr>
                  <w:tcW w:w="578" w:type="pct"/>
                  <w:vMerge w:val="continue"/>
                  <w:vAlign w:val="center"/>
                </w:tcPr>
                <w:p w14:paraId="0B7645F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r>
            <w:tr w14:paraId="2803D1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Merge w:val="continue"/>
                  <w:vAlign w:val="center"/>
                </w:tcPr>
                <w:p w14:paraId="35FA767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178" w:type="pct"/>
                  <w:shd w:val="clear" w:color="auto" w:fill="auto"/>
                  <w:vAlign w:val="center"/>
                </w:tcPr>
                <w:p w14:paraId="3AF9FA7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rPr>
                    <w:t>抛光</w:t>
                  </w:r>
                  <w:r>
                    <w:rPr>
                      <w:rFonts w:hint="eastAsia" w:ascii="Times New Roman" w:hAnsi="Times New Roman" w:eastAsia="宋体" w:cs="Times New Roman"/>
                      <w:color w:val="auto"/>
                      <w:kern w:val="1"/>
                      <w:sz w:val="21"/>
                      <w:szCs w:val="21"/>
                      <w:lang w:val="en-US" w:eastAsia="zh-CN"/>
                    </w:rPr>
                    <w:t>液</w:t>
                  </w:r>
                </w:p>
              </w:tc>
              <w:tc>
                <w:tcPr>
                  <w:tcW w:w="1258" w:type="pct"/>
                  <w:vAlign w:val="center"/>
                </w:tcPr>
                <w:p w14:paraId="1219226C">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氧化铈</w:t>
                  </w:r>
                  <w:r>
                    <w:rPr>
                      <w:rFonts w:hint="eastAsia" w:ascii="Times New Roman" w:hAnsi="Times New Roman" w:eastAsia="宋体" w:cs="Times New Roman"/>
                      <w:color w:val="auto"/>
                      <w:sz w:val="21"/>
                      <w:szCs w:val="21"/>
                      <w:lang w:val="en-US" w:eastAsia="zh-CN"/>
                    </w:rPr>
                    <w:t>、水</w:t>
                  </w:r>
                </w:p>
              </w:tc>
              <w:tc>
                <w:tcPr>
                  <w:tcW w:w="760" w:type="pct"/>
                  <w:shd w:val="clear" w:color="auto" w:fill="auto"/>
                  <w:vAlign w:val="center"/>
                </w:tcPr>
                <w:p w14:paraId="437E3B5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color w:val="auto"/>
                      <w:kern w:val="1"/>
                      <w:sz w:val="21"/>
                      <w:szCs w:val="21"/>
                      <w:lang w:val="en-US" w:eastAsia="zh-CN"/>
                    </w:rPr>
                    <w:t>200kg</w:t>
                  </w:r>
                  <w:r>
                    <w:rPr>
                      <w:rFonts w:hint="default" w:ascii="Times New Roman" w:hAnsi="Times New Roman" w:eastAsia="宋体" w:cs="Times New Roman"/>
                      <w:b w:val="0"/>
                      <w:bCs w:val="0"/>
                      <w:color w:val="auto"/>
                      <w:kern w:val="1"/>
                      <w:sz w:val="21"/>
                      <w:szCs w:val="21"/>
                    </w:rPr>
                    <w:t>/a</w:t>
                  </w:r>
                </w:p>
              </w:tc>
              <w:tc>
                <w:tcPr>
                  <w:tcW w:w="682" w:type="pct"/>
                  <w:vAlign w:val="center"/>
                </w:tcPr>
                <w:p w14:paraId="40BAC6AA">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20kg</w:t>
                  </w:r>
                </w:p>
              </w:tc>
              <w:tc>
                <w:tcPr>
                  <w:tcW w:w="578" w:type="pct"/>
                  <w:vMerge w:val="continue"/>
                  <w:vAlign w:val="center"/>
                </w:tcPr>
                <w:p w14:paraId="0510808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r>
            <w:tr w14:paraId="0457F6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Merge w:val="continue"/>
                  <w:vAlign w:val="center"/>
                </w:tcPr>
                <w:p w14:paraId="6AF6604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178" w:type="pct"/>
                  <w:shd w:val="clear" w:color="auto" w:fill="auto"/>
                  <w:vAlign w:val="center"/>
                </w:tcPr>
                <w:p w14:paraId="4635F2D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1"/>
                      <w:sz w:val="21"/>
                      <w:szCs w:val="21"/>
                      <w:lang w:val="en-US" w:eastAsia="zh-CN" w:bidi="ar-SA"/>
                    </w:rPr>
                  </w:pPr>
                  <w:r>
                    <w:rPr>
                      <w:rFonts w:hint="eastAsia" w:ascii="Times New Roman" w:hAnsi="Times New Roman" w:eastAsia="宋体" w:cs="Times New Roman"/>
                      <w:color w:val="auto"/>
                      <w:kern w:val="1"/>
                      <w:sz w:val="21"/>
                      <w:szCs w:val="21"/>
                      <w:lang w:val="en-US" w:eastAsia="zh-CN"/>
                    </w:rPr>
                    <w:t>热熔胶</w:t>
                  </w:r>
                </w:p>
              </w:tc>
              <w:tc>
                <w:tcPr>
                  <w:tcW w:w="1258" w:type="pct"/>
                  <w:vAlign w:val="center"/>
                </w:tcPr>
                <w:p w14:paraId="6658DC7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松香10%、白蜡90%</w:t>
                  </w:r>
                </w:p>
              </w:tc>
              <w:tc>
                <w:tcPr>
                  <w:tcW w:w="760" w:type="pct"/>
                  <w:shd w:val="clear" w:color="auto" w:fill="auto"/>
                  <w:vAlign w:val="center"/>
                </w:tcPr>
                <w:p w14:paraId="65185A8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eastAsia="宋体" w:cs="Times New Roman"/>
                      <w:b w:val="0"/>
                      <w:bCs w:val="0"/>
                      <w:color w:val="auto"/>
                      <w:kern w:val="1"/>
                      <w:sz w:val="21"/>
                      <w:szCs w:val="21"/>
                      <w:lang w:val="en-US" w:eastAsia="zh-CN"/>
                    </w:rPr>
                    <w:t>26</w:t>
                  </w:r>
                  <w:r>
                    <w:rPr>
                      <w:rFonts w:hint="default" w:ascii="Times New Roman" w:hAnsi="Times New Roman" w:eastAsia="宋体" w:cs="Times New Roman"/>
                      <w:b w:val="0"/>
                      <w:bCs w:val="0"/>
                      <w:color w:val="auto"/>
                      <w:kern w:val="1"/>
                      <w:sz w:val="21"/>
                      <w:szCs w:val="21"/>
                      <w:lang w:val="en-US" w:eastAsia="zh-CN"/>
                    </w:rPr>
                    <w:t>0kg</w:t>
                  </w:r>
                  <w:r>
                    <w:rPr>
                      <w:rFonts w:hint="default" w:ascii="Times New Roman" w:hAnsi="Times New Roman" w:eastAsia="宋体" w:cs="Times New Roman"/>
                      <w:b w:val="0"/>
                      <w:bCs w:val="0"/>
                      <w:color w:val="auto"/>
                      <w:kern w:val="1"/>
                      <w:sz w:val="21"/>
                      <w:szCs w:val="21"/>
                    </w:rPr>
                    <w:t>/a</w:t>
                  </w:r>
                </w:p>
              </w:tc>
              <w:tc>
                <w:tcPr>
                  <w:tcW w:w="682" w:type="pct"/>
                  <w:vAlign w:val="center"/>
                </w:tcPr>
                <w:p w14:paraId="07FB1F34">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40kg</w:t>
                  </w:r>
                </w:p>
              </w:tc>
              <w:tc>
                <w:tcPr>
                  <w:tcW w:w="578" w:type="pct"/>
                  <w:vMerge w:val="continue"/>
                  <w:vAlign w:val="center"/>
                </w:tcPr>
                <w:p w14:paraId="1A610AD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r>
            <w:tr w14:paraId="414045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Align w:val="center"/>
                </w:tcPr>
                <w:p w14:paraId="0D428A4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清洗</w:t>
                  </w:r>
                </w:p>
              </w:tc>
              <w:tc>
                <w:tcPr>
                  <w:tcW w:w="1178" w:type="pct"/>
                  <w:vAlign w:val="center"/>
                </w:tcPr>
                <w:p w14:paraId="377F42A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bookmarkStart w:id="4" w:name="OLE_LINK1"/>
                  <w:r>
                    <w:rPr>
                      <w:rFonts w:hint="eastAsia" w:ascii="Times New Roman" w:hAnsi="Times New Roman" w:eastAsia="宋体" w:cs="Times New Roman"/>
                      <w:color w:val="auto"/>
                      <w:sz w:val="21"/>
                      <w:szCs w:val="21"/>
                      <w:lang w:val="en-US" w:eastAsia="zh-CN"/>
                    </w:rPr>
                    <w:t>纯碱</w:t>
                  </w:r>
                  <w:bookmarkEnd w:id="4"/>
                </w:p>
              </w:tc>
              <w:tc>
                <w:tcPr>
                  <w:tcW w:w="1258" w:type="pct"/>
                  <w:vAlign w:val="center"/>
                </w:tcPr>
                <w:p w14:paraId="7F8175B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碳酸钠（</w:t>
                  </w:r>
                  <w:r>
                    <w:rPr>
                      <w:rFonts w:hint="eastAsia" w:ascii="宋体" w:hAnsi="宋体" w:eastAsia="宋体" w:cs="宋体"/>
                      <w:color w:val="auto"/>
                      <w:sz w:val="21"/>
                      <w:szCs w:val="21"/>
                      <w:lang w:val="en-US" w:eastAsia="zh-CN"/>
                    </w:rPr>
                    <w:t>≧</w:t>
                  </w:r>
                  <w:r>
                    <w:rPr>
                      <w:rFonts w:hint="eastAsia" w:ascii="Times New Roman" w:hAnsi="Times New Roman" w:eastAsia="宋体" w:cs="Times New Roman"/>
                      <w:color w:val="auto"/>
                      <w:sz w:val="21"/>
                      <w:szCs w:val="21"/>
                      <w:lang w:val="en-US" w:eastAsia="zh-CN"/>
                    </w:rPr>
                    <w:t>99.2%）</w:t>
                  </w:r>
                </w:p>
              </w:tc>
              <w:tc>
                <w:tcPr>
                  <w:tcW w:w="760" w:type="pct"/>
                  <w:vAlign w:val="center"/>
                </w:tcPr>
                <w:p w14:paraId="7248A7A0">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r>
                    <w:rPr>
                      <w:rFonts w:hint="default" w:ascii="Times New Roman" w:hAnsi="Times New Roman" w:eastAsia="宋体" w:cs="Times New Roman"/>
                      <w:b w:val="0"/>
                      <w:bCs w:val="0"/>
                      <w:color w:val="auto"/>
                      <w:kern w:val="1"/>
                      <w:sz w:val="21"/>
                      <w:szCs w:val="21"/>
                      <w:lang w:val="en-US" w:eastAsia="zh-CN"/>
                    </w:rPr>
                    <w:t>kg</w:t>
                  </w:r>
                  <w:r>
                    <w:rPr>
                      <w:rFonts w:hint="default" w:ascii="Times New Roman" w:hAnsi="Times New Roman" w:eastAsia="宋体" w:cs="Times New Roman"/>
                      <w:b w:val="0"/>
                      <w:bCs w:val="0"/>
                      <w:color w:val="auto"/>
                      <w:kern w:val="1"/>
                      <w:sz w:val="21"/>
                      <w:szCs w:val="21"/>
                    </w:rPr>
                    <w:t>/a</w:t>
                  </w:r>
                </w:p>
              </w:tc>
              <w:tc>
                <w:tcPr>
                  <w:tcW w:w="682" w:type="pct"/>
                  <w:vAlign w:val="center"/>
                </w:tcPr>
                <w:p w14:paraId="64EC64C3">
                  <w:pPr>
                    <w:pStyle w:val="5"/>
                    <w:keepNext w:val="0"/>
                    <w:keepLines w:val="0"/>
                    <w:pageBreakBefore w:val="0"/>
                    <w:kinsoku/>
                    <w:wordWrap/>
                    <w:overflowPunct/>
                    <w:topLinePunct w:val="0"/>
                    <w:autoSpaceDE/>
                    <w:autoSpaceDN/>
                    <w:bidi w:val="0"/>
                    <w:adjustRightInd/>
                    <w:snapToGrid/>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2kg</w:t>
                  </w:r>
                </w:p>
              </w:tc>
              <w:tc>
                <w:tcPr>
                  <w:tcW w:w="578" w:type="pct"/>
                  <w:vAlign w:val="center"/>
                </w:tcPr>
                <w:p w14:paraId="3B54432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w:t>
                  </w:r>
                </w:p>
                <w:p w14:paraId="5C11884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车运</w:t>
                  </w:r>
                </w:p>
              </w:tc>
            </w:tr>
            <w:tr w14:paraId="2D0729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Merge w:val="restart"/>
                  <w:vAlign w:val="center"/>
                </w:tcPr>
                <w:p w14:paraId="6B8652C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资源能源</w:t>
                  </w:r>
                </w:p>
              </w:tc>
              <w:tc>
                <w:tcPr>
                  <w:tcW w:w="1178" w:type="pct"/>
                  <w:vAlign w:val="center"/>
                </w:tcPr>
                <w:p w14:paraId="7E56F27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1258" w:type="pct"/>
                  <w:vAlign w:val="center"/>
                </w:tcPr>
                <w:p w14:paraId="65366BC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60" w:type="pct"/>
                  <w:vAlign w:val="center"/>
                </w:tcPr>
                <w:p w14:paraId="612B781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338.8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682" w:type="pct"/>
                  <w:vAlign w:val="center"/>
                </w:tcPr>
                <w:p w14:paraId="03B8231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78" w:type="pct"/>
                  <w:vMerge w:val="restart"/>
                  <w:vAlign w:val="center"/>
                </w:tcPr>
                <w:p w14:paraId="2872531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w:t>
                  </w:r>
                </w:p>
                <w:p w14:paraId="7B653A5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供给</w:t>
                  </w:r>
                </w:p>
              </w:tc>
            </w:tr>
            <w:tr w14:paraId="1E0EE1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1" w:type="pct"/>
                  <w:vMerge w:val="continue"/>
                  <w:vAlign w:val="center"/>
                </w:tcPr>
                <w:p w14:paraId="6A7789B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178" w:type="pct"/>
                  <w:vAlign w:val="center"/>
                </w:tcPr>
                <w:p w14:paraId="1E6A80F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1258" w:type="pct"/>
                  <w:vAlign w:val="center"/>
                </w:tcPr>
                <w:p w14:paraId="222B375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60" w:type="pct"/>
                  <w:vAlign w:val="center"/>
                </w:tcPr>
                <w:p w14:paraId="35EB0DB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万kWh/a</w:t>
                  </w:r>
                </w:p>
              </w:tc>
              <w:tc>
                <w:tcPr>
                  <w:tcW w:w="682" w:type="pct"/>
                  <w:vAlign w:val="center"/>
                </w:tcPr>
                <w:p w14:paraId="345EB0B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78" w:type="pct"/>
                  <w:vMerge w:val="continue"/>
                  <w:vAlign w:val="center"/>
                </w:tcPr>
                <w:p w14:paraId="46EED18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r>
          </w:tbl>
          <w:p w14:paraId="67FAFCA1">
            <w:pPr>
              <w:spacing w:before="156" w:beforeLines="5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 xml:space="preserve">  主要原辅料理化性质</w:t>
            </w:r>
          </w:p>
          <w:tbl>
            <w:tblPr>
              <w:tblStyle w:val="2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28"/>
              <w:gridCol w:w="5154"/>
              <w:gridCol w:w="899"/>
              <w:gridCol w:w="1389"/>
            </w:tblGrid>
            <w:tr w14:paraId="2DE35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4DE2D4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名称</w:t>
                  </w:r>
                </w:p>
              </w:tc>
              <w:tc>
                <w:tcPr>
                  <w:tcW w:w="3078" w:type="pct"/>
                  <w:tcBorders>
                    <w:tl2br w:val="nil"/>
                    <w:tr2bl w:val="nil"/>
                  </w:tcBorders>
                  <w:tcMar>
                    <w:top w:w="0" w:type="dxa"/>
                    <w:left w:w="0" w:type="dxa"/>
                    <w:bottom w:w="0" w:type="dxa"/>
                    <w:right w:w="0" w:type="dxa"/>
                  </w:tcMar>
                  <w:vAlign w:val="center"/>
                </w:tcPr>
                <w:p w14:paraId="50FD03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理化性质</w:t>
                  </w:r>
                </w:p>
              </w:tc>
              <w:tc>
                <w:tcPr>
                  <w:tcW w:w="537" w:type="pct"/>
                  <w:tcBorders>
                    <w:tl2br w:val="nil"/>
                    <w:tr2bl w:val="nil"/>
                  </w:tcBorders>
                  <w:tcMar>
                    <w:top w:w="0" w:type="dxa"/>
                    <w:left w:w="0" w:type="dxa"/>
                    <w:bottom w:w="0" w:type="dxa"/>
                    <w:right w:w="0" w:type="dxa"/>
                  </w:tcMar>
                  <w:vAlign w:val="center"/>
                </w:tcPr>
                <w:p w14:paraId="6858DA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燃爆性/</w:t>
                  </w:r>
                </w:p>
                <w:p w14:paraId="209E42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放射性</w:t>
                  </w:r>
                </w:p>
              </w:tc>
              <w:tc>
                <w:tcPr>
                  <w:tcW w:w="829" w:type="pct"/>
                  <w:tcBorders>
                    <w:tl2br w:val="nil"/>
                    <w:tr2bl w:val="nil"/>
                  </w:tcBorders>
                  <w:tcMar>
                    <w:top w:w="0" w:type="dxa"/>
                    <w:left w:w="0" w:type="dxa"/>
                    <w:bottom w:w="0" w:type="dxa"/>
                    <w:right w:w="0" w:type="dxa"/>
                  </w:tcMar>
                  <w:vAlign w:val="center"/>
                </w:tcPr>
                <w:p w14:paraId="3E2287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毒性毒理/</w:t>
                  </w:r>
                </w:p>
                <w:p w14:paraId="246EA8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危险特性</w:t>
                  </w:r>
                </w:p>
              </w:tc>
            </w:tr>
            <w:tr w14:paraId="1DF991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509D0A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十二烷基硫酸钠</w:t>
                  </w:r>
                </w:p>
              </w:tc>
              <w:tc>
                <w:tcPr>
                  <w:tcW w:w="3078" w:type="pct"/>
                  <w:tcBorders>
                    <w:tl2br w:val="nil"/>
                    <w:tr2bl w:val="nil"/>
                  </w:tcBorders>
                  <w:tcMar>
                    <w:top w:w="0" w:type="dxa"/>
                    <w:left w:w="0" w:type="dxa"/>
                    <w:bottom w:w="0" w:type="dxa"/>
                    <w:right w:w="0" w:type="dxa"/>
                  </w:tcMar>
                  <w:vAlign w:val="center"/>
                </w:tcPr>
                <w:p w14:paraId="512BD6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rPr>
                    <w:t>十二烷基硫酸钠（Sodium dodecyl sulfate，简写：SDS），又叫月桂硫酸钠，是一种</w:t>
                  </w:r>
                  <w:r>
                    <w:rPr>
                      <w:rFonts w:hint="default" w:ascii="Times New Roman" w:hAnsi="Times New Roman" w:eastAsia="宋体" w:cs="Times New Roman"/>
                      <w:color w:val="auto"/>
                      <w:kern w:val="0"/>
                      <w:sz w:val="21"/>
                      <w:szCs w:val="21"/>
                      <w:lang w:val="en-US"/>
                    </w:rPr>
                    <w:fldChar w:fldCharType="begin"/>
                  </w:r>
                  <w:r>
                    <w:rPr>
                      <w:rFonts w:hint="default" w:ascii="Times New Roman" w:hAnsi="Times New Roman" w:eastAsia="宋体" w:cs="Times New Roman"/>
                      <w:color w:val="auto"/>
                      <w:kern w:val="0"/>
                      <w:sz w:val="21"/>
                      <w:szCs w:val="21"/>
                      <w:lang w:val="en-US"/>
                    </w:rPr>
                    <w:instrText xml:space="preserve"> HYPERLINK "https://baike.baidu.com/item/%E9%98%B4%E7%A6%BB%E5%AD%90%E8%A1%A8%E9%9D%A2%E6%B4%BB%E6%80%A7%E5%89%82/5044802?fromModule=lemma_inlink" \t "https://baike.baidu.com/item/%E5%8D%81%E4%BA%8C%E7%83%B7%E5%9F%BA%E7%A1%AB%E9%85%B8%E9%92%A0/_blank" </w:instrText>
                  </w:r>
                  <w:r>
                    <w:rPr>
                      <w:rFonts w:hint="default" w:ascii="Times New Roman" w:hAnsi="Times New Roman" w:eastAsia="宋体" w:cs="Times New Roman"/>
                      <w:color w:val="auto"/>
                      <w:kern w:val="0"/>
                      <w:sz w:val="21"/>
                      <w:szCs w:val="21"/>
                      <w:lang w:val="en-US"/>
                    </w:rPr>
                    <w:fldChar w:fldCharType="separate"/>
                  </w:r>
                  <w:r>
                    <w:rPr>
                      <w:rFonts w:hint="default" w:ascii="Times New Roman" w:hAnsi="Times New Roman" w:eastAsia="宋体" w:cs="Times New Roman"/>
                      <w:color w:val="auto"/>
                      <w:kern w:val="0"/>
                      <w:sz w:val="21"/>
                      <w:szCs w:val="21"/>
                      <w:lang w:val="en-US"/>
                    </w:rPr>
                    <w:t>阴离子表面活性剂</w:t>
                  </w:r>
                  <w:r>
                    <w:rPr>
                      <w:rFonts w:hint="default" w:ascii="Times New Roman" w:hAnsi="Times New Roman" w:eastAsia="宋体" w:cs="Times New Roman"/>
                      <w:color w:val="auto"/>
                      <w:kern w:val="0"/>
                      <w:sz w:val="21"/>
                      <w:szCs w:val="21"/>
                      <w:lang w:val="en-US"/>
                    </w:rPr>
                    <w:fldChar w:fldCharType="end"/>
                  </w:r>
                  <w:r>
                    <w:rPr>
                      <w:rFonts w:hint="default" w:ascii="Times New Roman" w:hAnsi="Times New Roman" w:eastAsia="宋体" w:cs="Times New Roman"/>
                      <w:color w:val="auto"/>
                      <w:kern w:val="0"/>
                      <w:sz w:val="21"/>
                      <w:szCs w:val="21"/>
                      <w:lang w:val="en-US"/>
                    </w:rPr>
                    <w:t>。 [2]化学式为C</w:t>
                  </w:r>
                  <w:r>
                    <w:rPr>
                      <w:rFonts w:hint="default" w:ascii="Times New Roman" w:hAnsi="Times New Roman" w:eastAsia="宋体" w:cs="Times New Roman"/>
                      <w:color w:val="auto"/>
                      <w:kern w:val="0"/>
                      <w:sz w:val="21"/>
                      <w:szCs w:val="21"/>
                      <w:vertAlign w:val="subscript"/>
                      <w:lang w:val="en-US"/>
                    </w:rPr>
                    <w:t>12</w:t>
                  </w:r>
                  <w:r>
                    <w:rPr>
                      <w:rFonts w:hint="default" w:ascii="Times New Roman" w:hAnsi="Times New Roman" w:eastAsia="宋体" w:cs="Times New Roman"/>
                      <w:color w:val="auto"/>
                      <w:kern w:val="0"/>
                      <w:sz w:val="21"/>
                      <w:szCs w:val="21"/>
                      <w:lang w:val="en-US"/>
                    </w:rPr>
                    <w:t>H</w:t>
                  </w:r>
                  <w:r>
                    <w:rPr>
                      <w:rFonts w:hint="default" w:ascii="Times New Roman" w:hAnsi="Times New Roman" w:eastAsia="宋体" w:cs="Times New Roman"/>
                      <w:color w:val="auto"/>
                      <w:kern w:val="0"/>
                      <w:sz w:val="21"/>
                      <w:szCs w:val="21"/>
                      <w:vertAlign w:val="subscript"/>
                      <w:lang w:val="en-US"/>
                    </w:rPr>
                    <w:t>25</w:t>
                  </w:r>
                  <w:r>
                    <w:rPr>
                      <w:rFonts w:hint="default" w:ascii="Times New Roman" w:hAnsi="Times New Roman" w:eastAsia="宋体" w:cs="Times New Roman"/>
                      <w:color w:val="auto"/>
                      <w:kern w:val="0"/>
                      <w:sz w:val="21"/>
                      <w:szCs w:val="21"/>
                      <w:lang w:val="en-US"/>
                    </w:rPr>
                    <w:t>SO</w:t>
                  </w:r>
                  <w:r>
                    <w:rPr>
                      <w:rFonts w:hint="default" w:ascii="Times New Roman" w:hAnsi="Times New Roman" w:eastAsia="宋体" w:cs="Times New Roman"/>
                      <w:color w:val="auto"/>
                      <w:kern w:val="0"/>
                      <w:sz w:val="21"/>
                      <w:szCs w:val="21"/>
                      <w:vertAlign w:val="subscript"/>
                      <w:lang w:val="en-US"/>
                    </w:rPr>
                    <w:t>4</w:t>
                  </w:r>
                  <w:r>
                    <w:rPr>
                      <w:rFonts w:hint="default" w:ascii="Times New Roman" w:hAnsi="Times New Roman" w:eastAsia="宋体" w:cs="Times New Roman"/>
                      <w:color w:val="auto"/>
                      <w:kern w:val="0"/>
                      <w:sz w:val="21"/>
                      <w:szCs w:val="21"/>
                      <w:lang w:val="en-US"/>
                    </w:rPr>
                    <w:t>Na，为白色结晶粉末，微有特殊气味，熔点185至190℃，密度1.11g/cm</w:t>
                  </w:r>
                  <w:r>
                    <w:rPr>
                      <w:rFonts w:hint="default" w:ascii="Times New Roman" w:hAnsi="Times New Roman" w:eastAsia="宋体" w:cs="Times New Roman"/>
                      <w:color w:val="auto"/>
                      <w:kern w:val="0"/>
                      <w:sz w:val="21"/>
                      <w:szCs w:val="21"/>
                      <w:vertAlign w:val="superscript"/>
                      <w:lang w:val="en-US"/>
                    </w:rPr>
                    <w:t>3</w:t>
                  </w:r>
                  <w:r>
                    <w:rPr>
                      <w:rFonts w:hint="default" w:ascii="Times New Roman" w:hAnsi="Times New Roman" w:eastAsia="宋体" w:cs="Times New Roman"/>
                      <w:color w:val="auto"/>
                      <w:kern w:val="0"/>
                      <w:sz w:val="21"/>
                      <w:szCs w:val="21"/>
                      <w:lang w:val="en-US"/>
                    </w:rPr>
                    <w:t>，易溶于水，微溶于醇，不溶于</w:t>
                  </w:r>
                  <w:r>
                    <w:rPr>
                      <w:rFonts w:hint="default" w:ascii="Times New Roman" w:hAnsi="Times New Roman" w:eastAsia="宋体" w:cs="Times New Roman"/>
                      <w:color w:val="auto"/>
                      <w:kern w:val="0"/>
                      <w:sz w:val="21"/>
                      <w:szCs w:val="21"/>
                      <w:lang w:val="en-US"/>
                    </w:rPr>
                    <w:fldChar w:fldCharType="begin"/>
                  </w:r>
                  <w:r>
                    <w:rPr>
                      <w:rFonts w:hint="default" w:ascii="Times New Roman" w:hAnsi="Times New Roman" w:eastAsia="宋体" w:cs="Times New Roman"/>
                      <w:color w:val="auto"/>
                      <w:kern w:val="0"/>
                      <w:sz w:val="21"/>
                      <w:szCs w:val="21"/>
                      <w:lang w:val="en-US"/>
                    </w:rPr>
                    <w:instrText xml:space="preserve"> HYPERLINK "https://baike.baidu.com/item/%E6%B0%AF%E4%BB%BF/521847?fromModule=lemma_inlink" \t "https://baike.baidu.com/item/%E5%8D%81%E4%BA%8C%E7%83%B7%E5%9F%BA%E7%A1%AB%E9%85%B8%E9%92%A0/_blank" </w:instrText>
                  </w:r>
                  <w:r>
                    <w:rPr>
                      <w:rFonts w:hint="default" w:ascii="Times New Roman" w:hAnsi="Times New Roman" w:eastAsia="宋体" w:cs="Times New Roman"/>
                      <w:color w:val="auto"/>
                      <w:kern w:val="0"/>
                      <w:sz w:val="21"/>
                      <w:szCs w:val="21"/>
                      <w:lang w:val="en-US"/>
                    </w:rPr>
                    <w:fldChar w:fldCharType="separate"/>
                  </w:r>
                  <w:r>
                    <w:rPr>
                      <w:rFonts w:hint="default" w:ascii="Times New Roman" w:hAnsi="Times New Roman" w:eastAsia="宋体" w:cs="Times New Roman"/>
                      <w:color w:val="auto"/>
                      <w:kern w:val="0"/>
                      <w:sz w:val="21"/>
                      <w:szCs w:val="21"/>
                      <w:lang w:val="en-US"/>
                    </w:rPr>
                    <w:t>氯仿</w:t>
                  </w:r>
                  <w:r>
                    <w:rPr>
                      <w:rFonts w:hint="default" w:ascii="Times New Roman" w:hAnsi="Times New Roman" w:eastAsia="宋体" w:cs="Times New Roman"/>
                      <w:color w:val="auto"/>
                      <w:kern w:val="0"/>
                      <w:sz w:val="21"/>
                      <w:szCs w:val="21"/>
                      <w:lang w:val="en-US"/>
                    </w:rPr>
                    <w:fldChar w:fldCharType="end"/>
                  </w:r>
                  <w:r>
                    <w:rPr>
                      <w:rFonts w:hint="default" w:ascii="Times New Roman" w:hAnsi="Times New Roman" w:eastAsia="宋体" w:cs="Times New Roman"/>
                      <w:color w:val="auto"/>
                      <w:kern w:val="0"/>
                      <w:sz w:val="21"/>
                      <w:szCs w:val="21"/>
                      <w:lang w:val="en-US"/>
                    </w:rPr>
                    <w:t>和</w:t>
                  </w:r>
                  <w:r>
                    <w:rPr>
                      <w:rFonts w:hint="default" w:ascii="Times New Roman" w:hAnsi="Times New Roman" w:eastAsia="宋体" w:cs="Times New Roman"/>
                      <w:color w:val="auto"/>
                      <w:kern w:val="0"/>
                      <w:sz w:val="21"/>
                      <w:szCs w:val="21"/>
                      <w:lang w:val="en-US"/>
                    </w:rPr>
                    <w:fldChar w:fldCharType="begin"/>
                  </w:r>
                  <w:r>
                    <w:rPr>
                      <w:rFonts w:hint="default" w:ascii="Times New Roman" w:hAnsi="Times New Roman" w:eastAsia="宋体" w:cs="Times New Roman"/>
                      <w:color w:val="auto"/>
                      <w:kern w:val="0"/>
                      <w:sz w:val="21"/>
                      <w:szCs w:val="21"/>
                      <w:lang w:val="en-US"/>
                    </w:rPr>
                    <w:instrText xml:space="preserve"> HYPERLINK "https://baike.baidu.com/item/%E9%86%9A/1141483?fromModule=lemma_inlink" \t "https://baike.baidu.com/item/%E5%8D%81%E4%BA%8C%E7%83%B7%E5%9F%BA%E7%A1%AB%E9%85%B8%E9%92%A0/_blank" </w:instrText>
                  </w:r>
                  <w:r>
                    <w:rPr>
                      <w:rFonts w:hint="default" w:ascii="Times New Roman" w:hAnsi="Times New Roman" w:eastAsia="宋体" w:cs="Times New Roman"/>
                      <w:color w:val="auto"/>
                      <w:kern w:val="0"/>
                      <w:sz w:val="21"/>
                      <w:szCs w:val="21"/>
                      <w:lang w:val="en-US"/>
                    </w:rPr>
                    <w:fldChar w:fldCharType="separate"/>
                  </w:r>
                  <w:r>
                    <w:rPr>
                      <w:rFonts w:hint="default" w:ascii="Times New Roman" w:hAnsi="Times New Roman" w:eastAsia="宋体" w:cs="Times New Roman"/>
                      <w:color w:val="auto"/>
                      <w:kern w:val="0"/>
                      <w:sz w:val="21"/>
                      <w:szCs w:val="21"/>
                      <w:lang w:val="en-US"/>
                    </w:rPr>
                    <w:t>醚</w:t>
                  </w:r>
                  <w:r>
                    <w:rPr>
                      <w:rFonts w:hint="default" w:ascii="Times New Roman" w:hAnsi="Times New Roman" w:eastAsia="宋体" w:cs="Times New Roman"/>
                      <w:color w:val="auto"/>
                      <w:kern w:val="0"/>
                      <w:sz w:val="21"/>
                      <w:szCs w:val="21"/>
                      <w:lang w:val="en-US"/>
                    </w:rPr>
                    <w:fldChar w:fldCharType="end"/>
                  </w:r>
                  <w:r>
                    <w:rPr>
                      <w:rFonts w:hint="default" w:ascii="Times New Roman" w:hAnsi="Times New Roman" w:eastAsia="宋体" w:cs="Times New Roman"/>
                      <w:color w:val="auto"/>
                      <w:kern w:val="0"/>
                      <w:sz w:val="21"/>
                      <w:szCs w:val="21"/>
                      <w:lang w:val="en-US"/>
                    </w:rPr>
                    <w:t>，遇到明火、高温可燃，受热可分解并释放出</w:t>
                  </w:r>
                  <w:r>
                    <w:rPr>
                      <w:rFonts w:hint="default" w:ascii="Times New Roman" w:hAnsi="Times New Roman" w:eastAsia="宋体" w:cs="Times New Roman"/>
                      <w:color w:val="auto"/>
                      <w:kern w:val="0"/>
                      <w:sz w:val="21"/>
                      <w:szCs w:val="21"/>
                      <w:lang w:val="en-US"/>
                    </w:rPr>
                    <w:fldChar w:fldCharType="begin"/>
                  </w:r>
                  <w:r>
                    <w:rPr>
                      <w:rFonts w:hint="default" w:ascii="Times New Roman" w:hAnsi="Times New Roman" w:eastAsia="宋体" w:cs="Times New Roman"/>
                      <w:color w:val="auto"/>
                      <w:kern w:val="0"/>
                      <w:sz w:val="21"/>
                      <w:szCs w:val="21"/>
                      <w:lang w:val="en-US"/>
                    </w:rPr>
                    <w:instrText xml:space="preserve"> HYPERLINK "https://baike.baidu.com/item/%E7%83%83/646808?fromModule=lemma_inlink" \t "https://baike.baidu.com/item/%E5%8D%81%E4%BA%8C%E7%83%B7%E5%9F%BA%E7%A1%AB%E9%85%B8%E9%92%A0/_blank" </w:instrText>
                  </w:r>
                  <w:r>
                    <w:rPr>
                      <w:rFonts w:hint="default" w:ascii="Times New Roman" w:hAnsi="Times New Roman" w:eastAsia="宋体" w:cs="Times New Roman"/>
                      <w:color w:val="auto"/>
                      <w:kern w:val="0"/>
                      <w:sz w:val="21"/>
                      <w:szCs w:val="21"/>
                      <w:lang w:val="en-US"/>
                    </w:rPr>
                    <w:fldChar w:fldCharType="separate"/>
                  </w:r>
                  <w:r>
                    <w:rPr>
                      <w:rFonts w:hint="default" w:ascii="Times New Roman" w:hAnsi="Times New Roman" w:eastAsia="宋体" w:cs="Times New Roman"/>
                      <w:color w:val="auto"/>
                      <w:kern w:val="0"/>
                      <w:sz w:val="21"/>
                      <w:szCs w:val="21"/>
                      <w:lang w:val="en-US"/>
                    </w:rPr>
                    <w:t>烃</w:t>
                  </w:r>
                  <w:r>
                    <w:rPr>
                      <w:rFonts w:hint="default" w:ascii="Times New Roman" w:hAnsi="Times New Roman" w:eastAsia="宋体" w:cs="Times New Roman"/>
                      <w:color w:val="auto"/>
                      <w:kern w:val="0"/>
                      <w:sz w:val="21"/>
                      <w:szCs w:val="21"/>
                      <w:lang w:val="en-US"/>
                    </w:rPr>
                    <w:fldChar w:fldCharType="end"/>
                  </w:r>
                  <w:r>
                    <w:rPr>
                      <w:rFonts w:hint="default" w:ascii="Times New Roman" w:hAnsi="Times New Roman" w:eastAsia="宋体" w:cs="Times New Roman"/>
                      <w:color w:val="auto"/>
                      <w:kern w:val="0"/>
                      <w:sz w:val="21"/>
                      <w:szCs w:val="21"/>
                      <w:lang w:val="en-US"/>
                    </w:rPr>
                    <w:t>、</w:t>
                  </w:r>
                  <w:r>
                    <w:rPr>
                      <w:rFonts w:hint="default" w:ascii="Times New Roman" w:hAnsi="Times New Roman" w:eastAsia="宋体" w:cs="Times New Roman"/>
                      <w:color w:val="auto"/>
                      <w:kern w:val="0"/>
                      <w:sz w:val="21"/>
                      <w:szCs w:val="21"/>
                      <w:lang w:val="en-US"/>
                    </w:rPr>
                    <w:fldChar w:fldCharType="begin"/>
                  </w:r>
                  <w:r>
                    <w:rPr>
                      <w:rFonts w:hint="default" w:ascii="Times New Roman" w:hAnsi="Times New Roman" w:eastAsia="宋体" w:cs="Times New Roman"/>
                      <w:color w:val="auto"/>
                      <w:kern w:val="0"/>
                      <w:sz w:val="21"/>
                      <w:szCs w:val="21"/>
                      <w:lang w:val="en-US"/>
                    </w:rPr>
                    <w:instrText xml:space="preserve"> HYPERLINK "https://baike.baidu.com/item/%E4%BA%8C%E6%B0%A7%E5%8C%96%E7%A1%AB/513588?fromModule=lemma_inlink" \t "https://baike.baidu.com/item/%E5%8D%81%E4%BA%8C%E7%83%B7%E5%9F%BA%E7%A1%AB%E9%85%B8%E9%92%A0/_blank" </w:instrText>
                  </w:r>
                  <w:r>
                    <w:rPr>
                      <w:rFonts w:hint="default" w:ascii="Times New Roman" w:hAnsi="Times New Roman" w:eastAsia="宋体" w:cs="Times New Roman"/>
                      <w:color w:val="auto"/>
                      <w:kern w:val="0"/>
                      <w:sz w:val="21"/>
                      <w:szCs w:val="21"/>
                      <w:lang w:val="en-US"/>
                    </w:rPr>
                    <w:fldChar w:fldCharType="separate"/>
                  </w:r>
                  <w:r>
                    <w:rPr>
                      <w:rFonts w:hint="default" w:ascii="Times New Roman" w:hAnsi="Times New Roman" w:eastAsia="宋体" w:cs="Times New Roman"/>
                      <w:color w:val="auto"/>
                      <w:kern w:val="0"/>
                      <w:sz w:val="21"/>
                      <w:szCs w:val="21"/>
                      <w:lang w:val="en-US"/>
                    </w:rPr>
                    <w:t>二氧化硫</w:t>
                  </w:r>
                  <w:r>
                    <w:rPr>
                      <w:rFonts w:hint="default" w:ascii="Times New Roman" w:hAnsi="Times New Roman" w:eastAsia="宋体" w:cs="Times New Roman"/>
                      <w:color w:val="auto"/>
                      <w:kern w:val="0"/>
                      <w:sz w:val="21"/>
                      <w:szCs w:val="21"/>
                      <w:lang w:val="en-US"/>
                    </w:rPr>
                    <w:fldChar w:fldCharType="end"/>
                  </w:r>
                  <w:r>
                    <w:rPr>
                      <w:rFonts w:hint="default" w:ascii="Times New Roman" w:hAnsi="Times New Roman" w:eastAsia="宋体" w:cs="Times New Roman"/>
                      <w:color w:val="auto"/>
                      <w:kern w:val="0"/>
                      <w:sz w:val="21"/>
                      <w:szCs w:val="21"/>
                      <w:lang w:val="en-US"/>
                    </w:rPr>
                    <w:t>气体。</w:t>
                  </w:r>
                </w:p>
              </w:tc>
              <w:tc>
                <w:tcPr>
                  <w:tcW w:w="537" w:type="pct"/>
                  <w:tcBorders>
                    <w:tl2br w:val="nil"/>
                    <w:tr2bl w:val="nil"/>
                  </w:tcBorders>
                  <w:tcMar>
                    <w:top w:w="0" w:type="dxa"/>
                    <w:left w:w="0" w:type="dxa"/>
                    <w:bottom w:w="0" w:type="dxa"/>
                    <w:right w:w="0" w:type="dxa"/>
                  </w:tcMar>
                  <w:vAlign w:val="center"/>
                </w:tcPr>
                <w:p w14:paraId="5B9C51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shd w:val="clear" w:color="auto" w:fill="FFFFFF"/>
                      <w:lang w:val="en-US" w:eastAsia="zh-CN"/>
                    </w:rPr>
                  </w:pPr>
                  <w:r>
                    <w:rPr>
                      <w:rFonts w:hint="default" w:ascii="Times New Roman" w:hAnsi="Times New Roman" w:eastAsia="宋体" w:cs="Times New Roman"/>
                      <w:color w:val="auto"/>
                      <w:kern w:val="0"/>
                      <w:sz w:val="21"/>
                      <w:szCs w:val="21"/>
                      <w:lang w:val="en-US"/>
                    </w:rPr>
                    <w:t>可燃</w:t>
                  </w:r>
                </w:p>
              </w:tc>
              <w:tc>
                <w:tcPr>
                  <w:tcW w:w="829" w:type="pct"/>
                  <w:tcBorders>
                    <w:tl2br w:val="nil"/>
                    <w:tr2bl w:val="nil"/>
                  </w:tcBorders>
                  <w:tcMar>
                    <w:top w:w="0" w:type="dxa"/>
                    <w:left w:w="0" w:type="dxa"/>
                    <w:bottom w:w="0" w:type="dxa"/>
                    <w:right w:w="0" w:type="dxa"/>
                  </w:tcMar>
                  <w:vAlign w:val="center"/>
                </w:tcPr>
                <w:p w14:paraId="627748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大鼠经口LD50：1288 mg/kg</w:t>
                  </w:r>
                </w:p>
              </w:tc>
            </w:tr>
            <w:tr w14:paraId="0D0A06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24B0718E">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yellow"/>
                    </w:rPr>
                  </w:pPr>
                  <w:r>
                    <w:rPr>
                      <w:rFonts w:hint="default" w:ascii="Times New Roman" w:hAnsi="Times New Roman" w:eastAsia="宋体" w:cs="Times New Roman"/>
                      <w:color w:val="auto"/>
                      <w:sz w:val="21"/>
                      <w:szCs w:val="21"/>
                      <w:lang w:val="en-US" w:eastAsia="zh-CN"/>
                    </w:rPr>
                    <w:t>硼砂</w:t>
                  </w:r>
                </w:p>
              </w:tc>
              <w:tc>
                <w:tcPr>
                  <w:tcW w:w="3078" w:type="pct"/>
                  <w:tcBorders>
                    <w:tl2br w:val="nil"/>
                    <w:tr2bl w:val="nil"/>
                  </w:tcBorders>
                  <w:tcMar>
                    <w:top w:w="0" w:type="dxa"/>
                    <w:left w:w="0" w:type="dxa"/>
                    <w:bottom w:w="0" w:type="dxa"/>
                    <w:right w:w="0" w:type="dxa"/>
                  </w:tcMar>
                  <w:vAlign w:val="center"/>
                </w:tcPr>
                <w:p w14:paraId="7B05FB9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是一种</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"https://baike.baidu.com/item/%E6%97%A0%E6%9C%BA%E5%8C%96%E5%90%88%E7%89%A9/10716655?fromModule=lemma_inlink" \t "https://baike.baidu.com/item/%E7%A1%BC%E7%A0%82/_blank"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无机化合物</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，化学式为Na</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B</w:t>
                  </w:r>
                  <w:r>
                    <w:rPr>
                      <w:rFonts w:hint="default" w:ascii="Times New Roman" w:hAnsi="Times New Roman" w:eastAsia="宋体" w:cs="Times New Roman"/>
                      <w:color w:val="auto"/>
                      <w:kern w:val="0"/>
                      <w:sz w:val="21"/>
                      <w:szCs w:val="21"/>
                      <w:vertAlign w:val="subscript"/>
                    </w:rPr>
                    <w:t>4</w:t>
                  </w:r>
                  <w:r>
                    <w:rPr>
                      <w:rFonts w:hint="default" w:ascii="Times New Roman" w:hAnsi="Times New Roman" w:eastAsia="宋体" w:cs="Times New Roman"/>
                      <w:color w:val="auto"/>
                      <w:kern w:val="0"/>
                      <w:sz w:val="21"/>
                      <w:szCs w:val="21"/>
                    </w:rPr>
                    <w:t>O</w:t>
                  </w:r>
                  <w:r>
                    <w:rPr>
                      <w:rFonts w:hint="default" w:ascii="Times New Roman" w:hAnsi="Times New Roman" w:eastAsia="宋体" w:cs="Times New Roman"/>
                      <w:color w:val="auto"/>
                      <w:kern w:val="0"/>
                      <w:sz w:val="21"/>
                      <w:szCs w:val="21"/>
                      <w:vertAlign w:val="subscript"/>
                    </w:rPr>
                    <w:t>7</w:t>
                  </w:r>
                  <w:r>
                    <w:rPr>
                      <w:rFonts w:hint="default" w:ascii="Times New Roman" w:hAnsi="Times New Roman" w:eastAsia="宋体" w:cs="Times New Roman"/>
                      <w:color w:val="auto"/>
                      <w:kern w:val="0"/>
                      <w:sz w:val="21"/>
                      <w:szCs w:val="21"/>
                    </w:rPr>
                    <w:t>·10H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O。分子量381.372。呈白色或无色晶体或粉末，略带甜和咸味，空气中易失去结晶水而风化为白色粉末。硼砂在工农业生产中用途很广。硼砂毒性较高，世界各国多禁用为食品添加物。人体若摄入过多的</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"https://baike.baidu.com/item/%E7%A1%BC/400485?fromModule=lemma_inlink" \t "https://baike.baidu.com/item/%E7%A1%BC%E7%A0%82/_blank"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硼</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，会引发多脏器的蓄积性中毒。密度1.73 g/cm</w:t>
                  </w:r>
                  <w:r>
                    <w:rPr>
                      <w:rFonts w:hint="eastAsia"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lang w:eastAsia="zh-CN"/>
                    </w:rPr>
                    <w:t>，熔点75 ℃。</w:t>
                  </w:r>
                </w:p>
              </w:tc>
              <w:tc>
                <w:tcPr>
                  <w:tcW w:w="537" w:type="pct"/>
                  <w:tcBorders>
                    <w:tl2br w:val="nil"/>
                    <w:tr2bl w:val="nil"/>
                  </w:tcBorders>
                  <w:tcMar>
                    <w:top w:w="0" w:type="dxa"/>
                    <w:left w:w="0" w:type="dxa"/>
                    <w:bottom w:w="0" w:type="dxa"/>
                    <w:right w:w="0" w:type="dxa"/>
                  </w:tcMar>
                  <w:vAlign w:val="center"/>
                </w:tcPr>
                <w:p w14:paraId="4C67D5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829" w:type="pct"/>
                  <w:tcBorders>
                    <w:tl2br w:val="nil"/>
                    <w:tr2bl w:val="nil"/>
                  </w:tcBorders>
                  <w:tcMar>
                    <w:top w:w="0" w:type="dxa"/>
                    <w:left w:w="0" w:type="dxa"/>
                    <w:bottom w:w="0" w:type="dxa"/>
                    <w:right w:w="0" w:type="dxa"/>
                  </w:tcMar>
                  <w:vAlign w:val="center"/>
                </w:tcPr>
                <w:p w14:paraId="3EAFEB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667A5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6BBAA627">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苯甲酸钠</w:t>
                  </w:r>
                </w:p>
              </w:tc>
              <w:tc>
                <w:tcPr>
                  <w:tcW w:w="3078" w:type="pct"/>
                  <w:tcBorders>
                    <w:tl2br w:val="nil"/>
                    <w:tr2bl w:val="nil"/>
                  </w:tcBorders>
                  <w:tcMar>
                    <w:top w:w="0" w:type="dxa"/>
                    <w:left w:w="0" w:type="dxa"/>
                    <w:bottom w:w="0" w:type="dxa"/>
                    <w:right w:w="0" w:type="dxa"/>
                  </w:tcMar>
                  <w:vAlign w:val="center"/>
                </w:tcPr>
                <w:p w14:paraId="25A9B47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苯甲酸钠（英文名称：Sodium benzoate），又名安息香酸钠，有机化合物，是苯甲酸的钠盐。化学式为C</w:t>
                  </w:r>
                  <w:r>
                    <w:rPr>
                      <w:rFonts w:hint="default" w:ascii="Times New Roman" w:hAnsi="Times New Roman" w:eastAsia="宋体" w:cs="Times New Roman"/>
                      <w:color w:val="auto"/>
                      <w:kern w:val="0"/>
                      <w:sz w:val="21"/>
                      <w:szCs w:val="21"/>
                      <w:vertAlign w:val="subscript"/>
                    </w:rPr>
                    <w:t>7</w:t>
                  </w: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O</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Na，摩尔质量为144.10 g/mol，密度为1.44 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 [1]苯甲酸钠为白色颗粒或结晶性粉末，无臭或略带安息香的气味，极易溶于水，水溶液呈微碱性，微溶于乙醇，溶于甘油和甲醇，露置于空气中会吸潮。与酸反应会析出苯甲酸，与碳酸盐反应会有气泡生成，还可以与碱、维生素C反应。工业上制备苯甲酸钠的方法有苯甲酸法和甲苯法。苯甲酸钠常用作防腐剂、缓蚀剂等，广泛应用于水处理、食品、医药等领域。</w:t>
                  </w:r>
                </w:p>
              </w:tc>
              <w:tc>
                <w:tcPr>
                  <w:tcW w:w="899" w:type="dxa"/>
                  <w:tcBorders>
                    <w:tl2br w:val="nil"/>
                    <w:tr2bl w:val="nil"/>
                  </w:tcBorders>
                  <w:tcMar>
                    <w:top w:w="0" w:type="dxa"/>
                    <w:left w:w="0" w:type="dxa"/>
                    <w:bottom w:w="0" w:type="dxa"/>
                    <w:right w:w="0" w:type="dxa"/>
                  </w:tcMar>
                  <w:vAlign w:val="center"/>
                </w:tcPr>
                <w:p w14:paraId="2BE6068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1389" w:type="dxa"/>
                  <w:tcBorders>
                    <w:tl2br w:val="nil"/>
                    <w:tr2bl w:val="nil"/>
                  </w:tcBorders>
                  <w:tcMar>
                    <w:top w:w="0" w:type="dxa"/>
                    <w:left w:w="0" w:type="dxa"/>
                    <w:bottom w:w="0" w:type="dxa"/>
                    <w:right w:w="0" w:type="dxa"/>
                  </w:tcMar>
                  <w:vAlign w:val="center"/>
                </w:tcPr>
                <w:p w14:paraId="559C78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4CC1D7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15F94562">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硅酸钠</w:t>
                  </w:r>
                </w:p>
              </w:tc>
              <w:tc>
                <w:tcPr>
                  <w:tcW w:w="3078" w:type="pct"/>
                  <w:tcBorders>
                    <w:tl2br w:val="nil"/>
                    <w:tr2bl w:val="nil"/>
                  </w:tcBorders>
                  <w:tcMar>
                    <w:top w:w="0" w:type="dxa"/>
                    <w:left w:w="0" w:type="dxa"/>
                    <w:bottom w:w="0" w:type="dxa"/>
                    <w:right w:w="0" w:type="dxa"/>
                  </w:tcMar>
                  <w:vAlign w:val="center"/>
                </w:tcPr>
                <w:p w14:paraId="42498B9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俗称泡花碱，是一种</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"https://baike.baidu.com/item/%E6%97%A0%E6%9C%BA%E7%89%A9/781954?fromModule=lemma_inlink" \t "https://baike.baidu.com/item/%E7%A1%85%E9%85%B8%E9%92%A0/_blank"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无机物</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，化学式为Na</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O·nSiO</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，其水溶液俗称水玻璃，是一种矿黏合剂。它是一种可溶性的无机硅酸盐，具有广泛的用途。</w:t>
                  </w:r>
                </w:p>
              </w:tc>
              <w:tc>
                <w:tcPr>
                  <w:tcW w:w="899" w:type="dxa"/>
                  <w:tcBorders>
                    <w:tl2br w:val="nil"/>
                    <w:tr2bl w:val="nil"/>
                  </w:tcBorders>
                  <w:tcMar>
                    <w:top w:w="0" w:type="dxa"/>
                    <w:left w:w="0" w:type="dxa"/>
                    <w:bottom w:w="0" w:type="dxa"/>
                    <w:right w:w="0" w:type="dxa"/>
                  </w:tcMar>
                  <w:vAlign w:val="center"/>
                </w:tcPr>
                <w:p w14:paraId="4B1CB73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1389" w:type="dxa"/>
                  <w:tcBorders>
                    <w:tl2br w:val="nil"/>
                    <w:tr2bl w:val="nil"/>
                  </w:tcBorders>
                  <w:tcMar>
                    <w:top w:w="0" w:type="dxa"/>
                    <w:left w:w="0" w:type="dxa"/>
                    <w:bottom w:w="0" w:type="dxa"/>
                    <w:right w:w="0" w:type="dxa"/>
                  </w:tcMar>
                  <w:vAlign w:val="center"/>
                </w:tcPr>
                <w:p w14:paraId="4EF82E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568848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4FF1D5B9">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碳酸钠</w:t>
                  </w:r>
                </w:p>
              </w:tc>
              <w:tc>
                <w:tcPr>
                  <w:tcW w:w="3078" w:type="pct"/>
                  <w:tcBorders>
                    <w:tl2br w:val="nil"/>
                    <w:tr2bl w:val="nil"/>
                  </w:tcBorders>
                  <w:tcMar>
                    <w:top w:w="0" w:type="dxa"/>
                    <w:left w:w="0" w:type="dxa"/>
                    <w:bottom w:w="0" w:type="dxa"/>
                    <w:right w:w="0" w:type="dxa"/>
                  </w:tcMar>
                  <w:vAlign w:val="center"/>
                </w:tcPr>
                <w:p w14:paraId="1D1D156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化学式为Na</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CO</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，俗名苏打、纯碱、碱灰、碳酸二钠盐、苏打灰，通常情况下为白色粉末，为</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"https://baike.baidu.com/item/%E5%BC%BA%E7%94%B5%E8%A7%A3%E8%B4%A8/436536?fromModule=lemma_inlink"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强电解质</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，密度为2.532g/cm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，熔点为851°C，易溶于水和</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"https://baike.baidu.com/item/%E7%94%98%E6%B2%B9/99429?fromModule=lemma_inlink"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甘油</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，微溶于</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"https://baike.baidu.com/item/%E6%97%A0%E6%B0%B4%E4%B9%99%E9%86%87/949504?fromModule=lemma_inlink"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无水乙醇</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，难溶于</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"https://baike.baidu.com/item/%E4%B8%99%E9%86%87/54522155?fromModule=lemma_inlink"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丙醇</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，具有</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"https://baike.baidu.com/item/%E7%9B%90/16602623?fromModule=lemma_inlink"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盐</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的通性，属于</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"https://baike.baidu.com/item/%E6%97%A0%E6%9C%BA%E7%9B%90/2726998?fromModule=lemma_inlink"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无机盐</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。潮湿的空气里会吸潮结块，部分变为</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"https://baike.baidu.com/item/%E7%A2%B3%E9%85%B8%E6%B0%A2%E9%92%A0/2735773?fromModule=lemma_inlink"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碳酸氢钠</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。碳酸钠的制法有</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"https://baike.baidu.com/item/%E8%81%94%E5%90%88%E5%88%B6%E7%A2%B1%E6%B3%95/10370731?fromModule=lemma_inlink"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联合制碱法</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"https://baike.baidu.com/item/%E6%B0%A8%E7%A2%B1%E6%B3%95/2813808?fromModule=lemma_inlink"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氨碱法</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、路布兰法等，也可由天然碱加工精制。作为一种重要的无机化工原料，主要用于</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"https://baike.baidu.com/item/%E5%B9%B3%E6%9D%BF%E7%8E%BB%E7%92%83/10302375?fromModule=lemma_inlink"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平板玻璃</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"https://baike.baidu.com/item/%E7%8E%BB%E7%92%83%E5%88%B6%E5%93%81/7383755?fromModule=lemma_inlink"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玻璃制品</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和</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"https://baike.baidu.com/item/%E9%99%B6%E7%93%B7%E9%87%89/1366864?fromModule=lemma_inlink"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陶瓷釉</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的生产。还广泛用于生活洗涤、酸类中和以及食品加工等。在环境方面，碳酸钠通常被视为对生态系统相对无害的物质。然而，大量排放仍可能影响水体的</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"https://baike.baidu.com/item/pH%E5%80%BC/456713?fromModule=lemma_inlink"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pH值</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和</w:t>
                  </w:r>
                  <w:r>
                    <w:rPr>
                      <w:rFonts w:hint="default" w:ascii="Times New Roman" w:hAnsi="Times New Roman" w:eastAsia="宋体" w:cs="Times New Roman"/>
                      <w:color w:val="auto"/>
                      <w:kern w:val="0"/>
                      <w:sz w:val="21"/>
                      <w:szCs w:val="21"/>
                    </w:rPr>
                    <w:fldChar w:fldCharType="begin"/>
                  </w:r>
                  <w:r>
                    <w:rPr>
                      <w:rFonts w:hint="default" w:ascii="Times New Roman" w:hAnsi="Times New Roman" w:eastAsia="宋体" w:cs="Times New Roman"/>
                      <w:color w:val="auto"/>
                      <w:kern w:val="0"/>
                      <w:sz w:val="21"/>
                      <w:szCs w:val="21"/>
                    </w:rPr>
                    <w:instrText xml:space="preserve"> HYPERLINK "https://baike.baidu.com/item/%E6%80%BB%E7%A2%B1%E5%BA%A6/1667860?fromModule=lemma_inlink" \t "https://baike.baidu.com/item/_blank" </w:instrText>
                  </w:r>
                  <w:r>
                    <w:rPr>
                      <w:rFonts w:hint="default" w:ascii="Times New Roman" w:hAnsi="Times New Roman" w:eastAsia="宋体" w:cs="Times New Roman"/>
                      <w:color w:val="auto"/>
                      <w:kern w:val="0"/>
                      <w:sz w:val="21"/>
                      <w:szCs w:val="21"/>
                    </w:rPr>
                    <w:fldChar w:fldCharType="separate"/>
                  </w:r>
                  <w:r>
                    <w:rPr>
                      <w:rFonts w:hint="default" w:ascii="Times New Roman" w:hAnsi="Times New Roman" w:eastAsia="宋体" w:cs="Times New Roman"/>
                      <w:color w:val="auto"/>
                      <w:kern w:val="0"/>
                      <w:sz w:val="21"/>
                      <w:szCs w:val="21"/>
                    </w:rPr>
                    <w:t>总碱度</w:t>
                  </w:r>
                  <w:r>
                    <w:rPr>
                      <w:rFonts w:hint="default" w:ascii="Times New Roman" w:hAnsi="Times New Roman" w:eastAsia="宋体" w:cs="Times New Roman"/>
                      <w:color w:val="auto"/>
                      <w:kern w:val="0"/>
                      <w:sz w:val="21"/>
                      <w:szCs w:val="21"/>
                    </w:rPr>
                    <w:fldChar w:fldCharType="end"/>
                  </w:r>
                  <w:r>
                    <w:rPr>
                      <w:rFonts w:hint="default" w:ascii="Times New Roman" w:hAnsi="Times New Roman" w:eastAsia="宋体" w:cs="Times New Roman"/>
                      <w:color w:val="auto"/>
                      <w:kern w:val="0"/>
                      <w:sz w:val="21"/>
                      <w:szCs w:val="21"/>
                    </w:rPr>
                    <w:t>，因此在使用和处理时需要适当的管理和监管。</w:t>
                  </w:r>
                </w:p>
              </w:tc>
              <w:tc>
                <w:tcPr>
                  <w:tcW w:w="899" w:type="dxa"/>
                  <w:tcBorders>
                    <w:tl2br w:val="nil"/>
                    <w:tr2bl w:val="nil"/>
                  </w:tcBorders>
                  <w:tcMar>
                    <w:top w:w="0" w:type="dxa"/>
                    <w:left w:w="0" w:type="dxa"/>
                    <w:bottom w:w="0" w:type="dxa"/>
                    <w:right w:w="0" w:type="dxa"/>
                  </w:tcMar>
                  <w:vAlign w:val="center"/>
                </w:tcPr>
                <w:p w14:paraId="410EC28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c>
                <w:tcPr>
                  <w:tcW w:w="1389" w:type="dxa"/>
                  <w:tcBorders>
                    <w:tl2br w:val="nil"/>
                    <w:tr2bl w:val="nil"/>
                  </w:tcBorders>
                  <w:tcMar>
                    <w:top w:w="0" w:type="dxa"/>
                    <w:left w:w="0" w:type="dxa"/>
                    <w:bottom w:w="0" w:type="dxa"/>
                    <w:right w:w="0" w:type="dxa"/>
                  </w:tcMar>
                  <w:vAlign w:val="center"/>
                </w:tcPr>
                <w:p w14:paraId="7C9D56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20BF8C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213F0E7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1"/>
                      <w:sz w:val="21"/>
                      <w:szCs w:val="21"/>
                      <w:lang w:val="en-US" w:eastAsia="zh-CN"/>
                    </w:rPr>
                    <w:t>松香</w:t>
                  </w:r>
                </w:p>
              </w:tc>
              <w:tc>
                <w:tcPr>
                  <w:tcW w:w="3078" w:type="pct"/>
                  <w:tcBorders>
                    <w:tl2br w:val="nil"/>
                    <w:tr2bl w:val="nil"/>
                  </w:tcBorders>
                  <w:tcMar>
                    <w:top w:w="0" w:type="dxa"/>
                    <w:left w:w="0" w:type="dxa"/>
                    <w:bottom w:w="0" w:type="dxa"/>
                    <w:right w:w="0" w:type="dxa"/>
                  </w:tcMar>
                  <w:vAlign w:val="center"/>
                </w:tcPr>
                <w:p w14:paraId="4914303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是松树科</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"https://baike.baidu.com/item/%E6%A4%8D%E7%89%A9/142914?fromModule=lemma_inlink"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植物</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中的一种</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"https://baike.baidu.com/item/%E6%B2%B9%E6%A0%91/55218829?fromModule=lemma_inlink"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油树</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松脂，主要成分为C</w:t>
                  </w:r>
                  <w:r>
                    <w:rPr>
                      <w:rFonts w:hint="default" w:ascii="Times New Roman" w:hAnsi="Times New Roman" w:eastAsia="宋体" w:cs="Times New Roman"/>
                      <w:color w:val="auto"/>
                      <w:sz w:val="21"/>
                      <w:szCs w:val="21"/>
                      <w:vertAlign w:val="subscript"/>
                      <w:lang w:val="en-US" w:eastAsia="zh-CN"/>
                    </w:rPr>
                    <w:t>19</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29</w:t>
                  </w:r>
                  <w:r>
                    <w:rPr>
                      <w:rFonts w:hint="default" w:ascii="Times New Roman" w:hAnsi="Times New Roman" w:eastAsia="宋体" w:cs="Times New Roman"/>
                      <w:color w:val="auto"/>
                      <w:sz w:val="21"/>
                      <w:szCs w:val="21"/>
                      <w:lang w:val="en-US" w:eastAsia="zh-CN"/>
                    </w:rPr>
                    <w:t>COOH。分“</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"https://baike.baidu.com/item/%E8%84%82%E6%9D%BE%E9%A6%99/11000515?fromModule=lemma_inlink"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脂松香</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"https://baike.baidu.com/item/%E6%9C%A8%E6%9D%BE%E9%A6%99/3461727?fromModule=lemma_inlink"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木松香</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"https://baike.baidu.com/item/%E6%B5%AE%E6%B2%B9%E6%9D%BE%E9%A6%99/17014082?fromModule=lemma_inlink"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浮油松香</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”3种。常被家禽屠宰业者作褪毛剂使用。松香本身对人体毒性不大，但其常常含有铅等重金属和有毒化合物，加上业界为贪图低成本反复使用，松香氧化后产生的</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"https://baike.baidu.com/item/%E8%BF%87%E6%B0%A7%E5%8C%96%E7%89%A9/2598693?fromModule=lemma_inlink"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过氧化物</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严重影响</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"https://baike.baidu.com/item/%E4%BA%BA%E4%BD%93%E5%81%A5%E5%BA%B7/57896567?fromModule=lemma_inlink"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人体健康</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，因此变成受管制产品。松香外观为淡黄色至淡棕色，有玻璃状光泽，带</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"https://baike.baidu.com/item/%E6%9D%BE%E8%8A%82%E6%B2%B9/1192631?fromModule=lemma_inlink"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松节油</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气味，密度1.060~1.085g/cm3。属于</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"https://baike.baidu.com/item/%E9%9D%9E%E6%99%B6%E4%BD%93/1291836?fromModule=lemma_inlink"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非晶体</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，没有熔点，软化点（环球法）72～76℃，沸点约300℃（0.67kPa）。</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"https://baike.baidu.com/item/%E7%8E%BB%E7%92%83%E5%8C%96%E6%B8%A9%E5%BA%A6/10906936?fromModule=lemma_inlink"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玻璃化温度</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Tg 30～38℃。</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"https://baike.baidu.com/item/%E6%8A%98%E5%B0%84%E7%8E%87/788655?fromModule=lemma_inlink"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折射率</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1.5453。闪点（</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"https://baike.baidu.com/item/%E5%BC%80%E6%9D%AF/7860772?fromModule=lemma_inlink" \t "https://baike.baidu.com/item/%E6%9D%BE%E9%A6%99/_blank"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开杯</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）216℃。燃点约480~500℃。在空气中易氧化，色泽变深。</w:t>
                  </w:r>
                </w:p>
              </w:tc>
              <w:tc>
                <w:tcPr>
                  <w:tcW w:w="537" w:type="pct"/>
                  <w:tcBorders>
                    <w:tl2br w:val="nil"/>
                    <w:tr2bl w:val="nil"/>
                  </w:tcBorders>
                  <w:tcMar>
                    <w:top w:w="0" w:type="dxa"/>
                    <w:left w:w="0" w:type="dxa"/>
                    <w:bottom w:w="0" w:type="dxa"/>
                    <w:right w:w="0" w:type="dxa"/>
                  </w:tcMar>
                  <w:vAlign w:val="center"/>
                </w:tcPr>
                <w:p w14:paraId="1C3392A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可燃</w:t>
                  </w:r>
                </w:p>
              </w:tc>
              <w:tc>
                <w:tcPr>
                  <w:tcW w:w="829" w:type="pct"/>
                  <w:tcBorders>
                    <w:tl2br w:val="nil"/>
                    <w:tr2bl w:val="nil"/>
                  </w:tcBorders>
                  <w:tcMar>
                    <w:top w:w="0" w:type="dxa"/>
                    <w:left w:w="0" w:type="dxa"/>
                    <w:bottom w:w="0" w:type="dxa"/>
                    <w:right w:w="0" w:type="dxa"/>
                  </w:tcMar>
                  <w:vAlign w:val="center"/>
                </w:tcPr>
                <w:p w14:paraId="1B964DA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r w14:paraId="64F2A7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56B0F19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1"/>
                      <w:sz w:val="21"/>
                      <w:szCs w:val="21"/>
                      <w:lang w:val="en-US" w:eastAsia="zh-CN"/>
                    </w:rPr>
                    <w:t>白蜡</w:t>
                  </w:r>
                </w:p>
              </w:tc>
              <w:tc>
                <w:tcPr>
                  <w:tcW w:w="3078" w:type="pct"/>
                  <w:tcBorders>
                    <w:tl2br w:val="nil"/>
                    <w:tr2bl w:val="nil"/>
                  </w:tcBorders>
                  <w:tcMar>
                    <w:top w:w="0" w:type="dxa"/>
                    <w:left w:w="0" w:type="dxa"/>
                    <w:bottom w:w="0" w:type="dxa"/>
                    <w:right w:w="0" w:type="dxa"/>
                  </w:tcMar>
                  <w:vAlign w:val="center"/>
                </w:tcPr>
                <w:p w14:paraId="3F911B1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也称为合成蜡或石蜡，是一种烷基烃类物质，其主要成分为直链烷烃，是从石油中提炼出来的固体混合物。它具有光泽的无色固体状物质，没有气味，熔点高且不易燃烧。由于其具有优异的物理和化学性质，广泛用于制造蜡烛、润滑剂、涂料、包装材料等。</w:t>
                  </w:r>
                </w:p>
              </w:tc>
              <w:tc>
                <w:tcPr>
                  <w:tcW w:w="537" w:type="pct"/>
                  <w:tcBorders>
                    <w:tl2br w:val="nil"/>
                    <w:tr2bl w:val="nil"/>
                  </w:tcBorders>
                  <w:shd w:val="clear" w:color="auto" w:fill="auto"/>
                  <w:tcMar>
                    <w:top w:w="0" w:type="dxa"/>
                    <w:left w:w="0" w:type="dxa"/>
                    <w:bottom w:w="0" w:type="dxa"/>
                    <w:right w:w="0" w:type="dxa"/>
                  </w:tcMar>
                  <w:vAlign w:val="center"/>
                </w:tcPr>
                <w:p w14:paraId="568A260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shd w:val="clear" w:color="auto" w:fill="FFFFFF"/>
                      <w:lang w:val="en-US" w:eastAsia="zh-CN" w:bidi="ar-SA"/>
                    </w:rPr>
                  </w:pPr>
                  <w:r>
                    <w:rPr>
                      <w:rFonts w:hint="eastAsia" w:ascii="Times New Roman" w:hAnsi="Times New Roman" w:eastAsia="宋体" w:cs="Times New Roman"/>
                      <w:color w:val="auto"/>
                      <w:kern w:val="0"/>
                      <w:sz w:val="21"/>
                      <w:szCs w:val="21"/>
                      <w:shd w:val="clear" w:color="auto" w:fill="FFFFFF"/>
                      <w:lang w:val="en-US" w:eastAsia="zh-CN"/>
                    </w:rPr>
                    <w:t>可燃</w:t>
                  </w:r>
                </w:p>
              </w:tc>
              <w:tc>
                <w:tcPr>
                  <w:tcW w:w="829" w:type="pct"/>
                  <w:tcBorders>
                    <w:tl2br w:val="nil"/>
                    <w:tr2bl w:val="nil"/>
                  </w:tcBorders>
                  <w:shd w:val="clear" w:color="auto" w:fill="auto"/>
                  <w:tcMar>
                    <w:top w:w="0" w:type="dxa"/>
                    <w:left w:w="0" w:type="dxa"/>
                    <w:bottom w:w="0" w:type="dxa"/>
                    <w:right w:w="0" w:type="dxa"/>
                  </w:tcMar>
                  <w:vAlign w:val="center"/>
                </w:tcPr>
                <w:p w14:paraId="26132AC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w:t>
                  </w:r>
                </w:p>
              </w:tc>
            </w:tr>
            <w:tr w14:paraId="1CCED6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54" w:type="pct"/>
                  <w:tcBorders>
                    <w:tl2br w:val="nil"/>
                    <w:tr2bl w:val="nil"/>
                  </w:tcBorders>
                  <w:tcMar>
                    <w:top w:w="0" w:type="dxa"/>
                    <w:left w:w="0" w:type="dxa"/>
                    <w:bottom w:w="0" w:type="dxa"/>
                    <w:right w:w="0" w:type="dxa"/>
                  </w:tcMar>
                  <w:vAlign w:val="center"/>
                </w:tcPr>
                <w:p w14:paraId="5A33396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1"/>
                      <w:sz w:val="21"/>
                      <w:szCs w:val="21"/>
                      <w:lang w:val="en-US" w:eastAsia="zh-CN"/>
                    </w:rPr>
                  </w:pPr>
                  <w:r>
                    <w:rPr>
                      <w:rFonts w:hint="default" w:ascii="Times New Roman" w:hAnsi="Times New Roman" w:eastAsia="宋体" w:cs="Times New Roman"/>
                      <w:color w:val="auto"/>
                      <w:sz w:val="21"/>
                      <w:szCs w:val="21"/>
                      <w:lang w:val="en-US" w:eastAsia="zh-CN"/>
                    </w:rPr>
                    <w:t>氧化铈</w:t>
                  </w:r>
                </w:p>
              </w:tc>
              <w:tc>
                <w:tcPr>
                  <w:tcW w:w="3078" w:type="pct"/>
                  <w:tcBorders>
                    <w:tl2br w:val="nil"/>
                    <w:tr2bl w:val="nil"/>
                  </w:tcBorders>
                  <w:tcMar>
                    <w:top w:w="0" w:type="dxa"/>
                    <w:left w:w="0" w:type="dxa"/>
                    <w:bottom w:w="0" w:type="dxa"/>
                    <w:right w:w="0" w:type="dxa"/>
                  </w:tcMar>
                  <w:vAlign w:val="center"/>
                </w:tcPr>
                <w:p w14:paraId="3A0E6C6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氧化铈是一种</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"https://baike.baidu.com/item/%E6%97%A0%E6%9C%BA%E7%89%A9/781954?fromModule=lemma_inlink" \t "https://baike.baidu.com/item/_blank"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无机物</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，化学式为CeO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，淡黄或黄褐色粉末。密度7.13g/cm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，熔点2397℃，不溶于水和碱，微溶于酸。在2000℃温度和15MPa压力下，可用氢还原氧化铈得到三氧化二铈，温度游离在2000℃间，压力游离在5MPa压力时，氧化铈呈微黄略带红色，还有粉红色，其性能是做抛光材料、</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"https://baike.baidu.com/item/%E5%82%AC%E5%8C%96%E5%89%82/1132343?fromModule=lemma_inlink" \t "https://baike.baidu.com/item/_blank"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催化剂</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、催化剂载体（助剂）、</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"https://baike.baidu.com/item/%E7%B4%AB%E5%A4%96%E7%BA%BF%E5%90%B8%E6%94%B6%E5%89%82/5133195?fromModule=lemma_inlink" \t "https://baike.baidu.com/item/_blank"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紫外线吸收剂</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、燃料电池电解质、汽车尾气吸收剂、电子陶瓷等。</w:t>
                  </w:r>
                </w:p>
              </w:tc>
              <w:tc>
                <w:tcPr>
                  <w:tcW w:w="537" w:type="pct"/>
                  <w:tcBorders>
                    <w:tl2br w:val="nil"/>
                    <w:tr2bl w:val="nil"/>
                  </w:tcBorders>
                  <w:tcMar>
                    <w:top w:w="0" w:type="dxa"/>
                    <w:left w:w="0" w:type="dxa"/>
                    <w:bottom w:w="0" w:type="dxa"/>
                    <w:right w:w="0" w:type="dxa"/>
                  </w:tcMar>
                  <w:vAlign w:val="center"/>
                </w:tcPr>
                <w:p w14:paraId="3136CE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shd w:val="clear" w:color="auto" w:fill="FFFFFF"/>
                      <w:lang w:val="en-US" w:eastAsia="zh-CN"/>
                    </w:rPr>
                  </w:pPr>
                  <w:r>
                    <w:rPr>
                      <w:rFonts w:hint="eastAsia" w:ascii="Times New Roman" w:hAnsi="Times New Roman" w:eastAsia="宋体" w:cs="Times New Roman"/>
                      <w:color w:val="auto"/>
                      <w:kern w:val="0"/>
                      <w:sz w:val="21"/>
                      <w:szCs w:val="21"/>
                      <w:shd w:val="clear" w:color="auto" w:fill="FFFFFF"/>
                      <w:lang w:val="en-US" w:eastAsia="zh-CN"/>
                    </w:rPr>
                    <w:t>可燃</w:t>
                  </w:r>
                </w:p>
              </w:tc>
              <w:tc>
                <w:tcPr>
                  <w:tcW w:w="829" w:type="pct"/>
                  <w:tcBorders>
                    <w:tl2br w:val="nil"/>
                    <w:tr2bl w:val="nil"/>
                  </w:tcBorders>
                  <w:tcMar>
                    <w:top w:w="0" w:type="dxa"/>
                    <w:left w:w="0" w:type="dxa"/>
                    <w:bottom w:w="0" w:type="dxa"/>
                    <w:right w:w="0" w:type="dxa"/>
                  </w:tcMar>
                  <w:vAlign w:val="center"/>
                </w:tcPr>
                <w:p w14:paraId="6D3AC5A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有毒，半数致死量（大鼠，经口）约1g/kg。</w:t>
                  </w:r>
                </w:p>
              </w:tc>
            </w:tr>
          </w:tbl>
          <w:p w14:paraId="1DBCF978">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（2）清洗剂VOCs含量相符性分析</w:t>
            </w:r>
          </w:p>
          <w:p w14:paraId="4321E4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本项目使用纯碱清洗玻璃工件，不涉及</w:t>
            </w:r>
            <w:r>
              <w:rPr>
                <w:rFonts w:hint="default" w:ascii="Times New Roman" w:hAnsi="Times New Roman" w:eastAsia="宋体" w:cs="Times New Roman"/>
                <w:b w:val="0"/>
                <w:bCs/>
                <w:color w:val="auto"/>
                <w:sz w:val="24"/>
                <w:lang w:val="en-US" w:eastAsia="zh-CN"/>
              </w:rPr>
              <w:t>VOCs</w:t>
            </w:r>
            <w:r>
              <w:rPr>
                <w:rFonts w:hint="default" w:ascii="Times New Roman" w:hAnsi="Times New Roman" w:eastAsia="宋体" w:cs="Times New Roman"/>
                <w:color w:val="auto"/>
                <w:kern w:val="0"/>
                <w:sz w:val="24"/>
                <w:szCs w:val="24"/>
              </w:rPr>
              <w:t>。</w:t>
            </w:r>
          </w:p>
          <w:p w14:paraId="7D1BFE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3</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胶黏剂</w:t>
            </w:r>
            <w:r>
              <w:rPr>
                <w:rFonts w:hint="default" w:ascii="Times New Roman" w:hAnsi="Times New Roman" w:eastAsia="宋体" w:cs="Times New Roman"/>
                <w:b w:val="0"/>
                <w:bCs w:val="0"/>
                <w:color w:val="auto"/>
                <w:sz w:val="24"/>
                <w:szCs w:val="24"/>
                <w:lang w:val="en-US" w:eastAsia="zh-CN"/>
              </w:rPr>
              <w:t>VOCs含量相符性分析</w:t>
            </w:r>
          </w:p>
          <w:p w14:paraId="357305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对照《胶粘剂挥发性有机化合物限量》（GB 33372-2020），本项目使用热熔胶作为胶黏剂，属于本体型胶黏剂，限值为50g/kg，根据建设单位提供VOCs检测报告，热熔胶VOCs含量为2g/kg，符合文件要求。</w:t>
            </w:r>
          </w:p>
          <w:p w14:paraId="04629F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VOCs平衡</w:t>
            </w:r>
          </w:p>
          <w:p w14:paraId="287C01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①VOCs含量分析</w:t>
            </w:r>
          </w:p>
          <w:p w14:paraId="00105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本项目含VOCs物料主要包括：</w:t>
            </w:r>
            <w:r>
              <w:rPr>
                <w:rFonts w:hint="eastAsia" w:ascii="Times New Roman" w:hAnsi="Times New Roman" w:eastAsia="宋体" w:cs="Times New Roman"/>
                <w:b w:val="0"/>
                <w:bCs/>
                <w:color w:val="auto"/>
                <w:sz w:val="24"/>
                <w:lang w:val="en-US" w:eastAsia="zh-CN"/>
              </w:rPr>
              <w:t>热熔胶</w:t>
            </w:r>
            <w:r>
              <w:rPr>
                <w:rFonts w:hint="default" w:ascii="Times New Roman" w:hAnsi="Times New Roman" w:eastAsia="宋体" w:cs="Times New Roman"/>
                <w:b w:val="0"/>
                <w:bCs/>
                <w:color w:val="auto"/>
                <w:sz w:val="24"/>
                <w:lang w:val="en-US" w:eastAsia="zh-CN"/>
              </w:rPr>
              <w:t>；生产过程中，各原料VOCs产生情况见表2-</w:t>
            </w:r>
            <w:r>
              <w:rPr>
                <w:rFonts w:hint="eastAsia" w:ascii="Times New Roman" w:hAnsi="Times New Roman" w:eastAsia="宋体" w:cs="Times New Roman"/>
                <w:b w:val="0"/>
                <w:bCs/>
                <w:color w:val="auto"/>
                <w:sz w:val="24"/>
                <w:lang w:val="en-US" w:eastAsia="zh-CN"/>
              </w:rPr>
              <w:t>5</w:t>
            </w:r>
            <w:r>
              <w:rPr>
                <w:rFonts w:hint="default" w:ascii="Times New Roman" w:hAnsi="Times New Roman" w:eastAsia="宋体" w:cs="Times New Roman"/>
                <w:b w:val="0"/>
                <w:bCs/>
                <w:color w:val="auto"/>
                <w:sz w:val="24"/>
                <w:lang w:val="en-US" w:eastAsia="zh-CN"/>
              </w:rPr>
              <w:t>。</w:t>
            </w:r>
          </w:p>
          <w:p w14:paraId="73317E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表2-</w:t>
            </w:r>
            <w:r>
              <w:rPr>
                <w:rFonts w:hint="eastAsia"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lang w:val="en-US" w:eastAsia="zh-CN"/>
              </w:rPr>
              <w:t xml:space="preserve">  物料VOCs产生情况</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493"/>
              <w:gridCol w:w="1779"/>
              <w:gridCol w:w="2207"/>
              <w:gridCol w:w="1402"/>
            </w:tblGrid>
            <w:tr w14:paraId="33EF3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tcBorders>
                    <w:tl2br w:val="nil"/>
                    <w:tr2bl w:val="nil"/>
                  </w:tcBorders>
                  <w:vAlign w:val="center"/>
                </w:tcPr>
                <w:p w14:paraId="24645A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生产工序</w:t>
                  </w:r>
                </w:p>
              </w:tc>
              <w:tc>
                <w:tcPr>
                  <w:tcW w:w="892" w:type="pct"/>
                  <w:tcBorders>
                    <w:tl2br w:val="nil"/>
                    <w:tr2bl w:val="nil"/>
                  </w:tcBorders>
                  <w:vAlign w:val="center"/>
                </w:tcPr>
                <w:p w14:paraId="4392F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原料名称</w:t>
                  </w:r>
                </w:p>
              </w:tc>
              <w:tc>
                <w:tcPr>
                  <w:tcW w:w="1063" w:type="pct"/>
                  <w:tcBorders>
                    <w:tl2br w:val="nil"/>
                    <w:tr2bl w:val="nil"/>
                  </w:tcBorders>
                  <w:vAlign w:val="center"/>
                </w:tcPr>
                <w:p w14:paraId="5DE38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原料用量</w:t>
                  </w:r>
                  <w:r>
                    <w:rPr>
                      <w:rFonts w:hint="eastAsia" w:ascii="Times New Roman" w:hAnsi="Times New Roman" w:eastAsia="宋体" w:cs="Times New Roman"/>
                      <w:b/>
                      <w:color w:val="auto"/>
                      <w:sz w:val="21"/>
                      <w:szCs w:val="21"/>
                      <w:vertAlign w:val="baseline"/>
                      <w:lang w:val="en-US" w:eastAsia="zh-CN"/>
                    </w:rPr>
                    <w:t>t/a</w:t>
                  </w:r>
                </w:p>
              </w:tc>
              <w:tc>
                <w:tcPr>
                  <w:tcW w:w="1318" w:type="pct"/>
                  <w:tcBorders>
                    <w:tl2br w:val="nil"/>
                    <w:tr2bl w:val="nil"/>
                  </w:tcBorders>
                  <w:vAlign w:val="center"/>
                </w:tcPr>
                <w:p w14:paraId="175886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VOCs含量限值</w:t>
                  </w:r>
                  <w:r>
                    <w:rPr>
                      <w:rFonts w:hint="eastAsia" w:ascii="Times New Roman" w:hAnsi="Times New Roman" w:eastAsia="宋体" w:cs="Times New Roman"/>
                      <w:b/>
                      <w:bCs/>
                      <w:color w:val="auto"/>
                      <w:sz w:val="21"/>
                      <w:szCs w:val="21"/>
                      <w:lang w:val="en-US" w:eastAsia="zh-CN"/>
                    </w:rPr>
                    <w:t>*</w:t>
                  </w:r>
                </w:p>
              </w:tc>
              <w:tc>
                <w:tcPr>
                  <w:tcW w:w="837" w:type="pct"/>
                  <w:tcBorders>
                    <w:tl2br w:val="nil"/>
                    <w:tr2bl w:val="nil"/>
                  </w:tcBorders>
                  <w:vAlign w:val="center"/>
                </w:tcPr>
                <w:p w14:paraId="3F2E40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lang w:val="en-US" w:eastAsia="zh-CN"/>
                    </w:rPr>
                    <w:t>VOCs产生量（t）</w:t>
                  </w:r>
                </w:p>
              </w:tc>
            </w:tr>
            <w:tr w14:paraId="151FC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8" w:type="pct"/>
                  <w:tcBorders>
                    <w:tl2br w:val="nil"/>
                    <w:tr2bl w:val="nil"/>
                  </w:tcBorders>
                  <w:shd w:val="clear" w:color="auto" w:fill="auto"/>
                  <w:vAlign w:val="center"/>
                </w:tcPr>
                <w:p w14:paraId="21781F2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固定</w:t>
                  </w:r>
                </w:p>
              </w:tc>
              <w:tc>
                <w:tcPr>
                  <w:tcW w:w="892" w:type="pct"/>
                  <w:tcBorders>
                    <w:tl2br w:val="nil"/>
                    <w:tr2bl w:val="nil"/>
                  </w:tcBorders>
                  <w:shd w:val="clear" w:color="auto" w:fill="auto"/>
                  <w:vAlign w:val="center"/>
                </w:tcPr>
                <w:p w14:paraId="3841DD0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热熔胶</w:t>
                  </w:r>
                </w:p>
              </w:tc>
              <w:tc>
                <w:tcPr>
                  <w:tcW w:w="1063" w:type="pct"/>
                  <w:tcBorders>
                    <w:tl2br w:val="nil"/>
                    <w:tr2bl w:val="nil"/>
                  </w:tcBorders>
                  <w:shd w:val="clear" w:color="auto" w:fill="auto"/>
                  <w:vAlign w:val="center"/>
                </w:tcPr>
                <w:p w14:paraId="090967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0.26</w:t>
                  </w:r>
                </w:p>
              </w:tc>
              <w:tc>
                <w:tcPr>
                  <w:tcW w:w="1318" w:type="pct"/>
                  <w:tcBorders>
                    <w:tl2br w:val="nil"/>
                    <w:tr2bl w:val="nil"/>
                  </w:tcBorders>
                  <w:shd w:val="clear" w:color="auto" w:fill="auto"/>
                  <w:vAlign w:val="center"/>
                </w:tcPr>
                <w:p w14:paraId="1145AD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2g/kg</w:t>
                  </w:r>
                </w:p>
              </w:tc>
              <w:tc>
                <w:tcPr>
                  <w:tcW w:w="837" w:type="pct"/>
                  <w:tcBorders>
                    <w:tl2br w:val="nil"/>
                    <w:tr2bl w:val="nil"/>
                  </w:tcBorders>
                  <w:shd w:val="clear" w:color="auto" w:fill="auto"/>
                  <w:vAlign w:val="center"/>
                </w:tcPr>
                <w:p w14:paraId="623BF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0.00052</w:t>
                  </w:r>
                </w:p>
              </w:tc>
            </w:tr>
            <w:tr w14:paraId="2A557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62" w:type="pct"/>
                  <w:gridSpan w:val="4"/>
                  <w:tcBorders>
                    <w:tl2br w:val="nil"/>
                    <w:tr2bl w:val="nil"/>
                  </w:tcBorders>
                  <w:shd w:val="clear" w:color="auto" w:fill="auto"/>
                  <w:vAlign w:val="center"/>
                </w:tcPr>
                <w:p w14:paraId="492D1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合计</w:t>
                  </w:r>
                </w:p>
              </w:tc>
              <w:tc>
                <w:tcPr>
                  <w:tcW w:w="837" w:type="pct"/>
                  <w:tcBorders>
                    <w:tl2br w:val="nil"/>
                    <w:tr2bl w:val="nil"/>
                  </w:tcBorders>
                  <w:shd w:val="clear" w:color="auto" w:fill="auto"/>
                  <w:vAlign w:val="center"/>
                </w:tcPr>
                <w:p w14:paraId="0B25BD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0.00052</w:t>
                  </w:r>
                </w:p>
              </w:tc>
            </w:tr>
            <w:tr w14:paraId="1CEE7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shd w:val="clear" w:color="auto" w:fill="auto"/>
                  <w:vAlign w:val="center"/>
                </w:tcPr>
                <w:p w14:paraId="5303C60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注*：根据建设单位提供VOCs检测报告得出。</w:t>
                  </w:r>
                </w:p>
              </w:tc>
            </w:tr>
          </w:tbl>
          <w:p w14:paraId="2AD0C7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②VOCs平衡</w:t>
            </w:r>
          </w:p>
          <w:p w14:paraId="44C02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本项目VOCs平衡见图2-</w:t>
            </w:r>
            <w:r>
              <w:rPr>
                <w:rFonts w:hint="eastAsia"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lang w:val="en-US" w:eastAsia="zh-CN"/>
              </w:rPr>
              <w:t>。</w:t>
            </w:r>
          </w:p>
          <w:p w14:paraId="5F5C01D6">
            <w:pPr>
              <w:spacing w:line="360" w:lineRule="auto"/>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drawing>
                <wp:inline distT="0" distB="0" distL="114300" distR="114300">
                  <wp:extent cx="5307965" cy="1877060"/>
                  <wp:effectExtent l="0" t="0" r="0" b="0"/>
                  <wp:docPr id="12" name="图片 12" descr="VOCs平衡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VOCs平衡11.3"/>
                          <pic:cNvPicPr>
                            <a:picLocks noChangeAspect="1"/>
                          </pic:cNvPicPr>
                        </pic:nvPicPr>
                        <pic:blipFill>
                          <a:blip r:embed="rId11"/>
                          <a:stretch>
                            <a:fillRect/>
                          </a:stretch>
                        </pic:blipFill>
                        <pic:spPr>
                          <a:xfrm>
                            <a:off x="0" y="0"/>
                            <a:ext cx="5307965" cy="1877060"/>
                          </a:xfrm>
                          <a:prstGeom prst="rect">
                            <a:avLst/>
                          </a:prstGeom>
                        </pic:spPr>
                      </pic:pic>
                    </a:graphicData>
                  </a:graphic>
                </wp:inline>
              </w:drawing>
            </w:r>
          </w:p>
          <w:p w14:paraId="7C2DCBD3">
            <w:pPr>
              <w:spacing w:line="360" w:lineRule="auto"/>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图2-1  VOCs平衡图</w:t>
            </w:r>
          </w:p>
          <w:p w14:paraId="43948223">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、项目工程情况</w:t>
            </w:r>
          </w:p>
          <w:p w14:paraId="7B8546D4">
            <w:pPr>
              <w:pStyle w:val="56"/>
              <w:spacing w:line="360" w:lineRule="auto"/>
              <w:ind w:right="13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本项目主体、公用及辅助工程</w:t>
            </w:r>
            <w:r>
              <w:rPr>
                <w:rFonts w:hint="default" w:ascii="Times New Roman" w:hAnsi="Times New Roman" w:eastAsia="宋体" w:cs="Times New Roman"/>
                <w:color w:val="auto"/>
                <w:spacing w:val="-2"/>
                <w:sz w:val="24"/>
              </w:rPr>
              <w:t>组成详见表2-</w:t>
            </w:r>
            <w:r>
              <w:rPr>
                <w:rFonts w:hint="eastAsia" w:ascii="Times New Roman" w:hAnsi="Times New Roman" w:eastAsia="宋体" w:cs="Times New Roman"/>
                <w:color w:val="auto"/>
                <w:spacing w:val="-2"/>
                <w:sz w:val="24"/>
                <w:lang w:val="en-US" w:eastAsia="zh-CN"/>
              </w:rPr>
              <w:t>6</w:t>
            </w:r>
            <w:r>
              <w:rPr>
                <w:rFonts w:hint="default" w:ascii="Times New Roman" w:hAnsi="Times New Roman" w:eastAsia="宋体" w:cs="Times New Roman"/>
                <w:color w:val="auto"/>
                <w:spacing w:val="-2"/>
                <w:sz w:val="24"/>
              </w:rPr>
              <w:t>。</w:t>
            </w:r>
          </w:p>
          <w:p w14:paraId="5A7016E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 xml:space="preserve">  项目主体、公用、辅助及环保工程情况表</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8"/>
              <w:gridCol w:w="1223"/>
              <w:gridCol w:w="1195"/>
              <w:gridCol w:w="1429"/>
              <w:gridCol w:w="2820"/>
              <w:gridCol w:w="920"/>
            </w:tblGrid>
            <w:tr w14:paraId="171959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Align w:val="center"/>
                </w:tcPr>
                <w:p w14:paraId="55239B8A">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类别</w:t>
                  </w:r>
                </w:p>
              </w:tc>
              <w:tc>
                <w:tcPr>
                  <w:tcW w:w="1445" w:type="pct"/>
                  <w:gridSpan w:val="2"/>
                  <w:vAlign w:val="center"/>
                </w:tcPr>
                <w:p w14:paraId="4E629932">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建设名称</w:t>
                  </w:r>
                </w:p>
              </w:tc>
              <w:tc>
                <w:tcPr>
                  <w:tcW w:w="854" w:type="pct"/>
                  <w:vAlign w:val="center"/>
                </w:tcPr>
                <w:p w14:paraId="550172A6">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设计能力</w:t>
                  </w:r>
                </w:p>
              </w:tc>
              <w:tc>
                <w:tcPr>
                  <w:tcW w:w="1685" w:type="pct"/>
                  <w:vAlign w:val="center"/>
                </w:tcPr>
                <w:p w14:paraId="3E601D8D">
                  <w:pPr>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工程内容</w:t>
                  </w:r>
                </w:p>
              </w:tc>
              <w:tc>
                <w:tcPr>
                  <w:tcW w:w="549" w:type="pct"/>
                  <w:vAlign w:val="center"/>
                </w:tcPr>
                <w:p w14:paraId="7FAEE7A8">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备注</w:t>
                  </w:r>
                </w:p>
              </w:tc>
            </w:tr>
            <w:tr w14:paraId="66AFBD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Align w:val="center"/>
                </w:tcPr>
                <w:p w14:paraId="01084A3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主体工程</w:t>
                  </w:r>
                </w:p>
              </w:tc>
              <w:tc>
                <w:tcPr>
                  <w:tcW w:w="1445" w:type="pct"/>
                  <w:gridSpan w:val="2"/>
                  <w:vAlign w:val="center"/>
                </w:tcPr>
                <w:p w14:paraId="131531A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生产车间</w:t>
                  </w:r>
                </w:p>
              </w:tc>
              <w:tc>
                <w:tcPr>
                  <w:tcW w:w="854" w:type="pct"/>
                  <w:vAlign w:val="center"/>
                </w:tcPr>
                <w:p w14:paraId="4DDD9702">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占地</w:t>
                  </w:r>
                  <w:r>
                    <w:rPr>
                      <w:rFonts w:hint="default" w:ascii="Times New Roman" w:hAnsi="Times New Roman" w:eastAsia="宋体" w:cs="Times New Roman"/>
                      <w:color w:val="auto"/>
                      <w:szCs w:val="21"/>
                      <w:lang w:val="en-US" w:eastAsia="zh-CN"/>
                    </w:rPr>
                    <w:t>面积约</w:t>
                  </w:r>
                  <w:r>
                    <w:rPr>
                      <w:rFonts w:hint="eastAsia" w:ascii="Times New Roman" w:hAnsi="Times New Roman" w:eastAsia="宋体" w:cs="Times New Roman"/>
                      <w:color w:val="auto"/>
                      <w:szCs w:val="21"/>
                      <w:lang w:val="en-US" w:eastAsia="zh-CN"/>
                    </w:rPr>
                    <w:t>375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6936ED7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包括</w:t>
                  </w:r>
                  <w:r>
                    <w:rPr>
                      <w:rFonts w:hint="eastAsia" w:ascii="Times New Roman" w:hAnsi="Times New Roman" w:eastAsia="宋体" w:cs="Times New Roman"/>
                      <w:color w:val="auto"/>
                      <w:szCs w:val="21"/>
                      <w:lang w:val="en-US" w:eastAsia="zh-CN"/>
                    </w:rPr>
                    <w:t>铣磨机区域、热固区域、抛光区域和超声波清洗区域</w:t>
                  </w:r>
                </w:p>
              </w:tc>
              <w:tc>
                <w:tcPr>
                  <w:tcW w:w="549" w:type="pct"/>
                  <w:vMerge w:val="restart"/>
                  <w:vAlign w:val="center"/>
                </w:tcPr>
                <w:p w14:paraId="198BA80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依托现有空置厂房</w:t>
                  </w:r>
                </w:p>
              </w:tc>
            </w:tr>
            <w:tr w14:paraId="699875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Align w:val="center"/>
                </w:tcPr>
                <w:p w14:paraId="67FE8CA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辅助工程</w:t>
                  </w:r>
                </w:p>
              </w:tc>
              <w:tc>
                <w:tcPr>
                  <w:tcW w:w="1445" w:type="pct"/>
                  <w:gridSpan w:val="2"/>
                  <w:vAlign w:val="center"/>
                </w:tcPr>
                <w:p w14:paraId="23C3CBA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办公楼</w:t>
                  </w:r>
                </w:p>
              </w:tc>
              <w:tc>
                <w:tcPr>
                  <w:tcW w:w="854" w:type="pct"/>
                  <w:vAlign w:val="center"/>
                </w:tcPr>
                <w:p w14:paraId="1FBE4C8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占地</w:t>
                  </w:r>
                  <w:r>
                    <w:rPr>
                      <w:rFonts w:hint="default" w:ascii="Times New Roman" w:hAnsi="Times New Roman" w:eastAsia="宋体" w:cs="Times New Roman"/>
                      <w:color w:val="auto"/>
                      <w:szCs w:val="21"/>
                      <w:lang w:val="en-US" w:eastAsia="zh-CN"/>
                    </w:rPr>
                    <w:t>面积约</w:t>
                  </w:r>
                  <w:r>
                    <w:rPr>
                      <w:rFonts w:hint="eastAsia" w:ascii="Times New Roman" w:hAnsi="Times New Roman" w:eastAsia="宋体" w:cs="Times New Roman"/>
                      <w:color w:val="auto"/>
                      <w:szCs w:val="21"/>
                      <w:lang w:val="en-US" w:eastAsia="zh-CN"/>
                    </w:rPr>
                    <w:t>200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3B5047C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3F，办公区</w:t>
                  </w:r>
                </w:p>
              </w:tc>
              <w:tc>
                <w:tcPr>
                  <w:tcW w:w="549" w:type="pct"/>
                  <w:vMerge w:val="continue"/>
                  <w:vAlign w:val="center"/>
                </w:tcPr>
                <w:p w14:paraId="5BD19ED9">
                  <w:pPr>
                    <w:jc w:val="center"/>
                    <w:rPr>
                      <w:rFonts w:hint="default" w:ascii="Times New Roman" w:hAnsi="Times New Roman" w:eastAsia="宋体" w:cs="Times New Roman"/>
                      <w:color w:val="auto"/>
                      <w:szCs w:val="21"/>
                      <w:lang w:val="en-US" w:eastAsia="zh-CN"/>
                    </w:rPr>
                  </w:pPr>
                </w:p>
              </w:tc>
            </w:tr>
            <w:tr w14:paraId="3E75F6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Align w:val="center"/>
                </w:tcPr>
                <w:p w14:paraId="09B3858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贮运工程</w:t>
                  </w:r>
                </w:p>
              </w:tc>
              <w:tc>
                <w:tcPr>
                  <w:tcW w:w="1445" w:type="pct"/>
                  <w:gridSpan w:val="2"/>
                  <w:vAlign w:val="center"/>
                </w:tcPr>
                <w:p w14:paraId="0F9981F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仓库</w:t>
                  </w:r>
                </w:p>
              </w:tc>
              <w:tc>
                <w:tcPr>
                  <w:tcW w:w="854" w:type="pct"/>
                  <w:vAlign w:val="center"/>
                </w:tcPr>
                <w:p w14:paraId="20F9C219">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占地</w:t>
                  </w:r>
                  <w:r>
                    <w:rPr>
                      <w:rFonts w:hint="default" w:ascii="Times New Roman" w:hAnsi="Times New Roman" w:eastAsia="宋体" w:cs="Times New Roman"/>
                      <w:color w:val="auto"/>
                      <w:szCs w:val="21"/>
                      <w:lang w:val="en-US" w:eastAsia="zh-CN"/>
                    </w:rPr>
                    <w:t>面积约4</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 xml:space="preserve"> m</w:t>
                  </w:r>
                  <w:r>
                    <w:rPr>
                      <w:rFonts w:hint="default" w:ascii="Times New Roman" w:hAnsi="Times New Roman" w:eastAsia="宋体" w:cs="Times New Roman"/>
                      <w:color w:val="auto"/>
                      <w:szCs w:val="21"/>
                      <w:vertAlign w:val="superscript"/>
                    </w:rPr>
                    <w:t>2</w:t>
                  </w:r>
                </w:p>
              </w:tc>
              <w:tc>
                <w:tcPr>
                  <w:tcW w:w="1685" w:type="pct"/>
                  <w:vAlign w:val="center"/>
                </w:tcPr>
                <w:p w14:paraId="3AE1E11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位于</w:t>
                  </w:r>
                  <w:r>
                    <w:rPr>
                      <w:rFonts w:hint="eastAsia" w:ascii="Times New Roman" w:hAnsi="Times New Roman" w:eastAsia="宋体" w:cs="Times New Roman"/>
                      <w:color w:val="auto"/>
                      <w:szCs w:val="21"/>
                      <w:lang w:val="en-US" w:eastAsia="zh-CN"/>
                    </w:rPr>
                    <w:t>厂区</w:t>
                  </w:r>
                  <w:r>
                    <w:rPr>
                      <w:rFonts w:hint="default" w:ascii="Times New Roman" w:hAnsi="Times New Roman" w:eastAsia="宋体" w:cs="Times New Roman"/>
                      <w:color w:val="auto"/>
                      <w:szCs w:val="21"/>
                      <w:lang w:val="en-US" w:eastAsia="zh-CN"/>
                    </w:rPr>
                    <w:t>北侧</w:t>
                  </w:r>
                </w:p>
              </w:tc>
              <w:tc>
                <w:tcPr>
                  <w:tcW w:w="549" w:type="pct"/>
                  <w:vMerge w:val="continue"/>
                  <w:vAlign w:val="center"/>
                </w:tcPr>
                <w:p w14:paraId="25F08500">
                  <w:pPr>
                    <w:jc w:val="center"/>
                    <w:rPr>
                      <w:rFonts w:hint="default" w:ascii="Times New Roman" w:hAnsi="Times New Roman" w:eastAsia="宋体" w:cs="Times New Roman"/>
                      <w:color w:val="auto"/>
                      <w:szCs w:val="21"/>
                      <w:lang w:val="en-US" w:eastAsia="zh-CN"/>
                    </w:rPr>
                  </w:pPr>
                </w:p>
              </w:tc>
            </w:tr>
            <w:tr w14:paraId="47A145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restart"/>
                  <w:vAlign w:val="center"/>
                </w:tcPr>
                <w:p w14:paraId="20540E4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公辅工程</w:t>
                  </w:r>
                </w:p>
              </w:tc>
              <w:tc>
                <w:tcPr>
                  <w:tcW w:w="1445" w:type="pct"/>
                  <w:gridSpan w:val="2"/>
                  <w:vAlign w:val="center"/>
                </w:tcPr>
                <w:p w14:paraId="1C3898D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给水系统</w:t>
                  </w:r>
                </w:p>
              </w:tc>
              <w:tc>
                <w:tcPr>
                  <w:tcW w:w="854" w:type="pct"/>
                  <w:vAlign w:val="center"/>
                </w:tcPr>
                <w:p w14:paraId="7B1E9797">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338.8</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5" w:type="pct"/>
                  <w:vAlign w:val="center"/>
                </w:tcPr>
                <w:p w14:paraId="6A437BE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49" w:type="pct"/>
                  <w:vAlign w:val="center"/>
                </w:tcPr>
                <w:p w14:paraId="5BB42C4F">
                  <w:pPr>
                    <w:pStyle w:val="55"/>
                    <w:widowControl/>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由城市给水管网供给</w:t>
                  </w:r>
                </w:p>
              </w:tc>
            </w:tr>
            <w:tr w14:paraId="5EE357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65" w:type="pct"/>
                  <w:vMerge w:val="continue"/>
                  <w:vAlign w:val="center"/>
                </w:tcPr>
                <w:p w14:paraId="37B6A10E">
                  <w:pPr>
                    <w:jc w:val="center"/>
                    <w:rPr>
                      <w:rFonts w:hint="default" w:ascii="Times New Roman" w:hAnsi="Times New Roman" w:eastAsia="宋体" w:cs="Times New Roman"/>
                      <w:color w:val="auto"/>
                      <w:szCs w:val="21"/>
                    </w:rPr>
                  </w:pPr>
                </w:p>
              </w:tc>
              <w:tc>
                <w:tcPr>
                  <w:tcW w:w="731" w:type="pct"/>
                  <w:tcBorders>
                    <w:right w:val="single" w:color="auto" w:sz="4" w:space="0"/>
                  </w:tcBorders>
                  <w:vAlign w:val="center"/>
                </w:tcPr>
                <w:p w14:paraId="1C24309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排水系统</w:t>
                  </w:r>
                </w:p>
              </w:tc>
              <w:tc>
                <w:tcPr>
                  <w:tcW w:w="714" w:type="pct"/>
                  <w:tcBorders>
                    <w:left w:val="single" w:color="auto" w:sz="4" w:space="0"/>
                  </w:tcBorders>
                  <w:vAlign w:val="center"/>
                </w:tcPr>
                <w:p w14:paraId="583C890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生活污水</w:t>
                  </w:r>
                </w:p>
              </w:tc>
              <w:tc>
                <w:tcPr>
                  <w:tcW w:w="854" w:type="pct"/>
                  <w:vAlign w:val="center"/>
                </w:tcPr>
                <w:p w14:paraId="2874C72E">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144</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5" w:type="pct"/>
                  <w:vAlign w:val="center"/>
                </w:tcPr>
                <w:p w14:paraId="36A134C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本项目无生产废水</w:t>
                  </w:r>
                  <w:r>
                    <w:rPr>
                      <w:rFonts w:hint="default" w:ascii="Times New Roman" w:hAnsi="Times New Roman" w:eastAsia="宋体" w:cs="Times New Roman"/>
                      <w:color w:val="auto"/>
                      <w:szCs w:val="21"/>
                    </w:rPr>
                    <w:t>，生活污水接管</w:t>
                  </w:r>
                  <w:r>
                    <w:rPr>
                      <w:rFonts w:hint="default" w:ascii="Times New Roman" w:hAnsi="Times New Roman" w:eastAsia="宋体" w:cs="Times New Roman"/>
                      <w:color w:val="auto"/>
                      <w:szCs w:val="21"/>
                      <w:lang w:val="en-US" w:eastAsia="zh-CN"/>
                    </w:rPr>
                    <w:t>至唐王村农村生活污水处理站处理达标后排放</w:t>
                  </w:r>
                </w:p>
              </w:tc>
              <w:tc>
                <w:tcPr>
                  <w:tcW w:w="549" w:type="pct"/>
                  <w:vAlign w:val="center"/>
                </w:tcPr>
                <w:p w14:paraId="7EE1F614">
                  <w:pPr>
                    <w:pStyle w:val="55"/>
                    <w:widowControl/>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32BBCB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770E1563">
                  <w:pPr>
                    <w:jc w:val="center"/>
                    <w:rPr>
                      <w:rFonts w:hint="default" w:ascii="Times New Roman" w:hAnsi="Times New Roman" w:eastAsia="宋体" w:cs="Times New Roman"/>
                      <w:color w:val="auto"/>
                      <w:szCs w:val="21"/>
                    </w:rPr>
                  </w:pPr>
                </w:p>
              </w:tc>
              <w:tc>
                <w:tcPr>
                  <w:tcW w:w="1445" w:type="pct"/>
                  <w:gridSpan w:val="2"/>
                  <w:vAlign w:val="center"/>
                </w:tcPr>
                <w:p w14:paraId="6267BA8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雨水排放系统</w:t>
                  </w:r>
                </w:p>
              </w:tc>
              <w:tc>
                <w:tcPr>
                  <w:tcW w:w="854" w:type="pct"/>
                  <w:vAlign w:val="center"/>
                </w:tcPr>
                <w:p w14:paraId="797E42B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685" w:type="pct"/>
                  <w:vAlign w:val="center"/>
                </w:tcPr>
                <w:p w14:paraId="0BFA8C3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雨水通过</w:t>
                  </w:r>
                  <w:r>
                    <w:rPr>
                      <w:rFonts w:hint="default" w:ascii="Times New Roman" w:hAnsi="Times New Roman" w:eastAsia="宋体" w:cs="Times New Roman"/>
                      <w:color w:val="auto"/>
                      <w:szCs w:val="21"/>
                      <w:lang w:val="en-US" w:eastAsia="zh-CN"/>
                    </w:rPr>
                    <w:t>厂</w:t>
                  </w:r>
                  <w:r>
                    <w:rPr>
                      <w:rFonts w:hint="default" w:ascii="Times New Roman" w:hAnsi="Times New Roman" w:eastAsia="宋体" w:cs="Times New Roman"/>
                      <w:color w:val="auto"/>
                      <w:szCs w:val="21"/>
                    </w:rPr>
                    <w:t>内现有雨水管网排入市政雨水管网</w:t>
                  </w:r>
                </w:p>
              </w:tc>
              <w:tc>
                <w:tcPr>
                  <w:tcW w:w="549" w:type="pct"/>
                  <w:vAlign w:val="center"/>
                </w:tcPr>
                <w:p w14:paraId="213D382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26D729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2DC778A2">
                  <w:pPr>
                    <w:jc w:val="center"/>
                    <w:rPr>
                      <w:rFonts w:hint="default" w:ascii="Times New Roman" w:hAnsi="Times New Roman" w:eastAsia="宋体" w:cs="Times New Roman"/>
                      <w:color w:val="auto"/>
                      <w:szCs w:val="21"/>
                    </w:rPr>
                  </w:pPr>
                </w:p>
              </w:tc>
              <w:tc>
                <w:tcPr>
                  <w:tcW w:w="1445" w:type="pct"/>
                  <w:gridSpan w:val="2"/>
                  <w:vAlign w:val="center"/>
                </w:tcPr>
                <w:p w14:paraId="257F637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供电工程</w:t>
                  </w:r>
                </w:p>
              </w:tc>
              <w:tc>
                <w:tcPr>
                  <w:tcW w:w="854" w:type="pct"/>
                  <w:vAlign w:val="center"/>
                </w:tcPr>
                <w:p w14:paraId="0CE8543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万kWh/a</w:t>
                  </w:r>
                </w:p>
              </w:tc>
              <w:tc>
                <w:tcPr>
                  <w:tcW w:w="1685" w:type="pct"/>
                  <w:vAlign w:val="center"/>
                </w:tcPr>
                <w:p w14:paraId="0D81BEA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由城市电网供给</w:t>
                  </w:r>
                </w:p>
              </w:tc>
              <w:tc>
                <w:tcPr>
                  <w:tcW w:w="549" w:type="pct"/>
                  <w:vAlign w:val="center"/>
                </w:tcPr>
                <w:p w14:paraId="5DE243D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5098D3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restart"/>
                  <w:vAlign w:val="center"/>
                </w:tcPr>
                <w:p w14:paraId="552773F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环保工程</w:t>
                  </w:r>
                </w:p>
              </w:tc>
              <w:tc>
                <w:tcPr>
                  <w:tcW w:w="1445" w:type="pct"/>
                  <w:gridSpan w:val="2"/>
                  <w:vAlign w:val="center"/>
                </w:tcPr>
                <w:p w14:paraId="55217A7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规范化排污口、雨污分流管网</w:t>
                  </w:r>
                </w:p>
              </w:tc>
              <w:tc>
                <w:tcPr>
                  <w:tcW w:w="2539" w:type="pct"/>
                  <w:gridSpan w:val="2"/>
                  <w:vAlign w:val="center"/>
                </w:tcPr>
                <w:p w14:paraId="02F6760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本项目实行“雨污分流”，雨水排入市政雨水管网，生活污水接管</w:t>
                  </w:r>
                  <w:r>
                    <w:rPr>
                      <w:rFonts w:hint="default" w:ascii="Times New Roman" w:hAnsi="Times New Roman" w:eastAsia="宋体" w:cs="Times New Roman"/>
                      <w:color w:val="auto"/>
                      <w:szCs w:val="21"/>
                      <w:lang w:val="en-US" w:eastAsia="zh-CN"/>
                    </w:rPr>
                    <w:t>至唐王村农村生活污水处理站处理达标后排放</w:t>
                  </w:r>
                </w:p>
              </w:tc>
              <w:tc>
                <w:tcPr>
                  <w:tcW w:w="549" w:type="pct"/>
                  <w:vAlign w:val="center"/>
                </w:tcPr>
                <w:p w14:paraId="0CCB21DE">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185BAB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770C3ABC">
                  <w:pPr>
                    <w:jc w:val="center"/>
                    <w:rPr>
                      <w:rFonts w:hint="default" w:ascii="Times New Roman" w:hAnsi="Times New Roman" w:eastAsia="宋体" w:cs="Times New Roman"/>
                      <w:color w:val="auto"/>
                      <w:szCs w:val="21"/>
                    </w:rPr>
                  </w:pPr>
                </w:p>
              </w:tc>
              <w:tc>
                <w:tcPr>
                  <w:tcW w:w="731" w:type="pct"/>
                  <w:vAlign w:val="center"/>
                </w:tcPr>
                <w:p w14:paraId="7EDE125D">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废水</w:t>
                  </w:r>
                </w:p>
              </w:tc>
              <w:tc>
                <w:tcPr>
                  <w:tcW w:w="714" w:type="pct"/>
                  <w:vAlign w:val="center"/>
                </w:tcPr>
                <w:p w14:paraId="58FE25A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生活污水</w:t>
                  </w:r>
                </w:p>
              </w:tc>
              <w:tc>
                <w:tcPr>
                  <w:tcW w:w="854" w:type="pct"/>
                  <w:vAlign w:val="center"/>
                </w:tcPr>
                <w:p w14:paraId="5C977C4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144</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5" w:type="pct"/>
                  <w:vAlign w:val="center"/>
                </w:tcPr>
                <w:p w14:paraId="119D3ABE">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生活污水</w:t>
                  </w:r>
                  <w:r>
                    <w:rPr>
                      <w:rFonts w:hint="eastAsia" w:ascii="Times New Roman" w:hAnsi="Times New Roman" w:eastAsia="宋体" w:cs="Times New Roman"/>
                      <w:color w:val="auto"/>
                      <w:szCs w:val="21"/>
                      <w:lang w:val="en-US" w:eastAsia="zh-CN"/>
                    </w:rPr>
                    <w:t>接管至唐王村农村生活污水处理站</w:t>
                  </w:r>
                </w:p>
              </w:tc>
              <w:tc>
                <w:tcPr>
                  <w:tcW w:w="549" w:type="pct"/>
                  <w:vAlign w:val="center"/>
                </w:tcPr>
                <w:p w14:paraId="51904D6E">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0E7AE4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3881B51A">
                  <w:pPr>
                    <w:jc w:val="center"/>
                    <w:rPr>
                      <w:rFonts w:hint="default" w:ascii="Times New Roman" w:hAnsi="Times New Roman" w:eastAsia="宋体" w:cs="Times New Roman"/>
                      <w:color w:val="auto"/>
                      <w:szCs w:val="21"/>
                    </w:rPr>
                  </w:pPr>
                </w:p>
              </w:tc>
              <w:tc>
                <w:tcPr>
                  <w:tcW w:w="731" w:type="pct"/>
                  <w:vAlign w:val="center"/>
                </w:tcPr>
                <w:p w14:paraId="38325BB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废气</w:t>
                  </w:r>
                </w:p>
              </w:tc>
              <w:tc>
                <w:tcPr>
                  <w:tcW w:w="714" w:type="pct"/>
                  <w:vAlign w:val="center"/>
                </w:tcPr>
                <w:p w14:paraId="14A62007">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固定</w:t>
                  </w:r>
                  <w:r>
                    <w:rPr>
                      <w:rFonts w:hint="default" w:ascii="Times New Roman" w:hAnsi="Times New Roman" w:eastAsia="宋体" w:cs="Times New Roman"/>
                      <w:color w:val="auto"/>
                      <w:szCs w:val="21"/>
                      <w:lang w:val="en-US" w:eastAsia="zh-CN"/>
                    </w:rPr>
                    <w:t>废气</w:t>
                  </w:r>
                </w:p>
              </w:tc>
              <w:tc>
                <w:tcPr>
                  <w:tcW w:w="854" w:type="pct"/>
                  <w:vAlign w:val="center"/>
                </w:tcPr>
                <w:p w14:paraId="5EB7614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设计风量 </w:t>
                  </w:r>
                  <w:r>
                    <w:rPr>
                      <w:rFonts w:hint="eastAsia"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000m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h</w:t>
                  </w:r>
                </w:p>
              </w:tc>
              <w:tc>
                <w:tcPr>
                  <w:tcW w:w="1685" w:type="pct"/>
                  <w:vAlign w:val="center"/>
                </w:tcPr>
                <w:p w14:paraId="521C1E1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集气罩收集</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二级活性炭吸附</w:t>
                  </w:r>
                  <w:r>
                    <w:rPr>
                      <w:rFonts w:hint="default" w:ascii="Times New Roman" w:hAnsi="Times New Roman" w:eastAsia="宋体" w:cs="Times New Roman"/>
                      <w:color w:val="auto"/>
                      <w:szCs w:val="21"/>
                    </w:rPr>
                    <w:t>装置</w:t>
                  </w:r>
                  <w:r>
                    <w:rPr>
                      <w:rFonts w:hint="eastAsia" w:ascii="Times New Roman" w:hAnsi="Times New Roman" w:eastAsia="宋体" w:cs="Times New Roman"/>
                      <w:color w:val="auto"/>
                      <w:szCs w:val="21"/>
                      <w:lang w:val="en-US" w:eastAsia="zh-CN"/>
                    </w:rPr>
                    <w:t>处理后无组织排放</w:t>
                  </w:r>
                </w:p>
              </w:tc>
              <w:tc>
                <w:tcPr>
                  <w:tcW w:w="549" w:type="pct"/>
                  <w:vAlign w:val="center"/>
                </w:tcPr>
                <w:p w14:paraId="1079643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2D784D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293013DB">
                  <w:pPr>
                    <w:jc w:val="center"/>
                    <w:rPr>
                      <w:rFonts w:hint="default" w:ascii="Times New Roman" w:hAnsi="Times New Roman" w:eastAsia="宋体" w:cs="Times New Roman"/>
                      <w:color w:val="auto"/>
                      <w:szCs w:val="21"/>
                    </w:rPr>
                  </w:pPr>
                </w:p>
              </w:tc>
              <w:tc>
                <w:tcPr>
                  <w:tcW w:w="1445" w:type="pct"/>
                  <w:gridSpan w:val="2"/>
                  <w:vAlign w:val="center"/>
                </w:tcPr>
                <w:p w14:paraId="2B2DC8C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854" w:type="pct"/>
                  <w:vAlign w:val="center"/>
                </w:tcPr>
                <w:p w14:paraId="6A2D1D88">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降噪25dB</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lang w:eastAsia="zh-CN"/>
                    </w:rPr>
                    <w:t>）</w:t>
                  </w:r>
                </w:p>
              </w:tc>
              <w:tc>
                <w:tcPr>
                  <w:tcW w:w="1685" w:type="pct"/>
                  <w:vAlign w:val="center"/>
                </w:tcPr>
                <w:p w14:paraId="1AC076A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选取厂房隔声、距离衰减</w:t>
                  </w:r>
                </w:p>
              </w:tc>
              <w:tc>
                <w:tcPr>
                  <w:tcW w:w="549" w:type="pct"/>
                  <w:vAlign w:val="center"/>
                </w:tcPr>
                <w:p w14:paraId="5261835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厂界达标</w:t>
                  </w:r>
                </w:p>
              </w:tc>
            </w:tr>
            <w:tr w14:paraId="5A63D2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36E73254">
                  <w:pPr>
                    <w:jc w:val="center"/>
                    <w:rPr>
                      <w:rFonts w:hint="default" w:ascii="Times New Roman" w:hAnsi="Times New Roman" w:eastAsia="宋体" w:cs="Times New Roman"/>
                      <w:color w:val="auto"/>
                      <w:szCs w:val="21"/>
                    </w:rPr>
                  </w:pPr>
                </w:p>
              </w:tc>
              <w:tc>
                <w:tcPr>
                  <w:tcW w:w="731" w:type="pct"/>
                  <w:vMerge w:val="restart"/>
                  <w:vAlign w:val="center"/>
                </w:tcPr>
                <w:p w14:paraId="48DB506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714" w:type="pct"/>
                  <w:vAlign w:val="center"/>
                </w:tcPr>
                <w:p w14:paraId="49C4B44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一般固废堆场</w:t>
                  </w:r>
                </w:p>
              </w:tc>
              <w:tc>
                <w:tcPr>
                  <w:tcW w:w="854" w:type="pct"/>
                  <w:vAlign w:val="center"/>
                </w:tcPr>
                <w:p w14:paraId="1430CBC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4BC2D8A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位于</w:t>
                  </w:r>
                  <w:r>
                    <w:rPr>
                      <w:rFonts w:hint="eastAsia" w:ascii="Times New Roman" w:hAnsi="Times New Roman" w:eastAsia="宋体" w:cs="Times New Roman"/>
                      <w:color w:val="auto"/>
                      <w:szCs w:val="21"/>
                      <w:lang w:val="en-US" w:eastAsia="zh-CN"/>
                    </w:rPr>
                    <w:t>仓库</w:t>
                  </w:r>
                  <w:r>
                    <w:rPr>
                      <w:rFonts w:hint="default" w:ascii="Times New Roman" w:hAnsi="Times New Roman" w:eastAsia="宋体" w:cs="Times New Roman"/>
                      <w:color w:val="auto"/>
                      <w:szCs w:val="21"/>
                      <w:lang w:val="en-US" w:eastAsia="zh-CN"/>
                    </w:rPr>
                    <w:t>东</w:t>
                  </w:r>
                  <w:r>
                    <w:rPr>
                      <w:rFonts w:hint="eastAsia" w:ascii="Times New Roman" w:hAnsi="Times New Roman" w:eastAsia="宋体" w:cs="Times New Roman"/>
                      <w:color w:val="auto"/>
                      <w:szCs w:val="21"/>
                      <w:lang w:val="en-US" w:eastAsia="zh-CN"/>
                    </w:rPr>
                    <w:t>南</w:t>
                  </w:r>
                  <w:r>
                    <w:rPr>
                      <w:rFonts w:hint="default" w:ascii="Times New Roman" w:hAnsi="Times New Roman" w:eastAsia="宋体" w:cs="Times New Roman"/>
                      <w:color w:val="auto"/>
                      <w:szCs w:val="21"/>
                    </w:rPr>
                    <w:t>侧，堆放一般固废</w:t>
                  </w:r>
                </w:p>
              </w:tc>
              <w:tc>
                <w:tcPr>
                  <w:tcW w:w="549" w:type="pct"/>
                  <w:vAlign w:val="center"/>
                </w:tcPr>
                <w:p w14:paraId="1CAEB92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w:t>
                  </w:r>
                </w:p>
              </w:tc>
            </w:tr>
            <w:tr w14:paraId="0DE0B0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5D803724">
                  <w:pPr>
                    <w:jc w:val="center"/>
                    <w:rPr>
                      <w:rFonts w:hint="default" w:ascii="Times New Roman" w:hAnsi="Times New Roman" w:eastAsia="宋体" w:cs="Times New Roman"/>
                      <w:color w:val="auto"/>
                      <w:szCs w:val="21"/>
                    </w:rPr>
                  </w:pPr>
                </w:p>
              </w:tc>
              <w:tc>
                <w:tcPr>
                  <w:tcW w:w="731" w:type="pct"/>
                  <w:vMerge w:val="continue"/>
                  <w:vAlign w:val="center"/>
                </w:tcPr>
                <w:p w14:paraId="17BACFBB">
                  <w:pPr>
                    <w:jc w:val="center"/>
                    <w:rPr>
                      <w:rFonts w:hint="default" w:ascii="Times New Roman" w:hAnsi="Times New Roman" w:eastAsia="宋体" w:cs="Times New Roman"/>
                      <w:color w:val="auto"/>
                      <w:szCs w:val="21"/>
                    </w:rPr>
                  </w:pPr>
                </w:p>
              </w:tc>
              <w:tc>
                <w:tcPr>
                  <w:tcW w:w="714" w:type="pct"/>
                  <w:vAlign w:val="center"/>
                </w:tcPr>
                <w:p w14:paraId="263BF4C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危废</w:t>
                  </w:r>
                  <w:r>
                    <w:rPr>
                      <w:rFonts w:hint="default" w:ascii="Times New Roman" w:hAnsi="Times New Roman" w:eastAsia="宋体" w:cs="Times New Roman"/>
                      <w:color w:val="auto"/>
                      <w:szCs w:val="21"/>
                      <w:lang w:val="en-US" w:eastAsia="zh-CN"/>
                    </w:rPr>
                    <w:t>暂存间</w:t>
                  </w:r>
                </w:p>
              </w:tc>
              <w:tc>
                <w:tcPr>
                  <w:tcW w:w="854" w:type="pct"/>
                  <w:vAlign w:val="center"/>
                </w:tcPr>
                <w:p w14:paraId="6A24730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5" w:type="pct"/>
                  <w:vAlign w:val="center"/>
                </w:tcPr>
                <w:p w14:paraId="49F5AE0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位于</w:t>
                  </w:r>
                  <w:r>
                    <w:rPr>
                      <w:rFonts w:hint="eastAsia" w:ascii="Times New Roman" w:hAnsi="Times New Roman" w:eastAsia="宋体" w:cs="Times New Roman"/>
                      <w:color w:val="auto"/>
                      <w:szCs w:val="21"/>
                      <w:lang w:val="en-US" w:eastAsia="zh-CN"/>
                    </w:rPr>
                    <w:t>仓库</w:t>
                  </w:r>
                  <w:r>
                    <w:rPr>
                      <w:rFonts w:hint="default" w:ascii="Times New Roman" w:hAnsi="Times New Roman" w:eastAsia="宋体" w:cs="Times New Roman"/>
                      <w:color w:val="auto"/>
                      <w:szCs w:val="21"/>
                      <w:lang w:val="en-US" w:eastAsia="zh-CN"/>
                    </w:rPr>
                    <w:t>东</w:t>
                  </w:r>
                  <w:r>
                    <w:rPr>
                      <w:rFonts w:hint="eastAsia" w:ascii="Times New Roman" w:hAnsi="Times New Roman" w:eastAsia="宋体" w:cs="Times New Roman"/>
                      <w:color w:val="auto"/>
                      <w:szCs w:val="21"/>
                      <w:lang w:val="en-US" w:eastAsia="zh-CN"/>
                    </w:rPr>
                    <w:t>南</w:t>
                  </w:r>
                  <w:r>
                    <w:rPr>
                      <w:rFonts w:hint="default" w:ascii="Times New Roman" w:hAnsi="Times New Roman" w:eastAsia="宋体" w:cs="Times New Roman"/>
                      <w:color w:val="auto"/>
                      <w:szCs w:val="21"/>
                    </w:rPr>
                    <w:t>侧，存放危险废物</w:t>
                  </w:r>
                </w:p>
              </w:tc>
              <w:tc>
                <w:tcPr>
                  <w:tcW w:w="549" w:type="pct"/>
                  <w:vAlign w:val="center"/>
                </w:tcPr>
                <w:p w14:paraId="79C7747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w:t>
                  </w:r>
                </w:p>
              </w:tc>
            </w:tr>
          </w:tbl>
          <w:p w14:paraId="235E479A">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公用工程说明：</w:t>
            </w:r>
          </w:p>
          <w:p w14:paraId="06030216">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（1）给</w:t>
            </w:r>
            <w:r>
              <w:rPr>
                <w:rFonts w:hint="default" w:ascii="Times New Roman" w:hAnsi="Times New Roman" w:eastAsia="宋体" w:cs="Times New Roman"/>
                <w:b/>
                <w:color w:val="auto"/>
                <w:sz w:val="24"/>
                <w:szCs w:val="24"/>
                <w:lang w:val="en-US" w:eastAsia="zh-CN"/>
              </w:rPr>
              <w:t>排</w:t>
            </w:r>
            <w:r>
              <w:rPr>
                <w:rFonts w:hint="default" w:ascii="Times New Roman" w:hAnsi="Times New Roman" w:eastAsia="宋体" w:cs="Times New Roman"/>
                <w:b/>
                <w:color w:val="auto"/>
                <w:sz w:val="24"/>
                <w:szCs w:val="24"/>
              </w:rPr>
              <w:t>水</w:t>
            </w:r>
          </w:p>
          <w:p w14:paraId="76A50350">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生活用水：</w:t>
            </w:r>
            <w:r>
              <w:rPr>
                <w:rFonts w:hint="default" w:ascii="Times New Roman" w:hAnsi="Times New Roman" w:eastAsia="宋体" w:cs="Times New Roman"/>
                <w:b w:val="0"/>
                <w:bCs/>
                <w:color w:val="auto"/>
                <w:sz w:val="24"/>
                <w:szCs w:val="24"/>
              </w:rPr>
              <w:t>本项目职工约</w:t>
            </w:r>
            <w:r>
              <w:rPr>
                <w:rFonts w:hint="eastAsia" w:ascii="Times New Roman" w:hAnsi="Times New Roman" w:eastAsia="宋体" w:cs="Times New Roman"/>
                <w:b w:val="0"/>
                <w:bCs/>
                <w:color w:val="auto"/>
                <w:sz w:val="24"/>
                <w:szCs w:val="24"/>
                <w:lang w:val="en-US" w:eastAsia="zh-CN"/>
              </w:rPr>
              <w:t>12</w:t>
            </w:r>
            <w:r>
              <w:rPr>
                <w:rFonts w:hint="default" w:ascii="Times New Roman" w:hAnsi="Times New Roman" w:eastAsia="宋体" w:cs="Times New Roman"/>
                <w:b w:val="0"/>
                <w:bCs/>
                <w:color w:val="auto"/>
                <w:sz w:val="24"/>
                <w:szCs w:val="24"/>
              </w:rPr>
              <w:t>人，根据《建筑给水排水设计标准》（GB50015-2019），职工用水定额50L/人·d计，员工生活用水量为</w:t>
            </w:r>
            <w:r>
              <w:rPr>
                <w:rFonts w:hint="eastAsia" w:ascii="Times New Roman" w:hAnsi="Times New Roman" w:eastAsia="宋体" w:cs="Times New Roman"/>
                <w:b w:val="0"/>
                <w:bCs/>
                <w:color w:val="auto"/>
                <w:sz w:val="24"/>
                <w:szCs w:val="24"/>
                <w:lang w:val="en-US" w:eastAsia="zh-CN"/>
              </w:rPr>
              <w:t>180</w:t>
            </w:r>
            <w:r>
              <w:rPr>
                <w:rFonts w:hint="default" w:ascii="Times New Roman" w:hAnsi="Times New Roman" w:eastAsia="宋体" w:cs="Times New Roman"/>
                <w:b w:val="0"/>
                <w:bCs/>
                <w:color w:val="auto"/>
                <w:sz w:val="24"/>
                <w:szCs w:val="24"/>
              </w:rPr>
              <w:t>t/a，产污系数以0.8计，则生活污水量为</w:t>
            </w:r>
            <w:r>
              <w:rPr>
                <w:rFonts w:hint="eastAsia" w:ascii="Times New Roman" w:hAnsi="Times New Roman" w:eastAsia="宋体" w:cs="Times New Roman"/>
                <w:b w:val="0"/>
                <w:bCs/>
                <w:color w:val="auto"/>
                <w:sz w:val="24"/>
                <w:szCs w:val="24"/>
                <w:lang w:val="en-US" w:eastAsia="zh-CN"/>
              </w:rPr>
              <w:t>144</w:t>
            </w:r>
            <w:r>
              <w:rPr>
                <w:rFonts w:hint="default" w:ascii="Times New Roman" w:hAnsi="Times New Roman" w:eastAsia="宋体" w:cs="Times New Roman"/>
                <w:b w:val="0"/>
                <w:bCs/>
                <w:color w:val="auto"/>
                <w:sz w:val="24"/>
                <w:szCs w:val="24"/>
              </w:rPr>
              <w:t>t/a，</w:t>
            </w:r>
            <w:r>
              <w:rPr>
                <w:rFonts w:hint="default" w:ascii="Times New Roman" w:hAnsi="Times New Roman" w:eastAsia="宋体" w:cs="Times New Roman"/>
                <w:b w:val="0"/>
                <w:bCs/>
                <w:color w:val="auto"/>
                <w:sz w:val="24"/>
                <w:szCs w:val="24"/>
                <w:lang w:val="en-US" w:eastAsia="zh-CN"/>
              </w:rPr>
              <w:t>接管至唐王村农村生活污水处理站</w:t>
            </w:r>
            <w:r>
              <w:rPr>
                <w:rFonts w:hint="default" w:ascii="Times New Roman" w:hAnsi="Times New Roman" w:eastAsia="宋体" w:cs="Times New Roman"/>
                <w:b w:val="0"/>
                <w:bCs/>
                <w:color w:val="auto"/>
                <w:sz w:val="24"/>
              </w:rPr>
              <w:t>。</w:t>
            </w:r>
          </w:p>
          <w:p w14:paraId="7D549568">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研磨用水：</w:t>
            </w:r>
            <w:r>
              <w:rPr>
                <w:rFonts w:hint="eastAsia" w:ascii="Times New Roman" w:hAnsi="Times New Roman" w:eastAsia="宋体" w:cs="Times New Roman"/>
                <w:b w:val="0"/>
                <w:bCs/>
                <w:color w:val="auto"/>
                <w:sz w:val="24"/>
                <w:szCs w:val="24"/>
                <w:lang w:val="en-US" w:eastAsia="zh-CN"/>
              </w:rPr>
              <w:t>用于配置研磨液，组成比例为冷却液:水=1:25，冷却液用量为0.1t/a，则研磨用水约为2.5m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/a，研磨液循环使用，定期更换；</w:t>
            </w:r>
            <w:r>
              <w:rPr>
                <w:rFonts w:hint="default" w:ascii="Times New Roman" w:hAnsi="Times New Roman" w:eastAsia="宋体" w:cs="Times New Roman"/>
                <w:b w:val="0"/>
                <w:bCs/>
                <w:color w:val="auto"/>
                <w:sz w:val="24"/>
                <w:szCs w:val="24"/>
                <w:lang w:eastAsia="zh-CN"/>
              </w:rPr>
              <w:t>产污系数取0.8，</w:t>
            </w:r>
            <w:r>
              <w:rPr>
                <w:rFonts w:hint="eastAsia" w:ascii="Times New Roman" w:hAnsi="Times New Roman" w:eastAsia="宋体" w:cs="Times New Roman"/>
                <w:b w:val="0"/>
                <w:bCs/>
                <w:color w:val="auto"/>
                <w:sz w:val="24"/>
                <w:szCs w:val="24"/>
                <w:lang w:val="en-US" w:eastAsia="zh-CN"/>
              </w:rPr>
              <w:t>则研磨废液产生量为2.08t/a，作为危废委托有资质单位处置。</w:t>
            </w:r>
          </w:p>
          <w:p w14:paraId="56BCED33">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抛光用水：</w:t>
            </w:r>
            <w:r>
              <w:rPr>
                <w:rFonts w:hint="eastAsia" w:ascii="Times New Roman" w:hAnsi="Times New Roman" w:eastAsia="宋体" w:cs="Times New Roman"/>
                <w:b w:val="0"/>
                <w:bCs/>
                <w:color w:val="auto"/>
                <w:sz w:val="24"/>
                <w:szCs w:val="24"/>
                <w:lang w:val="en-US" w:eastAsia="zh-CN"/>
              </w:rPr>
              <w:t>用于配置抛光液，组成比例为抛光液:水=1:25，抛光液用量为0.2t/a，则抛光用水约为5m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/a，抛光液循环使用，定期更换；</w:t>
            </w:r>
            <w:r>
              <w:rPr>
                <w:rFonts w:hint="default" w:ascii="Times New Roman" w:hAnsi="Times New Roman" w:eastAsia="宋体" w:cs="Times New Roman"/>
                <w:b w:val="0"/>
                <w:bCs/>
                <w:color w:val="auto"/>
                <w:sz w:val="24"/>
                <w:szCs w:val="24"/>
                <w:lang w:eastAsia="zh-CN"/>
              </w:rPr>
              <w:t>产污系数取0.8，</w:t>
            </w:r>
            <w:r>
              <w:rPr>
                <w:rFonts w:hint="eastAsia" w:ascii="Times New Roman" w:hAnsi="Times New Roman" w:eastAsia="宋体" w:cs="Times New Roman"/>
                <w:b w:val="0"/>
                <w:bCs/>
                <w:color w:val="auto"/>
                <w:sz w:val="24"/>
                <w:szCs w:val="24"/>
                <w:lang w:val="en-US" w:eastAsia="zh-CN"/>
              </w:rPr>
              <w:t>则抛光废液产生量为4.16t/a，作为危废委托有资质单位处置。</w:t>
            </w:r>
          </w:p>
          <w:p w14:paraId="07D54B6A">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color w:val="auto"/>
                <w:sz w:val="24"/>
                <w:szCs w:val="24"/>
                <w:lang w:val="en-US" w:eastAsia="zh-CN"/>
              </w:rPr>
              <w:t>纯碱清洗用水：</w:t>
            </w:r>
            <w:r>
              <w:rPr>
                <w:rFonts w:hint="eastAsia" w:ascii="Times New Roman" w:hAnsi="Times New Roman" w:eastAsia="宋体" w:cs="Times New Roman"/>
                <w:b w:val="0"/>
                <w:bCs/>
                <w:color w:val="auto"/>
                <w:sz w:val="24"/>
                <w:szCs w:val="24"/>
                <w:lang w:val="en-US" w:eastAsia="zh-CN"/>
              </w:rPr>
              <w:t>本项目使用纯碱清洗玻璃工件，需加水调配，比例为纯碱:水=1:130，纯碱用量为0.01t/a，则纯碱清洗用水约为1.3m</w:t>
            </w:r>
            <w:r>
              <w:rPr>
                <w:rFonts w:hint="eastAsia" w:ascii="Times New Roman" w:hAnsi="Times New Roman" w:eastAsia="宋体" w:cs="Times New Roman"/>
                <w:b w:val="0"/>
                <w:bCs/>
                <w:color w:val="auto"/>
                <w:sz w:val="24"/>
                <w:szCs w:val="24"/>
                <w:vertAlign w:val="superscript"/>
                <w:lang w:val="en-US" w:eastAsia="zh-CN"/>
              </w:rPr>
              <w:t>3</w:t>
            </w:r>
            <w:r>
              <w:rPr>
                <w:rFonts w:hint="eastAsia" w:ascii="Times New Roman" w:hAnsi="Times New Roman" w:eastAsia="宋体" w:cs="Times New Roman"/>
                <w:b w:val="0"/>
                <w:bCs/>
                <w:color w:val="auto"/>
                <w:sz w:val="24"/>
                <w:szCs w:val="24"/>
                <w:lang w:val="en-US" w:eastAsia="zh-CN"/>
              </w:rPr>
              <w:t>/a，纯碱清洗液循环使用，定期更换；</w:t>
            </w:r>
            <w:r>
              <w:rPr>
                <w:rFonts w:hint="default" w:ascii="Times New Roman" w:hAnsi="Times New Roman" w:eastAsia="宋体" w:cs="Times New Roman"/>
                <w:b w:val="0"/>
                <w:bCs/>
                <w:color w:val="auto"/>
                <w:sz w:val="24"/>
                <w:szCs w:val="24"/>
                <w:lang w:eastAsia="zh-CN"/>
              </w:rPr>
              <w:t>产污系数取0.8，</w:t>
            </w:r>
            <w:r>
              <w:rPr>
                <w:rFonts w:hint="eastAsia" w:ascii="Times New Roman" w:hAnsi="Times New Roman" w:eastAsia="宋体" w:cs="Times New Roman"/>
                <w:b w:val="0"/>
                <w:bCs/>
                <w:color w:val="auto"/>
                <w:sz w:val="24"/>
                <w:szCs w:val="24"/>
                <w:lang w:val="en-US" w:eastAsia="zh-CN"/>
              </w:rPr>
              <w:t>则纯碱清洗废液产生量为1.048t/a（其中0.08t为纯碱），作为危废委托有资质单位处置。</w:t>
            </w:r>
          </w:p>
          <w:p w14:paraId="3AAB43BB">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冷却用水：</w:t>
            </w:r>
            <w:r>
              <w:rPr>
                <w:rFonts w:hint="eastAsia" w:ascii="Times New Roman" w:hAnsi="Times New Roman" w:eastAsia="宋体" w:cs="Times New Roman"/>
                <w:b w:val="0"/>
                <w:bCs/>
                <w:color w:val="auto"/>
                <w:sz w:val="24"/>
                <w:szCs w:val="24"/>
                <w:lang w:val="en-US" w:eastAsia="zh-CN"/>
              </w:rPr>
              <w:t>设备运行过程中需要使用冷却水，所加的冷却水为自来水，冷却水循环使用不外排。根据建设单位提供资料，冷却水循环量为10t/d，年循环水量为3000t/a，损耗量以5%计，则年补充新鲜水150t/a。</w:t>
            </w:r>
          </w:p>
          <w:p w14:paraId="7FA020BC">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本项目</w:t>
            </w:r>
            <w:r>
              <w:rPr>
                <w:rFonts w:hint="default" w:ascii="Times New Roman" w:hAnsi="Times New Roman" w:eastAsia="宋体" w:cs="Times New Roman"/>
                <w:b/>
                <w:color w:val="auto"/>
                <w:sz w:val="24"/>
                <w:szCs w:val="24"/>
                <w:lang w:val="en-US" w:eastAsia="zh-CN"/>
              </w:rPr>
              <w:t>厂房生产过程中，地面基本保持清洁，仅进行定期的扫地，不需地面清洗，不产生清洗废水。</w:t>
            </w:r>
          </w:p>
          <w:p w14:paraId="5B458F02">
            <w:pPr>
              <w:pStyle w:val="59"/>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具体水平衡图见图2-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p>
          <w:p w14:paraId="4C3567CB">
            <w:pPr>
              <w:pStyle w:val="22"/>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drawing>
                <wp:inline distT="0" distB="0" distL="114300" distR="114300">
                  <wp:extent cx="5013960" cy="5709285"/>
                  <wp:effectExtent l="0" t="0" r="0" b="0"/>
                  <wp:docPr id="3" name="图片 3"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水平衡图"/>
                          <pic:cNvPicPr>
                            <a:picLocks noChangeAspect="1"/>
                          </pic:cNvPicPr>
                        </pic:nvPicPr>
                        <pic:blipFill>
                          <a:blip r:embed="rId12"/>
                          <a:stretch>
                            <a:fillRect/>
                          </a:stretch>
                        </pic:blipFill>
                        <pic:spPr>
                          <a:xfrm>
                            <a:off x="0" y="0"/>
                            <a:ext cx="5013960" cy="5709285"/>
                          </a:xfrm>
                          <a:prstGeom prst="rect">
                            <a:avLst/>
                          </a:prstGeom>
                        </pic:spPr>
                      </pic:pic>
                    </a:graphicData>
                  </a:graphic>
                </wp:inline>
              </w:drawing>
            </w:r>
          </w:p>
          <w:p w14:paraId="0CEECF1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图2-</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水平衡图（</w:t>
            </w:r>
            <w:r>
              <w:rPr>
                <w:rFonts w:hint="default" w:ascii="Times New Roman" w:hAnsi="Times New Roman" w:eastAsia="宋体" w:cs="Times New Roman"/>
                <w:b/>
                <w:color w:val="auto"/>
                <w:sz w:val="24"/>
                <w:szCs w:val="24"/>
                <w:lang w:val="en-US" w:eastAsia="zh-CN"/>
              </w:rPr>
              <w:t>m</w:t>
            </w:r>
            <w:r>
              <w:rPr>
                <w:rFonts w:hint="default" w:ascii="Times New Roman" w:hAnsi="Times New Roman" w:eastAsia="宋体" w:cs="Times New Roman"/>
                <w:b/>
                <w:color w:val="auto"/>
                <w:sz w:val="24"/>
                <w:szCs w:val="24"/>
                <w:vertAlign w:val="superscript"/>
                <w:lang w:val="en-US" w:eastAsia="zh-CN"/>
              </w:rPr>
              <w:t>3</w:t>
            </w:r>
            <w:r>
              <w:rPr>
                <w:rFonts w:hint="default" w:ascii="Times New Roman" w:hAnsi="Times New Roman" w:eastAsia="宋体" w:cs="Times New Roman"/>
                <w:b/>
                <w:color w:val="auto"/>
                <w:sz w:val="24"/>
                <w:szCs w:val="24"/>
              </w:rPr>
              <w:t>/a）</w:t>
            </w:r>
          </w:p>
          <w:p w14:paraId="26065975">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）供电</w:t>
            </w:r>
          </w:p>
          <w:p w14:paraId="2ADC78B4">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本项目生产设备使用电能，用电由市政电网接入，年用电量约为</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0</w:t>
            </w:r>
            <w:r>
              <w:rPr>
                <w:rFonts w:hint="eastAsia" w:ascii="Times New Roman" w:hAnsi="Times New Roman" w:eastAsia="宋体" w:cs="Times New Roman"/>
                <w:bCs/>
                <w:color w:val="auto"/>
                <w:sz w:val="24"/>
                <w:szCs w:val="24"/>
                <w:lang w:val="en-US" w:eastAsia="zh-CN"/>
              </w:rPr>
              <w:t>0</w:t>
            </w:r>
            <w:r>
              <w:rPr>
                <w:rFonts w:hint="default" w:ascii="Times New Roman" w:hAnsi="Times New Roman" w:eastAsia="宋体" w:cs="Times New Roman"/>
                <w:bCs/>
                <w:color w:val="auto"/>
                <w:sz w:val="24"/>
                <w:szCs w:val="24"/>
              </w:rPr>
              <w:t>万kW·h。</w:t>
            </w:r>
          </w:p>
          <w:p w14:paraId="0F413410">
            <w:pPr>
              <w:spacing w:line="360" w:lineRule="auto"/>
              <w:rPr>
                <w:rFonts w:hint="default" w:ascii="Times New Roman" w:hAnsi="Times New Roman" w:eastAsia="宋体" w:cs="Times New Roman"/>
                <w:b/>
                <w:color w:val="auto"/>
                <w:sz w:val="24"/>
              </w:rPr>
            </w:pPr>
            <w:bookmarkStart w:id="5" w:name="_Toc9020"/>
            <w:bookmarkStart w:id="6" w:name="_Toc4904"/>
            <w:bookmarkStart w:id="7" w:name="_Toc457"/>
            <w:bookmarkStart w:id="8" w:name="_Toc21016"/>
            <w:bookmarkStart w:id="9" w:name="_Toc21599"/>
            <w:r>
              <w:rPr>
                <w:rFonts w:hint="default"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、项目周边概况及车间平面布置</w:t>
            </w:r>
          </w:p>
          <w:p w14:paraId="2005749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①项目周边概况</w:t>
            </w:r>
          </w:p>
          <w:p w14:paraId="2C65629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建设项目选址位于</w:t>
            </w:r>
            <w:r>
              <w:rPr>
                <w:rFonts w:hint="eastAsia" w:ascii="Times New Roman" w:hAnsi="Times New Roman" w:eastAsia="宋体" w:cs="Times New Roman"/>
                <w:color w:val="auto"/>
                <w:sz w:val="24"/>
                <w:lang w:eastAsia="zh-CN"/>
              </w:rPr>
              <w:t>常州市金坛区朱林镇唐王村委唐王村62号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厂区东侧</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常州</w:t>
            </w:r>
            <w:r>
              <w:rPr>
                <w:rFonts w:hint="eastAsia" w:ascii="Times New Roman" w:hAnsi="Times New Roman" w:eastAsia="宋体" w:cs="Times New Roman"/>
                <w:color w:val="auto"/>
                <w:sz w:val="24"/>
                <w:lang w:val="en-US" w:eastAsia="zh-CN"/>
              </w:rPr>
              <w:t>金坛环保设备</w:t>
            </w:r>
            <w:r>
              <w:rPr>
                <w:rFonts w:hint="default" w:ascii="Times New Roman" w:hAnsi="Times New Roman" w:eastAsia="宋体" w:cs="Times New Roman"/>
                <w:color w:val="auto"/>
                <w:sz w:val="24"/>
                <w:lang w:val="en-US" w:eastAsia="zh-CN"/>
              </w:rPr>
              <w:t>有限公司</w:t>
            </w:r>
            <w:r>
              <w:rPr>
                <w:rFonts w:hint="default" w:ascii="Times New Roman" w:hAnsi="Times New Roman" w:eastAsia="宋体" w:cs="Times New Roman"/>
                <w:color w:val="auto"/>
                <w:sz w:val="24"/>
              </w:rPr>
              <w:t>；南侧为</w:t>
            </w:r>
            <w:r>
              <w:rPr>
                <w:rFonts w:hint="eastAsia" w:ascii="Times New Roman" w:hAnsi="Times New Roman" w:eastAsia="宋体" w:cs="Times New Roman"/>
                <w:color w:val="auto"/>
                <w:sz w:val="24"/>
                <w:lang w:val="en-US" w:eastAsia="zh-CN"/>
              </w:rPr>
              <w:t>金竹线，隔路为唐王村</w:t>
            </w:r>
            <w:r>
              <w:rPr>
                <w:rFonts w:hint="default" w:ascii="Times New Roman" w:hAnsi="Times New Roman" w:eastAsia="宋体" w:cs="Times New Roman"/>
                <w:color w:val="auto"/>
                <w:sz w:val="24"/>
              </w:rPr>
              <w:t>；西侧为南金机床有限公司；北侧为</w:t>
            </w:r>
            <w:r>
              <w:rPr>
                <w:rFonts w:hint="eastAsia" w:ascii="Times New Roman" w:hAnsi="Times New Roman" w:eastAsia="宋体" w:cs="Times New Roman"/>
                <w:color w:val="auto"/>
                <w:sz w:val="24"/>
                <w:lang w:val="en-US" w:eastAsia="zh-CN"/>
              </w:rPr>
              <w:t>空地</w:t>
            </w:r>
            <w:r>
              <w:rPr>
                <w:rFonts w:hint="default" w:ascii="Times New Roman" w:hAnsi="Times New Roman" w:eastAsia="宋体" w:cs="Times New Roman"/>
                <w:color w:val="auto"/>
                <w:sz w:val="24"/>
              </w:rPr>
              <w:t>。距离本项目</w:t>
            </w:r>
            <w:r>
              <w:rPr>
                <w:rFonts w:hint="eastAsia" w:ascii="Times New Roman" w:hAnsi="Times New Roman" w:eastAsia="宋体" w:cs="Times New Roman"/>
                <w:color w:val="auto"/>
                <w:sz w:val="24"/>
                <w:lang w:val="en-US" w:eastAsia="zh-CN"/>
              </w:rPr>
              <w:t>厂界</w:t>
            </w:r>
            <w:r>
              <w:rPr>
                <w:rFonts w:hint="default" w:ascii="Times New Roman" w:hAnsi="Times New Roman" w:eastAsia="宋体" w:cs="Times New Roman"/>
                <w:color w:val="auto"/>
                <w:sz w:val="24"/>
              </w:rPr>
              <w:t>最近的环境敏感保护目标为位于</w:t>
            </w:r>
            <w:r>
              <w:rPr>
                <w:rFonts w:hint="eastAsia" w:ascii="Times New Roman" w:hAnsi="Times New Roman" w:eastAsia="宋体" w:cs="Times New Roman"/>
                <w:color w:val="auto"/>
                <w:sz w:val="24"/>
                <w:lang w:val="en-US" w:eastAsia="zh-CN"/>
              </w:rPr>
              <w:t>南</w:t>
            </w:r>
            <w:r>
              <w:rPr>
                <w:rFonts w:hint="default" w:ascii="Times New Roman" w:hAnsi="Times New Roman" w:eastAsia="宋体" w:cs="Times New Roman"/>
                <w:color w:val="auto"/>
                <w:sz w:val="24"/>
              </w:rPr>
              <w:t>侧</w:t>
            </w:r>
            <w:r>
              <w:rPr>
                <w:rFonts w:hint="eastAsia" w:ascii="Times New Roman" w:hAnsi="Times New Roman" w:eastAsia="宋体" w:cs="Times New Roman"/>
                <w:color w:val="auto"/>
                <w:sz w:val="24"/>
                <w:lang w:val="en-US" w:eastAsia="zh-CN"/>
              </w:rPr>
              <w:t>约27</w:t>
            </w:r>
            <w:r>
              <w:rPr>
                <w:rFonts w:hint="default" w:ascii="Times New Roman" w:hAnsi="Times New Roman" w:eastAsia="宋体" w:cs="Times New Roman"/>
                <w:color w:val="auto"/>
                <w:sz w:val="24"/>
              </w:rPr>
              <w:t>m处的</w:t>
            </w:r>
            <w:r>
              <w:rPr>
                <w:rFonts w:hint="eastAsia" w:ascii="Times New Roman" w:hAnsi="Times New Roman" w:eastAsia="宋体" w:cs="Times New Roman"/>
                <w:color w:val="auto"/>
                <w:sz w:val="24"/>
                <w:lang w:val="en-US" w:eastAsia="zh-CN"/>
              </w:rPr>
              <w:t>唐王村</w:t>
            </w:r>
            <w:r>
              <w:rPr>
                <w:rFonts w:hint="default" w:ascii="Times New Roman" w:hAnsi="Times New Roman" w:eastAsia="宋体" w:cs="Times New Roman"/>
                <w:color w:val="auto"/>
                <w:sz w:val="24"/>
              </w:rPr>
              <w:t>。项目周边概况图详见附图2。</w:t>
            </w:r>
          </w:p>
          <w:p w14:paraId="7E51D583">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②</w:t>
            </w:r>
            <w:r>
              <w:rPr>
                <w:rFonts w:hint="eastAsia" w:ascii="Times New Roman" w:hAnsi="Times New Roman" w:eastAsia="宋体" w:cs="Times New Roman"/>
                <w:b/>
                <w:color w:val="auto"/>
                <w:sz w:val="24"/>
                <w:lang w:val="en-US" w:eastAsia="zh-CN"/>
              </w:rPr>
              <w:t>厂区</w:t>
            </w:r>
            <w:r>
              <w:rPr>
                <w:rFonts w:hint="default" w:ascii="Times New Roman" w:hAnsi="Times New Roman" w:eastAsia="宋体" w:cs="Times New Roman"/>
                <w:b/>
                <w:color w:val="auto"/>
                <w:sz w:val="24"/>
              </w:rPr>
              <w:t>平面布置</w:t>
            </w:r>
          </w:p>
          <w:p w14:paraId="39DB933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szCs w:val="24"/>
              </w:rPr>
              <w:t>本项目</w:t>
            </w:r>
            <w:r>
              <w:rPr>
                <w:rFonts w:hint="default" w:ascii="Times New Roman" w:hAnsi="Times New Roman" w:eastAsia="宋体" w:cs="Times New Roman"/>
                <w:color w:val="auto"/>
                <w:sz w:val="24"/>
              </w:rPr>
              <w:t>选址位于</w:t>
            </w:r>
            <w:r>
              <w:rPr>
                <w:rFonts w:hint="eastAsia" w:ascii="Times New Roman" w:hAnsi="Times New Roman" w:eastAsia="宋体" w:cs="Times New Roman"/>
                <w:color w:val="auto"/>
                <w:sz w:val="24"/>
                <w:lang w:eastAsia="zh-CN"/>
              </w:rPr>
              <w:t>常州市金坛区朱林镇唐王村委唐王村62号</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厂内设置办公楼1栋、</w:t>
            </w:r>
            <w:r>
              <w:rPr>
                <w:rFonts w:hint="default" w:ascii="Times New Roman" w:hAnsi="Times New Roman" w:eastAsia="宋体" w:cs="Times New Roman"/>
                <w:color w:val="auto"/>
                <w:sz w:val="24"/>
              </w:rPr>
              <w:t>生产车间</w:t>
            </w:r>
            <w:r>
              <w:rPr>
                <w:rFonts w:hint="eastAsia" w:ascii="Times New Roman" w:hAnsi="Times New Roman" w:eastAsia="宋体" w:cs="Times New Roman"/>
                <w:color w:val="auto"/>
                <w:sz w:val="24"/>
                <w:lang w:val="en-US" w:eastAsia="zh-CN"/>
              </w:rPr>
              <w:t>1栋、仓库1栋、附属用房1栋，</w:t>
            </w: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厂区</w:t>
            </w:r>
            <w:r>
              <w:rPr>
                <w:rFonts w:hint="default" w:ascii="Times New Roman" w:hAnsi="Times New Roman" w:eastAsia="宋体" w:cs="Times New Roman"/>
                <w:color w:val="auto"/>
                <w:sz w:val="24"/>
              </w:rPr>
              <w:t>平面布置图详见附图3</w:t>
            </w:r>
            <w:r>
              <w:rPr>
                <w:rFonts w:hint="default" w:ascii="Times New Roman" w:hAnsi="Times New Roman" w:eastAsia="宋体" w:cs="Times New Roman"/>
                <w:color w:val="auto"/>
                <w:sz w:val="24"/>
                <w:szCs w:val="24"/>
              </w:rPr>
              <w:t>。</w:t>
            </w:r>
            <w:bookmarkEnd w:id="5"/>
            <w:bookmarkEnd w:id="6"/>
            <w:bookmarkEnd w:id="7"/>
            <w:bookmarkEnd w:id="8"/>
            <w:bookmarkEnd w:id="9"/>
          </w:p>
        </w:tc>
      </w:tr>
      <w:tr w14:paraId="018E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4" w:hRule="atLeast"/>
        </w:trPr>
        <w:tc>
          <w:tcPr>
            <w:tcW w:w="377" w:type="pct"/>
            <w:vAlign w:val="center"/>
          </w:tcPr>
          <w:p w14:paraId="2A96BEBB">
            <w:pPr>
              <w:jc w:val="both"/>
              <w:rPr>
                <w:rFonts w:hint="default" w:ascii="Times New Roman" w:hAnsi="Times New Roman" w:eastAsia="宋体" w:cs="Times New Roman"/>
                <w:b/>
                <w:color w:val="auto"/>
                <w:kern w:val="2"/>
                <w:sz w:val="24"/>
                <w:szCs w:val="22"/>
                <w:lang w:val="en-US" w:eastAsia="zh-CN" w:bidi="ar-SA"/>
              </w:rPr>
            </w:pPr>
            <w:r>
              <w:rPr>
                <w:rFonts w:hint="default" w:ascii="Times New Roman" w:hAnsi="Times New Roman" w:eastAsia="宋体" w:cs="Times New Roman"/>
                <w:b/>
                <w:color w:val="auto"/>
                <w:sz w:val="24"/>
              </w:rPr>
              <w:t>工艺流程和产排污环节</w:t>
            </w:r>
          </w:p>
        </w:tc>
        <w:tc>
          <w:tcPr>
            <w:tcW w:w="4622" w:type="pct"/>
            <w:vAlign w:val="top"/>
          </w:tcPr>
          <w:p w14:paraId="20FCA398">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一、工艺流程简述</w:t>
            </w:r>
          </w:p>
          <w:p w14:paraId="54F55F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bookmarkStart w:id="10" w:name="_Toc23344"/>
            <w:bookmarkStart w:id="11" w:name="_Toc20544"/>
            <w:bookmarkStart w:id="12" w:name="_Toc21734"/>
            <w:bookmarkStart w:id="13" w:name="_Toc18182"/>
            <w:r>
              <w:rPr>
                <w:rFonts w:hint="eastAsia" w:ascii="Times New Roman" w:hAnsi="Times New Roman" w:eastAsia="宋体" w:cs="Times New Roman"/>
                <w:b w:val="0"/>
                <w:bCs/>
                <w:color w:val="auto"/>
                <w:sz w:val="24"/>
                <w:lang w:val="en-US" w:eastAsia="zh-CN"/>
              </w:rPr>
              <w:t>本项目产品主要为指纹识别棱镜和光学投影棱镜，两者工艺基本一致，具体</w:t>
            </w:r>
            <w:r>
              <w:rPr>
                <w:rFonts w:hint="default" w:ascii="Times New Roman" w:hAnsi="Times New Roman" w:eastAsia="宋体" w:cs="Times New Roman"/>
                <w:b w:val="0"/>
                <w:bCs/>
                <w:color w:val="auto"/>
                <w:sz w:val="24"/>
                <w:lang w:val="en-US" w:eastAsia="zh-CN"/>
              </w:rPr>
              <w:t>生产工艺见图2-3。</w:t>
            </w:r>
          </w:p>
          <w:bookmarkEnd w:id="10"/>
          <w:bookmarkEnd w:id="11"/>
          <w:bookmarkEnd w:id="12"/>
          <w:bookmarkEnd w:id="13"/>
          <w:p w14:paraId="436F10E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5313045" cy="1826260"/>
                  <wp:effectExtent l="0" t="0" r="0" b="0"/>
                  <wp:docPr id="11" name="图片 11"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艺流程"/>
                          <pic:cNvPicPr>
                            <a:picLocks noChangeAspect="1"/>
                          </pic:cNvPicPr>
                        </pic:nvPicPr>
                        <pic:blipFill>
                          <a:blip r:embed="rId13"/>
                          <a:stretch>
                            <a:fillRect/>
                          </a:stretch>
                        </pic:blipFill>
                        <pic:spPr>
                          <a:xfrm>
                            <a:off x="0" y="0"/>
                            <a:ext cx="5313045" cy="1826260"/>
                          </a:xfrm>
                          <a:prstGeom prst="rect">
                            <a:avLst/>
                          </a:prstGeom>
                        </pic:spPr>
                      </pic:pic>
                    </a:graphicData>
                  </a:graphic>
                </wp:inline>
              </w:drawing>
            </w:r>
          </w:p>
          <w:p w14:paraId="41CA7650">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图2-</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生产工</w:t>
            </w:r>
            <w:r>
              <w:rPr>
                <w:rFonts w:hint="default" w:ascii="Times New Roman" w:hAnsi="Times New Roman" w:eastAsia="宋体" w:cs="Times New Roman"/>
                <w:b/>
                <w:bCs/>
                <w:color w:val="auto"/>
                <w:sz w:val="24"/>
              </w:rPr>
              <w:t>艺流程及产污环节示意图</w:t>
            </w:r>
          </w:p>
          <w:p w14:paraId="5A1FB2FD">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生产工艺简述：</w:t>
            </w:r>
          </w:p>
          <w:p w14:paraId="31C974EB">
            <w:pPr>
              <w:spacing w:line="360" w:lineRule="auto"/>
              <w:ind w:firstLine="482" w:firstLineChars="200"/>
              <w:rPr>
                <w:rFonts w:hint="default" w:ascii="Times New Roman" w:hAnsi="Times New Roman" w:eastAsia="宋体" w:cs="Times New Roman"/>
                <w:color w:val="auto"/>
                <w:sz w:val="24"/>
              </w:rPr>
            </w:pPr>
            <w:r>
              <w:rPr>
                <w:rFonts w:hint="eastAsia" w:ascii="Times New Roman" w:hAnsi="Times New Roman" w:eastAsia="宋体" w:cs="Times New Roman"/>
                <w:b/>
                <w:bCs/>
                <w:color w:val="auto"/>
                <w:sz w:val="24"/>
                <w:lang w:val="en-US" w:eastAsia="zh-CN"/>
              </w:rPr>
              <w:t>固定</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val="0"/>
                <w:bCs w:val="0"/>
                <w:color w:val="auto"/>
                <w:sz w:val="24"/>
                <w:lang w:val="en-US" w:eastAsia="zh-CN"/>
              </w:rPr>
              <w:t>利用电炉将</w:t>
            </w:r>
            <w:r>
              <w:rPr>
                <w:rFonts w:hint="eastAsia" w:ascii="Times New Roman" w:hAnsi="Times New Roman" w:eastAsia="宋体" w:cs="Times New Roman"/>
                <w:b w:val="0"/>
                <w:bCs/>
                <w:color w:val="auto"/>
                <w:sz w:val="24"/>
                <w:lang w:val="en-US" w:eastAsia="zh-CN"/>
              </w:rPr>
              <w:t>热熔胶</w:t>
            </w:r>
            <w:r>
              <w:rPr>
                <w:rFonts w:hint="eastAsia" w:ascii="Times New Roman" w:hAnsi="Times New Roman" w:eastAsia="宋体" w:cs="Times New Roman"/>
                <w:b w:val="0"/>
                <w:bCs w:val="0"/>
                <w:color w:val="auto"/>
                <w:sz w:val="24"/>
                <w:lang w:val="en-US" w:eastAsia="zh-CN"/>
              </w:rPr>
              <w:t>融化，加热温度约100</w:t>
            </w:r>
            <w:r>
              <w:rPr>
                <w:rFonts w:hint="eastAsia" w:ascii="宋体" w:hAnsi="宋体" w:eastAsia="宋体" w:cs="宋体"/>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，使用融化液将光学玻璃毛坯固定好，进行后续加工，该工序产生G1有机废气</w:t>
            </w:r>
            <w:r>
              <w:rPr>
                <w:rFonts w:hint="default" w:ascii="Times New Roman" w:hAnsi="Times New Roman" w:eastAsia="宋体" w:cs="Times New Roman"/>
                <w:color w:val="auto"/>
                <w:sz w:val="24"/>
              </w:rPr>
              <w:t>。</w:t>
            </w:r>
          </w:p>
          <w:p w14:paraId="37B1C22A">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研磨</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val="0"/>
                <w:bCs w:val="0"/>
                <w:color w:val="auto"/>
                <w:sz w:val="24"/>
                <w:lang w:val="en-US" w:eastAsia="zh-CN"/>
              </w:rPr>
              <w:t>根据产品要求，使用平面铣磨机进行铣磨初步成型加工，铣磨工艺过程使用冷却液降温，每台设备均设有水箱，冷却液循环使用，日常按需补充冷却液及新鲜水，定期更换；研磨使用研磨液，研磨过程中不会产生颗粒物，该过程产生S1研磨废液和噪声N。</w:t>
            </w:r>
          </w:p>
          <w:p w14:paraId="3A056184">
            <w:pPr>
              <w:spacing w:line="360" w:lineRule="auto"/>
              <w:ind w:firstLine="482" w:firstLineChars="200"/>
              <w:rPr>
                <w:rFonts w:hint="default" w:ascii="Times New Roman" w:hAnsi="Times New Roman" w:eastAsia="宋体" w:cs="Times New Roman"/>
                <w:color w:val="auto"/>
                <w:sz w:val="24"/>
              </w:rPr>
            </w:pPr>
            <w:r>
              <w:rPr>
                <w:rFonts w:hint="eastAsia" w:ascii="Times New Roman" w:hAnsi="Times New Roman" w:eastAsia="宋体" w:cs="Times New Roman"/>
                <w:b/>
                <w:bCs/>
                <w:color w:val="auto"/>
                <w:sz w:val="24"/>
                <w:lang w:val="en-US" w:eastAsia="zh-CN"/>
              </w:rPr>
              <w:t>抛光</w:t>
            </w:r>
            <w:r>
              <w:rPr>
                <w:rFonts w:hint="default" w:ascii="Times New Roman" w:hAnsi="Times New Roman" w:eastAsia="宋体" w:cs="Times New Roman"/>
                <w:b/>
                <w:bCs/>
                <w:color w:val="auto"/>
                <w:sz w:val="24"/>
                <w:lang w:eastAsia="zh-CN"/>
              </w:rPr>
              <w:t>：</w:t>
            </w:r>
            <w:r>
              <w:rPr>
                <w:rFonts w:hint="eastAsia" w:ascii="Times New Roman" w:hAnsi="Times New Roman" w:eastAsia="宋体" w:cs="Times New Roman"/>
                <w:b w:val="0"/>
                <w:bCs w:val="0"/>
                <w:color w:val="auto"/>
                <w:sz w:val="24"/>
                <w:lang w:val="en-US" w:eastAsia="zh-CN"/>
              </w:rPr>
              <w:t>根据产品要求，使用单轴抛光机进行抛光加工，抛光工艺过程使用抛光液作为磨料，使用过程先与新鲜水按一定比例混合，再泵入作业水箱，液体循环使用，日常按需补充，</w:t>
            </w:r>
            <w:r>
              <w:rPr>
                <w:rFonts w:hint="eastAsia" w:ascii="Times New Roman" w:hAnsi="Times New Roman" w:eastAsia="宋体" w:cs="Times New Roman"/>
                <w:b w:val="0"/>
                <w:bCs w:val="0"/>
                <w:color w:val="auto"/>
                <w:sz w:val="24"/>
                <w:highlight w:val="none"/>
                <w:lang w:val="en-US" w:eastAsia="zh-CN"/>
              </w:rPr>
              <w:t>一般半个月更换一次；</w:t>
            </w:r>
            <w:r>
              <w:rPr>
                <w:rFonts w:hint="eastAsia" w:ascii="Times New Roman" w:hAnsi="Times New Roman" w:eastAsia="宋体" w:cs="Times New Roman"/>
                <w:b w:val="0"/>
                <w:bCs w:val="0"/>
                <w:color w:val="auto"/>
                <w:sz w:val="24"/>
                <w:lang w:val="en-US" w:eastAsia="zh-CN"/>
              </w:rPr>
              <w:t>该过程产生S2抛光废液和噪声N</w:t>
            </w:r>
            <w:r>
              <w:rPr>
                <w:rFonts w:hint="default" w:ascii="Times New Roman" w:hAnsi="Times New Roman" w:eastAsia="宋体" w:cs="Times New Roman"/>
                <w:color w:val="auto"/>
                <w:sz w:val="24"/>
              </w:rPr>
              <w:t>。</w:t>
            </w:r>
          </w:p>
          <w:p w14:paraId="2C304A71">
            <w:pPr>
              <w:spacing w:line="360" w:lineRule="auto"/>
              <w:ind w:firstLine="482" w:firstLineChars="200"/>
              <w:rPr>
                <w:rFonts w:hint="default" w:ascii="Times New Roman" w:hAnsi="Times New Roman" w:eastAsia="宋体" w:cs="Times New Roman"/>
                <w:color w:val="auto"/>
                <w:sz w:val="24"/>
              </w:rPr>
            </w:pPr>
            <w:r>
              <w:rPr>
                <w:rFonts w:hint="eastAsia" w:ascii="Times New Roman" w:hAnsi="Times New Roman" w:eastAsia="宋体" w:cs="Times New Roman"/>
                <w:b/>
                <w:bCs/>
                <w:color w:val="auto"/>
                <w:sz w:val="24"/>
                <w:lang w:val="en-US" w:eastAsia="zh-CN"/>
              </w:rPr>
              <w:t>超声波清洗</w:t>
            </w:r>
            <w:r>
              <w:rPr>
                <w:rFonts w:hint="default" w:ascii="Times New Roman" w:hAnsi="Times New Roman" w:eastAsia="宋体" w:cs="Times New Roman"/>
                <w:b/>
                <w:bCs/>
                <w:color w:val="auto"/>
                <w:sz w:val="24"/>
                <w:lang w:eastAsia="zh-CN"/>
              </w:rPr>
              <w:t>：</w:t>
            </w:r>
            <w:r>
              <w:rPr>
                <w:rFonts w:hint="eastAsia" w:ascii="Times New Roman" w:hAnsi="Times New Roman" w:eastAsia="宋体" w:cs="Times New Roman"/>
                <w:b w:val="0"/>
                <w:bCs w:val="0"/>
                <w:color w:val="auto"/>
                <w:sz w:val="24"/>
                <w:lang w:val="en-US" w:eastAsia="zh-CN"/>
              </w:rPr>
              <w:t>抛光后，工件放入超声波清洗机进行清洗，清洗工艺过程使用纯碱，使用过程先与新鲜水按一定比例混合，液体循环使用，日常按需补充，一般半个月更换一次；该过程产生S3纯碱清洗废液和噪声N</w:t>
            </w:r>
            <w:r>
              <w:rPr>
                <w:rFonts w:hint="default" w:ascii="Times New Roman" w:hAnsi="Times New Roman" w:eastAsia="宋体" w:cs="Times New Roman"/>
                <w:color w:val="auto"/>
                <w:sz w:val="24"/>
              </w:rPr>
              <w:t>。</w:t>
            </w:r>
          </w:p>
          <w:p w14:paraId="787231DE">
            <w:pPr>
              <w:spacing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检验入库：</w:t>
            </w:r>
            <w:r>
              <w:rPr>
                <w:rFonts w:hint="eastAsia" w:ascii="Times New Roman" w:hAnsi="Times New Roman" w:eastAsia="宋体" w:cs="Times New Roman"/>
                <w:color w:val="auto"/>
                <w:sz w:val="24"/>
                <w:lang w:val="en-US" w:eastAsia="zh-CN"/>
              </w:rPr>
              <w:t>人工检验成品，合格成品入库，该工序产生不合格品S4</w:t>
            </w:r>
            <w:r>
              <w:rPr>
                <w:rFonts w:hint="default" w:ascii="Times New Roman" w:hAnsi="Times New Roman" w:eastAsia="宋体" w:cs="Times New Roman"/>
                <w:color w:val="auto"/>
                <w:sz w:val="24"/>
              </w:rPr>
              <w:t>。</w:t>
            </w:r>
          </w:p>
          <w:p w14:paraId="171A47A0">
            <w:pPr>
              <w:spacing w:line="360" w:lineRule="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二、</w:t>
            </w:r>
            <w:r>
              <w:rPr>
                <w:rFonts w:hint="eastAsia" w:ascii="Times New Roman" w:hAnsi="Times New Roman" w:eastAsia="宋体" w:cs="Times New Roman"/>
                <w:b/>
                <w:color w:val="auto"/>
                <w:sz w:val="24"/>
                <w:lang w:val="en-US" w:eastAsia="zh-CN"/>
              </w:rPr>
              <w:t>其他产污分析</w:t>
            </w:r>
          </w:p>
          <w:p w14:paraId="4B809F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lang w:val="en-US" w:eastAsia="zh-CN"/>
              </w:rPr>
              <w:t>原辅料使用</w:t>
            </w:r>
          </w:p>
          <w:p w14:paraId="038A2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冷却液、纯碱、热熔胶</w:t>
            </w:r>
            <w:r>
              <w:rPr>
                <w:rFonts w:hint="default" w:ascii="Times New Roman" w:hAnsi="Times New Roman" w:eastAsia="宋体" w:cs="Times New Roman"/>
                <w:b w:val="0"/>
                <w:bCs/>
                <w:color w:val="auto"/>
                <w:sz w:val="24"/>
                <w:lang w:val="en-US" w:eastAsia="zh-CN"/>
              </w:rPr>
              <w:t>等原辅料使用完后有废包装材料S</w:t>
            </w:r>
            <w:r>
              <w:rPr>
                <w:rFonts w:hint="eastAsia" w:ascii="Times New Roman" w:hAnsi="Times New Roman" w:eastAsia="宋体" w:cs="Times New Roman"/>
                <w:b w:val="0"/>
                <w:bCs/>
                <w:color w:val="auto"/>
                <w:sz w:val="24"/>
                <w:lang w:val="en-US" w:eastAsia="zh-CN"/>
              </w:rPr>
              <w:t>5</w:t>
            </w:r>
            <w:r>
              <w:rPr>
                <w:rFonts w:hint="default" w:ascii="Times New Roman" w:hAnsi="Times New Roman" w:eastAsia="宋体" w:cs="Times New Roman"/>
                <w:b w:val="0"/>
                <w:bCs/>
                <w:color w:val="auto"/>
                <w:sz w:val="24"/>
                <w:lang w:val="en-US" w:eastAsia="zh-CN"/>
              </w:rPr>
              <w:t>产生。</w:t>
            </w:r>
          </w:p>
          <w:p w14:paraId="4FAACC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（2）废气设施</w:t>
            </w:r>
          </w:p>
          <w:p w14:paraId="5F0EA7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szCs w:val="24"/>
                <w:lang w:val="en-US" w:eastAsia="zh-CN"/>
              </w:rPr>
              <w:t>固定工序</w:t>
            </w:r>
            <w:r>
              <w:rPr>
                <w:rFonts w:hint="eastAsia" w:ascii="Times New Roman" w:hAnsi="Times New Roman" w:eastAsia="宋体" w:cs="Times New Roman"/>
                <w:b w:val="0"/>
                <w:bCs/>
                <w:color w:val="auto"/>
                <w:sz w:val="24"/>
                <w:szCs w:val="24"/>
                <w:lang w:val="en-US" w:eastAsia="zh-CN"/>
              </w:rPr>
              <w:t>产生的废气经二级活性炭吸附装置收集处理，</w:t>
            </w:r>
            <w:r>
              <w:rPr>
                <w:rFonts w:hint="default" w:ascii="Times New Roman" w:hAnsi="Times New Roman" w:eastAsia="宋体" w:cs="Times New Roman"/>
                <w:b w:val="0"/>
                <w:bCs/>
                <w:color w:val="auto"/>
                <w:sz w:val="24"/>
                <w:lang w:val="en-US" w:eastAsia="zh-CN"/>
              </w:rPr>
              <w:t>此过程会产生</w:t>
            </w:r>
            <w:r>
              <w:rPr>
                <w:rFonts w:hint="eastAsia" w:ascii="Times New Roman" w:hAnsi="Times New Roman" w:eastAsia="宋体" w:cs="Times New Roman"/>
                <w:b w:val="0"/>
                <w:bCs/>
                <w:color w:val="auto"/>
                <w:sz w:val="24"/>
                <w:lang w:val="en-US" w:eastAsia="zh-CN"/>
              </w:rPr>
              <w:t>废活性炭S</w:t>
            </w:r>
            <w:r>
              <w:rPr>
                <w:rFonts w:hint="default" w:ascii="Times New Roman" w:hAnsi="Times New Roman" w:eastAsia="宋体" w:cs="Times New Roman"/>
                <w:b w:val="0"/>
                <w:bCs/>
                <w:color w:val="auto"/>
                <w:sz w:val="24"/>
                <w:lang w:val="en-US" w:eastAsia="zh-CN"/>
              </w:rPr>
              <w:t>6。</w:t>
            </w:r>
          </w:p>
          <w:p w14:paraId="01931FA9">
            <w:pPr>
              <w:spacing w:line="360" w:lineRule="auto"/>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三、</w:t>
            </w:r>
            <w:r>
              <w:rPr>
                <w:rFonts w:hint="default" w:ascii="Times New Roman" w:hAnsi="Times New Roman" w:eastAsia="宋体" w:cs="Times New Roman"/>
                <w:b/>
                <w:color w:val="auto"/>
                <w:sz w:val="24"/>
              </w:rPr>
              <w:t>产污环节分析</w:t>
            </w:r>
          </w:p>
          <w:p w14:paraId="179BF3BD">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 xml:space="preserve">  污染物产生情况分析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221"/>
              <w:gridCol w:w="1441"/>
              <w:gridCol w:w="1693"/>
              <w:gridCol w:w="2961"/>
            </w:tblGrid>
            <w:tr w14:paraId="1B95E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tcBorders>
                    <w:tl2br w:val="nil"/>
                    <w:tr2bl w:val="nil"/>
                  </w:tcBorders>
                  <w:vAlign w:val="center"/>
                </w:tcPr>
                <w:p w14:paraId="0AB18889">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废物类别</w:t>
                  </w:r>
                </w:p>
              </w:tc>
              <w:tc>
                <w:tcPr>
                  <w:tcW w:w="729" w:type="pct"/>
                  <w:tcBorders>
                    <w:tl2br w:val="nil"/>
                    <w:tr2bl w:val="nil"/>
                  </w:tcBorders>
                  <w:vAlign w:val="center"/>
                </w:tcPr>
                <w:p w14:paraId="516717A5">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编号</w:t>
                  </w:r>
                </w:p>
              </w:tc>
              <w:tc>
                <w:tcPr>
                  <w:tcW w:w="860" w:type="pct"/>
                  <w:tcBorders>
                    <w:tl2br w:val="nil"/>
                    <w:tr2bl w:val="nil"/>
                  </w:tcBorders>
                  <w:vAlign w:val="center"/>
                </w:tcPr>
                <w:p w14:paraId="63FBB66F">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产生环节</w:t>
                  </w:r>
                </w:p>
              </w:tc>
              <w:tc>
                <w:tcPr>
                  <w:tcW w:w="1011" w:type="pct"/>
                  <w:tcBorders>
                    <w:tl2br w:val="nil"/>
                    <w:tr2bl w:val="nil"/>
                  </w:tcBorders>
                  <w:vAlign w:val="center"/>
                </w:tcPr>
                <w:p w14:paraId="6A805F76">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污染物名称</w:t>
                  </w:r>
                </w:p>
              </w:tc>
              <w:tc>
                <w:tcPr>
                  <w:tcW w:w="1768" w:type="pct"/>
                  <w:tcBorders>
                    <w:tl2br w:val="nil"/>
                    <w:tr2bl w:val="nil"/>
                  </w:tcBorders>
                  <w:shd w:val="clear" w:color="auto" w:fill="auto"/>
                  <w:vAlign w:val="center"/>
                </w:tcPr>
                <w:p w14:paraId="631FED34">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处置措施</w:t>
                  </w:r>
                </w:p>
              </w:tc>
            </w:tr>
            <w:tr w14:paraId="697D1D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9" w:type="pct"/>
                  <w:tcBorders>
                    <w:tl2br w:val="nil"/>
                    <w:tr2bl w:val="nil"/>
                  </w:tcBorders>
                  <w:vAlign w:val="center"/>
                </w:tcPr>
                <w:p w14:paraId="510FAE2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729" w:type="pct"/>
                  <w:tcBorders>
                    <w:tl2br w:val="nil"/>
                    <w:tr2bl w:val="nil"/>
                  </w:tcBorders>
                  <w:vAlign w:val="center"/>
                </w:tcPr>
                <w:p w14:paraId="18E47D1E">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G1</w:t>
                  </w:r>
                </w:p>
              </w:tc>
              <w:tc>
                <w:tcPr>
                  <w:tcW w:w="860" w:type="pct"/>
                  <w:tcBorders>
                    <w:tl2br w:val="nil"/>
                    <w:tr2bl w:val="nil"/>
                  </w:tcBorders>
                  <w:vAlign w:val="center"/>
                </w:tcPr>
                <w:p w14:paraId="3A5729B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固定</w:t>
                  </w:r>
                </w:p>
              </w:tc>
              <w:tc>
                <w:tcPr>
                  <w:tcW w:w="1011" w:type="pct"/>
                  <w:tcBorders>
                    <w:tl2br w:val="nil"/>
                    <w:tr2bl w:val="nil"/>
                  </w:tcBorders>
                  <w:vAlign w:val="center"/>
                </w:tcPr>
                <w:p w14:paraId="355C8FE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有机</w:t>
                  </w:r>
                  <w:r>
                    <w:rPr>
                      <w:rFonts w:hint="default" w:ascii="Times New Roman" w:hAnsi="Times New Roman" w:eastAsia="宋体" w:cs="Times New Roman"/>
                      <w:color w:val="auto"/>
                      <w:szCs w:val="21"/>
                    </w:rPr>
                    <w:t>废气</w:t>
                  </w:r>
                </w:p>
              </w:tc>
              <w:tc>
                <w:tcPr>
                  <w:tcW w:w="1768" w:type="pct"/>
                  <w:tcBorders>
                    <w:tl2br w:val="nil"/>
                    <w:tr2bl w:val="nil"/>
                  </w:tcBorders>
                  <w:shd w:val="clear" w:color="auto" w:fill="auto"/>
                  <w:vAlign w:val="center"/>
                </w:tcPr>
                <w:p w14:paraId="33580A2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经集气设施收集至“二级活性炭吸附装置”处理后</w:t>
                  </w:r>
                  <w:r>
                    <w:rPr>
                      <w:rFonts w:hint="eastAsia" w:ascii="Times New Roman" w:hAnsi="Times New Roman" w:eastAsia="宋体" w:cs="Times New Roman"/>
                      <w:color w:val="auto"/>
                      <w:szCs w:val="21"/>
                      <w:lang w:val="en-US" w:eastAsia="zh-CN"/>
                    </w:rPr>
                    <w:t>无组织排放</w:t>
                  </w:r>
                </w:p>
              </w:tc>
            </w:tr>
            <w:tr w14:paraId="28078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9" w:type="pct"/>
                  <w:tcBorders>
                    <w:tl2br w:val="nil"/>
                    <w:tr2bl w:val="nil"/>
                  </w:tcBorders>
                  <w:vAlign w:val="center"/>
                </w:tcPr>
                <w:p w14:paraId="2B313C8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729" w:type="pct"/>
                  <w:tcBorders>
                    <w:tl2br w:val="nil"/>
                    <w:tr2bl w:val="nil"/>
                  </w:tcBorders>
                  <w:vAlign w:val="center"/>
                </w:tcPr>
                <w:p w14:paraId="675789C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W</w:t>
                  </w:r>
                  <w:r>
                    <w:rPr>
                      <w:rFonts w:hint="default" w:ascii="Times New Roman" w:hAnsi="Times New Roman" w:eastAsia="宋体" w:cs="Times New Roman"/>
                      <w:color w:val="auto"/>
                      <w:szCs w:val="21"/>
                      <w:lang w:val="en-US" w:eastAsia="zh-CN"/>
                    </w:rPr>
                    <w:t>1</w:t>
                  </w:r>
                </w:p>
              </w:tc>
              <w:tc>
                <w:tcPr>
                  <w:tcW w:w="860" w:type="pct"/>
                  <w:tcBorders>
                    <w:tl2br w:val="nil"/>
                    <w:tr2bl w:val="nil"/>
                  </w:tcBorders>
                  <w:vAlign w:val="center"/>
                </w:tcPr>
                <w:p w14:paraId="54D1434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生活污水</w:t>
                  </w:r>
                </w:p>
              </w:tc>
              <w:tc>
                <w:tcPr>
                  <w:tcW w:w="1011" w:type="pct"/>
                  <w:tcBorders>
                    <w:tl2br w:val="nil"/>
                    <w:tr2bl w:val="nil"/>
                  </w:tcBorders>
                  <w:vAlign w:val="center"/>
                </w:tcPr>
                <w:p w14:paraId="66ACBCC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员工生活</w:t>
                  </w:r>
                </w:p>
              </w:tc>
              <w:tc>
                <w:tcPr>
                  <w:tcW w:w="1768" w:type="pct"/>
                  <w:tcBorders>
                    <w:tl2br w:val="nil"/>
                    <w:tr2bl w:val="nil"/>
                  </w:tcBorders>
                  <w:shd w:val="clear" w:color="auto" w:fill="auto"/>
                  <w:vAlign w:val="center"/>
                </w:tcPr>
                <w:p w14:paraId="60256E9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接管至唐王村农村生活污水处理站</w:t>
                  </w:r>
                </w:p>
              </w:tc>
            </w:tr>
            <w:tr w14:paraId="0DC5C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restart"/>
                  <w:tcBorders>
                    <w:tl2br w:val="nil"/>
                    <w:tr2bl w:val="nil"/>
                  </w:tcBorders>
                  <w:vAlign w:val="center"/>
                </w:tcPr>
                <w:p w14:paraId="12529E0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729" w:type="pct"/>
                  <w:tcBorders>
                    <w:tl2br w:val="nil"/>
                    <w:tr2bl w:val="nil"/>
                  </w:tcBorders>
                  <w:vAlign w:val="center"/>
                </w:tcPr>
                <w:p w14:paraId="1FE35D1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S1</w:t>
                  </w:r>
                </w:p>
              </w:tc>
              <w:tc>
                <w:tcPr>
                  <w:tcW w:w="860" w:type="pct"/>
                  <w:tcBorders>
                    <w:tl2br w:val="nil"/>
                    <w:tr2bl w:val="nil"/>
                  </w:tcBorders>
                  <w:vAlign w:val="center"/>
                </w:tcPr>
                <w:p w14:paraId="4312A39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研磨</w:t>
                  </w:r>
                </w:p>
              </w:tc>
              <w:tc>
                <w:tcPr>
                  <w:tcW w:w="1011" w:type="pct"/>
                  <w:tcBorders>
                    <w:tl2br w:val="nil"/>
                    <w:tr2bl w:val="nil"/>
                  </w:tcBorders>
                  <w:vAlign w:val="center"/>
                </w:tcPr>
                <w:p w14:paraId="01F8632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研磨废液</w:t>
                  </w:r>
                </w:p>
              </w:tc>
              <w:tc>
                <w:tcPr>
                  <w:tcW w:w="1768" w:type="pct"/>
                  <w:tcBorders>
                    <w:tl2br w:val="nil"/>
                    <w:tr2bl w:val="nil"/>
                  </w:tcBorders>
                  <w:shd w:val="clear" w:color="auto" w:fill="auto"/>
                  <w:vAlign w:val="center"/>
                </w:tcPr>
                <w:p w14:paraId="07E8BFB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6B412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1E5661F5">
                  <w:pPr>
                    <w:jc w:val="center"/>
                    <w:rPr>
                      <w:rFonts w:hint="default" w:ascii="Times New Roman" w:hAnsi="Times New Roman" w:eastAsia="宋体" w:cs="Times New Roman"/>
                      <w:color w:val="auto"/>
                      <w:szCs w:val="21"/>
                    </w:rPr>
                  </w:pPr>
                </w:p>
              </w:tc>
              <w:tc>
                <w:tcPr>
                  <w:tcW w:w="729" w:type="pct"/>
                  <w:tcBorders>
                    <w:tl2br w:val="nil"/>
                    <w:tr2bl w:val="nil"/>
                  </w:tcBorders>
                  <w:vAlign w:val="center"/>
                </w:tcPr>
                <w:p w14:paraId="76D81A6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S2</w:t>
                  </w:r>
                </w:p>
              </w:tc>
              <w:tc>
                <w:tcPr>
                  <w:tcW w:w="860" w:type="pct"/>
                  <w:tcBorders>
                    <w:tl2br w:val="nil"/>
                    <w:tr2bl w:val="nil"/>
                  </w:tcBorders>
                  <w:vAlign w:val="center"/>
                </w:tcPr>
                <w:p w14:paraId="248D7DA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抛光</w:t>
                  </w:r>
                </w:p>
              </w:tc>
              <w:tc>
                <w:tcPr>
                  <w:tcW w:w="1011" w:type="pct"/>
                  <w:tcBorders>
                    <w:tl2br w:val="nil"/>
                    <w:tr2bl w:val="nil"/>
                  </w:tcBorders>
                  <w:vAlign w:val="center"/>
                </w:tcPr>
                <w:p w14:paraId="365E2D9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抛光废液</w:t>
                  </w:r>
                </w:p>
              </w:tc>
              <w:tc>
                <w:tcPr>
                  <w:tcW w:w="1768" w:type="pct"/>
                  <w:tcBorders>
                    <w:tl2br w:val="nil"/>
                    <w:tr2bl w:val="nil"/>
                  </w:tcBorders>
                  <w:shd w:val="clear" w:color="auto" w:fill="auto"/>
                  <w:vAlign w:val="center"/>
                </w:tcPr>
                <w:p w14:paraId="08AE3E9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2D4FF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61145884">
                  <w:pPr>
                    <w:jc w:val="center"/>
                    <w:rPr>
                      <w:rFonts w:hint="default" w:ascii="Times New Roman" w:hAnsi="Times New Roman" w:eastAsia="宋体" w:cs="Times New Roman"/>
                      <w:color w:val="auto"/>
                      <w:szCs w:val="21"/>
                    </w:rPr>
                  </w:pPr>
                </w:p>
              </w:tc>
              <w:tc>
                <w:tcPr>
                  <w:tcW w:w="729" w:type="pct"/>
                  <w:tcBorders>
                    <w:tl2br w:val="nil"/>
                    <w:tr2bl w:val="nil"/>
                  </w:tcBorders>
                  <w:vAlign w:val="center"/>
                </w:tcPr>
                <w:p w14:paraId="371E38B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S3</w:t>
                  </w:r>
                </w:p>
              </w:tc>
              <w:tc>
                <w:tcPr>
                  <w:tcW w:w="860" w:type="pct"/>
                  <w:tcBorders>
                    <w:tl2br w:val="nil"/>
                    <w:tr2bl w:val="nil"/>
                  </w:tcBorders>
                  <w:vAlign w:val="center"/>
                </w:tcPr>
                <w:p w14:paraId="5E0E732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清洗</w:t>
                  </w:r>
                </w:p>
              </w:tc>
              <w:tc>
                <w:tcPr>
                  <w:tcW w:w="1011" w:type="pct"/>
                  <w:tcBorders>
                    <w:tl2br w:val="nil"/>
                    <w:tr2bl w:val="nil"/>
                  </w:tcBorders>
                  <w:vAlign w:val="center"/>
                </w:tcPr>
                <w:p w14:paraId="76BCEC1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纯碱清洗废液</w:t>
                  </w:r>
                </w:p>
              </w:tc>
              <w:tc>
                <w:tcPr>
                  <w:tcW w:w="1768" w:type="pct"/>
                  <w:tcBorders>
                    <w:tl2br w:val="nil"/>
                    <w:tr2bl w:val="nil"/>
                  </w:tcBorders>
                  <w:shd w:val="clear" w:color="auto" w:fill="auto"/>
                  <w:vAlign w:val="center"/>
                </w:tcPr>
                <w:p w14:paraId="22F0D27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0652C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181C858E">
                  <w:pPr>
                    <w:jc w:val="center"/>
                    <w:rPr>
                      <w:rFonts w:hint="default" w:ascii="Times New Roman" w:hAnsi="Times New Roman" w:eastAsia="宋体" w:cs="Times New Roman"/>
                      <w:color w:val="auto"/>
                      <w:szCs w:val="21"/>
                    </w:rPr>
                  </w:pPr>
                </w:p>
              </w:tc>
              <w:tc>
                <w:tcPr>
                  <w:tcW w:w="729" w:type="pct"/>
                  <w:tcBorders>
                    <w:tl2br w:val="nil"/>
                    <w:tr2bl w:val="nil"/>
                  </w:tcBorders>
                  <w:vAlign w:val="center"/>
                </w:tcPr>
                <w:p w14:paraId="484620F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S4</w:t>
                  </w:r>
                </w:p>
              </w:tc>
              <w:tc>
                <w:tcPr>
                  <w:tcW w:w="860" w:type="pct"/>
                  <w:tcBorders>
                    <w:tl2br w:val="nil"/>
                    <w:tr2bl w:val="nil"/>
                  </w:tcBorders>
                  <w:vAlign w:val="center"/>
                </w:tcPr>
                <w:p w14:paraId="1AC6B06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检验</w:t>
                  </w:r>
                </w:p>
              </w:tc>
              <w:tc>
                <w:tcPr>
                  <w:tcW w:w="1011" w:type="pct"/>
                  <w:tcBorders>
                    <w:tl2br w:val="nil"/>
                    <w:tr2bl w:val="nil"/>
                  </w:tcBorders>
                  <w:vAlign w:val="center"/>
                </w:tcPr>
                <w:p w14:paraId="19DADE7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不合格品</w:t>
                  </w:r>
                </w:p>
              </w:tc>
              <w:tc>
                <w:tcPr>
                  <w:tcW w:w="1768" w:type="pct"/>
                  <w:tcBorders>
                    <w:tl2br w:val="nil"/>
                    <w:tr2bl w:val="nil"/>
                  </w:tcBorders>
                  <w:shd w:val="clear" w:color="auto" w:fill="auto"/>
                  <w:vAlign w:val="center"/>
                </w:tcPr>
                <w:p w14:paraId="4ACFB18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外售</w:t>
                  </w:r>
                </w:p>
              </w:tc>
            </w:tr>
            <w:tr w14:paraId="24977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318B5EB6">
                  <w:pPr>
                    <w:jc w:val="center"/>
                    <w:rPr>
                      <w:rFonts w:hint="default" w:ascii="Times New Roman" w:hAnsi="Times New Roman" w:eastAsia="宋体" w:cs="Times New Roman"/>
                      <w:color w:val="auto"/>
                      <w:szCs w:val="21"/>
                    </w:rPr>
                  </w:pPr>
                </w:p>
              </w:tc>
              <w:tc>
                <w:tcPr>
                  <w:tcW w:w="729" w:type="pct"/>
                  <w:tcBorders>
                    <w:tl2br w:val="nil"/>
                    <w:tr2bl w:val="nil"/>
                  </w:tcBorders>
                  <w:vAlign w:val="center"/>
                </w:tcPr>
                <w:p w14:paraId="0FDE1A44">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S5</w:t>
                  </w:r>
                </w:p>
              </w:tc>
              <w:tc>
                <w:tcPr>
                  <w:tcW w:w="860" w:type="pct"/>
                  <w:tcBorders>
                    <w:tl2br w:val="nil"/>
                    <w:tr2bl w:val="nil"/>
                  </w:tcBorders>
                  <w:vAlign w:val="center"/>
                </w:tcPr>
                <w:p w14:paraId="2E3F957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原料使用</w:t>
                  </w:r>
                </w:p>
              </w:tc>
              <w:tc>
                <w:tcPr>
                  <w:tcW w:w="1011" w:type="pct"/>
                  <w:tcBorders>
                    <w:tl2br w:val="nil"/>
                    <w:tr2bl w:val="nil"/>
                  </w:tcBorders>
                  <w:vAlign w:val="center"/>
                </w:tcPr>
                <w:p w14:paraId="73F83569">
                  <w:pPr>
                    <w:jc w:val="center"/>
                    <w:rPr>
                      <w:rFonts w:hint="default"/>
                      <w:color w:val="auto"/>
                      <w:lang w:val="en-US" w:eastAsia="zh-CN"/>
                    </w:rPr>
                  </w:pPr>
                  <w:r>
                    <w:rPr>
                      <w:rFonts w:hint="eastAsia" w:ascii="Times New Roman" w:hAnsi="Times New Roman" w:eastAsia="宋体" w:cs="Times New Roman"/>
                      <w:color w:val="auto"/>
                      <w:szCs w:val="21"/>
                      <w:lang w:val="en-US" w:eastAsia="zh-CN"/>
                    </w:rPr>
                    <w:t>废包装材料</w:t>
                  </w:r>
                </w:p>
              </w:tc>
              <w:tc>
                <w:tcPr>
                  <w:tcW w:w="1768" w:type="pct"/>
                  <w:tcBorders>
                    <w:tl2br w:val="nil"/>
                    <w:tr2bl w:val="nil"/>
                  </w:tcBorders>
                  <w:shd w:val="clear" w:color="auto" w:fill="auto"/>
                  <w:vAlign w:val="center"/>
                </w:tcPr>
                <w:p w14:paraId="61E5314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536CA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225B6A46">
                  <w:pPr>
                    <w:jc w:val="center"/>
                    <w:rPr>
                      <w:rFonts w:hint="default" w:ascii="Times New Roman" w:hAnsi="Times New Roman" w:eastAsia="宋体" w:cs="Times New Roman"/>
                      <w:color w:val="auto"/>
                      <w:szCs w:val="21"/>
                    </w:rPr>
                  </w:pPr>
                </w:p>
              </w:tc>
              <w:tc>
                <w:tcPr>
                  <w:tcW w:w="729" w:type="pct"/>
                  <w:tcBorders>
                    <w:tl2br w:val="nil"/>
                    <w:tr2bl w:val="nil"/>
                  </w:tcBorders>
                  <w:vAlign w:val="center"/>
                </w:tcPr>
                <w:p w14:paraId="32CE31A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S6</w:t>
                  </w:r>
                </w:p>
              </w:tc>
              <w:tc>
                <w:tcPr>
                  <w:tcW w:w="860" w:type="pct"/>
                  <w:tcBorders>
                    <w:tl2br w:val="nil"/>
                    <w:tr2bl w:val="nil"/>
                  </w:tcBorders>
                  <w:vAlign w:val="center"/>
                </w:tcPr>
                <w:p w14:paraId="24DCF5B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废活性炭</w:t>
                  </w:r>
                </w:p>
              </w:tc>
              <w:tc>
                <w:tcPr>
                  <w:tcW w:w="1011" w:type="pct"/>
                  <w:tcBorders>
                    <w:tl2br w:val="nil"/>
                    <w:tr2bl w:val="nil"/>
                  </w:tcBorders>
                  <w:vAlign w:val="center"/>
                </w:tcPr>
                <w:p w14:paraId="5DF0AC6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废气处理</w:t>
                  </w:r>
                </w:p>
              </w:tc>
              <w:tc>
                <w:tcPr>
                  <w:tcW w:w="1768" w:type="pct"/>
                  <w:tcBorders>
                    <w:tl2br w:val="nil"/>
                    <w:tr2bl w:val="nil"/>
                  </w:tcBorders>
                  <w:shd w:val="clear" w:color="auto" w:fill="auto"/>
                  <w:vAlign w:val="center"/>
                </w:tcPr>
                <w:p w14:paraId="28D5B55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33EED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pct"/>
                  <w:vMerge w:val="continue"/>
                  <w:tcBorders>
                    <w:tl2br w:val="nil"/>
                    <w:tr2bl w:val="nil"/>
                  </w:tcBorders>
                  <w:vAlign w:val="center"/>
                </w:tcPr>
                <w:p w14:paraId="0A99B449">
                  <w:pPr>
                    <w:jc w:val="center"/>
                    <w:rPr>
                      <w:rFonts w:hint="default" w:ascii="Times New Roman" w:hAnsi="Times New Roman" w:eastAsia="宋体" w:cs="Times New Roman"/>
                      <w:color w:val="auto"/>
                      <w:szCs w:val="21"/>
                    </w:rPr>
                  </w:pPr>
                </w:p>
              </w:tc>
              <w:tc>
                <w:tcPr>
                  <w:tcW w:w="729" w:type="pct"/>
                  <w:tcBorders>
                    <w:tl2br w:val="nil"/>
                    <w:tr2bl w:val="nil"/>
                  </w:tcBorders>
                  <w:vAlign w:val="center"/>
                </w:tcPr>
                <w:p w14:paraId="547340C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860" w:type="pct"/>
                  <w:tcBorders>
                    <w:tl2br w:val="nil"/>
                    <w:tr2bl w:val="nil"/>
                  </w:tcBorders>
                  <w:vAlign w:val="center"/>
                </w:tcPr>
                <w:p w14:paraId="5C06B58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员工生活、办公</w:t>
                  </w:r>
                </w:p>
              </w:tc>
              <w:tc>
                <w:tcPr>
                  <w:tcW w:w="1011" w:type="pct"/>
                  <w:tcBorders>
                    <w:tl2br w:val="nil"/>
                    <w:tr2bl w:val="nil"/>
                  </w:tcBorders>
                  <w:vAlign w:val="center"/>
                </w:tcPr>
                <w:p w14:paraId="22D053C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生活垃圾</w:t>
                  </w:r>
                </w:p>
              </w:tc>
              <w:tc>
                <w:tcPr>
                  <w:tcW w:w="1768" w:type="pct"/>
                  <w:tcBorders>
                    <w:tl2br w:val="nil"/>
                    <w:tr2bl w:val="nil"/>
                  </w:tcBorders>
                  <w:shd w:val="clear" w:color="auto" w:fill="auto"/>
                  <w:vAlign w:val="center"/>
                </w:tcPr>
                <w:p w14:paraId="1B6DF68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由环卫部门统一清运</w:t>
                  </w:r>
                </w:p>
              </w:tc>
            </w:tr>
          </w:tbl>
          <w:p w14:paraId="3AF94EC2">
            <w:pPr>
              <w:spacing w:line="360" w:lineRule="auto"/>
              <w:rPr>
                <w:rFonts w:hint="default" w:ascii="Times New Roman" w:hAnsi="Times New Roman" w:eastAsia="宋体" w:cs="Times New Roman"/>
                <w:color w:val="auto"/>
                <w:kern w:val="2"/>
                <w:sz w:val="24"/>
                <w:szCs w:val="22"/>
                <w:lang w:val="en-US" w:eastAsia="zh-CN" w:bidi="ar-SA"/>
              </w:rPr>
            </w:pPr>
          </w:p>
        </w:tc>
      </w:tr>
      <w:tr w14:paraId="3293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vAlign w:val="center"/>
          </w:tcPr>
          <w:p w14:paraId="1BD197EA">
            <w:pPr>
              <w:jc w:val="center"/>
              <w:rPr>
                <w:rFonts w:hint="default" w:ascii="Times New Roman" w:hAnsi="Times New Roman" w:eastAsia="宋体" w:cs="Times New Roman"/>
                <w:b/>
                <w:color w:val="auto"/>
                <w:kern w:val="2"/>
                <w:sz w:val="24"/>
                <w:szCs w:val="22"/>
                <w:lang w:val="en-US" w:eastAsia="zh-CN" w:bidi="ar-SA"/>
              </w:rPr>
            </w:pPr>
            <w:r>
              <w:rPr>
                <w:rFonts w:hint="default" w:ascii="Times New Roman" w:hAnsi="Times New Roman" w:eastAsia="宋体" w:cs="Times New Roman"/>
                <w:b/>
                <w:color w:val="auto"/>
                <w:sz w:val="24"/>
              </w:rPr>
              <w:t>与项目有关的原有环境污染问题</w:t>
            </w:r>
          </w:p>
        </w:tc>
        <w:tc>
          <w:tcPr>
            <w:tcW w:w="4622" w:type="pct"/>
            <w:vAlign w:val="top"/>
          </w:tcPr>
          <w:p w14:paraId="04DE3F64">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一、本项目有关的原有污染情况及主要环境问题</w:t>
            </w:r>
          </w:p>
          <w:p w14:paraId="67CCDD23">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常州市三合光学技术有限公司</w:t>
            </w:r>
            <w:r>
              <w:rPr>
                <w:rFonts w:hint="eastAsia" w:ascii="Times New Roman" w:hAnsi="Times New Roman" w:eastAsia="宋体" w:cs="Times New Roman"/>
                <w:color w:val="auto"/>
                <w:sz w:val="24"/>
                <w:lang w:val="en-US" w:eastAsia="zh-CN"/>
              </w:rPr>
              <w:t>位于常州市金坛区朱林镇唐王村委唐王村62号，本项目入驻前</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空置</w:t>
            </w:r>
            <w:r>
              <w:rPr>
                <w:rFonts w:hint="default" w:ascii="Times New Roman" w:hAnsi="Times New Roman" w:eastAsia="宋体" w:cs="Times New Roman"/>
                <w:color w:val="auto"/>
                <w:sz w:val="24"/>
              </w:rPr>
              <w:t>厂房，因此不存在原有污染源和遗留环境问题。</w:t>
            </w:r>
          </w:p>
          <w:p w14:paraId="47FB57F0">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二、责任主体</w:t>
            </w:r>
          </w:p>
          <w:p w14:paraId="4A272FE3">
            <w:pPr>
              <w:spacing w:line="360" w:lineRule="auto"/>
              <w:ind w:firstLine="480" w:firstLineChars="200"/>
              <w:rPr>
                <w:rFonts w:hint="default" w:ascii="Times New Roman" w:hAnsi="Times New Roman" w:eastAsia="宋体" w:cs="Times New Roman"/>
                <w:b w:val="0"/>
                <w:bCs/>
                <w:color w:val="auto"/>
                <w:sz w:val="24"/>
                <w:lang w:eastAsia="zh-CN"/>
              </w:rPr>
            </w:pPr>
            <w:r>
              <w:rPr>
                <w:rFonts w:hint="eastAsia" w:ascii="Times New Roman" w:hAnsi="Times New Roman" w:eastAsia="宋体" w:cs="Times New Roman"/>
                <w:color w:val="auto"/>
                <w:sz w:val="24"/>
                <w:lang w:val="en-US" w:eastAsia="zh-CN"/>
              </w:rPr>
              <w:t>本项目所在地责任主体为</w:t>
            </w:r>
            <w:r>
              <w:rPr>
                <w:rFonts w:hint="eastAsia" w:ascii="Times New Roman" w:hAnsi="Times New Roman" w:eastAsia="宋体" w:cs="Times New Roman"/>
                <w:color w:val="auto"/>
                <w:sz w:val="24"/>
                <w:lang w:eastAsia="zh-CN"/>
              </w:rPr>
              <w:t>常州市三合光学技术有限公司，</w:t>
            </w:r>
            <w:r>
              <w:rPr>
                <w:rFonts w:hint="eastAsia" w:ascii="Times New Roman" w:hAnsi="Times New Roman" w:eastAsia="宋体" w:cs="Times New Roman"/>
                <w:color w:val="auto"/>
                <w:sz w:val="24"/>
                <w:lang w:val="en-US" w:eastAsia="zh-CN"/>
              </w:rPr>
              <w:t>建设单位</w:t>
            </w:r>
            <w:r>
              <w:rPr>
                <w:rFonts w:hint="default" w:ascii="Times New Roman" w:hAnsi="Times New Roman" w:eastAsia="宋体" w:cs="Times New Roman"/>
                <w:b w:val="0"/>
                <w:bCs/>
                <w:color w:val="auto"/>
                <w:sz w:val="24"/>
              </w:rPr>
              <w:t>应加强管理，确保厂区内废水总排污口各因子可达</w:t>
            </w:r>
            <w:r>
              <w:rPr>
                <w:rFonts w:hint="eastAsia" w:ascii="Times New Roman" w:hAnsi="Times New Roman" w:eastAsia="宋体" w:cs="Times New Roman"/>
                <w:bCs/>
                <w:color w:val="auto"/>
                <w:sz w:val="24"/>
                <w:lang w:val="en-US" w:eastAsia="zh-CN"/>
              </w:rPr>
              <w:t>唐王村农村生活污水处理站</w:t>
            </w:r>
            <w:r>
              <w:rPr>
                <w:rFonts w:hint="default" w:ascii="Times New Roman" w:hAnsi="Times New Roman" w:eastAsia="宋体" w:cs="Times New Roman"/>
                <w:b w:val="0"/>
                <w:bCs/>
                <w:color w:val="auto"/>
                <w:sz w:val="24"/>
              </w:rPr>
              <w:t>接管标准要求</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确保废气达标排放，确保固废按要求收集和处理</w:t>
            </w:r>
            <w:r>
              <w:rPr>
                <w:rFonts w:hint="default" w:ascii="Times New Roman" w:hAnsi="Times New Roman" w:eastAsia="宋体" w:cs="Times New Roman"/>
                <w:b w:val="0"/>
                <w:bCs/>
                <w:color w:val="auto"/>
                <w:sz w:val="24"/>
              </w:rPr>
              <w:t>。厂界噪声出现超标排放</w:t>
            </w:r>
            <w:r>
              <w:rPr>
                <w:rFonts w:hint="default" w:ascii="Times New Roman" w:hAnsi="Times New Roman" w:eastAsia="宋体" w:cs="Times New Roman"/>
                <w:b w:val="0"/>
                <w:bCs/>
                <w:color w:val="auto"/>
                <w:sz w:val="24"/>
                <w:lang w:val="en-US" w:eastAsia="zh-CN"/>
              </w:rPr>
              <w:t>时，相关监管部门关停</w:t>
            </w:r>
            <w:r>
              <w:rPr>
                <w:rFonts w:hint="eastAsia" w:ascii="Times New Roman" w:hAnsi="Times New Roman" w:eastAsia="宋体" w:cs="Times New Roman"/>
                <w:b w:val="0"/>
                <w:bCs/>
                <w:color w:val="auto"/>
                <w:sz w:val="24"/>
                <w:lang w:val="en-US" w:eastAsia="zh-CN"/>
              </w:rPr>
              <w:t>本项目</w:t>
            </w:r>
            <w:r>
              <w:rPr>
                <w:rFonts w:hint="default" w:ascii="Times New Roman" w:hAnsi="Times New Roman" w:eastAsia="宋体" w:cs="Times New Roman"/>
                <w:b w:val="0"/>
                <w:bCs/>
                <w:color w:val="auto"/>
                <w:sz w:val="24"/>
                <w:lang w:val="en-US" w:eastAsia="zh-CN"/>
              </w:rPr>
              <w:t>并进行</w:t>
            </w:r>
            <w:r>
              <w:rPr>
                <w:rFonts w:hint="eastAsia" w:ascii="Times New Roman" w:hAnsi="Times New Roman" w:eastAsia="宋体" w:cs="Times New Roman"/>
                <w:b w:val="0"/>
                <w:bCs/>
                <w:color w:val="auto"/>
                <w:sz w:val="24"/>
                <w:lang w:val="en-US" w:eastAsia="zh-CN"/>
              </w:rPr>
              <w:t>本项目</w:t>
            </w:r>
            <w:r>
              <w:rPr>
                <w:rFonts w:hint="default" w:ascii="Times New Roman" w:hAnsi="Times New Roman" w:eastAsia="宋体" w:cs="Times New Roman"/>
                <w:b w:val="0"/>
                <w:bCs/>
                <w:color w:val="auto"/>
                <w:sz w:val="24"/>
                <w:lang w:val="en-US" w:eastAsia="zh-CN"/>
              </w:rPr>
              <w:t>厂界噪声监测，若检测数据超标，由</w:t>
            </w:r>
            <w:r>
              <w:rPr>
                <w:rFonts w:hint="eastAsia" w:ascii="Times New Roman" w:hAnsi="Times New Roman" w:eastAsia="宋体" w:cs="Times New Roman"/>
                <w:b w:val="0"/>
                <w:bCs/>
                <w:color w:val="auto"/>
                <w:sz w:val="24"/>
                <w:lang w:eastAsia="zh-CN"/>
              </w:rPr>
              <w:t>常州市三合光学技术有限公司</w:t>
            </w:r>
            <w:r>
              <w:rPr>
                <w:rFonts w:hint="default" w:ascii="Times New Roman" w:hAnsi="Times New Roman" w:eastAsia="宋体" w:cs="Times New Roman"/>
                <w:b w:val="0"/>
                <w:bCs/>
                <w:color w:val="auto"/>
                <w:sz w:val="24"/>
              </w:rPr>
              <w:t>承担相关责任</w:t>
            </w:r>
            <w:r>
              <w:rPr>
                <w:rFonts w:hint="default" w:ascii="Times New Roman" w:hAnsi="Times New Roman" w:eastAsia="宋体" w:cs="Times New Roman"/>
                <w:b w:val="0"/>
                <w:bCs/>
                <w:color w:val="auto"/>
                <w:sz w:val="24"/>
                <w:lang w:eastAsia="zh-CN"/>
              </w:rPr>
              <w:t>。</w:t>
            </w:r>
          </w:p>
          <w:p w14:paraId="3341F579">
            <w:pPr>
              <w:spacing w:line="360" w:lineRule="auto"/>
              <w:rPr>
                <w:rFonts w:hint="default" w:ascii="Times New Roman" w:hAnsi="Times New Roman" w:eastAsia="宋体" w:cs="Times New Roman"/>
                <w:color w:val="auto"/>
                <w:kern w:val="2"/>
                <w:sz w:val="24"/>
                <w:szCs w:val="22"/>
                <w:lang w:val="en-US" w:eastAsia="zh-CN" w:bidi="ar-SA"/>
              </w:rPr>
            </w:pPr>
          </w:p>
        </w:tc>
      </w:tr>
    </w:tbl>
    <w:p w14:paraId="42FC9272">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08D73E83">
      <w:pPr>
        <w:pStyle w:val="2"/>
        <w:rPr>
          <w:rFonts w:hint="default" w:ascii="Times New Roman" w:hAnsi="Times New Roman" w:cs="Times New Roman"/>
          <w:color w:val="auto"/>
        </w:rPr>
      </w:pPr>
      <w:r>
        <w:rPr>
          <w:rFonts w:hint="default" w:ascii="Times New Roman" w:hAnsi="Times New Roman" w:cs="Times New Roman"/>
          <w:color w:val="auto"/>
        </w:rPr>
        <w:t>三、区域环境现状、环境保护目标及评价标准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8510"/>
      </w:tblGrid>
      <w:tr w14:paraId="4F63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7BEE79AD">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区域环境质量现状</w:t>
            </w:r>
          </w:p>
        </w:tc>
        <w:tc>
          <w:tcPr>
            <w:tcW w:w="4581" w:type="pct"/>
          </w:tcPr>
          <w:p w14:paraId="263E010D">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1、大气环境</w:t>
            </w:r>
          </w:p>
          <w:p w14:paraId="5603865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（1）大气基准污染物环境质量现状</w:t>
            </w:r>
          </w:p>
          <w:p w14:paraId="40153E2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大气环境》（HJ2.2-2018）中规定：基本污染物环境质量现状数据，优先采用国家或地方生态环境主管部门公开发布的评价基准年环境质量公告或环境质量报告中的数据或结论。本项目引用《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年常州市生态环境状况公报》中环境空气质量数据。本次评价选取202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年作为评价基准年，根据《202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年常州市生态环境状况公报》，项目所在区域常州市各评价因子数据见下表。</w:t>
            </w:r>
          </w:p>
          <w:p w14:paraId="41BBFDC8">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区域空气质量现状评价表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29"/>
              <w:gridCol w:w="2186"/>
              <w:gridCol w:w="1369"/>
              <w:gridCol w:w="1632"/>
              <w:gridCol w:w="1003"/>
              <w:gridCol w:w="1175"/>
            </w:tblGrid>
            <w:tr w14:paraId="44E13F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tcBorders>
                    <w:tl2br w:val="nil"/>
                    <w:tr2bl w:val="nil"/>
                  </w:tcBorders>
                  <w:noWrap w:val="0"/>
                  <w:vAlign w:val="center"/>
                </w:tcPr>
                <w:p w14:paraId="6C82BF4B">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1317" w:type="pct"/>
                  <w:tcBorders>
                    <w:tl2br w:val="nil"/>
                    <w:tr2bl w:val="nil"/>
                  </w:tcBorders>
                  <w:noWrap w:val="0"/>
                  <w:vAlign w:val="center"/>
                </w:tcPr>
                <w:p w14:paraId="6E0E68AB">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年平均指标</w:t>
                  </w:r>
                </w:p>
              </w:tc>
              <w:tc>
                <w:tcPr>
                  <w:tcW w:w="825" w:type="pct"/>
                  <w:tcBorders>
                    <w:tl2br w:val="nil"/>
                    <w:tr2bl w:val="nil"/>
                  </w:tcBorders>
                  <w:noWrap w:val="0"/>
                  <w:vAlign w:val="center"/>
                </w:tcPr>
                <w:p w14:paraId="067261F3">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现状浓度μg/m</w:t>
                  </w:r>
                  <w:r>
                    <w:rPr>
                      <w:rFonts w:hint="default" w:ascii="Times New Roman" w:hAnsi="Times New Roman" w:eastAsia="宋体" w:cs="Times New Roman"/>
                      <w:b/>
                      <w:color w:val="auto"/>
                      <w:sz w:val="21"/>
                      <w:szCs w:val="21"/>
                      <w:highlight w:val="none"/>
                      <w:vertAlign w:val="superscript"/>
                    </w:rPr>
                    <w:t>3</w:t>
                  </w:r>
                </w:p>
              </w:tc>
              <w:tc>
                <w:tcPr>
                  <w:tcW w:w="983" w:type="pct"/>
                  <w:tcBorders>
                    <w:tl2br w:val="nil"/>
                    <w:tr2bl w:val="nil"/>
                  </w:tcBorders>
                  <w:noWrap w:val="0"/>
                  <w:vAlign w:val="center"/>
                </w:tcPr>
                <w:p w14:paraId="7BCD5380">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标准限值μg/m</w:t>
                  </w:r>
                  <w:r>
                    <w:rPr>
                      <w:rFonts w:hint="default" w:ascii="Times New Roman" w:hAnsi="Times New Roman" w:eastAsia="宋体" w:cs="Times New Roman"/>
                      <w:b/>
                      <w:color w:val="auto"/>
                      <w:sz w:val="21"/>
                      <w:szCs w:val="21"/>
                      <w:highlight w:val="none"/>
                      <w:vertAlign w:val="superscript"/>
                    </w:rPr>
                    <w:t>3</w:t>
                  </w:r>
                </w:p>
              </w:tc>
              <w:tc>
                <w:tcPr>
                  <w:tcW w:w="604" w:type="pct"/>
                  <w:tcBorders>
                    <w:tl2br w:val="nil"/>
                    <w:tr2bl w:val="nil"/>
                  </w:tcBorders>
                  <w:noWrap w:val="0"/>
                  <w:vAlign w:val="center"/>
                </w:tcPr>
                <w:p w14:paraId="34249C4B">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达标率</w:t>
                  </w:r>
                  <w:r>
                    <w:rPr>
                      <w:rFonts w:hint="default" w:ascii="Times New Roman" w:hAnsi="Times New Roman" w:eastAsia="宋体" w:cs="Times New Roman"/>
                      <w:b/>
                      <w:color w:val="auto"/>
                      <w:kern w:val="0"/>
                      <w:sz w:val="21"/>
                      <w:szCs w:val="21"/>
                      <w:highlight w:val="none"/>
                    </w:rPr>
                    <w:t>%</w:t>
                  </w:r>
                </w:p>
              </w:tc>
              <w:tc>
                <w:tcPr>
                  <w:tcW w:w="708" w:type="pct"/>
                  <w:tcBorders>
                    <w:tl2br w:val="nil"/>
                    <w:tr2bl w:val="nil"/>
                  </w:tcBorders>
                  <w:noWrap w:val="0"/>
                  <w:vAlign w:val="center"/>
                </w:tcPr>
                <w:p w14:paraId="186FA7B5">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5B87E2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0C21010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317" w:type="pct"/>
                  <w:tcBorders>
                    <w:tl2br w:val="nil"/>
                    <w:tr2bl w:val="nil"/>
                  </w:tcBorders>
                  <w:noWrap w:val="0"/>
                  <w:vAlign w:val="center"/>
                </w:tcPr>
                <w:p w14:paraId="1CF6DC0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5C98B5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w:t>
                  </w:r>
                </w:p>
              </w:tc>
              <w:tc>
                <w:tcPr>
                  <w:tcW w:w="983" w:type="pct"/>
                  <w:tcBorders>
                    <w:tl2br w:val="nil"/>
                    <w:tr2bl w:val="nil"/>
                  </w:tcBorders>
                  <w:noWrap w:val="0"/>
                  <w:vAlign w:val="center"/>
                </w:tcPr>
                <w:p w14:paraId="2C2D6F9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604" w:type="pct"/>
                  <w:tcBorders>
                    <w:tl2br w:val="nil"/>
                    <w:tr2bl w:val="nil"/>
                  </w:tcBorders>
                  <w:noWrap w:val="0"/>
                  <w:vAlign w:val="center"/>
                </w:tcPr>
                <w:p w14:paraId="05637A10">
                  <w:pPr>
                    <w:widowControl/>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100</w:t>
                  </w:r>
                </w:p>
              </w:tc>
              <w:tc>
                <w:tcPr>
                  <w:tcW w:w="708" w:type="pct"/>
                  <w:vMerge w:val="restart"/>
                  <w:tcBorders>
                    <w:tl2br w:val="nil"/>
                    <w:tr2bl w:val="nil"/>
                  </w:tcBorders>
                  <w:noWrap w:val="0"/>
                  <w:vAlign w:val="center"/>
                </w:tcPr>
                <w:p w14:paraId="10B5BA7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6B1CF3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4DCC8F1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7626FD89">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57632FB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5-157</w:t>
                  </w:r>
                </w:p>
              </w:tc>
              <w:tc>
                <w:tcPr>
                  <w:tcW w:w="983" w:type="pct"/>
                  <w:tcBorders>
                    <w:tl2br w:val="nil"/>
                    <w:tr2bl w:val="nil"/>
                  </w:tcBorders>
                  <w:noWrap w:val="0"/>
                  <w:vAlign w:val="center"/>
                </w:tcPr>
                <w:p w14:paraId="45F01279">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75</w:t>
                  </w:r>
                </w:p>
              </w:tc>
              <w:tc>
                <w:tcPr>
                  <w:tcW w:w="604" w:type="pct"/>
                  <w:tcBorders>
                    <w:tl2br w:val="nil"/>
                    <w:tr2bl w:val="nil"/>
                  </w:tcBorders>
                  <w:noWrap w:val="0"/>
                  <w:vAlign w:val="center"/>
                </w:tcPr>
                <w:p w14:paraId="2A0DDC7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93.2</w:t>
                  </w:r>
                </w:p>
              </w:tc>
              <w:tc>
                <w:tcPr>
                  <w:tcW w:w="708" w:type="pct"/>
                  <w:vMerge w:val="continue"/>
                  <w:tcBorders>
                    <w:tl2br w:val="nil"/>
                    <w:tr2bl w:val="nil"/>
                  </w:tcBorders>
                  <w:noWrap w:val="0"/>
                  <w:vAlign w:val="center"/>
                </w:tcPr>
                <w:p w14:paraId="667F024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0E3C82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7A8D185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317" w:type="pct"/>
                  <w:tcBorders>
                    <w:tl2br w:val="nil"/>
                    <w:tr2bl w:val="nil"/>
                  </w:tcBorders>
                  <w:noWrap w:val="0"/>
                  <w:vAlign w:val="center"/>
                </w:tcPr>
                <w:p w14:paraId="2E99A7D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068CE4A9">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w:t>
                  </w:r>
                </w:p>
              </w:tc>
              <w:tc>
                <w:tcPr>
                  <w:tcW w:w="983" w:type="pct"/>
                  <w:tcBorders>
                    <w:tl2br w:val="nil"/>
                    <w:tr2bl w:val="nil"/>
                  </w:tcBorders>
                  <w:noWrap w:val="0"/>
                  <w:vAlign w:val="center"/>
                </w:tcPr>
                <w:p w14:paraId="71FBF11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604" w:type="pct"/>
                  <w:tcBorders>
                    <w:tl2br w:val="nil"/>
                    <w:tr2bl w:val="nil"/>
                  </w:tcBorders>
                  <w:noWrap w:val="0"/>
                  <w:vAlign w:val="center"/>
                </w:tcPr>
                <w:p w14:paraId="5631127F">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21ACDCB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5D042C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6D5F44A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596D098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6EDE983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9-206</w:t>
                  </w:r>
                </w:p>
              </w:tc>
              <w:tc>
                <w:tcPr>
                  <w:tcW w:w="983" w:type="pct"/>
                  <w:tcBorders>
                    <w:tl2br w:val="nil"/>
                    <w:tr2bl w:val="nil"/>
                  </w:tcBorders>
                  <w:noWrap w:val="0"/>
                  <w:vAlign w:val="center"/>
                </w:tcPr>
                <w:p w14:paraId="0279A86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2C62F0EB">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98.3</w:t>
                  </w:r>
                </w:p>
              </w:tc>
              <w:tc>
                <w:tcPr>
                  <w:tcW w:w="708" w:type="pct"/>
                  <w:vMerge w:val="continue"/>
                  <w:tcBorders>
                    <w:tl2br w:val="nil"/>
                    <w:tr2bl w:val="nil"/>
                  </w:tcBorders>
                  <w:noWrap w:val="0"/>
                  <w:vAlign w:val="center"/>
                </w:tcPr>
                <w:p w14:paraId="48BFDE2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64C3E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49CF113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79D92E0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5C743163">
                  <w:pPr>
                    <w:adjustRightInd w:val="0"/>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w:t>
                  </w:r>
                </w:p>
              </w:tc>
              <w:tc>
                <w:tcPr>
                  <w:tcW w:w="983" w:type="pct"/>
                  <w:tcBorders>
                    <w:tl2br w:val="nil"/>
                    <w:tr2bl w:val="nil"/>
                  </w:tcBorders>
                  <w:noWrap w:val="0"/>
                  <w:vAlign w:val="center"/>
                </w:tcPr>
                <w:p w14:paraId="33542CD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604" w:type="pct"/>
                  <w:tcBorders>
                    <w:tl2br w:val="nil"/>
                    <w:tr2bl w:val="nil"/>
                  </w:tcBorders>
                  <w:noWrap w:val="0"/>
                  <w:vAlign w:val="center"/>
                </w:tcPr>
                <w:p w14:paraId="5E63E1E1">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5FD5853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527E09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41B2574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45989F3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7E39D7E0">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5-15</w:t>
                  </w:r>
                </w:p>
              </w:tc>
              <w:tc>
                <w:tcPr>
                  <w:tcW w:w="983" w:type="pct"/>
                  <w:tcBorders>
                    <w:tl2br w:val="nil"/>
                    <w:tr2bl w:val="nil"/>
                  </w:tcBorders>
                  <w:noWrap w:val="0"/>
                  <w:vAlign w:val="center"/>
                </w:tcPr>
                <w:p w14:paraId="3C30529A">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158785D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w:t>
                  </w:r>
                </w:p>
              </w:tc>
              <w:tc>
                <w:tcPr>
                  <w:tcW w:w="708" w:type="pct"/>
                  <w:vMerge w:val="continue"/>
                  <w:tcBorders>
                    <w:tl2br w:val="nil"/>
                    <w:tr2bl w:val="nil"/>
                  </w:tcBorders>
                  <w:noWrap w:val="0"/>
                  <w:vAlign w:val="center"/>
                </w:tcPr>
                <w:p w14:paraId="50CB060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19F723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73C3044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41FEEC1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648D224C">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w:t>
                  </w:r>
                </w:p>
              </w:tc>
              <w:tc>
                <w:tcPr>
                  <w:tcW w:w="983" w:type="pct"/>
                  <w:tcBorders>
                    <w:tl2br w:val="nil"/>
                    <w:tr2bl w:val="nil"/>
                  </w:tcBorders>
                  <w:noWrap w:val="0"/>
                  <w:vAlign w:val="center"/>
                </w:tcPr>
                <w:p w14:paraId="7550642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604" w:type="pct"/>
                  <w:tcBorders>
                    <w:tl2br w:val="nil"/>
                    <w:tr2bl w:val="nil"/>
                  </w:tcBorders>
                  <w:noWrap w:val="0"/>
                  <w:vAlign w:val="center"/>
                </w:tcPr>
                <w:p w14:paraId="0863561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29E86A6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2E60AB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750E989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21DFA8D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59BD25F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5-92</w:t>
                  </w:r>
                </w:p>
              </w:tc>
              <w:tc>
                <w:tcPr>
                  <w:tcW w:w="983" w:type="pct"/>
                  <w:tcBorders>
                    <w:tl2br w:val="nil"/>
                    <w:tr2bl w:val="nil"/>
                  </w:tcBorders>
                  <w:noWrap w:val="0"/>
                  <w:vAlign w:val="center"/>
                </w:tcPr>
                <w:p w14:paraId="58C2954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80</w:t>
                  </w:r>
                </w:p>
              </w:tc>
              <w:tc>
                <w:tcPr>
                  <w:tcW w:w="604" w:type="pct"/>
                  <w:tcBorders>
                    <w:tl2br w:val="nil"/>
                    <w:tr2bl w:val="nil"/>
                  </w:tcBorders>
                  <w:noWrap w:val="0"/>
                  <w:vAlign w:val="center"/>
                </w:tcPr>
                <w:p w14:paraId="6A3C353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99.2</w:t>
                  </w:r>
                </w:p>
              </w:tc>
              <w:tc>
                <w:tcPr>
                  <w:tcW w:w="708" w:type="pct"/>
                  <w:vMerge w:val="continue"/>
                  <w:tcBorders>
                    <w:tl2br w:val="nil"/>
                    <w:tr2bl w:val="nil"/>
                  </w:tcBorders>
                  <w:noWrap w:val="0"/>
                  <w:vAlign w:val="center"/>
                </w:tcPr>
                <w:p w14:paraId="7CA0A82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AE8F1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0733093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317" w:type="pct"/>
                  <w:tcBorders>
                    <w:tl2br w:val="nil"/>
                    <w:tr2bl w:val="nil"/>
                  </w:tcBorders>
                  <w:noWrap w:val="0"/>
                  <w:vAlign w:val="center"/>
                </w:tcPr>
                <w:p w14:paraId="46DA205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日均值的第95百分位数</w:t>
                  </w:r>
                </w:p>
              </w:tc>
              <w:tc>
                <w:tcPr>
                  <w:tcW w:w="825" w:type="pct"/>
                  <w:tcBorders>
                    <w:tl2br w:val="nil"/>
                    <w:tr2bl w:val="nil"/>
                  </w:tcBorders>
                  <w:noWrap w:val="0"/>
                  <w:vAlign w:val="center"/>
                </w:tcPr>
                <w:p w14:paraId="0700350A">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1100</w:t>
                  </w:r>
                </w:p>
              </w:tc>
              <w:tc>
                <w:tcPr>
                  <w:tcW w:w="983" w:type="pct"/>
                  <w:tcBorders>
                    <w:tl2br w:val="nil"/>
                    <w:tr2bl w:val="nil"/>
                  </w:tcBorders>
                  <w:noWrap w:val="0"/>
                  <w:vAlign w:val="center"/>
                </w:tcPr>
                <w:p w14:paraId="114C655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49A6E31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05FD0DC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CED6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5CB1839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3961E1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rPr>
                    <w:t>日平均质量浓度范围</w:t>
                  </w:r>
                </w:p>
              </w:tc>
              <w:tc>
                <w:tcPr>
                  <w:tcW w:w="825" w:type="pct"/>
                  <w:tcBorders>
                    <w:tl2br w:val="nil"/>
                    <w:tr2bl w:val="nil"/>
                  </w:tcBorders>
                  <w:noWrap w:val="0"/>
                  <w:vAlign w:val="center"/>
                </w:tcPr>
                <w:p w14:paraId="3348A0A1">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400-1500</w:t>
                  </w:r>
                </w:p>
              </w:tc>
              <w:tc>
                <w:tcPr>
                  <w:tcW w:w="983" w:type="pct"/>
                  <w:tcBorders>
                    <w:tl2br w:val="nil"/>
                    <w:tr2bl w:val="nil"/>
                  </w:tcBorders>
                  <w:noWrap w:val="0"/>
                  <w:vAlign w:val="center"/>
                </w:tcPr>
                <w:p w14:paraId="64F7434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39EAC6D4">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continue"/>
                  <w:tcBorders>
                    <w:tl2br w:val="nil"/>
                    <w:tr2bl w:val="nil"/>
                  </w:tcBorders>
                  <w:noWrap w:val="0"/>
                  <w:vAlign w:val="center"/>
                </w:tcPr>
                <w:p w14:paraId="575A5F8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47B54B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restart"/>
                  <w:tcBorders>
                    <w:tl2br w:val="nil"/>
                    <w:tr2bl w:val="nil"/>
                  </w:tcBorders>
                  <w:noWrap w:val="0"/>
                  <w:vAlign w:val="center"/>
                </w:tcPr>
                <w:p w14:paraId="7AB0B03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317" w:type="pct"/>
                  <w:tcBorders>
                    <w:tl2br w:val="nil"/>
                    <w:tr2bl w:val="nil"/>
                  </w:tcBorders>
                  <w:noWrap w:val="0"/>
                  <w:vAlign w:val="center"/>
                </w:tcPr>
                <w:p w14:paraId="3A41757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日最大8小时滑动平均值的第90百分位数</w:t>
                  </w:r>
                </w:p>
              </w:tc>
              <w:tc>
                <w:tcPr>
                  <w:tcW w:w="825" w:type="pct"/>
                  <w:tcBorders>
                    <w:tl2br w:val="nil"/>
                    <w:tr2bl w:val="nil"/>
                  </w:tcBorders>
                  <w:noWrap w:val="0"/>
                  <w:vAlign w:val="center"/>
                </w:tcPr>
                <w:p w14:paraId="6FD775A4">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168</w:t>
                  </w:r>
                </w:p>
              </w:tc>
              <w:tc>
                <w:tcPr>
                  <w:tcW w:w="983" w:type="pct"/>
                  <w:tcBorders>
                    <w:tl2br w:val="nil"/>
                    <w:tr2bl w:val="nil"/>
                  </w:tcBorders>
                  <w:noWrap w:val="0"/>
                  <w:vAlign w:val="center"/>
                </w:tcPr>
                <w:p w14:paraId="74B767D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604" w:type="pct"/>
                  <w:tcBorders>
                    <w:tl2br w:val="nil"/>
                    <w:tr2bl w:val="nil"/>
                  </w:tcBorders>
                  <w:noWrap w:val="0"/>
                  <w:vAlign w:val="center"/>
                </w:tcPr>
                <w:p w14:paraId="53D0C90E">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95.2</w:t>
                  </w:r>
                </w:p>
              </w:tc>
              <w:tc>
                <w:tcPr>
                  <w:tcW w:w="708" w:type="pct"/>
                  <w:vMerge w:val="restart"/>
                  <w:tcBorders>
                    <w:tl2br w:val="nil"/>
                    <w:tr2bl w:val="nil"/>
                  </w:tcBorders>
                  <w:noWrap w:val="0"/>
                  <w:vAlign w:val="center"/>
                </w:tcPr>
                <w:p w14:paraId="6A2408B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w:t>
                  </w:r>
                </w:p>
              </w:tc>
            </w:tr>
            <w:tr w14:paraId="78058F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0" w:type="pct"/>
                  <w:vMerge w:val="continue"/>
                  <w:tcBorders>
                    <w:tl2br w:val="nil"/>
                    <w:tr2bl w:val="nil"/>
                  </w:tcBorders>
                  <w:noWrap w:val="0"/>
                  <w:vAlign w:val="center"/>
                </w:tcPr>
                <w:p w14:paraId="54B74D7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636B455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rPr>
                    <w:t>日平均质量浓度范围</w:t>
                  </w:r>
                </w:p>
              </w:tc>
              <w:tc>
                <w:tcPr>
                  <w:tcW w:w="825" w:type="pct"/>
                  <w:tcBorders>
                    <w:tl2br w:val="nil"/>
                    <w:tr2bl w:val="nil"/>
                  </w:tcBorders>
                  <w:noWrap w:val="0"/>
                  <w:vAlign w:val="center"/>
                </w:tcPr>
                <w:p w14:paraId="088248B5">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17-253</w:t>
                  </w:r>
                </w:p>
              </w:tc>
              <w:tc>
                <w:tcPr>
                  <w:tcW w:w="983" w:type="pct"/>
                  <w:tcBorders>
                    <w:tl2br w:val="nil"/>
                    <w:tr2bl w:val="nil"/>
                  </w:tcBorders>
                  <w:noWrap w:val="0"/>
                  <w:vAlign w:val="center"/>
                </w:tcPr>
                <w:p w14:paraId="364B0042">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160</w:t>
                  </w:r>
                </w:p>
              </w:tc>
              <w:tc>
                <w:tcPr>
                  <w:tcW w:w="604" w:type="pct"/>
                  <w:tcBorders>
                    <w:tl2br w:val="nil"/>
                    <w:tr2bl w:val="nil"/>
                  </w:tcBorders>
                  <w:noWrap w:val="0"/>
                  <w:vAlign w:val="center"/>
                </w:tcPr>
                <w:p w14:paraId="0449F4D6">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86.3</w:t>
                  </w:r>
                </w:p>
              </w:tc>
              <w:tc>
                <w:tcPr>
                  <w:tcW w:w="708" w:type="pct"/>
                  <w:vMerge w:val="continue"/>
                  <w:tcBorders>
                    <w:tl2br w:val="nil"/>
                    <w:tr2bl w:val="nil"/>
                  </w:tcBorders>
                  <w:noWrap w:val="0"/>
                  <w:vAlign w:val="center"/>
                </w:tcPr>
                <w:p w14:paraId="5E69BD5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bl>
          <w:p w14:paraId="62155F91">
            <w:pPr>
              <w:spacing w:line="360" w:lineRule="auto"/>
              <w:ind w:firstLine="480" w:firstLineChars="200"/>
              <w:rPr>
                <w:rFonts w:hint="default" w:ascii="Times New Roman" w:hAnsi="Times New Roman" w:eastAsia="宋体" w:cs="Times New Roman"/>
                <w:caps w:val="0"/>
                <w:smallCaps w:val="0"/>
                <w:color w:val="auto"/>
                <w:spacing w:val="0"/>
                <w:sz w:val="24"/>
                <w:szCs w:val="24"/>
              </w:rPr>
            </w:pPr>
            <w:r>
              <w:rPr>
                <w:rFonts w:hint="eastAsia" w:ascii="Times New Roman" w:hAnsi="Times New Roman" w:eastAsia="宋体" w:cs="Times New Roman"/>
                <w:color w:val="auto"/>
                <w:sz w:val="24"/>
                <w:lang w:val="en-US" w:eastAsia="zh-CN"/>
              </w:rPr>
              <w:t>2024</w:t>
            </w:r>
            <w:r>
              <w:rPr>
                <w:rFonts w:hint="default" w:ascii="Times New Roman" w:hAnsi="Times New Roman" w:eastAsia="宋体" w:cs="Times New Roman"/>
                <w:color w:val="auto"/>
                <w:sz w:val="24"/>
              </w:rPr>
              <w:t>年常州市环境空气中SO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eastAsia" w:ascii="Times New Roman" w:hAnsi="Times New Roman" w:eastAsia="宋体" w:cs="Times New Roman"/>
                <w:color w:val="auto"/>
                <w:sz w:val="24"/>
              </w:rPr>
              <w:t>、PM</w:t>
            </w:r>
            <w:r>
              <w:rPr>
                <w:rFonts w:hint="eastAsia" w:ascii="Times New Roman" w:hAnsi="Times New Roman" w:eastAsia="宋体" w:cs="Times New Roman"/>
                <w:color w:val="auto"/>
                <w:sz w:val="24"/>
                <w:vertAlign w:val="subscript"/>
              </w:rPr>
              <w:t>2.5</w:t>
            </w:r>
            <w:r>
              <w:rPr>
                <w:rFonts w:hint="eastAsia" w:ascii="Times New Roman" w:hAnsi="Times New Roman" w:eastAsia="宋体" w:cs="Times New Roman"/>
                <w:color w:val="auto"/>
                <w:sz w:val="24"/>
              </w:rPr>
              <w:t>年平均值及</w:t>
            </w:r>
            <w:r>
              <w:rPr>
                <w:rFonts w:hint="default" w:ascii="Times New Roman" w:hAnsi="Times New Roman" w:eastAsia="宋体" w:cs="Times New Roman"/>
                <w:color w:val="auto"/>
                <w:sz w:val="24"/>
              </w:rPr>
              <w:t>SO</w:t>
            </w:r>
            <w:r>
              <w:rPr>
                <w:rFonts w:hint="default" w:ascii="Times New Roman" w:hAnsi="Times New Roman" w:eastAsia="宋体" w:cs="Times New Roman"/>
                <w:color w:val="auto"/>
                <w:sz w:val="24"/>
                <w:vertAlign w:val="subscript"/>
              </w:rPr>
              <w:t>2</w:t>
            </w:r>
            <w:r>
              <w:rPr>
                <w:rFonts w:hint="eastAsia" w:ascii="Times New Roman" w:hAnsi="Times New Roman" w:eastAsia="宋体" w:cs="Times New Roman"/>
                <w:color w:val="auto"/>
                <w:sz w:val="24"/>
              </w:rPr>
              <w:t>日平均值均</w:t>
            </w:r>
            <w:r>
              <w:rPr>
                <w:rFonts w:hint="default" w:ascii="Times New Roman" w:hAnsi="Times New Roman" w:eastAsia="宋体" w:cs="Times New Roman"/>
                <w:color w:val="auto"/>
                <w:sz w:val="24"/>
              </w:rPr>
              <w:t>满足《环境空气质量标准》（GB3095-2012）中二级标准，NO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eastAsia" w:ascii="Times New Roman" w:hAnsi="Times New Roman" w:eastAsia="宋体" w:cs="Times New Roman"/>
                <w:color w:val="auto"/>
                <w:sz w:val="24"/>
                <w:lang w:val="en-US" w:eastAsia="zh-CN"/>
              </w:rPr>
              <w:t>日平均值浓度达标率满足评价要求；</w:t>
            </w:r>
            <w:r>
              <w:rPr>
                <w:rFonts w:hint="default" w:ascii="Times New Roman" w:hAnsi="Times New Roman" w:eastAsia="宋体" w:cs="Times New Roman"/>
                <w:color w:val="auto"/>
                <w:sz w:val="24"/>
              </w:rPr>
              <w:t>CO的日均值的第95百分位数</w:t>
            </w:r>
            <w:r>
              <w:rPr>
                <w:rFonts w:hint="eastAsia" w:ascii="Times New Roman" w:hAnsi="Times New Roman" w:eastAsia="宋体" w:cs="Times New Roman"/>
                <w:color w:val="auto"/>
                <w:sz w:val="24"/>
              </w:rPr>
              <w:t>及日平均值浓度范围满足</w:t>
            </w:r>
            <w:r>
              <w:rPr>
                <w:rFonts w:hint="default" w:ascii="Times New Roman" w:hAnsi="Times New Roman" w:eastAsia="宋体" w:cs="Times New Roman"/>
                <w:color w:val="auto"/>
                <w:sz w:val="24"/>
              </w:rPr>
              <w:t>《环境空气质量标准》（GB3095-2012）中二级标准</w:t>
            </w:r>
            <w:r>
              <w:rPr>
                <w:rFonts w:hint="eastAsia" w:ascii="Times New Roman" w:hAnsi="Times New Roman" w:eastAsia="宋体" w:cs="Times New Roman"/>
                <w:color w:val="auto"/>
                <w:sz w:val="24"/>
              </w:rPr>
              <w:t>，PM</w:t>
            </w:r>
            <w:r>
              <w:rPr>
                <w:rFonts w:hint="eastAsia" w:ascii="Times New Roman" w:hAnsi="Times New Roman" w:eastAsia="宋体" w:cs="Times New Roman"/>
                <w:color w:val="auto"/>
                <w:sz w:val="24"/>
                <w:vertAlign w:val="subscript"/>
              </w:rPr>
              <w:t>2.5</w:t>
            </w:r>
            <w:r>
              <w:rPr>
                <w:rFonts w:hint="eastAsia" w:ascii="Times New Roman" w:hAnsi="Times New Roman" w:eastAsia="宋体" w:cs="Times New Roman"/>
                <w:color w:val="auto"/>
                <w:sz w:val="24"/>
              </w:rPr>
              <w:t>日均值</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日最大8小时滑动平均值的第90百分位数</w:t>
            </w:r>
            <w:r>
              <w:rPr>
                <w:rFonts w:hint="eastAsia" w:ascii="Times New Roman" w:hAnsi="Times New Roman" w:eastAsia="宋体" w:cs="Times New Roman"/>
                <w:color w:val="auto"/>
                <w:sz w:val="24"/>
                <w:lang w:val="en-US" w:eastAsia="zh-CN"/>
              </w:rPr>
              <w:t>及日平均值浓度范围</w:t>
            </w:r>
            <w:r>
              <w:rPr>
                <w:rFonts w:hint="default" w:ascii="Times New Roman" w:hAnsi="Times New Roman" w:eastAsia="宋体" w:cs="Times New Roman"/>
                <w:color w:val="auto"/>
                <w:sz w:val="24"/>
              </w:rPr>
              <w:t>超过《环境空气质量标准》（GB3095-2012）中二级标准，因此判定为非达标区域。</w:t>
            </w:r>
          </w:p>
          <w:p w14:paraId="0D49F218">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eastAsia" w:ascii="Times New Roman" w:hAnsi="Times New Roman" w:eastAsia="宋体" w:cs="Times New Roman"/>
                <w:b w:val="0"/>
                <w:bCs w:val="0"/>
                <w:caps w:val="0"/>
                <w:smallCaps w:val="0"/>
                <w:color w:val="auto"/>
                <w:spacing w:val="0"/>
                <w:sz w:val="24"/>
                <w:szCs w:val="24"/>
                <w:highlight w:val="none"/>
                <w:lang w:val="en-US" w:eastAsia="zh-CN"/>
              </w:rPr>
              <w:t>2</w:t>
            </w:r>
            <w:r>
              <w:rPr>
                <w:rFonts w:hint="default" w:ascii="Times New Roman" w:hAnsi="Times New Roman" w:eastAsia="宋体" w:cs="Times New Roman"/>
                <w:b w:val="0"/>
                <w:bCs w:val="0"/>
                <w:caps w:val="0"/>
                <w:smallCaps w:val="0"/>
                <w:color w:val="auto"/>
                <w:spacing w:val="0"/>
                <w:sz w:val="24"/>
                <w:szCs w:val="24"/>
                <w:highlight w:val="none"/>
              </w:rPr>
              <w:t>）区域削减</w:t>
            </w:r>
          </w:p>
          <w:p w14:paraId="4F8DAB1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区域削减措施具体如下：</w:t>
            </w:r>
          </w:p>
          <w:p w14:paraId="09BD6CC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根据《常州市深入打好污染防治攻坚战专项行动方案》：</w:t>
            </w:r>
          </w:p>
          <w:p w14:paraId="318CD1E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（一）着力打好重污染天气消除攻坚战</w:t>
            </w:r>
          </w:p>
          <w:p w14:paraId="4C9C94F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1、加大重点行业污染治理力度，强化多污染物协同控制，推进PM2.5和臭氧浓度</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双控双减</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，严格落实重污染天气应急管控措施，做好国家重大活动空气质量保障，基本消除重污染天气。严格落实点位长制，重点区域落实精细化管控措施。</w:t>
            </w:r>
          </w:p>
          <w:p w14:paraId="56571EE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2、推动重点行业企业和工业炉窑、垃圾焚烧重点设施超低排放改造（深度治理），严格控制物料（含废渣）运输、装卸、储存、转移和工艺过程无组织排放。</w:t>
            </w:r>
          </w:p>
          <w:p w14:paraId="2B12BEA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3、强化建筑工地、道路、堆场、矿山等扬尘管控。推进智慧工地</w:t>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rPr>
              <w:t>及全市工地扬尘监控信息化指挥控制平台建设。强化渣土运输车辆全封闭运输管理，城市建成区全面使用新型环保智能渣土车。推动港口码头仓库料场全封闭管理，易起尘港口多点安装粉尘在线监测设备。对城市公共区域、长期未开发建设裸地，以及废旧厂区、物流园、大型停车场等进行排查建档并采取防尘措施。提高城市保洁机械化作业比率，城市建成区道路机械化清扫率达到90%以上。</w:t>
            </w:r>
          </w:p>
          <w:p w14:paraId="509DFD2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到2025年，全市重度及以上污染天气比率控制在0.2%以内。</w:t>
            </w:r>
          </w:p>
          <w:p w14:paraId="665D738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（二）着力打好臭氧污染防治攻坚战</w:t>
            </w:r>
          </w:p>
          <w:p w14:paraId="3413CF7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以化工、涂装、医药、包装印刷、油品储运销等行业领域为重点，实施原辅材料和产品源头替代工程。结合产业结构分布，培育源头替代示范型企业。对照国家强制性标准，每季度开展1次各类涂料、油墨、胶黏剂、清洗剂等产品VOCs含量限值标准执行情况的监督检查。</w:t>
            </w:r>
          </w:p>
          <w:p w14:paraId="6449230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2、提高企业挥发性有机物治理水平。开展有机储罐分类深度治理及回头看工作。优化企业集群布局，积极推动企业集群入工业园区或小微企业园。按照</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标杆建设一批、改造提升一批、优化整合一批、淘汰退出一批</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的要求，对涉气产业集群开展排查及分类治理。</w:t>
            </w:r>
          </w:p>
          <w:p w14:paraId="16B7925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强化装卸废气收集治理。向汽车罐车装载汽油、航空煤油、石脑油和苯、甲苯、二甲苯等应采用底部装载方式，换用自封式快速接头。推进万吨级及以上原油、成品油码头完成油气回收治理。长江和京杭运河沿线原油、汽油和石脑油装船作业码头加大改造力度。推进挥发性有机液体运输洗舱VOCs治理，油品运输船舶具备油气回收能力。</w:t>
            </w:r>
          </w:p>
          <w:p w14:paraId="124D3E2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4、推进餐饮油烟污染治理和执法监管。推动治理设施第三方运维管理及运行状态监控。开展餐饮油烟专项整治或</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回头看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，打造餐饮油烟治理示范项目。</w:t>
            </w:r>
          </w:p>
          <w:p w14:paraId="67CB622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到2025年，挥发性有机物、氮氧化物削减量完成省定下达目标，臭氧浓度增长趋势得到有效遏制。</w:t>
            </w:r>
          </w:p>
          <w:p w14:paraId="0D24E5D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（三）着力打好交通运输污染治理攻坚战</w:t>
            </w:r>
          </w:p>
          <w:p w14:paraId="33A0AF9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1、加大货物运输结构调整力度，煤炭、矿石等大宗货物中长距离运输推广使用铁路、水路或管道方式，短距离运输优先采用封闭式皮带廊道或新能源车辆。到2025年，货运铁路和水运分担率之和达到35%。</w:t>
            </w:r>
          </w:p>
          <w:p w14:paraId="1003C69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2、实施</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绿色车轮</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划，编制并实施常州市区充换电设施布局规划，推进新能源汽车消费替代，城市建成区新增或替换的公交车实现新能源和清洁能源车辆占比达100%以上，邮政等公共领域新增或者替换的车辆全面采用新能源汽车或清洁能源汽车，环卫领域车辆逐步推进提高新能源汽车或清洁能源汽车占比。到2025年，基本淘汰国三及以下排放标准柴油货车，开展中重型新能源货车及内河LNG船舶的推广应用。到2025年，主要港口和排放控制区内靠港船舶的岸电使用电量在2020年基础上翻一番，靠港和水上服务区锚泊船舶岸电应用尽用。</w:t>
            </w:r>
          </w:p>
          <w:p w14:paraId="2B84CDC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稳步提高柴油车监督抽测排放合格率，基本消除冒黑烟现象。重点加强柴油货车路检路查，以及集中使用和停放地的入户抽测。对凌家塘物流园、货物集散地等车辆集中停放地，以及大型工矿企业、物流货运、长途客运、公交、环卫、邮政、旅游等重点单位每月至少开展一次入户监督抽测，全面实施汽车排放检测与维护（I/M）制度和汽车排放召回制度。</w:t>
            </w:r>
          </w:p>
          <w:p w14:paraId="4D4079B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建立车用油品、车用尿素、船用燃料油全生命周期监管档案管理制度，加油站每年至少开展1次加油枪气液比、系统密闭性及管线液阻的检查检测，储油库每季度开展油气回收系统接口泄漏检测和油气回收处理装置运行效果监测。</w:t>
            </w:r>
          </w:p>
          <w:p w14:paraId="01758A0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加强非道路移动机械污染防治。实施非道路移动柴油机械第四阶段排放标准，对新非道路移动机械生产、进口、销售企业实施常态化环保达标监督检查。持续推进非道路移动机械的摸底调查和编码登记工作，建立多部门协调配合的工程机械环保监管制度，形成编码登记、排放检测、超标处罚撤场等全链条管理。未经环保部门编码登记、确认符合排放要求的非道路移动机械不得进入禁用区域，逐步推进在禁用区域内施工的移动机械达到国Ⅲ及以上标准。建立生态环境、建设、交通运输等多部门的联合执法机制，强化工程机械监督抽测。禁止超标排放工程机械使用，消除冒黑烟现象。</w:t>
            </w:r>
          </w:p>
          <w:p w14:paraId="70C07BB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目标：到2025年，全市生态环境质量持续改善，主要污染物排放总量持续下降，PM2.5浓度达到30微克/立方米左右，优良天数比率达到81.4%，生态质量指数达到50以上。</w:t>
            </w:r>
          </w:p>
          <w:p w14:paraId="1DFA52A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（3）其他污染物环境质量现状评价</w:t>
            </w:r>
          </w:p>
          <w:p w14:paraId="2517C30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本项目特征因子非甲烷总烃环境质量现状监测数据</w:t>
            </w:r>
            <w:r>
              <w:rPr>
                <w:rFonts w:hint="default" w:ascii="Times New Roman" w:hAnsi="Times New Roman" w:eastAsia="宋体" w:cs="Times New Roman"/>
                <w:color w:val="auto"/>
                <w:sz w:val="24"/>
                <w:lang w:val="en-US" w:eastAsia="zh-CN"/>
              </w:rPr>
              <w:t>TST202505119特斯特</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江苏</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检测科技有限公司于2025-05-25~2025-05-27对〇2</w:t>
            </w:r>
            <w:r>
              <w:rPr>
                <w:rFonts w:hint="eastAsia" w:ascii="Times New Roman" w:hAnsi="Times New Roman" w:eastAsia="宋体" w:cs="Times New Roman"/>
                <w:color w:val="auto"/>
                <w:sz w:val="24"/>
                <w:lang w:val="en-US" w:eastAsia="zh-CN"/>
              </w:rPr>
              <w:t>（薛埠镇：常州盘固水泥公司西南侧）</w:t>
            </w:r>
            <w:r>
              <w:rPr>
                <w:rFonts w:hint="default" w:ascii="Times New Roman" w:hAnsi="Times New Roman" w:eastAsia="宋体" w:cs="Times New Roman"/>
                <w:color w:val="auto"/>
                <w:sz w:val="24"/>
                <w:lang w:val="en-US" w:eastAsia="zh-CN"/>
              </w:rPr>
              <w:t>项目所在地连续3天的检测数据</w:t>
            </w:r>
            <w:r>
              <w:rPr>
                <w:rFonts w:hint="default" w:ascii="Times New Roman" w:hAnsi="Times New Roman" w:eastAsia="宋体" w:cs="Times New Roman"/>
                <w:color w:val="auto"/>
                <w:sz w:val="24"/>
              </w:rPr>
              <w:t>。</w:t>
            </w:r>
          </w:p>
          <w:p w14:paraId="29FA6F8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引用数据有效性：①引用</w:t>
            </w:r>
            <w:r>
              <w:rPr>
                <w:rFonts w:hint="default" w:ascii="Times New Roman" w:hAnsi="Times New Roman" w:eastAsia="宋体" w:cs="Times New Roman"/>
                <w:color w:val="auto"/>
                <w:sz w:val="24"/>
                <w:lang w:val="en-US" w:eastAsia="zh-CN"/>
              </w:rPr>
              <w:t>2025-05-25~2025-05-27</w:t>
            </w:r>
            <w:r>
              <w:rPr>
                <w:rFonts w:hint="default" w:ascii="Times New Roman" w:hAnsi="Times New Roman" w:eastAsia="宋体" w:cs="Times New Roman"/>
                <w:color w:val="auto"/>
                <w:sz w:val="24"/>
              </w:rPr>
              <w:t>非甲烷总烃连续</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天历史监测数据，引用时间不超过3年，引用时间有效；②项目所在区域内污染源未发生重大变化，可引用3年内大气的检测数据；③引用点位在项目相关评价范围内，则大气引用点位有效。</w:t>
            </w:r>
          </w:p>
          <w:p w14:paraId="37A52AC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本项目环境空气质量现状具体引用位置见表3-2，大气环境现状引用结果见表3-3。</w:t>
            </w:r>
          </w:p>
          <w:p w14:paraId="64AB76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表3-2  大气环境质量引用点位一览表</w:t>
            </w:r>
          </w:p>
          <w:tbl>
            <w:tblPr>
              <w:tblStyle w:val="29"/>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30" w:type="dxa"/>
                <w:bottom w:w="0" w:type="dxa"/>
                <w:right w:w="30" w:type="dxa"/>
              </w:tblCellMar>
            </w:tblPr>
            <w:tblGrid>
              <w:gridCol w:w="564"/>
              <w:gridCol w:w="1802"/>
              <w:gridCol w:w="2396"/>
              <w:gridCol w:w="1347"/>
              <w:gridCol w:w="2185"/>
            </w:tblGrid>
            <w:tr w14:paraId="268A1A9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1019" w:hRule="atLeast"/>
                <w:jc w:val="center"/>
              </w:trPr>
              <w:tc>
                <w:tcPr>
                  <w:tcW w:w="340" w:type="pct"/>
                  <w:vAlign w:val="center"/>
                </w:tcPr>
                <w:p w14:paraId="7FC655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w:t>
                  </w:r>
                </w:p>
                <w:p w14:paraId="55C71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1086" w:type="pct"/>
                  <w:vAlign w:val="center"/>
                </w:tcPr>
                <w:p w14:paraId="052B17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测点名称</w:t>
                  </w:r>
                </w:p>
              </w:tc>
              <w:tc>
                <w:tcPr>
                  <w:tcW w:w="1444" w:type="pct"/>
                  <w:vAlign w:val="center"/>
                </w:tcPr>
                <w:p w14:paraId="1F573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测点位置</w:t>
                  </w:r>
                </w:p>
              </w:tc>
              <w:tc>
                <w:tcPr>
                  <w:tcW w:w="812" w:type="pct"/>
                  <w:vAlign w:val="center"/>
                </w:tcPr>
                <w:p w14:paraId="39E7B4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引用项目</w:t>
                  </w:r>
                </w:p>
              </w:tc>
              <w:tc>
                <w:tcPr>
                  <w:tcW w:w="1317" w:type="pct"/>
                  <w:vAlign w:val="center"/>
                </w:tcPr>
                <w:p w14:paraId="06E03F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引用频次</w:t>
                  </w:r>
                </w:p>
              </w:tc>
            </w:tr>
            <w:tr w14:paraId="5C210E3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397" w:hRule="atLeast"/>
                <w:jc w:val="center"/>
              </w:trPr>
              <w:tc>
                <w:tcPr>
                  <w:tcW w:w="340" w:type="pct"/>
                  <w:vAlign w:val="center"/>
                </w:tcPr>
                <w:p w14:paraId="4FD10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〇2</w:t>
                  </w:r>
                </w:p>
              </w:tc>
              <w:tc>
                <w:tcPr>
                  <w:tcW w:w="1086" w:type="pct"/>
                  <w:vAlign w:val="center"/>
                </w:tcPr>
                <w:p w14:paraId="6E9C8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薛埠镇：常州盘固水泥公司</w:t>
                  </w:r>
                </w:p>
              </w:tc>
              <w:tc>
                <w:tcPr>
                  <w:tcW w:w="1444" w:type="pct"/>
                  <w:vAlign w:val="center"/>
                </w:tcPr>
                <w:p w14:paraId="2C342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z w:val="21"/>
                      <w:szCs w:val="21"/>
                      <w:lang w:val="en-US" w:eastAsia="zh-CN"/>
                    </w:rPr>
                    <w:t>5km范围内</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位于本项目西北侧约4.8km处</w:t>
                  </w:r>
                  <w:r>
                    <w:rPr>
                      <w:rFonts w:hint="default" w:ascii="Times New Roman" w:hAnsi="Times New Roman" w:eastAsia="宋体" w:cs="Times New Roman"/>
                      <w:color w:val="auto"/>
                      <w:lang w:eastAsia="zh-CN"/>
                    </w:rPr>
                    <w:t>）</w:t>
                  </w:r>
                </w:p>
              </w:tc>
              <w:tc>
                <w:tcPr>
                  <w:tcW w:w="812" w:type="pct"/>
                  <w:vAlign w:val="center"/>
                </w:tcPr>
                <w:p w14:paraId="6146FC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1317" w:type="pct"/>
                  <w:vAlign w:val="center"/>
                </w:tcPr>
                <w:p w14:paraId="47E5E1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连续引用</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天</w:t>
                  </w:r>
                </w:p>
              </w:tc>
            </w:tr>
          </w:tbl>
          <w:p w14:paraId="619F11BB">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表3-3  大气环境现状引用结果（mg/m</w:t>
            </w:r>
            <w:r>
              <w:rPr>
                <w:rFonts w:hint="default" w:ascii="Times New Roman" w:hAnsi="Times New Roman" w:eastAsia="宋体" w:cs="Times New Roman"/>
                <w:b/>
                <w:bCs/>
                <w:color w:val="auto"/>
                <w:sz w:val="24"/>
                <w:vertAlign w:val="superscript"/>
              </w:rPr>
              <w:t>3</w:t>
            </w:r>
            <w:r>
              <w:rPr>
                <w:rFonts w:hint="default" w:ascii="Times New Roman" w:hAnsi="Times New Roman" w:eastAsia="宋体" w:cs="Times New Roman"/>
                <w:b/>
                <w:bCs/>
                <w:color w:val="auto"/>
                <w:sz w:val="24"/>
              </w:rPr>
              <w:t>）</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60"/>
              <w:gridCol w:w="1238"/>
              <w:gridCol w:w="1062"/>
              <w:gridCol w:w="1232"/>
              <w:gridCol w:w="1232"/>
              <w:gridCol w:w="1185"/>
              <w:gridCol w:w="747"/>
              <w:gridCol w:w="838"/>
            </w:tblGrid>
            <w:tr w14:paraId="46E1BD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55592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点位编号</w:t>
                  </w:r>
                </w:p>
              </w:tc>
              <w:tc>
                <w:tcPr>
                  <w:tcW w:w="746" w:type="pct"/>
                  <w:vAlign w:val="center"/>
                </w:tcPr>
                <w:p w14:paraId="6270B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40" w:type="pct"/>
                  <w:vAlign w:val="center"/>
                </w:tcPr>
                <w:p w14:paraId="647526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评价指标</w:t>
                  </w:r>
                </w:p>
              </w:tc>
              <w:tc>
                <w:tcPr>
                  <w:tcW w:w="742" w:type="pct"/>
                  <w:vAlign w:val="center"/>
                </w:tcPr>
                <w:p w14:paraId="0499E9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42" w:type="pct"/>
                  <w:vAlign w:val="center"/>
                </w:tcPr>
                <w:p w14:paraId="51E5F4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14" w:type="pct"/>
                  <w:vAlign w:val="center"/>
                </w:tcPr>
                <w:p w14:paraId="3BB92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最大浓度占标率/%</w:t>
                  </w:r>
                </w:p>
              </w:tc>
              <w:tc>
                <w:tcPr>
                  <w:tcW w:w="450" w:type="pct"/>
                  <w:vAlign w:val="center"/>
                </w:tcPr>
                <w:p w14:paraId="38217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超标率/%</w:t>
                  </w:r>
                </w:p>
              </w:tc>
              <w:tc>
                <w:tcPr>
                  <w:tcW w:w="505" w:type="pct"/>
                  <w:vAlign w:val="center"/>
                </w:tcPr>
                <w:p w14:paraId="41B62A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420AD2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7EDC7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〇2</w:t>
                  </w:r>
                </w:p>
              </w:tc>
              <w:tc>
                <w:tcPr>
                  <w:tcW w:w="746" w:type="pct"/>
                  <w:vAlign w:val="center"/>
                </w:tcPr>
                <w:p w14:paraId="520BD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40" w:type="pct"/>
                  <w:vAlign w:val="center"/>
                </w:tcPr>
                <w:p w14:paraId="6180DA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一次值</w:t>
                  </w:r>
                </w:p>
              </w:tc>
              <w:tc>
                <w:tcPr>
                  <w:tcW w:w="742" w:type="pct"/>
                  <w:vAlign w:val="center"/>
                </w:tcPr>
                <w:p w14:paraId="7FAB8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742" w:type="pct"/>
                  <w:vAlign w:val="center"/>
                </w:tcPr>
                <w:p w14:paraId="0645D9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p>
              </w:tc>
              <w:tc>
                <w:tcPr>
                  <w:tcW w:w="714" w:type="pct"/>
                  <w:vAlign w:val="center"/>
                </w:tcPr>
                <w:p w14:paraId="494DC6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450" w:type="pct"/>
                  <w:vAlign w:val="center"/>
                </w:tcPr>
                <w:p w14:paraId="19DA9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05" w:type="pct"/>
                  <w:vAlign w:val="center"/>
                </w:tcPr>
                <w:p w14:paraId="60DC56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456B10D8">
            <w:pPr>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eastAsia="宋体" w:cs="Times New Roman"/>
                <w:color w:val="auto"/>
                <w:sz w:val="24"/>
              </w:rPr>
              <w:t>由上表可知，项目所在地附近周围环境空气中非甲烷总烃满足《大气污染物综合排放标准详解》</w:t>
            </w:r>
            <w:r>
              <w:rPr>
                <w:rFonts w:hint="eastAsia" w:ascii="Times New Roman" w:hAnsi="Times New Roman" w:eastAsia="宋体" w:cs="Times New Roman"/>
                <w:color w:val="auto"/>
                <w:sz w:val="24"/>
                <w:lang w:val="en-US" w:eastAsia="zh-CN"/>
              </w:rPr>
              <w:t>限值要求</w:t>
            </w:r>
            <w:r>
              <w:rPr>
                <w:rFonts w:hint="default" w:ascii="Times New Roman" w:hAnsi="Times New Roman" w:eastAsia="宋体" w:cs="Times New Roman"/>
                <w:color w:val="auto"/>
                <w:sz w:val="24"/>
              </w:rPr>
              <w:t>。</w:t>
            </w:r>
          </w:p>
          <w:p w14:paraId="1C917B16">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2、地表水环境</w:t>
            </w:r>
          </w:p>
          <w:p w14:paraId="625D77B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zh-TW"/>
              </w:rPr>
            </w:pPr>
            <w:r>
              <w:rPr>
                <w:rFonts w:hint="default" w:ascii="Times New Roman" w:hAnsi="Times New Roman" w:eastAsia="宋体" w:cs="Times New Roman"/>
                <w:color w:val="auto"/>
                <w:sz w:val="24"/>
                <w:szCs w:val="24"/>
                <w:lang w:val="zh-TW"/>
              </w:rPr>
              <w:t>根据《202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zh-TW"/>
              </w:rPr>
              <w:t>年常州市生态环境状况公报》，国考、省考断面水质达到或好于Ⅲ类比例完成省定考核要求，太湖水质自2007年蓝藻事件以来首次达、重回</w:t>
            </w:r>
            <w:r>
              <w:rPr>
                <w:rFonts w:hint="eastAsia" w:ascii="Times New Roman" w:hAnsi="Times New Roman" w:eastAsia="宋体" w:cs="Times New Roman"/>
                <w:color w:val="auto"/>
                <w:sz w:val="24"/>
                <w:szCs w:val="24"/>
                <w:lang w:val="zh-TW" w:eastAsia="zh-CN"/>
              </w:rPr>
              <w:t>“</w:t>
            </w:r>
            <w:r>
              <w:rPr>
                <w:rFonts w:hint="default" w:ascii="Times New Roman" w:hAnsi="Times New Roman" w:eastAsia="宋体" w:cs="Times New Roman"/>
                <w:color w:val="auto"/>
                <w:sz w:val="24"/>
                <w:szCs w:val="24"/>
                <w:lang w:val="zh-TW"/>
              </w:rPr>
              <w:t>良好</w:t>
            </w:r>
            <w:r>
              <w:rPr>
                <w:rFonts w:hint="eastAsia" w:ascii="Times New Roman" w:hAnsi="Times New Roman" w:eastAsia="宋体" w:cs="Times New Roman"/>
                <w:color w:val="auto"/>
                <w:sz w:val="24"/>
                <w:szCs w:val="24"/>
                <w:lang w:val="zh-TW" w:eastAsia="zh-CN"/>
              </w:rPr>
              <w:t>”</w:t>
            </w:r>
            <w:r>
              <w:rPr>
                <w:rFonts w:hint="default" w:ascii="Times New Roman" w:hAnsi="Times New Roman" w:eastAsia="宋体" w:cs="Times New Roman"/>
                <w:color w:val="auto"/>
                <w:sz w:val="24"/>
                <w:szCs w:val="24"/>
                <w:lang w:val="zh-TW"/>
              </w:rPr>
              <w:t>湖泊，连续17年实现安全度夏。长江干流</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zh-TW"/>
              </w:rPr>
              <w:t>常州段</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zh-TW"/>
              </w:rPr>
              <w:t>水质连续8年稳定Ⅱ类水平</w:t>
            </w:r>
            <w:r>
              <w:rPr>
                <w:rFonts w:hint="eastAsia" w:ascii="Times New Roman" w:hAnsi="Times New Roman" w:eastAsia="宋体" w:cs="Times New Roman"/>
                <w:color w:val="auto"/>
                <w:sz w:val="24"/>
                <w:szCs w:val="24"/>
                <w:lang w:val="zh-TW" w:eastAsia="zh-CN"/>
              </w:rPr>
              <w:t>，</w:t>
            </w:r>
            <w:r>
              <w:rPr>
                <w:rFonts w:hint="default" w:ascii="Times New Roman" w:hAnsi="Times New Roman" w:eastAsia="宋体" w:cs="Times New Roman"/>
                <w:color w:val="auto"/>
                <w:sz w:val="24"/>
                <w:szCs w:val="24"/>
                <w:lang w:val="zh-TW"/>
              </w:rPr>
              <w:t>主要入湖河道、集中式饮用水源地水质稳定达到省定考核目标。</w:t>
            </w:r>
          </w:p>
          <w:p w14:paraId="36D293A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饮用水水源地：常州市城市饮用水以集中供水为主，2024年全市5个县级及以上城市集中式饮用水水源地（含备用），取水总量为5.23亿吨，全年每月监测均达标。</w:t>
            </w:r>
          </w:p>
          <w:p w14:paraId="3BDC061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国省考断面：2024年，常州市纳入“十四五”国家地表水环境质量考核的20个断面，年均水质达到或好于《地表水环境质量标准》（GB3838-2002）</w:t>
            </w:r>
            <w:r>
              <w:rPr>
                <w:rFonts w:hint="default" w:ascii="Times New Roman" w:hAnsi="Times New Roman" w:eastAsia="宋体" w:cs="Times New Roman"/>
                <w:color w:val="auto"/>
                <w:sz w:val="24"/>
                <w:szCs w:val="24"/>
                <w:lang w:val="zh-TW"/>
              </w:rPr>
              <w:t>Ⅲ</w:t>
            </w:r>
            <w:r>
              <w:rPr>
                <w:rFonts w:hint="eastAsia" w:ascii="Times New Roman" w:hAnsi="Times New Roman" w:eastAsia="宋体" w:cs="Times New Roman"/>
                <w:color w:val="auto"/>
                <w:sz w:val="24"/>
                <w:szCs w:val="24"/>
                <w:lang w:val="en-US" w:eastAsia="zh-CN"/>
              </w:rPr>
              <w:t>类标准的断面比例为85%，无劣V类断面。纳入江苏省“十四五”水环境质量目标考核的51个断面，年均水质达到或好于</w:t>
            </w:r>
            <w:r>
              <w:rPr>
                <w:rFonts w:hint="default" w:ascii="Times New Roman" w:hAnsi="Times New Roman" w:eastAsia="宋体" w:cs="Times New Roman"/>
                <w:color w:val="auto"/>
                <w:sz w:val="24"/>
                <w:szCs w:val="24"/>
                <w:lang w:val="zh-TW"/>
              </w:rPr>
              <w:t>Ⅲ</w:t>
            </w:r>
            <w:r>
              <w:rPr>
                <w:rFonts w:hint="eastAsia" w:ascii="Times New Roman" w:hAnsi="Times New Roman" w:eastAsia="宋体" w:cs="Times New Roman"/>
                <w:color w:val="auto"/>
                <w:sz w:val="24"/>
                <w:szCs w:val="24"/>
                <w:lang w:val="en-US" w:eastAsia="zh-CN"/>
              </w:rPr>
              <w:t>类的比例为94.1%，无劣V类断面。</w:t>
            </w:r>
          </w:p>
          <w:p w14:paraId="2A90B8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太湖及入太河流：2024年，太湖水质自2007年蓝藻事件以来首次达川、重回“良好”湖泊，其中我市椒山点位首次达到</w:t>
            </w:r>
            <w:r>
              <w:rPr>
                <w:rFonts w:hint="default" w:ascii="Times New Roman" w:hAnsi="Times New Roman" w:eastAsia="宋体" w:cs="Times New Roman"/>
                <w:color w:val="auto"/>
                <w:sz w:val="24"/>
                <w:szCs w:val="24"/>
                <w:lang w:val="zh-TW"/>
              </w:rPr>
              <w:t>Ⅲ</w:t>
            </w:r>
            <w:r>
              <w:rPr>
                <w:rFonts w:hint="eastAsia" w:ascii="Times New Roman" w:hAnsi="Times New Roman" w:eastAsia="宋体" w:cs="Times New Roman"/>
                <w:color w:val="auto"/>
                <w:sz w:val="24"/>
                <w:szCs w:val="24"/>
                <w:lang w:val="en-US" w:eastAsia="zh-CN"/>
              </w:rPr>
              <w:t>类，太湖常州水域总磷同比改善24%，对全湖总磷改善幅度贡献率达182%，位列环湖城市第一，太湖入湖河道通量最大的百渎港总磷同比下降17.6%。</w:t>
            </w:r>
          </w:p>
          <w:p w14:paraId="58542962">
            <w:pPr>
              <w:tabs>
                <w:tab w:val="left" w:pos="1728"/>
              </w:tabs>
              <w:adjustRightInd w:val="0"/>
              <w:snapToGrid w:val="0"/>
              <w:spacing w:line="360" w:lineRule="auto"/>
              <w:ind w:firstLine="480" w:firstLineChars="200"/>
              <w:rPr>
                <w:color w:val="auto"/>
                <w:sz w:val="24"/>
                <w:szCs w:val="24"/>
              </w:rPr>
            </w:pPr>
            <w:r>
              <w:rPr>
                <w:rFonts w:hint="default" w:ascii="Times New Roman" w:hAnsi="Times New Roman" w:eastAsia="宋体" w:cs="Times New Roman"/>
                <w:color w:val="auto"/>
                <w:sz w:val="24"/>
                <w:szCs w:val="24"/>
              </w:rPr>
              <w:t>长江干流</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常州段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及主要通江支流</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2024年，长江干流魏村</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右岸</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断面水质连续八年达到川类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新孟河、德胜河、澡港河等3条主要通江支流上5个国省考断面年均水质均达到或优于类。</w:t>
            </w:r>
          </w:p>
          <w:p w14:paraId="3AF0768C">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3、声环境</w:t>
            </w:r>
          </w:p>
          <w:p w14:paraId="44E127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Cs/>
                <w:color w:val="auto"/>
                <w:sz w:val="24"/>
                <w:szCs w:val="24"/>
              </w:rPr>
              <w:t>本项目周边50米范围内</w:t>
            </w:r>
            <w:r>
              <w:rPr>
                <w:rFonts w:hint="default" w:ascii="Times New Roman" w:hAnsi="Times New Roman" w:eastAsia="宋体" w:cs="Times New Roman"/>
                <w:bCs/>
                <w:color w:val="auto"/>
                <w:sz w:val="24"/>
                <w:szCs w:val="24"/>
                <w:lang w:eastAsia="zh-CN"/>
              </w:rPr>
              <w:t>有</w:t>
            </w:r>
            <w:r>
              <w:rPr>
                <w:rFonts w:hint="default" w:ascii="Times New Roman" w:hAnsi="Times New Roman" w:eastAsia="宋体" w:cs="Times New Roman"/>
                <w:bCs/>
                <w:color w:val="auto"/>
                <w:sz w:val="24"/>
                <w:szCs w:val="24"/>
                <w:lang w:val="en-US" w:eastAsia="zh-CN"/>
              </w:rPr>
              <w:t>唐王村</w:t>
            </w:r>
            <w:r>
              <w:rPr>
                <w:rFonts w:hint="default" w:ascii="Times New Roman" w:hAnsi="Times New Roman" w:eastAsia="宋体" w:cs="Times New Roman"/>
                <w:bCs/>
                <w:color w:val="auto"/>
                <w:sz w:val="24"/>
                <w:szCs w:val="24"/>
              </w:rPr>
              <w:t>，因此</w:t>
            </w:r>
            <w:r>
              <w:rPr>
                <w:rFonts w:hint="default" w:ascii="Times New Roman" w:hAnsi="Times New Roman" w:eastAsia="宋体" w:cs="Times New Roman"/>
                <w:bCs/>
                <w:color w:val="auto"/>
                <w:sz w:val="24"/>
                <w:szCs w:val="24"/>
                <w:lang w:eastAsia="zh-CN"/>
              </w:rPr>
              <w:t>对其</w:t>
            </w:r>
            <w:r>
              <w:rPr>
                <w:rFonts w:hint="default" w:ascii="Times New Roman" w:hAnsi="Times New Roman" w:eastAsia="宋体" w:cs="Times New Roman"/>
                <w:bCs/>
                <w:color w:val="auto"/>
                <w:sz w:val="24"/>
                <w:szCs w:val="24"/>
              </w:rPr>
              <w:t>开展噪声现状调查。</w:t>
            </w:r>
            <w:r>
              <w:rPr>
                <w:rFonts w:hint="default" w:ascii="Times New Roman" w:hAnsi="Times New Roman" w:eastAsia="宋体" w:cs="Times New Roman"/>
                <w:color w:val="auto"/>
                <w:sz w:val="24"/>
                <w:szCs w:val="24"/>
              </w:rPr>
              <w:t>选择</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个敏感点</w:t>
            </w:r>
            <w:r>
              <w:rPr>
                <w:rFonts w:hint="default" w:ascii="Times New Roman" w:hAnsi="Times New Roman" w:eastAsia="宋体" w:cs="Times New Roman"/>
                <w:color w:val="auto"/>
                <w:sz w:val="24"/>
                <w:szCs w:val="24"/>
                <w:lang w:val="en-US" w:eastAsia="zh-CN"/>
              </w:rPr>
              <w:t>唐王村</w:t>
            </w:r>
            <w:r>
              <w:rPr>
                <w:rFonts w:hint="eastAsia" w:ascii="Times New Roman" w:hAnsi="Times New Roman" w:eastAsia="宋体" w:cs="Times New Roman"/>
                <w:color w:val="auto"/>
                <w:sz w:val="24"/>
                <w:szCs w:val="24"/>
                <w:lang w:val="en-US" w:eastAsia="zh-CN"/>
              </w:rPr>
              <w:t>及厂界</w:t>
            </w:r>
            <w:r>
              <w:rPr>
                <w:rFonts w:hint="default" w:ascii="Times New Roman" w:hAnsi="Times New Roman" w:eastAsia="宋体" w:cs="Times New Roman"/>
                <w:color w:val="auto"/>
                <w:sz w:val="24"/>
                <w:szCs w:val="24"/>
              </w:rPr>
              <w:t>进行噪声监测，本项目</w:t>
            </w:r>
            <w:r>
              <w:rPr>
                <w:rFonts w:hint="default" w:ascii="Times New Roman" w:hAnsi="Times New Roman" w:eastAsia="宋体" w:cs="Times New Roman"/>
                <w:color w:val="auto"/>
                <w:sz w:val="24"/>
                <w:szCs w:val="24"/>
                <w:lang w:eastAsia="zh-CN"/>
              </w:rPr>
              <w:t>仅</w:t>
            </w:r>
            <w:r>
              <w:rPr>
                <w:rFonts w:hint="default" w:ascii="Times New Roman" w:hAnsi="Times New Roman" w:eastAsia="宋体" w:cs="Times New Roman"/>
                <w:color w:val="auto"/>
                <w:sz w:val="24"/>
                <w:szCs w:val="24"/>
              </w:rPr>
              <w:t>昼间生产，监测时间为202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日昼间，具体监测点位见表3-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，噪声监测结果汇总见表3-</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14:paraId="5EDBF92C">
            <w:pPr>
              <w:spacing w:line="480" w:lineRule="exact"/>
              <w:ind w:firstLine="472" w:firstLineChars="196"/>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 xml:space="preserve">  声环境质量现状监测点位</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479"/>
              <w:gridCol w:w="3056"/>
              <w:gridCol w:w="2759"/>
            </w:tblGrid>
            <w:tr w14:paraId="7B2FDD5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0" w:hRule="atLeast"/>
                <w:jc w:val="center"/>
              </w:trPr>
              <w:tc>
                <w:tcPr>
                  <w:tcW w:w="2479" w:type="dxa"/>
                  <w:noWrap w:val="0"/>
                  <w:vAlign w:val="center"/>
                </w:tcPr>
                <w:p w14:paraId="14C01A8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点位编号</w:t>
                  </w:r>
                </w:p>
              </w:tc>
              <w:tc>
                <w:tcPr>
                  <w:tcW w:w="3056" w:type="dxa"/>
                  <w:noWrap w:val="0"/>
                  <w:vAlign w:val="center"/>
                </w:tcPr>
                <w:p w14:paraId="2310B9D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点位名称</w:t>
                  </w:r>
                </w:p>
              </w:tc>
              <w:tc>
                <w:tcPr>
                  <w:tcW w:w="2759" w:type="dxa"/>
                  <w:noWrap w:val="0"/>
                  <w:vAlign w:val="center"/>
                </w:tcPr>
                <w:p w14:paraId="4E4D308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w:t>
                  </w:r>
                </w:p>
              </w:tc>
            </w:tr>
            <w:tr w14:paraId="7972A2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79" w:type="dxa"/>
                  <w:noWrap w:val="0"/>
                  <w:vAlign w:val="center"/>
                </w:tcPr>
                <w:p w14:paraId="301B1F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w:t>
                  </w:r>
                </w:p>
              </w:tc>
              <w:tc>
                <w:tcPr>
                  <w:tcW w:w="3056" w:type="dxa"/>
                  <w:noWrap w:val="0"/>
                  <w:vAlign w:val="center"/>
                </w:tcPr>
                <w:p w14:paraId="6703B35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东厂界</w:t>
                  </w:r>
                </w:p>
              </w:tc>
              <w:tc>
                <w:tcPr>
                  <w:tcW w:w="2759" w:type="dxa"/>
                  <w:noWrap w:val="0"/>
                  <w:vAlign w:val="center"/>
                </w:tcPr>
                <w:p w14:paraId="7C1CD8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r>
            <w:tr w14:paraId="05BBA3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79" w:type="dxa"/>
                  <w:noWrap w:val="0"/>
                  <w:vAlign w:val="center"/>
                </w:tcPr>
                <w:p w14:paraId="2C489E35">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2</w:t>
                  </w:r>
                </w:p>
              </w:tc>
              <w:tc>
                <w:tcPr>
                  <w:tcW w:w="3056" w:type="dxa"/>
                  <w:noWrap w:val="0"/>
                  <w:vAlign w:val="center"/>
                </w:tcPr>
                <w:p w14:paraId="219FE02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南厂界</w:t>
                  </w:r>
                </w:p>
              </w:tc>
              <w:tc>
                <w:tcPr>
                  <w:tcW w:w="2759" w:type="dxa"/>
                  <w:noWrap w:val="0"/>
                  <w:vAlign w:val="center"/>
                </w:tcPr>
                <w:p w14:paraId="1CE8BD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r>
            <w:tr w14:paraId="662763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79" w:type="dxa"/>
                  <w:noWrap w:val="0"/>
                  <w:vAlign w:val="center"/>
                </w:tcPr>
                <w:p w14:paraId="7BCDDC57">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3</w:t>
                  </w:r>
                </w:p>
              </w:tc>
              <w:tc>
                <w:tcPr>
                  <w:tcW w:w="3056" w:type="dxa"/>
                  <w:noWrap w:val="0"/>
                  <w:vAlign w:val="center"/>
                </w:tcPr>
                <w:p w14:paraId="2FBBD6A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西厂界</w:t>
                  </w:r>
                </w:p>
              </w:tc>
              <w:tc>
                <w:tcPr>
                  <w:tcW w:w="2759" w:type="dxa"/>
                  <w:noWrap w:val="0"/>
                  <w:vAlign w:val="center"/>
                </w:tcPr>
                <w:p w14:paraId="5666B6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r>
            <w:tr w14:paraId="3D0583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79" w:type="dxa"/>
                  <w:noWrap w:val="0"/>
                  <w:vAlign w:val="center"/>
                </w:tcPr>
                <w:p w14:paraId="664882B0">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4</w:t>
                  </w:r>
                </w:p>
              </w:tc>
              <w:tc>
                <w:tcPr>
                  <w:tcW w:w="3056" w:type="dxa"/>
                  <w:noWrap w:val="0"/>
                  <w:vAlign w:val="center"/>
                </w:tcPr>
                <w:p w14:paraId="2C839C8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北厂界</w:t>
                  </w:r>
                </w:p>
              </w:tc>
              <w:tc>
                <w:tcPr>
                  <w:tcW w:w="2759" w:type="dxa"/>
                  <w:noWrap w:val="0"/>
                  <w:vAlign w:val="center"/>
                </w:tcPr>
                <w:p w14:paraId="20F685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r>
            <w:tr w14:paraId="6CCF04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479" w:type="dxa"/>
                  <w:noWrap w:val="0"/>
                  <w:vAlign w:val="center"/>
                </w:tcPr>
                <w:p w14:paraId="2E0C953D">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5</w:t>
                  </w:r>
                </w:p>
              </w:tc>
              <w:tc>
                <w:tcPr>
                  <w:tcW w:w="3056" w:type="dxa"/>
                  <w:shd w:val="clear" w:color="auto" w:fill="auto"/>
                  <w:noWrap w:val="0"/>
                  <w:vAlign w:val="center"/>
                </w:tcPr>
                <w:p w14:paraId="5618165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唐王村</w:t>
                  </w:r>
                </w:p>
              </w:tc>
              <w:tc>
                <w:tcPr>
                  <w:tcW w:w="2759" w:type="dxa"/>
                  <w:shd w:val="clear" w:color="auto" w:fill="auto"/>
                  <w:noWrap w:val="0"/>
                  <w:vAlign w:val="center"/>
                </w:tcPr>
                <w:p w14:paraId="3E55EED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2类</w:t>
                  </w:r>
                </w:p>
              </w:tc>
            </w:tr>
          </w:tbl>
          <w:p w14:paraId="67643468">
            <w:pPr>
              <w:spacing w:line="480" w:lineRule="exact"/>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噪声监测结果汇总  dB（A）</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369"/>
              <w:gridCol w:w="1339"/>
              <w:gridCol w:w="951"/>
              <w:gridCol w:w="1165"/>
              <w:gridCol w:w="1191"/>
              <w:gridCol w:w="949"/>
            </w:tblGrid>
            <w:tr w14:paraId="0B52A0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00" w:type="pct"/>
                  <w:vMerge w:val="restart"/>
                  <w:tcBorders>
                    <w:top w:val="single" w:color="auto" w:sz="12" w:space="0"/>
                  </w:tcBorders>
                  <w:noWrap w:val="0"/>
                  <w:vAlign w:val="center"/>
                </w:tcPr>
                <w:p w14:paraId="7E86711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825" w:type="pct"/>
                  <w:vMerge w:val="restart"/>
                  <w:tcBorders>
                    <w:top w:val="single" w:color="auto" w:sz="12" w:space="0"/>
                  </w:tcBorders>
                  <w:noWrap w:val="0"/>
                  <w:vAlign w:val="center"/>
                </w:tcPr>
                <w:p w14:paraId="29ED76D6">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监测位置</w:t>
                  </w:r>
                </w:p>
              </w:tc>
              <w:tc>
                <w:tcPr>
                  <w:tcW w:w="807" w:type="pct"/>
                  <w:vMerge w:val="restart"/>
                  <w:tcBorders>
                    <w:top w:val="single" w:color="auto" w:sz="12" w:space="0"/>
                  </w:tcBorders>
                  <w:noWrap w:val="0"/>
                  <w:vAlign w:val="center"/>
                </w:tcPr>
                <w:p w14:paraId="597F1E1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监测时间</w:t>
                  </w:r>
                </w:p>
              </w:tc>
              <w:tc>
                <w:tcPr>
                  <w:tcW w:w="573" w:type="pct"/>
                  <w:vMerge w:val="restart"/>
                  <w:tcBorders>
                    <w:top w:val="single" w:color="auto" w:sz="12" w:space="0"/>
                  </w:tcBorders>
                  <w:noWrap w:val="0"/>
                  <w:vAlign w:val="center"/>
                </w:tcPr>
                <w:p w14:paraId="26B8127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w:t>
                  </w:r>
                </w:p>
                <w:p w14:paraId="54DA37D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级别</w:t>
                  </w:r>
                </w:p>
              </w:tc>
              <w:tc>
                <w:tcPr>
                  <w:tcW w:w="1420" w:type="pct"/>
                  <w:gridSpan w:val="2"/>
                  <w:tcBorders>
                    <w:top w:val="single" w:color="auto" w:sz="12" w:space="0"/>
                  </w:tcBorders>
                  <w:noWrap w:val="0"/>
                  <w:vAlign w:val="center"/>
                </w:tcPr>
                <w:p w14:paraId="7B38C99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c>
                <w:tcPr>
                  <w:tcW w:w="572" w:type="pct"/>
                  <w:vMerge w:val="restart"/>
                  <w:tcBorders>
                    <w:top w:val="single" w:color="auto" w:sz="12" w:space="0"/>
                  </w:tcBorders>
                  <w:noWrap w:val="0"/>
                  <w:vAlign w:val="center"/>
                </w:tcPr>
                <w:p w14:paraId="0E2071C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w:t>
                  </w:r>
                </w:p>
                <w:p w14:paraId="2C32360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状况</w:t>
                  </w:r>
                </w:p>
              </w:tc>
            </w:tr>
            <w:tr w14:paraId="0A1059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0" w:type="pct"/>
                  <w:vMerge w:val="continue"/>
                  <w:noWrap w:val="0"/>
                  <w:vAlign w:val="center"/>
                </w:tcPr>
                <w:p w14:paraId="3C678BB5">
                  <w:pPr>
                    <w:jc w:val="center"/>
                    <w:rPr>
                      <w:rFonts w:hint="default" w:ascii="Times New Roman" w:hAnsi="Times New Roman" w:eastAsia="宋体" w:cs="Times New Roman"/>
                      <w:color w:val="auto"/>
                      <w:sz w:val="21"/>
                      <w:szCs w:val="21"/>
                    </w:rPr>
                  </w:pPr>
                </w:p>
              </w:tc>
              <w:tc>
                <w:tcPr>
                  <w:tcW w:w="825" w:type="pct"/>
                  <w:vMerge w:val="continue"/>
                  <w:noWrap w:val="0"/>
                  <w:vAlign w:val="center"/>
                </w:tcPr>
                <w:p w14:paraId="0A68E0E2">
                  <w:pPr>
                    <w:jc w:val="center"/>
                    <w:rPr>
                      <w:rFonts w:hint="default" w:ascii="Times New Roman" w:hAnsi="Times New Roman" w:eastAsia="宋体" w:cs="Times New Roman"/>
                      <w:color w:val="auto"/>
                      <w:sz w:val="21"/>
                      <w:szCs w:val="21"/>
                    </w:rPr>
                  </w:pPr>
                </w:p>
              </w:tc>
              <w:tc>
                <w:tcPr>
                  <w:tcW w:w="807" w:type="pct"/>
                  <w:vMerge w:val="continue"/>
                  <w:noWrap w:val="0"/>
                  <w:vAlign w:val="center"/>
                </w:tcPr>
                <w:p w14:paraId="74EE27CA">
                  <w:pPr>
                    <w:jc w:val="center"/>
                    <w:rPr>
                      <w:rFonts w:hint="default" w:ascii="Times New Roman" w:hAnsi="Times New Roman" w:eastAsia="宋体" w:cs="Times New Roman"/>
                      <w:color w:val="auto"/>
                      <w:sz w:val="21"/>
                      <w:szCs w:val="21"/>
                    </w:rPr>
                  </w:pPr>
                </w:p>
              </w:tc>
              <w:tc>
                <w:tcPr>
                  <w:tcW w:w="573" w:type="pct"/>
                  <w:vMerge w:val="continue"/>
                  <w:noWrap w:val="0"/>
                  <w:vAlign w:val="center"/>
                </w:tcPr>
                <w:p w14:paraId="2A544890">
                  <w:pPr>
                    <w:jc w:val="center"/>
                    <w:rPr>
                      <w:rFonts w:hint="default" w:ascii="Times New Roman" w:hAnsi="Times New Roman" w:eastAsia="宋体" w:cs="Times New Roman"/>
                      <w:color w:val="auto"/>
                      <w:sz w:val="21"/>
                      <w:szCs w:val="21"/>
                    </w:rPr>
                  </w:pPr>
                </w:p>
              </w:tc>
              <w:tc>
                <w:tcPr>
                  <w:tcW w:w="702" w:type="pct"/>
                  <w:noWrap w:val="0"/>
                  <w:vAlign w:val="center"/>
                </w:tcPr>
                <w:p w14:paraId="08CB383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pacing w:val="-6"/>
                      <w:sz w:val="21"/>
                      <w:szCs w:val="21"/>
                    </w:rPr>
                    <w:t>监测值</w:t>
                  </w:r>
                </w:p>
              </w:tc>
              <w:tc>
                <w:tcPr>
                  <w:tcW w:w="718" w:type="pct"/>
                  <w:noWrap w:val="0"/>
                  <w:vAlign w:val="center"/>
                </w:tcPr>
                <w:p w14:paraId="4C68DD9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标准限值</w:t>
                  </w:r>
                </w:p>
              </w:tc>
              <w:tc>
                <w:tcPr>
                  <w:tcW w:w="572" w:type="pct"/>
                  <w:vMerge w:val="continue"/>
                  <w:noWrap w:val="0"/>
                  <w:vAlign w:val="center"/>
                </w:tcPr>
                <w:p w14:paraId="2D13AEA8">
                  <w:pPr>
                    <w:jc w:val="center"/>
                    <w:rPr>
                      <w:rFonts w:hint="default" w:ascii="Times New Roman" w:hAnsi="Times New Roman" w:eastAsia="宋体" w:cs="Times New Roman"/>
                      <w:b/>
                      <w:color w:val="auto"/>
                      <w:sz w:val="21"/>
                      <w:szCs w:val="21"/>
                    </w:rPr>
                  </w:pPr>
                </w:p>
              </w:tc>
            </w:tr>
            <w:tr w14:paraId="099B8B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0" w:type="pct"/>
                  <w:shd w:val="clear" w:color="auto" w:fill="auto"/>
                  <w:noWrap w:val="0"/>
                  <w:vAlign w:val="center"/>
                </w:tcPr>
                <w:p w14:paraId="49A8691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N1</w:t>
                  </w:r>
                </w:p>
              </w:tc>
              <w:tc>
                <w:tcPr>
                  <w:tcW w:w="825" w:type="pct"/>
                  <w:shd w:val="clear" w:color="auto" w:fill="auto"/>
                  <w:noWrap w:val="0"/>
                  <w:vAlign w:val="center"/>
                </w:tcPr>
                <w:p w14:paraId="24999C8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东厂界</w:t>
                  </w:r>
                </w:p>
              </w:tc>
              <w:tc>
                <w:tcPr>
                  <w:tcW w:w="807" w:type="pct"/>
                  <w:vMerge w:val="restart"/>
                  <w:noWrap w:val="0"/>
                  <w:vAlign w:val="center"/>
                </w:tcPr>
                <w:p w14:paraId="18F4018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12</w:t>
                  </w:r>
                </w:p>
              </w:tc>
              <w:tc>
                <w:tcPr>
                  <w:tcW w:w="573" w:type="pct"/>
                  <w:vMerge w:val="restart"/>
                  <w:noWrap w:val="0"/>
                  <w:vAlign w:val="center"/>
                </w:tcPr>
                <w:p w14:paraId="07BD50FF">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2类</w:t>
                  </w:r>
                </w:p>
              </w:tc>
              <w:tc>
                <w:tcPr>
                  <w:tcW w:w="702" w:type="pct"/>
                  <w:noWrap w:val="0"/>
                  <w:vAlign w:val="center"/>
                </w:tcPr>
                <w:p w14:paraId="692327BE">
                  <w:pPr>
                    <w:autoSpaceDE w:val="0"/>
                    <w:autoSpaceDN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w:t>
                  </w:r>
                </w:p>
              </w:tc>
              <w:tc>
                <w:tcPr>
                  <w:tcW w:w="718" w:type="pct"/>
                  <w:noWrap w:val="0"/>
                  <w:vAlign w:val="center"/>
                </w:tcPr>
                <w:p w14:paraId="553B9861">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572" w:type="pct"/>
                  <w:noWrap w:val="0"/>
                  <w:vAlign w:val="center"/>
                </w:tcPr>
                <w:p w14:paraId="5BAD48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C507B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0" w:type="pct"/>
                  <w:shd w:val="clear" w:color="auto" w:fill="auto"/>
                  <w:noWrap w:val="0"/>
                  <w:vAlign w:val="center"/>
                </w:tcPr>
                <w:p w14:paraId="75ADE33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2</w:t>
                  </w:r>
                </w:p>
              </w:tc>
              <w:tc>
                <w:tcPr>
                  <w:tcW w:w="825" w:type="pct"/>
                  <w:shd w:val="clear" w:color="auto" w:fill="auto"/>
                  <w:noWrap w:val="0"/>
                  <w:vAlign w:val="center"/>
                </w:tcPr>
                <w:p w14:paraId="35AA00B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南厂界</w:t>
                  </w:r>
                </w:p>
              </w:tc>
              <w:tc>
                <w:tcPr>
                  <w:tcW w:w="807" w:type="pct"/>
                  <w:vMerge w:val="continue"/>
                  <w:noWrap w:val="0"/>
                  <w:vAlign w:val="center"/>
                </w:tcPr>
                <w:p w14:paraId="2E911A66">
                  <w:pPr>
                    <w:jc w:val="center"/>
                    <w:rPr>
                      <w:rFonts w:hint="default" w:ascii="Times New Roman" w:hAnsi="Times New Roman" w:eastAsia="宋体" w:cs="Times New Roman"/>
                      <w:color w:val="auto"/>
                      <w:sz w:val="21"/>
                      <w:szCs w:val="21"/>
                    </w:rPr>
                  </w:pPr>
                </w:p>
              </w:tc>
              <w:tc>
                <w:tcPr>
                  <w:tcW w:w="573" w:type="pct"/>
                  <w:vMerge w:val="continue"/>
                  <w:noWrap w:val="0"/>
                  <w:vAlign w:val="center"/>
                </w:tcPr>
                <w:p w14:paraId="347DC38E">
                  <w:pPr>
                    <w:jc w:val="center"/>
                    <w:rPr>
                      <w:rFonts w:hint="default" w:ascii="Times New Roman" w:hAnsi="Times New Roman" w:eastAsia="宋体" w:cs="Times New Roman"/>
                      <w:color w:val="auto"/>
                      <w:sz w:val="21"/>
                      <w:szCs w:val="21"/>
                    </w:rPr>
                  </w:pPr>
                </w:p>
              </w:tc>
              <w:tc>
                <w:tcPr>
                  <w:tcW w:w="702" w:type="pct"/>
                  <w:noWrap w:val="0"/>
                  <w:vAlign w:val="center"/>
                </w:tcPr>
                <w:p w14:paraId="13F6CC0C">
                  <w:pPr>
                    <w:autoSpaceDE w:val="0"/>
                    <w:autoSpaceDN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1191" w:type="dxa"/>
                  <w:noWrap w:val="0"/>
                  <w:vAlign w:val="center"/>
                </w:tcPr>
                <w:p w14:paraId="5D490D5B">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49" w:type="dxa"/>
                  <w:noWrap w:val="0"/>
                  <w:vAlign w:val="center"/>
                </w:tcPr>
                <w:p w14:paraId="3D91CA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7711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0" w:type="pct"/>
                  <w:shd w:val="clear" w:color="auto" w:fill="auto"/>
                  <w:noWrap w:val="0"/>
                  <w:vAlign w:val="center"/>
                </w:tcPr>
                <w:p w14:paraId="667C965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3</w:t>
                  </w:r>
                </w:p>
              </w:tc>
              <w:tc>
                <w:tcPr>
                  <w:tcW w:w="825" w:type="pct"/>
                  <w:shd w:val="clear" w:color="auto" w:fill="auto"/>
                  <w:noWrap w:val="0"/>
                  <w:vAlign w:val="center"/>
                </w:tcPr>
                <w:p w14:paraId="587066D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西厂界</w:t>
                  </w:r>
                </w:p>
              </w:tc>
              <w:tc>
                <w:tcPr>
                  <w:tcW w:w="807" w:type="pct"/>
                  <w:vMerge w:val="continue"/>
                  <w:noWrap w:val="0"/>
                  <w:vAlign w:val="center"/>
                </w:tcPr>
                <w:p w14:paraId="1EBDC508">
                  <w:pPr>
                    <w:jc w:val="center"/>
                    <w:rPr>
                      <w:rFonts w:hint="default" w:ascii="Times New Roman" w:hAnsi="Times New Roman" w:eastAsia="宋体" w:cs="Times New Roman"/>
                      <w:color w:val="auto"/>
                      <w:sz w:val="21"/>
                      <w:szCs w:val="21"/>
                    </w:rPr>
                  </w:pPr>
                </w:p>
              </w:tc>
              <w:tc>
                <w:tcPr>
                  <w:tcW w:w="573" w:type="pct"/>
                  <w:vMerge w:val="continue"/>
                  <w:noWrap w:val="0"/>
                  <w:vAlign w:val="center"/>
                </w:tcPr>
                <w:p w14:paraId="386157E6">
                  <w:pPr>
                    <w:jc w:val="center"/>
                    <w:rPr>
                      <w:rFonts w:hint="default" w:ascii="Times New Roman" w:hAnsi="Times New Roman" w:eastAsia="宋体" w:cs="Times New Roman"/>
                      <w:color w:val="auto"/>
                      <w:sz w:val="21"/>
                      <w:szCs w:val="21"/>
                    </w:rPr>
                  </w:pPr>
                </w:p>
              </w:tc>
              <w:tc>
                <w:tcPr>
                  <w:tcW w:w="702" w:type="pct"/>
                  <w:noWrap w:val="0"/>
                  <w:vAlign w:val="center"/>
                </w:tcPr>
                <w:p w14:paraId="5E35C671">
                  <w:pPr>
                    <w:autoSpaceDE w:val="0"/>
                    <w:autoSpaceDN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1191" w:type="dxa"/>
                  <w:noWrap w:val="0"/>
                  <w:vAlign w:val="center"/>
                </w:tcPr>
                <w:p w14:paraId="63D4A948">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49" w:type="dxa"/>
                  <w:noWrap w:val="0"/>
                  <w:vAlign w:val="center"/>
                </w:tcPr>
                <w:p w14:paraId="2158E2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3F0B6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0" w:type="pct"/>
                  <w:shd w:val="clear" w:color="auto" w:fill="auto"/>
                  <w:noWrap w:val="0"/>
                  <w:vAlign w:val="center"/>
                </w:tcPr>
                <w:p w14:paraId="299A73E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4</w:t>
                  </w:r>
                </w:p>
              </w:tc>
              <w:tc>
                <w:tcPr>
                  <w:tcW w:w="825" w:type="pct"/>
                  <w:shd w:val="clear" w:color="auto" w:fill="auto"/>
                  <w:noWrap w:val="0"/>
                  <w:vAlign w:val="center"/>
                </w:tcPr>
                <w:p w14:paraId="5148F9E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北厂界</w:t>
                  </w:r>
                </w:p>
              </w:tc>
              <w:tc>
                <w:tcPr>
                  <w:tcW w:w="807" w:type="pct"/>
                  <w:vMerge w:val="continue"/>
                  <w:noWrap w:val="0"/>
                  <w:vAlign w:val="center"/>
                </w:tcPr>
                <w:p w14:paraId="44DB239E">
                  <w:pPr>
                    <w:jc w:val="center"/>
                    <w:rPr>
                      <w:rFonts w:hint="default" w:ascii="Times New Roman" w:hAnsi="Times New Roman" w:eastAsia="宋体" w:cs="Times New Roman"/>
                      <w:color w:val="auto"/>
                      <w:sz w:val="21"/>
                      <w:szCs w:val="21"/>
                    </w:rPr>
                  </w:pPr>
                </w:p>
              </w:tc>
              <w:tc>
                <w:tcPr>
                  <w:tcW w:w="573" w:type="pct"/>
                  <w:vMerge w:val="continue"/>
                  <w:noWrap w:val="0"/>
                  <w:vAlign w:val="center"/>
                </w:tcPr>
                <w:p w14:paraId="118DCC2A">
                  <w:pPr>
                    <w:jc w:val="center"/>
                    <w:rPr>
                      <w:rFonts w:hint="default" w:ascii="Times New Roman" w:hAnsi="Times New Roman" w:eastAsia="宋体" w:cs="Times New Roman"/>
                      <w:color w:val="auto"/>
                      <w:sz w:val="21"/>
                      <w:szCs w:val="21"/>
                    </w:rPr>
                  </w:pPr>
                </w:p>
              </w:tc>
              <w:tc>
                <w:tcPr>
                  <w:tcW w:w="702" w:type="pct"/>
                  <w:noWrap w:val="0"/>
                  <w:vAlign w:val="center"/>
                </w:tcPr>
                <w:p w14:paraId="68C2E02A">
                  <w:pPr>
                    <w:autoSpaceDE w:val="0"/>
                    <w:autoSpaceDN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191" w:type="dxa"/>
                  <w:noWrap w:val="0"/>
                  <w:vAlign w:val="center"/>
                </w:tcPr>
                <w:p w14:paraId="69AA799E">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49" w:type="dxa"/>
                  <w:noWrap w:val="0"/>
                  <w:vAlign w:val="center"/>
                </w:tcPr>
                <w:p w14:paraId="2D1A48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F1CA8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0" w:type="pct"/>
                  <w:shd w:val="clear" w:color="auto" w:fill="auto"/>
                  <w:noWrap w:val="0"/>
                  <w:vAlign w:val="center"/>
                </w:tcPr>
                <w:p w14:paraId="2D73D5D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val="en-US" w:eastAsia="zh-CN"/>
                    </w:rPr>
                    <w:t>5</w:t>
                  </w:r>
                </w:p>
              </w:tc>
              <w:tc>
                <w:tcPr>
                  <w:tcW w:w="825" w:type="pct"/>
                  <w:shd w:val="clear" w:color="auto" w:fill="auto"/>
                  <w:noWrap w:val="0"/>
                  <w:vAlign w:val="center"/>
                </w:tcPr>
                <w:p w14:paraId="1A93AA1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唐王村</w:t>
                  </w:r>
                </w:p>
              </w:tc>
              <w:tc>
                <w:tcPr>
                  <w:tcW w:w="807" w:type="pct"/>
                  <w:vMerge w:val="continue"/>
                  <w:noWrap w:val="0"/>
                  <w:vAlign w:val="center"/>
                </w:tcPr>
                <w:p w14:paraId="1FD0C2DD">
                  <w:pPr>
                    <w:jc w:val="center"/>
                    <w:rPr>
                      <w:rFonts w:hint="default" w:ascii="Times New Roman" w:hAnsi="Times New Roman" w:eastAsia="宋体" w:cs="Times New Roman"/>
                      <w:color w:val="auto"/>
                      <w:sz w:val="21"/>
                      <w:szCs w:val="21"/>
                    </w:rPr>
                  </w:pPr>
                </w:p>
              </w:tc>
              <w:tc>
                <w:tcPr>
                  <w:tcW w:w="573" w:type="pct"/>
                  <w:vMerge w:val="continue"/>
                  <w:noWrap w:val="0"/>
                  <w:vAlign w:val="center"/>
                </w:tcPr>
                <w:p w14:paraId="45C73B8E">
                  <w:pPr>
                    <w:jc w:val="center"/>
                    <w:rPr>
                      <w:rFonts w:hint="default" w:ascii="Times New Roman" w:hAnsi="Times New Roman" w:eastAsia="宋体" w:cs="Times New Roman"/>
                      <w:color w:val="auto"/>
                      <w:sz w:val="21"/>
                      <w:szCs w:val="21"/>
                    </w:rPr>
                  </w:pPr>
                </w:p>
              </w:tc>
              <w:tc>
                <w:tcPr>
                  <w:tcW w:w="702" w:type="pct"/>
                  <w:noWrap w:val="0"/>
                  <w:vAlign w:val="center"/>
                </w:tcPr>
                <w:p w14:paraId="59139399">
                  <w:pPr>
                    <w:autoSpaceDE w:val="0"/>
                    <w:autoSpaceDN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w:t>
                  </w:r>
                </w:p>
              </w:tc>
              <w:tc>
                <w:tcPr>
                  <w:tcW w:w="1191" w:type="dxa"/>
                  <w:noWrap w:val="0"/>
                  <w:vAlign w:val="center"/>
                </w:tcPr>
                <w:p w14:paraId="302B9BE3">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49" w:type="dxa"/>
                  <w:noWrap w:val="0"/>
                  <w:vAlign w:val="center"/>
                </w:tcPr>
                <w:p w14:paraId="265BBB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4381B52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由表3-</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监测结果汇总可知，监测点昼间噪声</w:t>
            </w:r>
            <w:r>
              <w:rPr>
                <w:rFonts w:hint="eastAsia"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dB</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，敏感点噪声监测值均符合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"https://www.mee.gov.cn/ywgz/fgbz/bz/bzwb/wlhj/shjzlbz/200809/W020111121351590491445.pdf"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声环境质量标准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（GB3096－2008）</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val="en-US" w:eastAsia="zh-CN"/>
              </w:rPr>
              <w:t>中2类</w:t>
            </w:r>
            <w:r>
              <w:rPr>
                <w:rFonts w:hint="default" w:ascii="Times New Roman" w:hAnsi="Times New Roman" w:eastAsia="宋体" w:cs="Times New Roman"/>
                <w:color w:val="auto"/>
                <w:sz w:val="24"/>
                <w:szCs w:val="24"/>
              </w:rPr>
              <w:t>标准</w:t>
            </w:r>
            <w:r>
              <w:rPr>
                <w:rFonts w:hint="default" w:ascii="Times New Roman" w:hAnsi="Times New Roman" w:eastAsia="宋体" w:cs="Times New Roman"/>
                <w:bCs/>
                <w:color w:val="auto"/>
                <w:sz w:val="24"/>
                <w:szCs w:val="24"/>
              </w:rPr>
              <w:t>。</w:t>
            </w:r>
          </w:p>
          <w:p w14:paraId="191AEDB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4、土壤、地下水环境质量现状</w:t>
            </w:r>
          </w:p>
          <w:p w14:paraId="678DAF7E">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关于印发《建设项目环境影响报告表》内容、格式及编制技术指南的通知》（环办环评〔2020〕33号）“原则上不开展环境质量现状调查。建设项目存在土壤、地下水环境污染途径的，应结合污染源、保护目标分布情况开展现状调查以留作背景值”</w:t>
            </w:r>
            <w:r>
              <w:rPr>
                <w:rFonts w:hint="default" w:ascii="Times New Roman" w:hAnsi="Times New Roman" w:eastAsia="宋体" w:cs="Times New Roman"/>
                <w:color w:val="auto"/>
                <w:sz w:val="24"/>
                <w:lang w:eastAsia="zh-CN"/>
              </w:rPr>
              <w:t>。</w:t>
            </w:r>
          </w:p>
          <w:p w14:paraId="7D1FB96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本项目运营期土壤环境影响识别主要针对本项目产生的废气和废水。本项目废水主要为生活污水，</w:t>
            </w:r>
            <w:r>
              <w:rPr>
                <w:rFonts w:hint="default" w:ascii="Times New Roman" w:hAnsi="Times New Roman" w:eastAsia="宋体" w:cs="Times New Roman"/>
                <w:color w:val="auto"/>
                <w:sz w:val="24"/>
                <w:lang w:val="en-US" w:eastAsia="zh-CN"/>
              </w:rPr>
              <w:t>接管至唐王村农村生活污水处理站</w:t>
            </w:r>
            <w:r>
              <w:rPr>
                <w:rFonts w:hint="default" w:ascii="Times New Roman" w:hAnsi="Times New Roman" w:eastAsia="宋体" w:cs="Times New Roman"/>
                <w:color w:val="auto"/>
                <w:sz w:val="24"/>
              </w:rPr>
              <w:t>。废气中的主要污染物为</w:t>
            </w:r>
            <w:r>
              <w:rPr>
                <w:rFonts w:hint="default" w:ascii="Times New Roman" w:hAnsi="Times New Roman" w:eastAsia="宋体" w:cs="Times New Roman"/>
                <w:color w:val="auto"/>
                <w:sz w:val="24"/>
                <w:lang w:val="en-US" w:eastAsia="zh-CN"/>
              </w:rPr>
              <w:t>非甲烷总烃</w:t>
            </w:r>
            <w:r>
              <w:rPr>
                <w:rFonts w:hint="default" w:ascii="Times New Roman" w:hAnsi="Times New Roman" w:eastAsia="宋体" w:cs="Times New Roman"/>
                <w:color w:val="auto"/>
                <w:sz w:val="24"/>
              </w:rPr>
              <w:t>，拟建</w:t>
            </w:r>
            <w:r>
              <w:rPr>
                <w:rFonts w:hint="eastAsia" w:ascii="Times New Roman" w:hAnsi="Times New Roman" w:eastAsia="宋体" w:cs="Times New Roman"/>
                <w:color w:val="auto"/>
                <w:sz w:val="24"/>
                <w:lang w:val="en-US" w:eastAsia="zh-CN"/>
              </w:rPr>
              <w:t>生产车间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危废库为重点防渗区，</w:t>
            </w:r>
            <w:r>
              <w:rPr>
                <w:rFonts w:hint="default" w:ascii="Times New Roman" w:hAnsi="Times New Roman" w:eastAsia="宋体" w:cs="Times New Roman"/>
                <w:color w:val="auto"/>
                <w:sz w:val="24"/>
                <w:lang w:val="en-US" w:eastAsia="zh-CN"/>
              </w:rPr>
              <w:t>均为现浇</w:t>
            </w:r>
            <w:r>
              <w:rPr>
                <w:rFonts w:hint="default" w:ascii="Times New Roman" w:hAnsi="Times New Roman" w:eastAsia="宋体" w:cs="Times New Roman"/>
                <w:color w:val="auto"/>
                <w:sz w:val="24"/>
              </w:rPr>
              <w:t>混凝土</w:t>
            </w:r>
            <w:r>
              <w:rPr>
                <w:rFonts w:hint="default" w:ascii="Times New Roman" w:hAnsi="Times New Roman" w:eastAsia="宋体" w:cs="Times New Roman"/>
                <w:color w:val="auto"/>
                <w:sz w:val="24"/>
                <w:lang w:val="en-US" w:eastAsia="zh-CN"/>
              </w:rPr>
              <w:t>地面，并采用</w:t>
            </w:r>
            <w:r>
              <w:rPr>
                <w:rFonts w:hint="default" w:ascii="Times New Roman" w:hAnsi="Times New Roman" w:eastAsia="宋体" w:cs="Times New Roman"/>
                <w:color w:val="auto"/>
                <w:sz w:val="24"/>
              </w:rPr>
              <w:t>环氧地坪进行地面防渗处理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其余生产区为一般防渗区，</w:t>
            </w:r>
            <w:r>
              <w:rPr>
                <w:rFonts w:hint="default" w:ascii="Times New Roman" w:hAnsi="Times New Roman" w:eastAsia="宋体" w:cs="Times New Roman"/>
                <w:color w:val="auto"/>
                <w:sz w:val="24"/>
                <w:lang w:val="en-US" w:eastAsia="zh-CN"/>
              </w:rPr>
              <w:t>均为现浇</w:t>
            </w:r>
            <w:r>
              <w:rPr>
                <w:rFonts w:hint="default" w:ascii="Times New Roman" w:hAnsi="Times New Roman" w:eastAsia="宋体" w:cs="Times New Roman"/>
                <w:color w:val="auto"/>
                <w:sz w:val="24"/>
              </w:rPr>
              <w:t>混凝土</w:t>
            </w:r>
            <w:r>
              <w:rPr>
                <w:rFonts w:hint="default" w:ascii="Times New Roman" w:hAnsi="Times New Roman" w:eastAsia="宋体" w:cs="Times New Roman"/>
                <w:color w:val="auto"/>
                <w:sz w:val="24"/>
                <w:lang w:val="en-US" w:eastAsia="zh-CN"/>
              </w:rPr>
              <w:t>地面，并采用</w:t>
            </w:r>
            <w:r>
              <w:rPr>
                <w:rFonts w:hint="default" w:ascii="Times New Roman" w:hAnsi="Times New Roman" w:eastAsia="宋体" w:cs="Times New Roman"/>
                <w:color w:val="auto"/>
                <w:sz w:val="24"/>
              </w:rPr>
              <w:t>环氧地坪进行地面防渗处理，办公区、道路等均进行地面硬化处理，</w:t>
            </w:r>
            <w:r>
              <w:rPr>
                <w:rFonts w:hint="default" w:ascii="Times New Roman" w:hAnsi="Times New Roman" w:eastAsia="宋体" w:cs="Times New Roman"/>
                <w:color w:val="auto"/>
                <w:sz w:val="24"/>
                <w:lang w:val="en-US" w:eastAsia="zh-CN"/>
              </w:rPr>
              <w:t>故</w:t>
            </w:r>
            <w:r>
              <w:rPr>
                <w:rFonts w:hint="default" w:ascii="Times New Roman" w:hAnsi="Times New Roman" w:eastAsia="宋体" w:cs="Times New Roman"/>
                <w:color w:val="auto"/>
                <w:sz w:val="24"/>
              </w:rPr>
              <w:t>不存在土壤、地下水环境垂直入渗、漫流等污染途径，因此，可不开展地下水、土壤现状评价工作。</w:t>
            </w:r>
          </w:p>
          <w:p w14:paraId="3E22F1BC">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5、生态环境</w:t>
            </w:r>
          </w:p>
          <w:p w14:paraId="4DF32B2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本项目用地范围内不涉及生态环境保护目标，因此本项目不</w:t>
            </w:r>
            <w:r>
              <w:rPr>
                <w:rFonts w:hint="default" w:ascii="Times New Roman" w:hAnsi="Times New Roman" w:eastAsia="宋体" w:cs="Times New Roman"/>
                <w:color w:val="auto"/>
                <w:sz w:val="24"/>
                <w:lang w:eastAsia="zh-CN"/>
              </w:rPr>
              <w:t>开展</w:t>
            </w:r>
            <w:r>
              <w:rPr>
                <w:rFonts w:hint="default" w:ascii="Times New Roman" w:hAnsi="Times New Roman" w:eastAsia="宋体" w:cs="Times New Roman"/>
                <w:color w:val="auto"/>
                <w:sz w:val="24"/>
              </w:rPr>
              <w:t>生态现状调查</w:t>
            </w:r>
            <w:r>
              <w:rPr>
                <w:rFonts w:hint="default" w:ascii="Times New Roman" w:hAnsi="Times New Roman" w:eastAsia="宋体" w:cs="Times New Roman"/>
                <w:color w:val="auto"/>
                <w:sz w:val="24"/>
                <w:lang w:val="en-US" w:eastAsia="zh-CN"/>
              </w:rPr>
              <w:t>。</w:t>
            </w:r>
          </w:p>
          <w:p w14:paraId="3F5CBBE8">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6、电磁辐射</w:t>
            </w:r>
          </w:p>
          <w:p w14:paraId="084C05C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本项目不属于广播电台、差转台、电视塔台、卫星地球上行站、雷达等电磁辐射类项目。</w:t>
            </w:r>
          </w:p>
          <w:p w14:paraId="72F373E1">
            <w:pPr>
              <w:spacing w:line="360" w:lineRule="auto"/>
              <w:ind w:firstLine="480" w:firstLineChars="200"/>
              <w:rPr>
                <w:rFonts w:hint="default" w:ascii="Times New Roman" w:hAnsi="Times New Roman" w:eastAsia="宋体" w:cs="Times New Roman"/>
                <w:color w:val="auto"/>
                <w:sz w:val="24"/>
              </w:rPr>
            </w:pPr>
          </w:p>
          <w:p w14:paraId="011977E1">
            <w:pPr>
              <w:spacing w:line="360" w:lineRule="auto"/>
              <w:rPr>
                <w:rFonts w:hint="default" w:ascii="Times New Roman" w:hAnsi="Times New Roman" w:eastAsia="宋体" w:cs="Times New Roman"/>
                <w:color w:val="auto"/>
                <w:sz w:val="24"/>
              </w:rPr>
            </w:pPr>
          </w:p>
        </w:tc>
      </w:tr>
      <w:tr w14:paraId="0012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7" w:hRule="atLeast"/>
        </w:trPr>
        <w:tc>
          <w:tcPr>
            <w:tcW w:w="418" w:type="pct"/>
            <w:vAlign w:val="center"/>
          </w:tcPr>
          <w:p w14:paraId="7C59453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环境保护目标</w:t>
            </w:r>
          </w:p>
        </w:tc>
        <w:tc>
          <w:tcPr>
            <w:tcW w:w="4581" w:type="pct"/>
          </w:tcPr>
          <w:p w14:paraId="0922ADA3">
            <w:pPr>
              <w:adjustRightInd w:val="0"/>
              <w:snapToGrid w:val="0"/>
              <w:spacing w:line="360" w:lineRule="auto"/>
              <w:ind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0"/>
                <w:sz w:val="24"/>
                <w:szCs w:val="24"/>
              </w:rPr>
              <w:t>项目位于</w:t>
            </w:r>
            <w:r>
              <w:rPr>
                <w:rFonts w:hint="eastAsia" w:ascii="Times New Roman" w:hAnsi="Times New Roman" w:eastAsia="宋体" w:cs="Times New Roman"/>
                <w:color w:val="auto"/>
                <w:kern w:val="0"/>
                <w:sz w:val="24"/>
                <w:szCs w:val="24"/>
                <w:lang w:eastAsia="zh-CN"/>
              </w:rPr>
              <w:t>常州市金坛区朱林镇唐王村委唐王村62号</w:t>
            </w:r>
            <w:r>
              <w:rPr>
                <w:rFonts w:hint="default" w:ascii="Times New Roman" w:hAnsi="Times New Roman" w:eastAsia="宋体" w:cs="Times New Roman"/>
                <w:color w:val="auto"/>
                <w:kern w:val="0"/>
                <w:sz w:val="24"/>
                <w:szCs w:val="24"/>
              </w:rPr>
              <w:t>，经实地勘查，确定建设项目主要环境保护目标见下表。</w:t>
            </w:r>
          </w:p>
          <w:p w14:paraId="124577FC">
            <w:pPr>
              <w:tabs>
                <w:tab w:val="left" w:pos="6510"/>
              </w:tabs>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主要环境保护目标一览表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602"/>
              <w:gridCol w:w="1392"/>
              <w:gridCol w:w="1279"/>
              <w:gridCol w:w="1042"/>
              <w:gridCol w:w="668"/>
              <w:gridCol w:w="2062"/>
              <w:gridCol w:w="614"/>
              <w:gridCol w:w="635"/>
            </w:tblGrid>
            <w:tr w14:paraId="12F78D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restart"/>
                  <w:tcBorders>
                    <w:tl2br w:val="nil"/>
                    <w:tr2bl w:val="nil"/>
                  </w:tcBorders>
                  <w:tcMar>
                    <w:top w:w="0" w:type="dxa"/>
                    <w:left w:w="0" w:type="dxa"/>
                    <w:bottom w:w="0" w:type="dxa"/>
                    <w:right w:w="0" w:type="dxa"/>
                  </w:tcMar>
                  <w:vAlign w:val="center"/>
                </w:tcPr>
                <w:p w14:paraId="6E24A29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保护项目</w:t>
                  </w:r>
                </w:p>
              </w:tc>
              <w:tc>
                <w:tcPr>
                  <w:tcW w:w="1610" w:type="pct"/>
                  <w:gridSpan w:val="2"/>
                  <w:tcBorders>
                    <w:tl2br w:val="nil"/>
                    <w:tr2bl w:val="nil"/>
                  </w:tcBorders>
                  <w:tcMar>
                    <w:top w:w="0" w:type="dxa"/>
                    <w:left w:w="0" w:type="dxa"/>
                    <w:bottom w:w="0" w:type="dxa"/>
                    <w:right w:w="0" w:type="dxa"/>
                  </w:tcMar>
                  <w:vAlign w:val="center"/>
                </w:tcPr>
                <w:p w14:paraId="20F081C9">
                  <w:pPr>
                    <w:keepNext/>
                    <w:keepLines/>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坐标</w:t>
                  </w:r>
                </w:p>
              </w:tc>
              <w:tc>
                <w:tcPr>
                  <w:tcW w:w="628" w:type="pct"/>
                  <w:vMerge w:val="restart"/>
                  <w:tcBorders>
                    <w:tl2br w:val="nil"/>
                    <w:tr2bl w:val="nil"/>
                  </w:tcBorders>
                  <w:tcMar>
                    <w:top w:w="0" w:type="dxa"/>
                    <w:left w:w="0" w:type="dxa"/>
                    <w:bottom w:w="0" w:type="dxa"/>
                    <w:right w:w="0" w:type="dxa"/>
                  </w:tcMar>
                  <w:vAlign w:val="center"/>
                </w:tcPr>
                <w:p w14:paraId="2FB8D6E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保护对象</w:t>
                  </w:r>
                </w:p>
              </w:tc>
              <w:tc>
                <w:tcPr>
                  <w:tcW w:w="402" w:type="pct"/>
                  <w:vMerge w:val="restart"/>
                  <w:tcBorders>
                    <w:tl2br w:val="nil"/>
                    <w:tr2bl w:val="nil"/>
                  </w:tcBorders>
                  <w:tcMar>
                    <w:top w:w="0" w:type="dxa"/>
                    <w:left w:w="0" w:type="dxa"/>
                    <w:bottom w:w="0" w:type="dxa"/>
                    <w:right w:w="0" w:type="dxa"/>
                  </w:tcMar>
                  <w:vAlign w:val="center"/>
                </w:tcPr>
                <w:p w14:paraId="06CFB66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保护内容</w:t>
                  </w:r>
                </w:p>
              </w:tc>
              <w:tc>
                <w:tcPr>
                  <w:tcW w:w="1243" w:type="pct"/>
                  <w:vMerge w:val="restart"/>
                  <w:tcBorders>
                    <w:tl2br w:val="nil"/>
                    <w:tr2bl w:val="nil"/>
                  </w:tcBorders>
                  <w:tcMar>
                    <w:top w:w="0" w:type="dxa"/>
                    <w:left w:w="0" w:type="dxa"/>
                    <w:bottom w:w="0" w:type="dxa"/>
                    <w:right w:w="0" w:type="dxa"/>
                  </w:tcMar>
                  <w:vAlign w:val="center"/>
                </w:tcPr>
                <w:p w14:paraId="5824FCF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环境功能区</w:t>
                  </w:r>
                </w:p>
              </w:tc>
              <w:tc>
                <w:tcPr>
                  <w:tcW w:w="370" w:type="pct"/>
                  <w:vMerge w:val="restart"/>
                  <w:tcBorders>
                    <w:tl2br w:val="nil"/>
                    <w:tr2bl w:val="nil"/>
                  </w:tcBorders>
                  <w:tcMar>
                    <w:top w:w="0" w:type="dxa"/>
                    <w:left w:w="0" w:type="dxa"/>
                    <w:bottom w:w="0" w:type="dxa"/>
                    <w:right w:w="0" w:type="dxa"/>
                  </w:tcMar>
                  <w:vAlign w:val="center"/>
                </w:tcPr>
                <w:p w14:paraId="0BA1BBB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相对厂址方位</w:t>
                  </w:r>
                </w:p>
              </w:tc>
              <w:tc>
                <w:tcPr>
                  <w:tcW w:w="382" w:type="pct"/>
                  <w:vMerge w:val="restart"/>
                  <w:tcBorders>
                    <w:tl2br w:val="nil"/>
                    <w:tr2bl w:val="nil"/>
                  </w:tcBorders>
                  <w:tcMar>
                    <w:top w:w="0" w:type="dxa"/>
                    <w:left w:w="0" w:type="dxa"/>
                    <w:bottom w:w="0" w:type="dxa"/>
                    <w:right w:w="0" w:type="dxa"/>
                  </w:tcMar>
                  <w:vAlign w:val="center"/>
                </w:tcPr>
                <w:p w14:paraId="00E81683">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相对厂界最近距离/m</w:t>
                  </w:r>
                </w:p>
              </w:tc>
            </w:tr>
            <w:tr w14:paraId="0D19D3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continue"/>
                  <w:tcBorders>
                    <w:tl2br w:val="nil"/>
                    <w:tr2bl w:val="nil"/>
                  </w:tcBorders>
                  <w:tcMar>
                    <w:top w:w="0" w:type="dxa"/>
                    <w:left w:w="0" w:type="dxa"/>
                    <w:bottom w:w="0" w:type="dxa"/>
                    <w:right w:w="0" w:type="dxa"/>
                  </w:tcMar>
                  <w:vAlign w:val="center"/>
                </w:tcPr>
                <w:p w14:paraId="619C9EAC">
                  <w:pPr>
                    <w:adjustRightInd w:val="0"/>
                    <w:snapToGrid w:val="0"/>
                    <w:jc w:val="center"/>
                    <w:rPr>
                      <w:rFonts w:hint="default" w:ascii="Times New Roman" w:hAnsi="Times New Roman" w:eastAsia="宋体" w:cs="Times New Roman"/>
                      <w:color w:val="auto"/>
                      <w:sz w:val="21"/>
                      <w:szCs w:val="21"/>
                    </w:rPr>
                  </w:pPr>
                </w:p>
              </w:tc>
              <w:tc>
                <w:tcPr>
                  <w:tcW w:w="839" w:type="pct"/>
                  <w:tcBorders>
                    <w:tl2br w:val="nil"/>
                    <w:tr2bl w:val="nil"/>
                  </w:tcBorders>
                  <w:tcMar>
                    <w:top w:w="0" w:type="dxa"/>
                    <w:left w:w="0" w:type="dxa"/>
                    <w:bottom w:w="0" w:type="dxa"/>
                    <w:right w:w="0" w:type="dxa"/>
                  </w:tcMar>
                  <w:vAlign w:val="center"/>
                </w:tcPr>
                <w:p w14:paraId="128CE3F9">
                  <w:pPr>
                    <w:keepNext/>
                    <w:keepLines/>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771" w:type="pct"/>
                  <w:tcBorders>
                    <w:tl2br w:val="nil"/>
                    <w:tr2bl w:val="nil"/>
                  </w:tcBorders>
                  <w:tcMar>
                    <w:top w:w="0" w:type="dxa"/>
                    <w:left w:w="0" w:type="dxa"/>
                    <w:bottom w:w="0" w:type="dxa"/>
                    <w:right w:w="0" w:type="dxa"/>
                  </w:tcMar>
                  <w:vAlign w:val="center"/>
                </w:tcPr>
                <w:p w14:paraId="1A4793AC">
                  <w:pPr>
                    <w:keepNext/>
                    <w:keepLines/>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628" w:type="pct"/>
                  <w:vMerge w:val="continue"/>
                  <w:tcBorders>
                    <w:tl2br w:val="nil"/>
                    <w:tr2bl w:val="nil"/>
                  </w:tcBorders>
                  <w:tcMar>
                    <w:top w:w="0" w:type="dxa"/>
                    <w:left w:w="0" w:type="dxa"/>
                    <w:bottom w:w="0" w:type="dxa"/>
                    <w:right w:w="0" w:type="dxa"/>
                  </w:tcMar>
                  <w:vAlign w:val="center"/>
                </w:tcPr>
                <w:p w14:paraId="1F9AE922">
                  <w:pPr>
                    <w:adjustRightInd w:val="0"/>
                    <w:snapToGrid w:val="0"/>
                    <w:jc w:val="center"/>
                    <w:rPr>
                      <w:rFonts w:hint="default" w:ascii="Times New Roman" w:hAnsi="Times New Roman" w:eastAsia="宋体" w:cs="Times New Roman"/>
                      <w:color w:val="auto"/>
                      <w:sz w:val="21"/>
                      <w:szCs w:val="21"/>
                    </w:rPr>
                  </w:pPr>
                </w:p>
              </w:tc>
              <w:tc>
                <w:tcPr>
                  <w:tcW w:w="402" w:type="pct"/>
                  <w:vMerge w:val="continue"/>
                  <w:tcBorders>
                    <w:tl2br w:val="nil"/>
                    <w:tr2bl w:val="nil"/>
                  </w:tcBorders>
                  <w:tcMar>
                    <w:top w:w="0" w:type="dxa"/>
                    <w:left w:w="0" w:type="dxa"/>
                    <w:bottom w:w="0" w:type="dxa"/>
                    <w:right w:w="0" w:type="dxa"/>
                  </w:tcMar>
                  <w:vAlign w:val="center"/>
                </w:tcPr>
                <w:p w14:paraId="2E0F3C8E">
                  <w:pPr>
                    <w:adjustRightInd w:val="0"/>
                    <w:snapToGrid w:val="0"/>
                    <w:jc w:val="center"/>
                    <w:rPr>
                      <w:rFonts w:hint="default" w:ascii="Times New Roman" w:hAnsi="Times New Roman" w:eastAsia="宋体" w:cs="Times New Roman"/>
                      <w:color w:val="auto"/>
                      <w:sz w:val="21"/>
                      <w:szCs w:val="21"/>
                    </w:rPr>
                  </w:pPr>
                </w:p>
              </w:tc>
              <w:tc>
                <w:tcPr>
                  <w:tcW w:w="1243" w:type="pct"/>
                  <w:vMerge w:val="continue"/>
                  <w:tcBorders>
                    <w:tl2br w:val="nil"/>
                    <w:tr2bl w:val="nil"/>
                  </w:tcBorders>
                  <w:tcMar>
                    <w:top w:w="0" w:type="dxa"/>
                    <w:left w:w="0" w:type="dxa"/>
                    <w:bottom w:w="0" w:type="dxa"/>
                    <w:right w:w="0" w:type="dxa"/>
                  </w:tcMar>
                  <w:vAlign w:val="center"/>
                </w:tcPr>
                <w:p w14:paraId="4FCD5369">
                  <w:pPr>
                    <w:adjustRightInd w:val="0"/>
                    <w:snapToGrid w:val="0"/>
                    <w:jc w:val="center"/>
                    <w:rPr>
                      <w:rFonts w:hint="default" w:ascii="Times New Roman" w:hAnsi="Times New Roman" w:eastAsia="宋体" w:cs="Times New Roman"/>
                      <w:color w:val="auto"/>
                      <w:sz w:val="21"/>
                      <w:szCs w:val="21"/>
                    </w:rPr>
                  </w:pPr>
                </w:p>
              </w:tc>
              <w:tc>
                <w:tcPr>
                  <w:tcW w:w="370" w:type="pct"/>
                  <w:vMerge w:val="continue"/>
                  <w:tcBorders>
                    <w:tl2br w:val="nil"/>
                    <w:tr2bl w:val="nil"/>
                  </w:tcBorders>
                  <w:tcMar>
                    <w:top w:w="0" w:type="dxa"/>
                    <w:left w:w="0" w:type="dxa"/>
                    <w:bottom w:w="0" w:type="dxa"/>
                    <w:right w:w="0" w:type="dxa"/>
                  </w:tcMar>
                  <w:vAlign w:val="center"/>
                </w:tcPr>
                <w:p w14:paraId="0AB78259">
                  <w:pPr>
                    <w:adjustRightInd w:val="0"/>
                    <w:snapToGrid w:val="0"/>
                    <w:jc w:val="center"/>
                    <w:rPr>
                      <w:rFonts w:hint="default" w:ascii="Times New Roman" w:hAnsi="Times New Roman" w:eastAsia="宋体" w:cs="Times New Roman"/>
                      <w:color w:val="auto"/>
                      <w:sz w:val="21"/>
                      <w:szCs w:val="21"/>
                    </w:rPr>
                  </w:pPr>
                </w:p>
              </w:tc>
              <w:tc>
                <w:tcPr>
                  <w:tcW w:w="382" w:type="pct"/>
                  <w:vMerge w:val="continue"/>
                  <w:tcBorders>
                    <w:tl2br w:val="nil"/>
                    <w:tr2bl w:val="nil"/>
                  </w:tcBorders>
                  <w:tcMar>
                    <w:top w:w="0" w:type="dxa"/>
                    <w:left w:w="0" w:type="dxa"/>
                    <w:bottom w:w="0" w:type="dxa"/>
                    <w:right w:w="0" w:type="dxa"/>
                  </w:tcMar>
                  <w:vAlign w:val="center"/>
                </w:tcPr>
                <w:p w14:paraId="64A85665">
                  <w:pPr>
                    <w:adjustRightInd w:val="0"/>
                    <w:snapToGrid w:val="0"/>
                    <w:jc w:val="center"/>
                    <w:rPr>
                      <w:rFonts w:hint="default" w:ascii="Times New Roman" w:hAnsi="Times New Roman" w:eastAsia="宋体" w:cs="Times New Roman"/>
                      <w:color w:val="auto"/>
                      <w:sz w:val="21"/>
                      <w:szCs w:val="21"/>
                    </w:rPr>
                  </w:pPr>
                </w:p>
              </w:tc>
            </w:tr>
            <w:tr w14:paraId="082224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restart"/>
                  <w:tcBorders>
                    <w:tl2br w:val="nil"/>
                    <w:tr2bl w:val="nil"/>
                  </w:tcBorders>
                  <w:tcMar>
                    <w:top w:w="0" w:type="dxa"/>
                    <w:left w:w="0" w:type="dxa"/>
                    <w:bottom w:w="0" w:type="dxa"/>
                    <w:right w:w="0" w:type="dxa"/>
                  </w:tcMar>
                  <w:vAlign w:val="center"/>
                </w:tcPr>
                <w:p w14:paraId="0068244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39" w:type="pct"/>
                  <w:tcBorders>
                    <w:tl2br w:val="nil"/>
                    <w:tr2bl w:val="nil"/>
                  </w:tcBorders>
                  <w:tcMar>
                    <w:top w:w="0" w:type="dxa"/>
                    <w:left w:w="0" w:type="dxa"/>
                    <w:bottom w:w="0" w:type="dxa"/>
                    <w:right w:w="0" w:type="dxa"/>
                  </w:tcMar>
                  <w:vAlign w:val="center"/>
                </w:tcPr>
                <w:p w14:paraId="6FD53225">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119.4433102°</w:t>
                  </w:r>
                </w:p>
              </w:tc>
              <w:tc>
                <w:tcPr>
                  <w:tcW w:w="771" w:type="pct"/>
                  <w:tcBorders>
                    <w:tl2br w:val="nil"/>
                    <w:tr2bl w:val="nil"/>
                  </w:tcBorders>
                  <w:tcMar>
                    <w:top w:w="0" w:type="dxa"/>
                    <w:left w:w="0" w:type="dxa"/>
                    <w:bottom w:w="0" w:type="dxa"/>
                    <w:right w:w="0" w:type="dxa"/>
                  </w:tcMar>
                  <w:vAlign w:val="center"/>
                </w:tcPr>
                <w:p w14:paraId="0B470633">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31.6902148°</w:t>
                  </w:r>
                </w:p>
              </w:tc>
              <w:tc>
                <w:tcPr>
                  <w:tcW w:w="628" w:type="pct"/>
                  <w:tcBorders>
                    <w:tl2br w:val="nil"/>
                    <w:tr2bl w:val="nil"/>
                  </w:tcBorders>
                  <w:tcMar>
                    <w:top w:w="0" w:type="dxa"/>
                    <w:left w:w="0" w:type="dxa"/>
                    <w:bottom w:w="0" w:type="dxa"/>
                    <w:right w:w="0" w:type="dxa"/>
                  </w:tcMar>
                  <w:vAlign w:val="center"/>
                </w:tcPr>
                <w:p w14:paraId="58AAEF8D">
                  <w:pPr>
                    <w:widowControl/>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唐王村</w:t>
                  </w:r>
                </w:p>
              </w:tc>
              <w:tc>
                <w:tcPr>
                  <w:tcW w:w="402" w:type="pct"/>
                  <w:tcBorders>
                    <w:tl2br w:val="nil"/>
                    <w:tr2bl w:val="nil"/>
                  </w:tcBorders>
                  <w:tcMar>
                    <w:top w:w="0" w:type="dxa"/>
                    <w:left w:w="0" w:type="dxa"/>
                    <w:bottom w:w="0" w:type="dxa"/>
                    <w:right w:w="0" w:type="dxa"/>
                  </w:tcMar>
                  <w:vAlign w:val="center"/>
                </w:tcPr>
                <w:p w14:paraId="389DED68">
                  <w:pPr>
                    <w:widowControl/>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1500人</w:t>
                  </w:r>
                </w:p>
              </w:tc>
              <w:tc>
                <w:tcPr>
                  <w:tcW w:w="1243" w:type="pct"/>
                  <w:vMerge w:val="restart"/>
                  <w:tcBorders>
                    <w:tl2br w:val="nil"/>
                    <w:tr2bl w:val="nil"/>
                  </w:tcBorders>
                  <w:tcMar>
                    <w:top w:w="0" w:type="dxa"/>
                    <w:left w:w="0" w:type="dxa"/>
                    <w:bottom w:w="0" w:type="dxa"/>
                    <w:right w:w="0" w:type="dxa"/>
                  </w:tcMar>
                  <w:vAlign w:val="center"/>
                </w:tcPr>
                <w:p w14:paraId="7E0AD67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p>
                <w:p w14:paraId="5B3969B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（GB3095-2012）中二类功能区</w:t>
                  </w:r>
                </w:p>
              </w:tc>
              <w:tc>
                <w:tcPr>
                  <w:tcW w:w="370" w:type="pct"/>
                  <w:tcBorders>
                    <w:tl2br w:val="nil"/>
                    <w:tr2bl w:val="nil"/>
                  </w:tcBorders>
                  <w:tcMar>
                    <w:top w:w="0" w:type="dxa"/>
                    <w:left w:w="0" w:type="dxa"/>
                    <w:bottom w:w="0" w:type="dxa"/>
                    <w:right w:w="0" w:type="dxa"/>
                  </w:tcMar>
                  <w:vAlign w:val="center"/>
                </w:tcPr>
                <w:p w14:paraId="3104042F">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t>
                  </w:r>
                </w:p>
              </w:tc>
              <w:tc>
                <w:tcPr>
                  <w:tcW w:w="382" w:type="pct"/>
                  <w:tcBorders>
                    <w:tl2br w:val="nil"/>
                    <w:tr2bl w:val="nil"/>
                  </w:tcBorders>
                  <w:tcMar>
                    <w:top w:w="0" w:type="dxa"/>
                    <w:left w:w="0" w:type="dxa"/>
                    <w:bottom w:w="0" w:type="dxa"/>
                    <w:right w:w="0" w:type="dxa"/>
                  </w:tcMar>
                  <w:vAlign w:val="center"/>
                </w:tcPr>
                <w:p w14:paraId="7CC17B42">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r>
            <w:tr w14:paraId="60BF80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continue"/>
                  <w:tcBorders>
                    <w:tl2br w:val="nil"/>
                    <w:tr2bl w:val="nil"/>
                  </w:tcBorders>
                  <w:tcMar>
                    <w:top w:w="0" w:type="dxa"/>
                    <w:left w:w="0" w:type="dxa"/>
                    <w:bottom w:w="0" w:type="dxa"/>
                    <w:right w:w="0" w:type="dxa"/>
                  </w:tcMar>
                  <w:vAlign w:val="center"/>
                </w:tcPr>
                <w:p w14:paraId="4ECA07F9">
                  <w:pPr>
                    <w:adjustRightInd w:val="0"/>
                    <w:snapToGrid w:val="0"/>
                    <w:jc w:val="center"/>
                    <w:rPr>
                      <w:rFonts w:hint="default" w:ascii="Times New Roman" w:hAnsi="Times New Roman" w:eastAsia="宋体" w:cs="Times New Roman"/>
                      <w:color w:val="auto"/>
                      <w:sz w:val="21"/>
                      <w:szCs w:val="21"/>
                    </w:rPr>
                  </w:pPr>
                </w:p>
              </w:tc>
              <w:tc>
                <w:tcPr>
                  <w:tcW w:w="839" w:type="pct"/>
                  <w:tcBorders>
                    <w:tl2br w:val="nil"/>
                    <w:tr2bl w:val="nil"/>
                  </w:tcBorders>
                  <w:tcMar>
                    <w:top w:w="0" w:type="dxa"/>
                    <w:left w:w="0" w:type="dxa"/>
                    <w:bottom w:w="0" w:type="dxa"/>
                    <w:right w:w="0" w:type="dxa"/>
                  </w:tcMar>
                  <w:vAlign w:val="center"/>
                </w:tcPr>
                <w:p w14:paraId="01D030DD">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119.4441636°</w:t>
                  </w:r>
                </w:p>
              </w:tc>
              <w:tc>
                <w:tcPr>
                  <w:tcW w:w="771" w:type="pct"/>
                  <w:tcBorders>
                    <w:tl2br w:val="nil"/>
                    <w:tr2bl w:val="nil"/>
                  </w:tcBorders>
                  <w:tcMar>
                    <w:top w:w="0" w:type="dxa"/>
                    <w:left w:w="0" w:type="dxa"/>
                    <w:bottom w:w="0" w:type="dxa"/>
                    <w:right w:w="0" w:type="dxa"/>
                  </w:tcMar>
                  <w:vAlign w:val="center"/>
                </w:tcPr>
                <w:p w14:paraId="2FA85F91">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31.6925806°</w:t>
                  </w:r>
                </w:p>
              </w:tc>
              <w:tc>
                <w:tcPr>
                  <w:tcW w:w="628" w:type="pct"/>
                  <w:tcBorders>
                    <w:tl2br w:val="nil"/>
                    <w:tr2bl w:val="nil"/>
                  </w:tcBorders>
                  <w:tcMar>
                    <w:top w:w="0" w:type="dxa"/>
                    <w:left w:w="0" w:type="dxa"/>
                    <w:bottom w:w="0" w:type="dxa"/>
                    <w:right w:w="0" w:type="dxa"/>
                  </w:tcMar>
                  <w:vAlign w:val="center"/>
                </w:tcPr>
                <w:p w14:paraId="5BDD9762">
                  <w:pPr>
                    <w:widowControl/>
                    <w:jc w:val="center"/>
                    <w:rPr>
                      <w:rFonts w:hint="default" w:ascii="Times New Roman" w:hAnsi="Times New Roman" w:eastAsia="宋体" w:cs="Times New Roman"/>
                      <w:b w:val="0"/>
                      <w:bCs w:val="0"/>
                      <w:color w:val="auto"/>
                      <w:kern w:val="2"/>
                      <w:sz w:val="21"/>
                      <w:szCs w:val="21"/>
                      <w:lang w:val="en-US"/>
                    </w:rPr>
                  </w:pPr>
                  <w:r>
                    <w:rPr>
                      <w:rFonts w:hint="eastAsia" w:ascii="Times New Roman" w:hAnsi="Times New Roman" w:eastAsia="宋体" w:cs="Times New Roman"/>
                      <w:color w:val="auto"/>
                      <w:kern w:val="0"/>
                      <w:sz w:val="21"/>
                      <w:szCs w:val="21"/>
                      <w:lang w:val="en-US" w:eastAsia="zh-CN"/>
                    </w:rPr>
                    <w:t>江苏省金坛区唐王小学</w:t>
                  </w:r>
                </w:p>
              </w:tc>
              <w:tc>
                <w:tcPr>
                  <w:tcW w:w="402" w:type="pct"/>
                  <w:tcBorders>
                    <w:tl2br w:val="nil"/>
                    <w:tr2bl w:val="nil"/>
                  </w:tcBorders>
                  <w:tcMar>
                    <w:top w:w="0" w:type="dxa"/>
                    <w:left w:w="0" w:type="dxa"/>
                    <w:bottom w:w="0" w:type="dxa"/>
                    <w:right w:w="0" w:type="dxa"/>
                  </w:tcMar>
                  <w:vAlign w:val="center"/>
                </w:tcPr>
                <w:p w14:paraId="549F2D19">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r>
                    <w:rPr>
                      <w:rFonts w:hint="eastAsia" w:ascii="Times New Roman" w:hAnsi="Times New Roman" w:eastAsia="宋体" w:cs="Times New Roman"/>
                      <w:color w:val="auto"/>
                      <w:kern w:val="2"/>
                      <w:sz w:val="21"/>
                      <w:szCs w:val="21"/>
                      <w:lang w:val="en-US" w:eastAsia="zh-CN"/>
                    </w:rPr>
                    <w:t>人</w:t>
                  </w:r>
                </w:p>
              </w:tc>
              <w:tc>
                <w:tcPr>
                  <w:tcW w:w="1243" w:type="pct"/>
                  <w:vMerge w:val="continue"/>
                  <w:tcBorders>
                    <w:tl2br w:val="nil"/>
                    <w:tr2bl w:val="nil"/>
                  </w:tcBorders>
                  <w:tcMar>
                    <w:top w:w="0" w:type="dxa"/>
                    <w:left w:w="0" w:type="dxa"/>
                    <w:bottom w:w="0" w:type="dxa"/>
                    <w:right w:w="0" w:type="dxa"/>
                  </w:tcMar>
                  <w:vAlign w:val="center"/>
                </w:tcPr>
                <w:p w14:paraId="309B6B48">
                  <w:pPr>
                    <w:adjustRightInd w:val="0"/>
                    <w:snapToGrid w:val="0"/>
                    <w:jc w:val="center"/>
                    <w:rPr>
                      <w:rFonts w:hint="default" w:ascii="Times New Roman" w:hAnsi="Times New Roman" w:eastAsia="宋体" w:cs="Times New Roman"/>
                      <w:color w:val="auto"/>
                      <w:sz w:val="21"/>
                      <w:szCs w:val="21"/>
                    </w:rPr>
                  </w:pPr>
                </w:p>
              </w:tc>
              <w:tc>
                <w:tcPr>
                  <w:tcW w:w="370" w:type="pct"/>
                  <w:tcBorders>
                    <w:tl2br w:val="nil"/>
                    <w:tr2bl w:val="nil"/>
                  </w:tcBorders>
                  <w:tcMar>
                    <w:top w:w="0" w:type="dxa"/>
                    <w:left w:w="0" w:type="dxa"/>
                    <w:bottom w:w="0" w:type="dxa"/>
                    <w:right w:w="0" w:type="dxa"/>
                  </w:tcMar>
                  <w:vAlign w:val="center"/>
                </w:tcPr>
                <w:p w14:paraId="3CBC61D6">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382" w:type="pct"/>
                  <w:tcBorders>
                    <w:tl2br w:val="nil"/>
                    <w:tr2bl w:val="nil"/>
                  </w:tcBorders>
                  <w:tcMar>
                    <w:top w:w="0" w:type="dxa"/>
                    <w:left w:w="0" w:type="dxa"/>
                    <w:bottom w:w="0" w:type="dxa"/>
                    <w:right w:w="0" w:type="dxa"/>
                  </w:tcMar>
                  <w:vAlign w:val="center"/>
                </w:tcPr>
                <w:p w14:paraId="7BCCC3CC">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230</w:t>
                  </w:r>
                </w:p>
              </w:tc>
            </w:tr>
            <w:tr w14:paraId="0F6CA8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continue"/>
                  <w:tcBorders>
                    <w:tl2br w:val="nil"/>
                    <w:tr2bl w:val="nil"/>
                  </w:tcBorders>
                  <w:tcMar>
                    <w:top w:w="0" w:type="dxa"/>
                    <w:left w:w="0" w:type="dxa"/>
                    <w:bottom w:w="0" w:type="dxa"/>
                    <w:right w:w="0" w:type="dxa"/>
                  </w:tcMar>
                  <w:vAlign w:val="center"/>
                </w:tcPr>
                <w:p w14:paraId="79D8F3C1">
                  <w:pPr>
                    <w:adjustRightInd w:val="0"/>
                    <w:snapToGrid w:val="0"/>
                    <w:jc w:val="center"/>
                    <w:rPr>
                      <w:rFonts w:hint="default" w:ascii="Times New Roman" w:hAnsi="Times New Roman" w:eastAsia="宋体" w:cs="Times New Roman"/>
                      <w:color w:val="auto"/>
                      <w:sz w:val="21"/>
                      <w:szCs w:val="21"/>
                    </w:rPr>
                  </w:pPr>
                </w:p>
              </w:tc>
              <w:tc>
                <w:tcPr>
                  <w:tcW w:w="839" w:type="pct"/>
                  <w:tcBorders>
                    <w:tl2br w:val="nil"/>
                    <w:tr2bl w:val="nil"/>
                  </w:tcBorders>
                  <w:tcMar>
                    <w:top w:w="0" w:type="dxa"/>
                    <w:left w:w="0" w:type="dxa"/>
                    <w:bottom w:w="0" w:type="dxa"/>
                    <w:right w:w="0" w:type="dxa"/>
                  </w:tcMar>
                  <w:vAlign w:val="center"/>
                </w:tcPr>
                <w:p w14:paraId="01C2EA66">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119.4442219°</w:t>
                  </w:r>
                </w:p>
              </w:tc>
              <w:tc>
                <w:tcPr>
                  <w:tcW w:w="771" w:type="pct"/>
                  <w:tcBorders>
                    <w:tl2br w:val="nil"/>
                    <w:tr2bl w:val="nil"/>
                  </w:tcBorders>
                  <w:tcMar>
                    <w:top w:w="0" w:type="dxa"/>
                    <w:left w:w="0" w:type="dxa"/>
                    <w:bottom w:w="0" w:type="dxa"/>
                    <w:right w:w="0" w:type="dxa"/>
                  </w:tcMar>
                  <w:vAlign w:val="center"/>
                </w:tcPr>
                <w:p w14:paraId="607F881D">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31.6920852°</w:t>
                  </w:r>
                </w:p>
              </w:tc>
              <w:tc>
                <w:tcPr>
                  <w:tcW w:w="628" w:type="pct"/>
                  <w:tcBorders>
                    <w:tl2br w:val="nil"/>
                    <w:tr2bl w:val="nil"/>
                  </w:tcBorders>
                  <w:tcMar>
                    <w:top w:w="0" w:type="dxa"/>
                    <w:left w:w="0" w:type="dxa"/>
                    <w:bottom w:w="0" w:type="dxa"/>
                    <w:right w:w="0" w:type="dxa"/>
                  </w:tcMar>
                  <w:vAlign w:val="center"/>
                </w:tcPr>
                <w:p w14:paraId="3B314EE9">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唐王幼儿园</w:t>
                  </w:r>
                </w:p>
              </w:tc>
              <w:tc>
                <w:tcPr>
                  <w:tcW w:w="402" w:type="pct"/>
                  <w:tcBorders>
                    <w:tl2br w:val="nil"/>
                    <w:tr2bl w:val="nil"/>
                  </w:tcBorders>
                  <w:tcMar>
                    <w:top w:w="0" w:type="dxa"/>
                    <w:left w:w="0" w:type="dxa"/>
                    <w:bottom w:w="0" w:type="dxa"/>
                    <w:right w:w="0" w:type="dxa"/>
                  </w:tcMar>
                  <w:vAlign w:val="center"/>
                </w:tcPr>
                <w:p w14:paraId="2E3240B7">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100人</w:t>
                  </w:r>
                </w:p>
              </w:tc>
              <w:tc>
                <w:tcPr>
                  <w:tcW w:w="1243" w:type="pct"/>
                  <w:vMerge w:val="continue"/>
                  <w:tcBorders>
                    <w:tl2br w:val="nil"/>
                    <w:tr2bl w:val="nil"/>
                  </w:tcBorders>
                  <w:tcMar>
                    <w:top w:w="0" w:type="dxa"/>
                    <w:left w:w="0" w:type="dxa"/>
                    <w:bottom w:w="0" w:type="dxa"/>
                    <w:right w:w="0" w:type="dxa"/>
                  </w:tcMar>
                  <w:vAlign w:val="center"/>
                </w:tcPr>
                <w:p w14:paraId="7313EBF7">
                  <w:pPr>
                    <w:adjustRightInd w:val="0"/>
                    <w:snapToGrid w:val="0"/>
                    <w:jc w:val="center"/>
                    <w:rPr>
                      <w:rFonts w:hint="default" w:ascii="Times New Roman" w:hAnsi="Times New Roman" w:eastAsia="宋体" w:cs="Times New Roman"/>
                      <w:color w:val="auto"/>
                      <w:sz w:val="21"/>
                      <w:szCs w:val="21"/>
                    </w:rPr>
                  </w:pPr>
                </w:p>
              </w:tc>
              <w:tc>
                <w:tcPr>
                  <w:tcW w:w="370" w:type="pct"/>
                  <w:tcBorders>
                    <w:tl2br w:val="nil"/>
                    <w:tr2bl w:val="nil"/>
                  </w:tcBorders>
                  <w:tcMar>
                    <w:top w:w="0" w:type="dxa"/>
                    <w:left w:w="0" w:type="dxa"/>
                    <w:bottom w:w="0" w:type="dxa"/>
                    <w:right w:w="0" w:type="dxa"/>
                  </w:tcMar>
                  <w:vAlign w:val="center"/>
                </w:tcPr>
                <w:p w14:paraId="080D71DC">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NE</w:t>
                  </w:r>
                </w:p>
              </w:tc>
              <w:tc>
                <w:tcPr>
                  <w:tcW w:w="382" w:type="pct"/>
                  <w:tcBorders>
                    <w:tl2br w:val="nil"/>
                    <w:tr2bl w:val="nil"/>
                  </w:tcBorders>
                  <w:tcMar>
                    <w:top w:w="0" w:type="dxa"/>
                    <w:left w:w="0" w:type="dxa"/>
                    <w:bottom w:w="0" w:type="dxa"/>
                    <w:right w:w="0" w:type="dxa"/>
                  </w:tcMar>
                  <w:vAlign w:val="center"/>
                </w:tcPr>
                <w:p w14:paraId="424DBC69">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212</w:t>
                  </w:r>
                </w:p>
              </w:tc>
            </w:tr>
            <w:tr w14:paraId="308B73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continue"/>
                  <w:tcBorders>
                    <w:tl2br w:val="nil"/>
                    <w:tr2bl w:val="nil"/>
                  </w:tcBorders>
                  <w:tcMar>
                    <w:top w:w="0" w:type="dxa"/>
                    <w:left w:w="0" w:type="dxa"/>
                    <w:bottom w:w="0" w:type="dxa"/>
                    <w:right w:w="0" w:type="dxa"/>
                  </w:tcMar>
                  <w:vAlign w:val="center"/>
                </w:tcPr>
                <w:p w14:paraId="053AC947">
                  <w:pPr>
                    <w:adjustRightInd w:val="0"/>
                    <w:snapToGrid w:val="0"/>
                    <w:jc w:val="center"/>
                    <w:rPr>
                      <w:rFonts w:hint="default" w:ascii="Times New Roman" w:hAnsi="Times New Roman" w:eastAsia="宋体" w:cs="Times New Roman"/>
                      <w:color w:val="auto"/>
                      <w:sz w:val="21"/>
                      <w:szCs w:val="21"/>
                    </w:rPr>
                  </w:pPr>
                </w:p>
              </w:tc>
              <w:tc>
                <w:tcPr>
                  <w:tcW w:w="839" w:type="pct"/>
                  <w:tcBorders>
                    <w:tl2br w:val="nil"/>
                    <w:tr2bl w:val="nil"/>
                  </w:tcBorders>
                  <w:tcMar>
                    <w:top w:w="0" w:type="dxa"/>
                    <w:left w:w="0" w:type="dxa"/>
                    <w:bottom w:w="0" w:type="dxa"/>
                    <w:right w:w="0" w:type="dxa"/>
                  </w:tcMar>
                  <w:vAlign w:val="center"/>
                </w:tcPr>
                <w:p w14:paraId="6F2A597A">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119.4408174</w:t>
                  </w:r>
                </w:p>
              </w:tc>
              <w:tc>
                <w:tcPr>
                  <w:tcW w:w="771" w:type="pct"/>
                  <w:tcBorders>
                    <w:tl2br w:val="nil"/>
                    <w:tr2bl w:val="nil"/>
                  </w:tcBorders>
                  <w:tcMar>
                    <w:top w:w="0" w:type="dxa"/>
                    <w:left w:w="0" w:type="dxa"/>
                    <w:bottom w:w="0" w:type="dxa"/>
                    <w:right w:w="0" w:type="dxa"/>
                  </w:tcMar>
                  <w:vAlign w:val="center"/>
                </w:tcPr>
                <w:p w14:paraId="3C3B2CAA">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31.6860860</w:t>
                  </w:r>
                </w:p>
              </w:tc>
              <w:tc>
                <w:tcPr>
                  <w:tcW w:w="628" w:type="pct"/>
                  <w:tcBorders>
                    <w:tl2br w:val="nil"/>
                    <w:tr2bl w:val="nil"/>
                  </w:tcBorders>
                  <w:tcMar>
                    <w:top w:w="0" w:type="dxa"/>
                    <w:left w:w="0" w:type="dxa"/>
                    <w:bottom w:w="0" w:type="dxa"/>
                    <w:right w:w="0" w:type="dxa"/>
                  </w:tcMar>
                  <w:vAlign w:val="center"/>
                </w:tcPr>
                <w:p w14:paraId="37562152">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lang w:val="en-US" w:eastAsia="zh-CN"/>
                    </w:rPr>
                    <w:t>唐埠</w:t>
                  </w:r>
                </w:p>
              </w:tc>
              <w:tc>
                <w:tcPr>
                  <w:tcW w:w="402" w:type="pct"/>
                  <w:tcBorders>
                    <w:tl2br w:val="nil"/>
                    <w:tr2bl w:val="nil"/>
                  </w:tcBorders>
                  <w:tcMar>
                    <w:top w:w="0" w:type="dxa"/>
                    <w:left w:w="0" w:type="dxa"/>
                    <w:bottom w:w="0" w:type="dxa"/>
                    <w:right w:w="0" w:type="dxa"/>
                  </w:tcMar>
                  <w:vAlign w:val="center"/>
                </w:tcPr>
                <w:p w14:paraId="34EB84DF">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200人</w:t>
                  </w:r>
                </w:p>
              </w:tc>
              <w:tc>
                <w:tcPr>
                  <w:tcW w:w="1243" w:type="pct"/>
                  <w:vMerge w:val="continue"/>
                  <w:tcBorders>
                    <w:tl2br w:val="nil"/>
                    <w:tr2bl w:val="nil"/>
                  </w:tcBorders>
                  <w:tcMar>
                    <w:top w:w="0" w:type="dxa"/>
                    <w:left w:w="0" w:type="dxa"/>
                    <w:bottom w:w="0" w:type="dxa"/>
                    <w:right w:w="0" w:type="dxa"/>
                  </w:tcMar>
                  <w:vAlign w:val="center"/>
                </w:tcPr>
                <w:p w14:paraId="723E8AF3">
                  <w:pPr>
                    <w:adjustRightInd w:val="0"/>
                    <w:snapToGrid w:val="0"/>
                    <w:jc w:val="center"/>
                    <w:rPr>
                      <w:rFonts w:hint="default" w:ascii="Times New Roman" w:hAnsi="Times New Roman" w:eastAsia="宋体" w:cs="Times New Roman"/>
                      <w:color w:val="auto"/>
                      <w:sz w:val="21"/>
                      <w:szCs w:val="21"/>
                    </w:rPr>
                  </w:pPr>
                </w:p>
              </w:tc>
              <w:tc>
                <w:tcPr>
                  <w:tcW w:w="370" w:type="pct"/>
                  <w:tcBorders>
                    <w:tl2br w:val="nil"/>
                    <w:tr2bl w:val="nil"/>
                  </w:tcBorders>
                  <w:tcMar>
                    <w:top w:w="0" w:type="dxa"/>
                    <w:left w:w="0" w:type="dxa"/>
                    <w:bottom w:w="0" w:type="dxa"/>
                    <w:right w:w="0" w:type="dxa"/>
                  </w:tcMar>
                  <w:vAlign w:val="center"/>
                </w:tcPr>
                <w:p w14:paraId="25BC6AEB">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t>
                  </w:r>
                </w:p>
              </w:tc>
              <w:tc>
                <w:tcPr>
                  <w:tcW w:w="382" w:type="pct"/>
                  <w:tcBorders>
                    <w:tl2br w:val="nil"/>
                    <w:tr2bl w:val="nil"/>
                  </w:tcBorders>
                  <w:tcMar>
                    <w:top w:w="0" w:type="dxa"/>
                    <w:left w:w="0" w:type="dxa"/>
                    <w:bottom w:w="0" w:type="dxa"/>
                    <w:right w:w="0" w:type="dxa"/>
                  </w:tcMar>
                  <w:vAlign w:val="center"/>
                </w:tcPr>
                <w:p w14:paraId="0345FCA2">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440</w:t>
                  </w:r>
                </w:p>
              </w:tc>
            </w:tr>
            <w:tr w14:paraId="7D384A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continue"/>
                  <w:tcBorders>
                    <w:tl2br w:val="nil"/>
                    <w:tr2bl w:val="nil"/>
                  </w:tcBorders>
                  <w:tcMar>
                    <w:top w:w="0" w:type="dxa"/>
                    <w:left w:w="0" w:type="dxa"/>
                    <w:bottom w:w="0" w:type="dxa"/>
                    <w:right w:w="0" w:type="dxa"/>
                  </w:tcMar>
                  <w:vAlign w:val="center"/>
                </w:tcPr>
                <w:p w14:paraId="356E8971">
                  <w:pPr>
                    <w:adjustRightInd w:val="0"/>
                    <w:snapToGrid w:val="0"/>
                    <w:jc w:val="center"/>
                    <w:rPr>
                      <w:rFonts w:hint="default" w:ascii="Times New Roman" w:hAnsi="Times New Roman" w:eastAsia="宋体" w:cs="Times New Roman"/>
                      <w:color w:val="auto"/>
                      <w:sz w:val="21"/>
                      <w:szCs w:val="21"/>
                    </w:rPr>
                  </w:pPr>
                </w:p>
              </w:tc>
              <w:tc>
                <w:tcPr>
                  <w:tcW w:w="839" w:type="pct"/>
                  <w:tcBorders>
                    <w:tl2br w:val="nil"/>
                    <w:tr2bl w:val="nil"/>
                  </w:tcBorders>
                  <w:tcMar>
                    <w:top w:w="0" w:type="dxa"/>
                    <w:left w:w="0" w:type="dxa"/>
                    <w:bottom w:w="0" w:type="dxa"/>
                    <w:right w:w="0" w:type="dxa"/>
                  </w:tcMar>
                  <w:vAlign w:val="center"/>
                </w:tcPr>
                <w:p w14:paraId="7EECE46C">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119.4420391</w:t>
                  </w:r>
                </w:p>
              </w:tc>
              <w:tc>
                <w:tcPr>
                  <w:tcW w:w="771" w:type="pct"/>
                  <w:tcBorders>
                    <w:tl2br w:val="nil"/>
                    <w:tr2bl w:val="nil"/>
                  </w:tcBorders>
                  <w:tcMar>
                    <w:top w:w="0" w:type="dxa"/>
                    <w:left w:w="0" w:type="dxa"/>
                    <w:bottom w:w="0" w:type="dxa"/>
                    <w:right w:w="0" w:type="dxa"/>
                  </w:tcMar>
                  <w:vAlign w:val="center"/>
                </w:tcPr>
                <w:p w14:paraId="787C57F1">
                  <w:pPr>
                    <w:widowControl/>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31.6955801</w:t>
                  </w:r>
                </w:p>
              </w:tc>
              <w:tc>
                <w:tcPr>
                  <w:tcW w:w="628" w:type="pct"/>
                  <w:tcBorders>
                    <w:tl2br w:val="nil"/>
                    <w:tr2bl w:val="nil"/>
                  </w:tcBorders>
                  <w:tcMar>
                    <w:top w:w="0" w:type="dxa"/>
                    <w:left w:w="0" w:type="dxa"/>
                    <w:bottom w:w="0" w:type="dxa"/>
                    <w:right w:w="0" w:type="dxa"/>
                  </w:tcMar>
                  <w:vAlign w:val="center"/>
                </w:tcPr>
                <w:p w14:paraId="0898672D">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lang w:val="en-US" w:eastAsia="zh-CN"/>
                    </w:rPr>
                    <w:t>溪北</w:t>
                  </w:r>
                </w:p>
              </w:tc>
              <w:tc>
                <w:tcPr>
                  <w:tcW w:w="402" w:type="pct"/>
                  <w:tcBorders>
                    <w:tl2br w:val="nil"/>
                    <w:tr2bl w:val="nil"/>
                  </w:tcBorders>
                  <w:tcMar>
                    <w:top w:w="0" w:type="dxa"/>
                    <w:left w:w="0" w:type="dxa"/>
                    <w:bottom w:w="0" w:type="dxa"/>
                    <w:right w:w="0" w:type="dxa"/>
                  </w:tcMar>
                  <w:vAlign w:val="center"/>
                </w:tcPr>
                <w:p w14:paraId="2DFF9DE3">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600人</w:t>
                  </w:r>
                </w:p>
              </w:tc>
              <w:tc>
                <w:tcPr>
                  <w:tcW w:w="1243" w:type="pct"/>
                  <w:vMerge w:val="continue"/>
                  <w:tcBorders>
                    <w:tl2br w:val="nil"/>
                    <w:tr2bl w:val="nil"/>
                  </w:tcBorders>
                  <w:tcMar>
                    <w:top w:w="0" w:type="dxa"/>
                    <w:left w:w="0" w:type="dxa"/>
                    <w:bottom w:w="0" w:type="dxa"/>
                    <w:right w:w="0" w:type="dxa"/>
                  </w:tcMar>
                  <w:vAlign w:val="center"/>
                </w:tcPr>
                <w:p w14:paraId="7F6DF501">
                  <w:pPr>
                    <w:adjustRightInd w:val="0"/>
                    <w:snapToGrid w:val="0"/>
                    <w:jc w:val="center"/>
                    <w:rPr>
                      <w:rFonts w:hint="default" w:ascii="Times New Roman" w:hAnsi="Times New Roman" w:eastAsia="宋体" w:cs="Times New Roman"/>
                      <w:color w:val="auto"/>
                      <w:sz w:val="21"/>
                      <w:szCs w:val="21"/>
                    </w:rPr>
                  </w:pPr>
                </w:p>
              </w:tc>
              <w:tc>
                <w:tcPr>
                  <w:tcW w:w="370" w:type="pct"/>
                  <w:tcBorders>
                    <w:tl2br w:val="nil"/>
                    <w:tr2bl w:val="nil"/>
                  </w:tcBorders>
                  <w:tcMar>
                    <w:top w:w="0" w:type="dxa"/>
                    <w:left w:w="0" w:type="dxa"/>
                    <w:bottom w:w="0" w:type="dxa"/>
                    <w:right w:w="0" w:type="dxa"/>
                  </w:tcMar>
                  <w:vAlign w:val="center"/>
                </w:tcPr>
                <w:p w14:paraId="5BC39313">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w:t>
                  </w:r>
                </w:p>
              </w:tc>
              <w:tc>
                <w:tcPr>
                  <w:tcW w:w="382" w:type="pct"/>
                  <w:tcBorders>
                    <w:tl2br w:val="nil"/>
                    <w:tr2bl w:val="nil"/>
                  </w:tcBorders>
                  <w:tcMar>
                    <w:top w:w="0" w:type="dxa"/>
                    <w:left w:w="0" w:type="dxa"/>
                    <w:bottom w:w="0" w:type="dxa"/>
                    <w:right w:w="0" w:type="dxa"/>
                  </w:tcMar>
                  <w:vAlign w:val="center"/>
                </w:tcPr>
                <w:p w14:paraId="726791A5">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430</w:t>
                  </w:r>
                </w:p>
              </w:tc>
            </w:tr>
            <w:tr w14:paraId="20517D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6" w:hRule="atLeast"/>
                <w:jc w:val="center"/>
              </w:trPr>
              <w:tc>
                <w:tcPr>
                  <w:tcW w:w="363" w:type="pct"/>
                  <w:tcBorders>
                    <w:tl2br w:val="nil"/>
                    <w:tr2bl w:val="nil"/>
                  </w:tcBorders>
                  <w:tcMar>
                    <w:top w:w="0" w:type="dxa"/>
                    <w:left w:w="0" w:type="dxa"/>
                    <w:bottom w:w="0" w:type="dxa"/>
                    <w:right w:w="0" w:type="dxa"/>
                  </w:tcMar>
                  <w:vAlign w:val="center"/>
                </w:tcPr>
                <w:p w14:paraId="3AE089A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839" w:type="pct"/>
                  <w:tcBorders>
                    <w:tl2br w:val="nil"/>
                    <w:tr2bl w:val="nil"/>
                  </w:tcBorders>
                  <w:tcMar>
                    <w:top w:w="0" w:type="dxa"/>
                    <w:left w:w="0" w:type="dxa"/>
                    <w:bottom w:w="0" w:type="dxa"/>
                    <w:right w:w="0" w:type="dxa"/>
                  </w:tcMar>
                  <w:vAlign w:val="center"/>
                </w:tcPr>
                <w:p w14:paraId="1A1D394D">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119.4469303°</w:t>
                  </w:r>
                </w:p>
              </w:tc>
              <w:tc>
                <w:tcPr>
                  <w:tcW w:w="771" w:type="pct"/>
                  <w:tcBorders>
                    <w:tl2br w:val="nil"/>
                    <w:tr2bl w:val="nil"/>
                  </w:tcBorders>
                  <w:tcMar>
                    <w:top w:w="0" w:type="dxa"/>
                    <w:left w:w="0" w:type="dxa"/>
                    <w:bottom w:w="0" w:type="dxa"/>
                    <w:right w:w="0" w:type="dxa"/>
                  </w:tcMar>
                  <w:vAlign w:val="center"/>
                </w:tcPr>
                <w:p w14:paraId="582EA513">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31.6926651°</w:t>
                  </w:r>
                </w:p>
              </w:tc>
              <w:tc>
                <w:tcPr>
                  <w:tcW w:w="628" w:type="pct"/>
                  <w:tcBorders>
                    <w:tl2br w:val="nil"/>
                    <w:tr2bl w:val="nil"/>
                  </w:tcBorders>
                  <w:tcMar>
                    <w:top w:w="0" w:type="dxa"/>
                    <w:left w:w="0" w:type="dxa"/>
                    <w:bottom w:w="0" w:type="dxa"/>
                    <w:right w:w="0" w:type="dxa"/>
                  </w:tcMar>
                  <w:vAlign w:val="center"/>
                </w:tcPr>
                <w:p w14:paraId="568A30F8">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薛埠河</w:t>
                  </w:r>
                </w:p>
              </w:tc>
              <w:tc>
                <w:tcPr>
                  <w:tcW w:w="402" w:type="pct"/>
                  <w:tcBorders>
                    <w:tl2br w:val="nil"/>
                    <w:tr2bl w:val="nil"/>
                  </w:tcBorders>
                  <w:tcMar>
                    <w:top w:w="0" w:type="dxa"/>
                    <w:left w:w="0" w:type="dxa"/>
                    <w:bottom w:w="0" w:type="dxa"/>
                    <w:right w:w="0" w:type="dxa"/>
                  </w:tcMar>
                  <w:vAlign w:val="center"/>
                </w:tcPr>
                <w:p w14:paraId="5CDE35C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w:t>
                  </w:r>
                </w:p>
              </w:tc>
              <w:tc>
                <w:tcPr>
                  <w:tcW w:w="1243" w:type="pct"/>
                  <w:tcBorders>
                    <w:tl2br w:val="nil"/>
                    <w:tr2bl w:val="nil"/>
                  </w:tcBorders>
                  <w:tcMar>
                    <w:top w:w="0" w:type="dxa"/>
                    <w:left w:w="0" w:type="dxa"/>
                    <w:bottom w:w="0" w:type="dxa"/>
                    <w:right w:w="0" w:type="dxa"/>
                  </w:tcMar>
                  <w:vAlign w:val="center"/>
                </w:tcPr>
                <w:p w14:paraId="00E20D5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《地表水环境质量标准》（GB3838-2002）III类区</w:t>
                  </w:r>
                </w:p>
              </w:tc>
              <w:tc>
                <w:tcPr>
                  <w:tcW w:w="370" w:type="pct"/>
                  <w:tcBorders>
                    <w:tl2br w:val="nil"/>
                    <w:tr2bl w:val="nil"/>
                  </w:tcBorders>
                  <w:tcMar>
                    <w:top w:w="0" w:type="dxa"/>
                    <w:left w:w="0" w:type="dxa"/>
                    <w:bottom w:w="0" w:type="dxa"/>
                    <w:right w:w="0" w:type="dxa"/>
                  </w:tcMar>
                  <w:vAlign w:val="center"/>
                </w:tcPr>
                <w:p w14:paraId="75B2C8D8">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E</w:t>
                  </w:r>
                </w:p>
              </w:tc>
              <w:tc>
                <w:tcPr>
                  <w:tcW w:w="382" w:type="pct"/>
                  <w:tcBorders>
                    <w:tl2br w:val="nil"/>
                    <w:tr2bl w:val="nil"/>
                  </w:tcBorders>
                  <w:tcMar>
                    <w:top w:w="0" w:type="dxa"/>
                    <w:left w:w="0" w:type="dxa"/>
                    <w:bottom w:w="0" w:type="dxa"/>
                    <w:right w:w="0" w:type="dxa"/>
                  </w:tcMar>
                  <w:vAlign w:val="center"/>
                </w:tcPr>
                <w:p w14:paraId="28A570DE">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523</w:t>
                  </w:r>
                </w:p>
              </w:tc>
            </w:tr>
            <w:tr w14:paraId="28DB3F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tcBorders>
                    <w:tl2br w:val="nil"/>
                    <w:tr2bl w:val="nil"/>
                  </w:tcBorders>
                  <w:tcMar>
                    <w:top w:w="0" w:type="dxa"/>
                    <w:left w:w="0" w:type="dxa"/>
                    <w:bottom w:w="0" w:type="dxa"/>
                    <w:right w:w="0" w:type="dxa"/>
                  </w:tcMar>
                  <w:vAlign w:val="center"/>
                </w:tcPr>
                <w:p w14:paraId="4B6677A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839" w:type="pct"/>
                  <w:tcBorders>
                    <w:tl2br w:val="nil"/>
                    <w:tr2bl w:val="nil"/>
                  </w:tcBorders>
                  <w:shd w:val="clear" w:color="auto" w:fill="auto"/>
                  <w:tcMar>
                    <w:top w:w="0" w:type="dxa"/>
                    <w:left w:w="0" w:type="dxa"/>
                    <w:bottom w:w="0" w:type="dxa"/>
                    <w:right w:w="0" w:type="dxa"/>
                  </w:tcMar>
                  <w:vAlign w:val="center"/>
                </w:tcPr>
                <w:p w14:paraId="38AFB341">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119.4433102°</w:t>
                  </w:r>
                </w:p>
              </w:tc>
              <w:tc>
                <w:tcPr>
                  <w:tcW w:w="771" w:type="pct"/>
                  <w:tcBorders>
                    <w:tl2br w:val="nil"/>
                    <w:tr2bl w:val="nil"/>
                  </w:tcBorders>
                  <w:shd w:val="clear" w:color="auto" w:fill="auto"/>
                  <w:tcMar>
                    <w:top w:w="0" w:type="dxa"/>
                    <w:left w:w="0" w:type="dxa"/>
                    <w:bottom w:w="0" w:type="dxa"/>
                    <w:right w:w="0" w:type="dxa"/>
                  </w:tcMar>
                  <w:vAlign w:val="center"/>
                </w:tcPr>
                <w:p w14:paraId="0FF13B7D">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31.6902148°</w:t>
                  </w:r>
                </w:p>
              </w:tc>
              <w:tc>
                <w:tcPr>
                  <w:tcW w:w="628" w:type="pct"/>
                  <w:tcBorders>
                    <w:tl2br w:val="nil"/>
                    <w:tr2bl w:val="nil"/>
                  </w:tcBorders>
                  <w:shd w:val="clear" w:color="auto" w:fill="auto"/>
                  <w:tcMar>
                    <w:top w:w="0" w:type="dxa"/>
                    <w:left w:w="0" w:type="dxa"/>
                    <w:bottom w:w="0" w:type="dxa"/>
                    <w:right w:w="0" w:type="dxa"/>
                  </w:tcMar>
                  <w:vAlign w:val="center"/>
                </w:tcPr>
                <w:p w14:paraId="23A83BD3">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唐王村</w:t>
                  </w:r>
                </w:p>
              </w:tc>
              <w:tc>
                <w:tcPr>
                  <w:tcW w:w="402" w:type="pct"/>
                  <w:tcBorders>
                    <w:tl2br w:val="nil"/>
                    <w:tr2bl w:val="nil"/>
                  </w:tcBorders>
                  <w:shd w:val="clear" w:color="auto" w:fill="auto"/>
                  <w:tcMar>
                    <w:top w:w="0" w:type="dxa"/>
                    <w:left w:w="0" w:type="dxa"/>
                    <w:bottom w:w="0" w:type="dxa"/>
                    <w:right w:w="0" w:type="dxa"/>
                  </w:tcMar>
                  <w:vAlign w:val="center"/>
                </w:tcPr>
                <w:p w14:paraId="12977374">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1500人</w:t>
                  </w:r>
                </w:p>
              </w:tc>
              <w:tc>
                <w:tcPr>
                  <w:tcW w:w="1243" w:type="pct"/>
                  <w:tcBorders>
                    <w:tl2br w:val="nil"/>
                    <w:tr2bl w:val="nil"/>
                  </w:tcBorders>
                  <w:tcMar>
                    <w:top w:w="0" w:type="dxa"/>
                    <w:left w:w="0" w:type="dxa"/>
                    <w:bottom w:w="0" w:type="dxa"/>
                    <w:right w:w="0" w:type="dxa"/>
                  </w:tcMar>
                  <w:vAlign w:val="center"/>
                </w:tcPr>
                <w:p w14:paraId="61720E9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 3096-2008）</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类区</w:t>
                  </w:r>
                </w:p>
              </w:tc>
              <w:tc>
                <w:tcPr>
                  <w:tcW w:w="370" w:type="pct"/>
                  <w:tcBorders>
                    <w:tl2br w:val="nil"/>
                    <w:tr2bl w:val="nil"/>
                  </w:tcBorders>
                  <w:tcMar>
                    <w:top w:w="0" w:type="dxa"/>
                    <w:left w:w="0" w:type="dxa"/>
                    <w:bottom w:w="0" w:type="dxa"/>
                    <w:right w:w="0" w:type="dxa"/>
                  </w:tcMar>
                  <w:vAlign w:val="center"/>
                </w:tcPr>
                <w:p w14:paraId="42E584F1">
                  <w:pPr>
                    <w:widowControl/>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S</w:t>
                  </w:r>
                </w:p>
              </w:tc>
              <w:tc>
                <w:tcPr>
                  <w:tcW w:w="382" w:type="pct"/>
                  <w:tcBorders>
                    <w:tl2br w:val="nil"/>
                    <w:tr2bl w:val="nil"/>
                  </w:tcBorders>
                  <w:tcMar>
                    <w:top w:w="0" w:type="dxa"/>
                    <w:left w:w="0" w:type="dxa"/>
                    <w:bottom w:w="0" w:type="dxa"/>
                    <w:right w:w="0" w:type="dxa"/>
                  </w:tcMar>
                  <w:vAlign w:val="center"/>
                </w:tcPr>
                <w:p w14:paraId="09F859B9">
                  <w:pPr>
                    <w:widowControl/>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30</w:t>
                  </w:r>
                </w:p>
              </w:tc>
            </w:tr>
            <w:tr w14:paraId="6F0DD8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restart"/>
                  <w:tcBorders>
                    <w:tl2br w:val="nil"/>
                    <w:tr2bl w:val="nil"/>
                  </w:tcBorders>
                  <w:tcMar>
                    <w:top w:w="0" w:type="dxa"/>
                    <w:left w:w="0" w:type="dxa"/>
                    <w:bottom w:w="0" w:type="dxa"/>
                    <w:right w:w="0" w:type="dxa"/>
                  </w:tcMar>
                  <w:vAlign w:val="center"/>
                </w:tcPr>
                <w:p w14:paraId="4ECA91E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839" w:type="pct"/>
                  <w:tcBorders>
                    <w:tl2br w:val="nil"/>
                    <w:tr2bl w:val="nil"/>
                  </w:tcBorders>
                  <w:tcMar>
                    <w:top w:w="0" w:type="dxa"/>
                    <w:left w:w="0" w:type="dxa"/>
                    <w:bottom w:w="0" w:type="dxa"/>
                    <w:right w:w="0" w:type="dxa"/>
                  </w:tcMar>
                  <w:vAlign w:val="center"/>
                </w:tcPr>
                <w:p w14:paraId="3E81E35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119.4246209°</w:t>
                  </w:r>
                </w:p>
              </w:tc>
              <w:tc>
                <w:tcPr>
                  <w:tcW w:w="771" w:type="pct"/>
                  <w:tcBorders>
                    <w:tl2br w:val="nil"/>
                    <w:tr2bl w:val="nil"/>
                  </w:tcBorders>
                  <w:tcMar>
                    <w:top w:w="0" w:type="dxa"/>
                    <w:left w:w="0" w:type="dxa"/>
                    <w:bottom w:w="0" w:type="dxa"/>
                    <w:right w:w="0" w:type="dxa"/>
                  </w:tcMar>
                  <w:vAlign w:val="center"/>
                </w:tcPr>
                <w:p w14:paraId="20DB4F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31.6850643°</w:t>
                  </w:r>
                </w:p>
              </w:tc>
              <w:tc>
                <w:tcPr>
                  <w:tcW w:w="628" w:type="pct"/>
                  <w:tcBorders>
                    <w:tl2br w:val="nil"/>
                    <w:tr2bl w:val="nil"/>
                  </w:tcBorders>
                  <w:tcMar>
                    <w:top w:w="0" w:type="dxa"/>
                    <w:left w:w="0" w:type="dxa"/>
                    <w:bottom w:w="0" w:type="dxa"/>
                    <w:right w:w="0" w:type="dxa"/>
                  </w:tcMar>
                  <w:vAlign w:val="center"/>
                </w:tcPr>
                <w:p w14:paraId="24D03938">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向阳水库水源涵养区</w:t>
                  </w:r>
                </w:p>
              </w:tc>
              <w:tc>
                <w:tcPr>
                  <w:tcW w:w="402" w:type="pct"/>
                  <w:tcBorders>
                    <w:tl2br w:val="nil"/>
                    <w:tr2bl w:val="nil"/>
                  </w:tcBorders>
                  <w:tcMar>
                    <w:top w:w="0" w:type="dxa"/>
                    <w:left w:w="0" w:type="dxa"/>
                    <w:bottom w:w="0" w:type="dxa"/>
                    <w:right w:w="0" w:type="dxa"/>
                  </w:tcMar>
                  <w:vAlign w:val="center"/>
                </w:tcPr>
                <w:p w14:paraId="2B755FA5">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Cs w:val="21"/>
                      <w:lang w:val="en-US" w:eastAsia="zh-CN"/>
                    </w:rPr>
                    <w:t>水源涵养</w:t>
                  </w:r>
                </w:p>
              </w:tc>
              <w:tc>
                <w:tcPr>
                  <w:tcW w:w="1243" w:type="pct"/>
                  <w:vMerge w:val="restart"/>
                  <w:tcBorders>
                    <w:tl2br w:val="nil"/>
                    <w:tr2bl w:val="nil"/>
                  </w:tcBorders>
                  <w:tcMar>
                    <w:top w:w="0" w:type="dxa"/>
                    <w:left w:w="0" w:type="dxa"/>
                    <w:bottom w:w="0" w:type="dxa"/>
                    <w:right w:w="0" w:type="dxa"/>
                  </w:tcMar>
                  <w:vAlign w:val="center"/>
                </w:tcPr>
                <w:p w14:paraId="6CD967D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《江苏省生态空间管控区域规划》</w:t>
                  </w:r>
                </w:p>
              </w:tc>
              <w:tc>
                <w:tcPr>
                  <w:tcW w:w="370" w:type="pct"/>
                  <w:tcBorders>
                    <w:tl2br w:val="nil"/>
                    <w:tr2bl w:val="nil"/>
                  </w:tcBorders>
                  <w:tcMar>
                    <w:top w:w="0" w:type="dxa"/>
                    <w:left w:w="0" w:type="dxa"/>
                    <w:bottom w:w="0" w:type="dxa"/>
                    <w:right w:w="0" w:type="dxa"/>
                  </w:tcMar>
                  <w:vAlign w:val="center"/>
                </w:tcPr>
                <w:p w14:paraId="63A1711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w:t>
                  </w:r>
                </w:p>
              </w:tc>
              <w:tc>
                <w:tcPr>
                  <w:tcW w:w="382" w:type="pct"/>
                  <w:tcBorders>
                    <w:tl2br w:val="nil"/>
                    <w:tr2bl w:val="nil"/>
                  </w:tcBorders>
                  <w:tcMar>
                    <w:top w:w="0" w:type="dxa"/>
                    <w:left w:w="0" w:type="dxa"/>
                    <w:bottom w:w="0" w:type="dxa"/>
                    <w:right w:w="0" w:type="dxa"/>
                  </w:tcMar>
                  <w:vAlign w:val="center"/>
                </w:tcPr>
                <w:p w14:paraId="5EF68F8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850</w:t>
                  </w:r>
                </w:p>
              </w:tc>
            </w:tr>
            <w:tr w14:paraId="08EF43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vMerge w:val="continue"/>
                  <w:tcBorders>
                    <w:tl2br w:val="nil"/>
                    <w:tr2bl w:val="nil"/>
                  </w:tcBorders>
                  <w:tcMar>
                    <w:top w:w="0" w:type="dxa"/>
                    <w:left w:w="0" w:type="dxa"/>
                    <w:bottom w:w="0" w:type="dxa"/>
                    <w:right w:w="0" w:type="dxa"/>
                  </w:tcMar>
                  <w:vAlign w:val="center"/>
                </w:tcPr>
                <w:p w14:paraId="0D19805C">
                  <w:pPr>
                    <w:adjustRightInd w:val="0"/>
                    <w:snapToGrid w:val="0"/>
                    <w:jc w:val="center"/>
                    <w:rPr>
                      <w:rFonts w:hint="default" w:ascii="Times New Roman" w:hAnsi="Times New Roman" w:eastAsia="宋体" w:cs="Times New Roman"/>
                      <w:color w:val="auto"/>
                      <w:sz w:val="21"/>
                      <w:szCs w:val="21"/>
                    </w:rPr>
                  </w:pPr>
                </w:p>
              </w:tc>
              <w:tc>
                <w:tcPr>
                  <w:tcW w:w="839" w:type="pct"/>
                  <w:tcBorders>
                    <w:tl2br w:val="nil"/>
                    <w:tr2bl w:val="nil"/>
                  </w:tcBorders>
                  <w:tcMar>
                    <w:top w:w="0" w:type="dxa"/>
                    <w:left w:w="0" w:type="dxa"/>
                    <w:bottom w:w="0" w:type="dxa"/>
                    <w:right w:w="0" w:type="dxa"/>
                  </w:tcMar>
                  <w:vAlign w:val="center"/>
                </w:tcPr>
                <w:p w14:paraId="141E7C7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119.5193382°</w:t>
                  </w:r>
                </w:p>
              </w:tc>
              <w:tc>
                <w:tcPr>
                  <w:tcW w:w="771" w:type="pct"/>
                  <w:tcBorders>
                    <w:tl2br w:val="nil"/>
                    <w:tr2bl w:val="nil"/>
                  </w:tcBorders>
                  <w:tcMar>
                    <w:top w:w="0" w:type="dxa"/>
                    <w:left w:w="0" w:type="dxa"/>
                    <w:bottom w:w="0" w:type="dxa"/>
                    <w:right w:w="0" w:type="dxa"/>
                  </w:tcMar>
                  <w:vAlign w:val="center"/>
                </w:tcPr>
                <w:p w14:paraId="1714A86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31.6890587°</w:t>
                  </w:r>
                </w:p>
              </w:tc>
              <w:tc>
                <w:tcPr>
                  <w:tcW w:w="628" w:type="pct"/>
                  <w:tcBorders>
                    <w:tl2br w:val="nil"/>
                    <w:tr2bl w:val="nil"/>
                  </w:tcBorders>
                  <w:tcMar>
                    <w:top w:w="0" w:type="dxa"/>
                    <w:left w:w="0" w:type="dxa"/>
                    <w:bottom w:w="0" w:type="dxa"/>
                    <w:right w:w="0" w:type="dxa"/>
                  </w:tcMar>
                  <w:vAlign w:val="center"/>
                </w:tcPr>
                <w:p w14:paraId="0578BED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丹金溧漕河（金坛区）洪水调蓄区</w:t>
                  </w:r>
                </w:p>
              </w:tc>
              <w:tc>
                <w:tcPr>
                  <w:tcW w:w="402" w:type="pct"/>
                  <w:tcBorders>
                    <w:tl2br w:val="nil"/>
                    <w:tr2bl w:val="nil"/>
                  </w:tcBorders>
                  <w:tcMar>
                    <w:top w:w="0" w:type="dxa"/>
                    <w:left w:w="0" w:type="dxa"/>
                    <w:bottom w:w="0" w:type="dxa"/>
                    <w:right w:w="0" w:type="dxa"/>
                  </w:tcMar>
                  <w:vAlign w:val="center"/>
                </w:tcPr>
                <w:p w14:paraId="07DEDAEA">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洪水调蓄</w:t>
                  </w:r>
                </w:p>
              </w:tc>
              <w:tc>
                <w:tcPr>
                  <w:tcW w:w="1243" w:type="pct"/>
                  <w:vMerge w:val="continue"/>
                  <w:tcBorders>
                    <w:tl2br w:val="nil"/>
                    <w:tr2bl w:val="nil"/>
                  </w:tcBorders>
                  <w:tcMar>
                    <w:top w:w="0" w:type="dxa"/>
                    <w:left w:w="0" w:type="dxa"/>
                    <w:bottom w:w="0" w:type="dxa"/>
                    <w:right w:w="0" w:type="dxa"/>
                  </w:tcMar>
                  <w:vAlign w:val="center"/>
                </w:tcPr>
                <w:p w14:paraId="15CF10A9">
                  <w:pPr>
                    <w:adjustRightInd w:val="0"/>
                    <w:snapToGrid w:val="0"/>
                    <w:jc w:val="center"/>
                    <w:rPr>
                      <w:rFonts w:hint="default" w:ascii="Times New Roman" w:hAnsi="Times New Roman" w:eastAsia="宋体" w:cs="Times New Roman"/>
                      <w:color w:val="auto"/>
                      <w:sz w:val="21"/>
                      <w:szCs w:val="21"/>
                    </w:rPr>
                  </w:pPr>
                </w:p>
              </w:tc>
              <w:tc>
                <w:tcPr>
                  <w:tcW w:w="370" w:type="pct"/>
                  <w:tcBorders>
                    <w:tl2br w:val="nil"/>
                    <w:tr2bl w:val="nil"/>
                  </w:tcBorders>
                  <w:tcMar>
                    <w:top w:w="0" w:type="dxa"/>
                    <w:left w:w="0" w:type="dxa"/>
                    <w:bottom w:w="0" w:type="dxa"/>
                    <w:right w:w="0" w:type="dxa"/>
                  </w:tcMar>
                  <w:vAlign w:val="center"/>
                </w:tcPr>
                <w:p w14:paraId="47543438">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E</w:t>
                  </w:r>
                </w:p>
              </w:tc>
              <w:tc>
                <w:tcPr>
                  <w:tcW w:w="382" w:type="pct"/>
                  <w:tcBorders>
                    <w:tl2br w:val="nil"/>
                    <w:tr2bl w:val="nil"/>
                  </w:tcBorders>
                  <w:tcMar>
                    <w:top w:w="0" w:type="dxa"/>
                    <w:left w:w="0" w:type="dxa"/>
                    <w:bottom w:w="0" w:type="dxa"/>
                    <w:right w:w="0" w:type="dxa"/>
                  </w:tcMar>
                  <w:vAlign w:val="center"/>
                </w:tcPr>
                <w:p w14:paraId="78CD413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727</w:t>
                  </w:r>
                  <w:r>
                    <w:rPr>
                      <w:rFonts w:hint="default" w:ascii="Times New Roman" w:hAnsi="Times New Roman" w:eastAsia="宋体" w:cs="Times New Roman"/>
                      <w:color w:val="auto"/>
                      <w:sz w:val="21"/>
                      <w:szCs w:val="21"/>
                      <w:lang w:val="en-US" w:eastAsia="zh-CN"/>
                    </w:rPr>
                    <w:t>0</w:t>
                  </w:r>
                </w:p>
              </w:tc>
            </w:tr>
            <w:tr w14:paraId="38B704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3" w:type="pct"/>
                  <w:tcBorders>
                    <w:tl2br w:val="nil"/>
                    <w:tr2bl w:val="nil"/>
                  </w:tcBorders>
                  <w:tcMar>
                    <w:top w:w="0" w:type="dxa"/>
                    <w:left w:w="0" w:type="dxa"/>
                    <w:bottom w:w="0" w:type="dxa"/>
                    <w:right w:w="0" w:type="dxa"/>
                  </w:tcMar>
                  <w:vAlign w:val="center"/>
                </w:tcPr>
                <w:p w14:paraId="0FFFE90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641" w:type="pct"/>
                  <w:gridSpan w:val="4"/>
                  <w:tcBorders>
                    <w:tl2br w:val="nil"/>
                    <w:tr2bl w:val="nil"/>
                  </w:tcBorders>
                  <w:tcMar>
                    <w:top w:w="0" w:type="dxa"/>
                    <w:left w:w="0" w:type="dxa"/>
                    <w:bottom w:w="0" w:type="dxa"/>
                    <w:right w:w="0" w:type="dxa"/>
                  </w:tcMar>
                  <w:vAlign w:val="center"/>
                </w:tcPr>
                <w:p w14:paraId="676D3CD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项目所在区域500m范围</w:t>
                  </w:r>
                </w:p>
              </w:tc>
              <w:tc>
                <w:tcPr>
                  <w:tcW w:w="1995" w:type="pct"/>
                  <w:gridSpan w:val="3"/>
                  <w:tcBorders>
                    <w:tl2br w:val="nil"/>
                    <w:tr2bl w:val="nil"/>
                  </w:tcBorders>
                  <w:tcMar>
                    <w:top w:w="0" w:type="dxa"/>
                    <w:left w:w="0" w:type="dxa"/>
                    <w:bottom w:w="0" w:type="dxa"/>
                    <w:right w:w="0" w:type="dxa"/>
                  </w:tcMar>
                  <w:vAlign w:val="center"/>
                </w:tcPr>
                <w:p w14:paraId="3FDB40C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本项目厂界外500米范围内无地下水集中式饮用水水源等特殊地下水资源</w:t>
                  </w:r>
                </w:p>
              </w:tc>
            </w:tr>
            <w:tr w14:paraId="6662DF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tcMar>
                    <w:top w:w="0" w:type="dxa"/>
                    <w:left w:w="0" w:type="dxa"/>
                    <w:bottom w:w="0" w:type="dxa"/>
                    <w:right w:w="0" w:type="dxa"/>
                  </w:tcMar>
                  <w:vAlign w:val="center"/>
                </w:tcPr>
                <w:p w14:paraId="3F33E01D">
                  <w:p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注：项目距离国控站点（金坛城区）直线距离约</w:t>
                  </w:r>
                  <w:r>
                    <w:rPr>
                      <w:rFonts w:hint="eastAsia" w:ascii="Times New Roman" w:hAnsi="Times New Roman" w:eastAsia="宋体" w:cs="Times New Roman"/>
                      <w:b/>
                      <w:bCs/>
                      <w:color w:val="auto"/>
                      <w:sz w:val="21"/>
                      <w:szCs w:val="21"/>
                      <w:lang w:val="en-US" w:eastAsia="zh-CN"/>
                    </w:rPr>
                    <w:t>13</w:t>
                  </w:r>
                  <w:r>
                    <w:rPr>
                      <w:rFonts w:hint="default" w:ascii="Times New Roman" w:hAnsi="Times New Roman" w:eastAsia="宋体" w:cs="Times New Roman"/>
                      <w:b/>
                      <w:bCs/>
                      <w:color w:val="auto"/>
                      <w:sz w:val="21"/>
                      <w:szCs w:val="21"/>
                      <w:lang w:val="en-US" w:eastAsia="zh-CN"/>
                    </w:rPr>
                    <w:t>km，距离省控站点（金坛监测站）</w:t>
                  </w:r>
                  <w:r>
                    <w:rPr>
                      <w:rFonts w:hint="eastAsia" w:ascii="Times New Roman" w:hAnsi="Times New Roman" w:eastAsia="宋体" w:cs="Times New Roman"/>
                      <w:b/>
                      <w:bCs/>
                      <w:color w:val="auto"/>
                      <w:sz w:val="21"/>
                      <w:szCs w:val="21"/>
                      <w:lang w:val="en-US" w:eastAsia="zh-CN"/>
                    </w:rPr>
                    <w:t>15.8</w:t>
                  </w:r>
                  <w:r>
                    <w:rPr>
                      <w:rFonts w:hint="default" w:ascii="Times New Roman" w:hAnsi="Times New Roman" w:eastAsia="宋体" w:cs="Times New Roman"/>
                      <w:b/>
                      <w:bCs/>
                      <w:color w:val="auto"/>
                      <w:sz w:val="21"/>
                      <w:szCs w:val="21"/>
                      <w:lang w:val="en-US" w:eastAsia="zh-CN"/>
                    </w:rPr>
                    <w:t>km，不在常州市空气质量监测国控、省控站点位置信息。</w:t>
                  </w:r>
                </w:p>
              </w:tc>
            </w:tr>
          </w:tbl>
          <w:p w14:paraId="3F8B250A">
            <w:pPr>
              <w:spacing w:line="360" w:lineRule="auto"/>
              <w:ind w:firstLine="480" w:firstLineChars="200"/>
              <w:rPr>
                <w:rFonts w:hint="default" w:ascii="Times New Roman" w:hAnsi="Times New Roman" w:eastAsia="宋体" w:cs="Times New Roman"/>
                <w:color w:val="auto"/>
                <w:sz w:val="24"/>
              </w:rPr>
            </w:pPr>
          </w:p>
          <w:p w14:paraId="450074FC">
            <w:pPr>
              <w:spacing w:line="360" w:lineRule="auto"/>
              <w:rPr>
                <w:rFonts w:hint="default" w:ascii="Times New Roman" w:hAnsi="Times New Roman" w:eastAsia="宋体" w:cs="Times New Roman"/>
                <w:color w:val="auto"/>
                <w:sz w:val="24"/>
              </w:rPr>
            </w:pPr>
          </w:p>
        </w:tc>
      </w:tr>
      <w:tr w14:paraId="10C5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trPr>
        <w:tc>
          <w:tcPr>
            <w:tcW w:w="418" w:type="pct"/>
            <w:vAlign w:val="center"/>
          </w:tcPr>
          <w:p w14:paraId="6D70FFF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污染物排放控制标准</w:t>
            </w:r>
          </w:p>
        </w:tc>
        <w:tc>
          <w:tcPr>
            <w:tcW w:w="4581" w:type="pct"/>
          </w:tcPr>
          <w:p w14:paraId="3D11B538">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1、废气</w:t>
            </w:r>
          </w:p>
          <w:p w14:paraId="6CE8020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生产过程</w:t>
            </w:r>
            <w:r>
              <w:rPr>
                <w:rFonts w:hint="default" w:ascii="Times New Roman" w:hAnsi="Times New Roman" w:eastAsia="宋体" w:cs="Times New Roman"/>
                <w:color w:val="auto"/>
                <w:sz w:val="24"/>
                <w:lang w:val="en-US" w:eastAsia="zh-CN"/>
              </w:rPr>
              <w:t>产生的废气（非甲烷总烃）</w:t>
            </w:r>
            <w:r>
              <w:rPr>
                <w:rFonts w:hint="eastAsia" w:ascii="Times New Roman" w:hAnsi="Times New Roman" w:eastAsia="宋体" w:cs="Times New Roman"/>
                <w:color w:val="auto"/>
                <w:sz w:val="24"/>
                <w:lang w:val="en-US" w:eastAsia="zh-CN"/>
              </w:rPr>
              <w:t>无组织</w:t>
            </w:r>
            <w:r>
              <w:rPr>
                <w:rFonts w:hint="default" w:ascii="Times New Roman" w:hAnsi="Times New Roman" w:eastAsia="宋体" w:cs="Times New Roman"/>
                <w:color w:val="auto"/>
                <w:sz w:val="24"/>
                <w:lang w:val="en-US" w:eastAsia="zh-CN"/>
              </w:rPr>
              <w:t>排放执行江苏省地标</w:t>
            </w:r>
            <w:r>
              <w:rPr>
                <w:rFonts w:hint="default" w:ascii="Times New Roman" w:hAnsi="Times New Roman" w:eastAsia="宋体" w:cs="Times New Roman"/>
                <w:color w:val="auto"/>
                <w:sz w:val="24"/>
              </w:rPr>
              <w:t>《大气污染物综合排放标准》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DB32/4041-2021</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表3</w:t>
            </w:r>
            <w:r>
              <w:rPr>
                <w:rFonts w:hint="default" w:ascii="Times New Roman" w:hAnsi="Times New Roman" w:eastAsia="宋体" w:cs="Times New Roman"/>
                <w:color w:val="auto"/>
                <w:sz w:val="24"/>
                <w:lang w:val="en-US" w:eastAsia="zh-CN"/>
              </w:rPr>
              <w:t>中标准限值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厂区内</w:t>
            </w:r>
            <w:r>
              <w:rPr>
                <w:rFonts w:hint="default" w:ascii="Times New Roman" w:hAnsi="Times New Roman" w:eastAsia="宋体" w:cs="Times New Roman"/>
                <w:color w:val="auto"/>
                <w:sz w:val="24"/>
              </w:rPr>
              <w:t>非甲烷总烃无组织排放限值执行</w:t>
            </w:r>
            <w:r>
              <w:rPr>
                <w:rFonts w:hint="default" w:ascii="Times New Roman" w:hAnsi="Times New Roman" w:eastAsia="宋体" w:cs="Times New Roman"/>
                <w:color w:val="auto"/>
                <w:sz w:val="24"/>
                <w:lang w:val="en-US" w:eastAsia="zh-CN"/>
              </w:rPr>
              <w:t>江苏省地标</w:t>
            </w:r>
            <w:r>
              <w:rPr>
                <w:rFonts w:hint="default" w:ascii="Times New Roman" w:hAnsi="Times New Roman" w:eastAsia="宋体" w:cs="Times New Roman"/>
                <w:color w:val="auto"/>
                <w:sz w:val="24"/>
              </w:rPr>
              <w:t>《大气污染物综合排放标准》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DB32/4041-2021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表2标准；</w:t>
            </w:r>
            <w:r>
              <w:rPr>
                <w:rFonts w:hint="default" w:ascii="Times New Roman" w:hAnsi="Times New Roman" w:eastAsia="宋体" w:cs="Times New Roman"/>
                <w:color w:val="auto"/>
                <w:sz w:val="24"/>
              </w:rPr>
              <w:t>具体标准值见下表。</w:t>
            </w:r>
          </w:p>
          <w:p w14:paraId="51A5B6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大气污染物排放标准</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3354"/>
              <w:gridCol w:w="3262"/>
            </w:tblGrid>
            <w:tr w14:paraId="50739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10" w:type="pct"/>
                  <w:tcBorders>
                    <w:tl2br w:val="nil"/>
                    <w:tr2bl w:val="nil"/>
                  </w:tcBorders>
                  <w:noWrap w:val="0"/>
                  <w:vAlign w:val="center"/>
                </w:tcPr>
                <w:p w14:paraId="1D252575">
                  <w:pPr>
                    <w:pStyle w:val="6"/>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2022" w:type="pct"/>
                  <w:tcBorders>
                    <w:tl2br w:val="nil"/>
                    <w:tr2bl w:val="nil"/>
                  </w:tcBorders>
                  <w:noWrap w:val="0"/>
                  <w:vAlign w:val="center"/>
                </w:tcPr>
                <w:p w14:paraId="13D05E3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w:t>
                  </w:r>
                  <w:r>
                    <w:rPr>
                      <w:rFonts w:hint="default" w:ascii="Times New Roman" w:hAnsi="Times New Roman" w:eastAsia="宋体" w:cs="Times New Roman"/>
                      <w:b/>
                      <w:bCs/>
                      <w:color w:val="auto"/>
                      <w:kern w:val="2"/>
                      <w:sz w:val="21"/>
                      <w:szCs w:val="21"/>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rPr>
                    <w:t>）</w:t>
                  </w:r>
                </w:p>
              </w:tc>
              <w:tc>
                <w:tcPr>
                  <w:tcW w:w="1967" w:type="pct"/>
                  <w:tcBorders>
                    <w:tl2br w:val="nil"/>
                    <w:tr2bl w:val="nil"/>
                  </w:tcBorders>
                  <w:noWrap w:val="0"/>
                  <w:vAlign w:val="center"/>
                </w:tcPr>
                <w:p w14:paraId="61E667C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w:t>
                  </w:r>
                </w:p>
              </w:tc>
            </w:tr>
            <w:tr w14:paraId="0ACDE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10" w:type="pct"/>
                  <w:tcBorders>
                    <w:tl2br w:val="nil"/>
                    <w:tr2bl w:val="nil"/>
                  </w:tcBorders>
                  <w:noWrap w:val="0"/>
                  <w:vAlign w:val="center"/>
                </w:tcPr>
                <w:p w14:paraId="5242B659">
                  <w:pPr>
                    <w:pStyle w:val="60"/>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宋体" w:cs="Times New Roman"/>
                      <w:color w:val="auto"/>
                      <w:kern w:val="2"/>
                      <w:sz w:val="21"/>
                      <w:szCs w:val="21"/>
                      <w:u w:val="none"/>
                      <w:shd w:val="clear" w:color="auto" w:fill="auto"/>
                      <w:lang w:val="en-US" w:eastAsia="zh-CN" w:bidi="ar-SA"/>
                    </w:rPr>
                    <w:t>非甲烷总烃</w:t>
                  </w:r>
                </w:p>
              </w:tc>
              <w:tc>
                <w:tcPr>
                  <w:tcW w:w="2022" w:type="pct"/>
                  <w:tcBorders>
                    <w:tl2br w:val="nil"/>
                    <w:tr2bl w:val="nil"/>
                  </w:tcBorders>
                  <w:noWrap w:val="0"/>
                  <w:vAlign w:val="center"/>
                </w:tcPr>
                <w:p w14:paraId="2C52CC3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4.0</w:t>
                  </w:r>
                </w:p>
              </w:tc>
              <w:tc>
                <w:tcPr>
                  <w:tcW w:w="1967" w:type="pct"/>
                  <w:tcBorders>
                    <w:tl2br w:val="nil"/>
                    <w:tr2bl w:val="nil"/>
                  </w:tcBorders>
                  <w:noWrap w:val="0"/>
                  <w:vAlign w:val="center"/>
                </w:tcPr>
                <w:p w14:paraId="582B88F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江苏省地标《大气污染物综合排放标准》（DB32/4041-2021）</w:t>
                  </w:r>
                </w:p>
              </w:tc>
            </w:tr>
          </w:tbl>
          <w:p w14:paraId="69223F51">
            <w:pPr>
              <w:keepNext w:val="0"/>
              <w:keepLines w:val="0"/>
              <w:pageBreakBefore w:val="0"/>
              <w:widowControl w:val="0"/>
              <w:kinsoku/>
              <w:wordWrap/>
              <w:overflowPunct/>
              <w:topLinePunct w:val="0"/>
              <w:autoSpaceDE/>
              <w:autoSpaceDN/>
              <w:bidi w:val="0"/>
              <w:adjustRightInd w:val="0"/>
              <w:snapToGrid w:val="0"/>
              <w:spacing w:before="120"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 xml:space="preserve">  厂区内VOCs无组织排放限值</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316"/>
              <w:gridCol w:w="2214"/>
              <w:gridCol w:w="2621"/>
              <w:gridCol w:w="2140"/>
            </w:tblGrid>
            <w:tr w14:paraId="17886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tcBorders>
                    <w:tl2br w:val="nil"/>
                    <w:tr2bl w:val="nil"/>
                  </w:tcBorders>
                  <w:noWrap w:val="0"/>
                  <w:vAlign w:val="center"/>
                </w:tcPr>
                <w:p w14:paraId="4C8E6E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335" w:type="pct"/>
                  <w:tcBorders>
                    <w:tl2br w:val="nil"/>
                    <w:tr2bl w:val="nil"/>
                  </w:tcBorders>
                  <w:noWrap w:val="0"/>
                  <w:vAlign w:val="center"/>
                </w:tcPr>
                <w:p w14:paraId="70EACA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特别排放限值</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580" w:type="pct"/>
                  <w:tcBorders>
                    <w:tl2br w:val="nil"/>
                    <w:tr2bl w:val="nil"/>
                  </w:tcBorders>
                  <w:noWrap w:val="0"/>
                  <w:vAlign w:val="center"/>
                </w:tcPr>
                <w:p w14:paraId="3C71F9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限值含义</w:t>
                  </w:r>
                </w:p>
              </w:tc>
              <w:tc>
                <w:tcPr>
                  <w:tcW w:w="1290" w:type="pct"/>
                  <w:tcBorders>
                    <w:tl2br w:val="nil"/>
                    <w:tr2bl w:val="nil"/>
                  </w:tcBorders>
                  <w:noWrap w:val="0"/>
                  <w:vAlign w:val="center"/>
                </w:tcPr>
                <w:p w14:paraId="41E170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无组织排放监控位置</w:t>
                  </w:r>
                </w:p>
              </w:tc>
            </w:tr>
            <w:tr w14:paraId="427CE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restart"/>
                  <w:tcBorders>
                    <w:tl2br w:val="nil"/>
                    <w:tr2bl w:val="nil"/>
                  </w:tcBorders>
                  <w:noWrap w:val="0"/>
                  <w:vAlign w:val="center"/>
                </w:tcPr>
                <w:p w14:paraId="52CE40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1335" w:type="pct"/>
                  <w:tcBorders>
                    <w:tl2br w:val="nil"/>
                    <w:tr2bl w:val="nil"/>
                  </w:tcBorders>
                  <w:noWrap w:val="0"/>
                  <w:vAlign w:val="center"/>
                </w:tcPr>
                <w:p w14:paraId="0FEA87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80" w:type="pct"/>
                  <w:tcBorders>
                    <w:tl2br w:val="nil"/>
                    <w:tr2bl w:val="nil"/>
                  </w:tcBorders>
                  <w:noWrap w:val="0"/>
                  <w:vAlign w:val="center"/>
                </w:tcPr>
                <w:p w14:paraId="077BD8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1290" w:type="pct"/>
                  <w:vMerge w:val="restart"/>
                  <w:tcBorders>
                    <w:tl2br w:val="nil"/>
                    <w:tr2bl w:val="nil"/>
                  </w:tcBorders>
                  <w:noWrap w:val="0"/>
                  <w:vAlign w:val="center"/>
                </w:tcPr>
                <w:p w14:paraId="53636C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175A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continue"/>
                  <w:tcBorders>
                    <w:tl2br w:val="nil"/>
                    <w:tr2bl w:val="nil"/>
                  </w:tcBorders>
                  <w:noWrap w:val="0"/>
                  <w:vAlign w:val="center"/>
                </w:tcPr>
                <w:p w14:paraId="2C4EEF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335" w:type="pct"/>
                  <w:tcBorders>
                    <w:tl2br w:val="nil"/>
                    <w:tr2bl w:val="nil"/>
                  </w:tcBorders>
                  <w:noWrap w:val="0"/>
                  <w:vAlign w:val="center"/>
                </w:tcPr>
                <w:p w14:paraId="6FD744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580" w:type="pct"/>
                  <w:tcBorders>
                    <w:tl2br w:val="nil"/>
                    <w:tr2bl w:val="nil"/>
                  </w:tcBorders>
                  <w:noWrap w:val="0"/>
                  <w:vAlign w:val="center"/>
                </w:tcPr>
                <w:p w14:paraId="6E176C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1290" w:type="pct"/>
                  <w:vMerge w:val="continue"/>
                  <w:tcBorders>
                    <w:tl2br w:val="nil"/>
                    <w:tr2bl w:val="nil"/>
                  </w:tcBorders>
                  <w:noWrap w:val="0"/>
                  <w:vAlign w:val="center"/>
                </w:tcPr>
                <w:p w14:paraId="3AF8D5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bl>
          <w:p w14:paraId="118C13DF">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2、废水</w:t>
            </w:r>
          </w:p>
          <w:p w14:paraId="034CE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本项目生活污水</w:t>
            </w:r>
            <w:r>
              <w:rPr>
                <w:rFonts w:hint="eastAsia" w:ascii="Times New Roman" w:hAnsi="Times New Roman" w:eastAsia="宋体" w:cs="Times New Roman"/>
                <w:bCs/>
                <w:color w:val="auto"/>
                <w:sz w:val="24"/>
                <w:lang w:val="en-US" w:eastAsia="zh-CN"/>
              </w:rPr>
              <w:t>接管至唐王村农村生活污水处理站，执行《污水排入城镇下水道水质标准》（GB/T31962-2015）中B级标准和唐王村农村生活污水处理站的接管标准，具体</w:t>
            </w:r>
            <w:r>
              <w:rPr>
                <w:rFonts w:hint="default" w:ascii="Times New Roman" w:hAnsi="Times New Roman" w:eastAsia="宋体" w:cs="Times New Roman"/>
                <w:bCs/>
                <w:color w:val="auto"/>
                <w:sz w:val="24"/>
              </w:rPr>
              <w:t>接管浓度限值要求见下表。</w:t>
            </w:r>
          </w:p>
          <w:p w14:paraId="5E7CC2E2">
            <w:pPr>
              <w:pStyle w:val="26"/>
              <w:spacing w:before="0" w:beforeAutospacing="0" w:after="0" w:afterAutospacing="0" w:line="480" w:lineRule="exact"/>
              <w:jc w:val="center"/>
              <w:rPr>
                <w:b/>
                <w:color w:val="auto"/>
                <w:szCs w:val="21"/>
              </w:rPr>
            </w:pPr>
            <w:r>
              <w:rPr>
                <w:rFonts w:ascii="Times New Roman" w:hAnsi="Times New Roman"/>
                <w:b/>
                <w:color w:val="auto"/>
                <w:szCs w:val="24"/>
              </w:rPr>
              <w:t>表3-</w:t>
            </w:r>
            <w:r>
              <w:rPr>
                <w:rFonts w:hint="eastAsia" w:ascii="Times New Roman" w:hAnsi="Times New Roman"/>
                <w:b/>
                <w:color w:val="auto"/>
                <w:szCs w:val="24"/>
                <w:lang w:val="en-US" w:eastAsia="zh-CN"/>
              </w:rPr>
              <w:t>9</w:t>
            </w:r>
            <w:r>
              <w:rPr>
                <w:rFonts w:ascii="Times New Roman" w:hAnsi="Times New Roman"/>
                <w:b/>
                <w:color w:val="auto"/>
                <w:szCs w:val="24"/>
              </w:rPr>
              <w:t xml:space="preserve">  废水接管标准</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657"/>
              <w:gridCol w:w="1388"/>
              <w:gridCol w:w="1401"/>
              <w:gridCol w:w="1519"/>
            </w:tblGrid>
            <w:tr w14:paraId="06511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97" w:type="pct"/>
                  <w:noWrap w:val="0"/>
                  <w:vAlign w:val="center"/>
                </w:tcPr>
                <w:p w14:paraId="1C051796">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603" w:type="pct"/>
                  <w:noWrap w:val="0"/>
                  <w:vAlign w:val="center"/>
                </w:tcPr>
                <w:p w14:paraId="5A0BC789">
                  <w:pPr>
                    <w:widowControl/>
                    <w:spacing w:before="48" w:beforeLine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c>
                <w:tcPr>
                  <w:tcW w:w="837" w:type="pct"/>
                  <w:noWrap w:val="0"/>
                  <w:vAlign w:val="center"/>
                </w:tcPr>
                <w:p w14:paraId="46576B1F">
                  <w:pPr>
                    <w:widowControl/>
                    <w:spacing w:before="48" w:beforeLine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标准级别</w:t>
                  </w:r>
                </w:p>
              </w:tc>
              <w:tc>
                <w:tcPr>
                  <w:tcW w:w="845" w:type="pct"/>
                  <w:noWrap w:val="0"/>
                  <w:vAlign w:val="center"/>
                </w:tcPr>
                <w:p w14:paraId="11867020">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指标</w:t>
                  </w:r>
                </w:p>
              </w:tc>
              <w:tc>
                <w:tcPr>
                  <w:tcW w:w="916" w:type="pct"/>
                  <w:noWrap w:val="0"/>
                  <w:vAlign w:val="center"/>
                </w:tcPr>
                <w:p w14:paraId="748D4A08">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w:t>
                  </w:r>
                </w:p>
              </w:tc>
            </w:tr>
            <w:tr w14:paraId="79BCB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97" w:type="pct"/>
                  <w:vMerge w:val="restart"/>
                  <w:noWrap w:val="0"/>
                  <w:vAlign w:val="center"/>
                </w:tcPr>
                <w:p w14:paraId="6129BA1A">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项目排口</w:t>
                  </w:r>
                </w:p>
              </w:tc>
              <w:tc>
                <w:tcPr>
                  <w:tcW w:w="1603" w:type="pct"/>
                  <w:vMerge w:val="restart"/>
                  <w:noWrap w:val="0"/>
                  <w:vAlign w:val="center"/>
                </w:tcPr>
                <w:p w14:paraId="5642C749">
                  <w:pPr>
                    <w:widowControl/>
                    <w:spacing w:before="48" w:beforeLines="2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《污水排入城镇下水道水质标准》（GB/T31962-2015）中B级标准和唐王村农村生活污水处理站的接管标准</w:t>
                  </w:r>
                </w:p>
              </w:tc>
              <w:tc>
                <w:tcPr>
                  <w:tcW w:w="837" w:type="pct"/>
                  <w:vMerge w:val="restart"/>
                  <w:noWrap w:val="0"/>
                  <w:vAlign w:val="center"/>
                </w:tcPr>
                <w:p w14:paraId="04D747FA">
                  <w:pPr>
                    <w:widowControl/>
                    <w:spacing w:before="48" w:beforeLines="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45" w:type="pct"/>
                  <w:noWrap w:val="0"/>
                  <w:vAlign w:val="center"/>
                </w:tcPr>
                <w:p w14:paraId="396B9D42">
                  <w:pPr>
                    <w:widowControl/>
                    <w:spacing w:before="48" w:beforeLines="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916" w:type="pct"/>
                  <w:noWrap w:val="0"/>
                  <w:vAlign w:val="center"/>
                </w:tcPr>
                <w:p w14:paraId="4F93AB59">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6.5-9.5</w:t>
                  </w:r>
                </w:p>
              </w:tc>
            </w:tr>
            <w:tr w14:paraId="70581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97" w:type="pct"/>
                  <w:vMerge w:val="continue"/>
                  <w:noWrap w:val="0"/>
                  <w:vAlign w:val="center"/>
                </w:tcPr>
                <w:p w14:paraId="186FECE0">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4B992749">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46A5B073">
                  <w:pPr>
                    <w:widowControl/>
                    <w:spacing w:before="48" w:beforeLines="20"/>
                    <w:jc w:val="center"/>
                    <w:rPr>
                      <w:rFonts w:hint="default" w:ascii="Times New Roman" w:hAnsi="Times New Roman" w:eastAsia="宋体" w:cs="Times New Roman"/>
                      <w:color w:val="auto"/>
                      <w:sz w:val="21"/>
                      <w:szCs w:val="21"/>
                      <w:highlight w:val="none"/>
                    </w:rPr>
                  </w:pPr>
                </w:p>
              </w:tc>
              <w:tc>
                <w:tcPr>
                  <w:tcW w:w="845" w:type="pct"/>
                  <w:noWrap w:val="0"/>
                  <w:vAlign w:val="center"/>
                </w:tcPr>
                <w:p w14:paraId="5C70A24C">
                  <w:pPr>
                    <w:widowControl/>
                    <w:spacing w:before="48" w:beforeLines="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916" w:type="pct"/>
                  <w:noWrap w:val="0"/>
                  <w:vAlign w:val="center"/>
                </w:tcPr>
                <w:p w14:paraId="34DFC561">
                  <w:pPr>
                    <w:spacing w:before="48" w:before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450mg/L</w:t>
                  </w:r>
                </w:p>
              </w:tc>
            </w:tr>
            <w:tr w14:paraId="3CE76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97" w:type="pct"/>
                  <w:vMerge w:val="continue"/>
                  <w:noWrap w:val="0"/>
                  <w:vAlign w:val="center"/>
                </w:tcPr>
                <w:p w14:paraId="53ABD0F8">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20126BED">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570B8C37">
                  <w:pPr>
                    <w:widowControl/>
                    <w:spacing w:before="48" w:beforeLines="20"/>
                    <w:jc w:val="center"/>
                    <w:rPr>
                      <w:rFonts w:hint="default" w:ascii="Times New Roman" w:hAnsi="Times New Roman" w:eastAsia="宋体" w:cs="Times New Roman"/>
                      <w:color w:val="auto"/>
                      <w:sz w:val="21"/>
                      <w:szCs w:val="21"/>
                      <w:highlight w:val="none"/>
                    </w:rPr>
                  </w:pPr>
                </w:p>
              </w:tc>
              <w:tc>
                <w:tcPr>
                  <w:tcW w:w="845" w:type="pct"/>
                  <w:noWrap w:val="0"/>
                  <w:vAlign w:val="center"/>
                </w:tcPr>
                <w:p w14:paraId="19C0B8F1">
                  <w:pPr>
                    <w:widowControl/>
                    <w:spacing w:before="48" w:beforeLines="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916" w:type="pct"/>
                  <w:noWrap w:val="0"/>
                  <w:vAlign w:val="center"/>
                </w:tcPr>
                <w:p w14:paraId="195E2307">
                  <w:pPr>
                    <w:spacing w:before="48" w:before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350mg/L</w:t>
                  </w:r>
                </w:p>
              </w:tc>
            </w:tr>
            <w:tr w14:paraId="2F537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97" w:type="pct"/>
                  <w:vMerge w:val="continue"/>
                  <w:noWrap w:val="0"/>
                  <w:vAlign w:val="center"/>
                </w:tcPr>
                <w:p w14:paraId="14543636">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3BC6CB20">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16F8EC41">
                  <w:pPr>
                    <w:widowControl/>
                    <w:spacing w:before="48" w:beforeLines="20"/>
                    <w:jc w:val="center"/>
                    <w:rPr>
                      <w:rFonts w:hint="default" w:ascii="Times New Roman" w:hAnsi="Times New Roman" w:eastAsia="宋体" w:cs="Times New Roman"/>
                      <w:color w:val="auto"/>
                      <w:sz w:val="21"/>
                      <w:szCs w:val="21"/>
                      <w:highlight w:val="none"/>
                    </w:rPr>
                  </w:pPr>
                </w:p>
              </w:tc>
              <w:tc>
                <w:tcPr>
                  <w:tcW w:w="845" w:type="pct"/>
                  <w:noWrap w:val="0"/>
                  <w:vAlign w:val="center"/>
                </w:tcPr>
                <w:p w14:paraId="60A8830A">
                  <w:pPr>
                    <w:widowControl/>
                    <w:spacing w:before="48" w:beforeLines="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916" w:type="pct"/>
                  <w:noWrap w:val="0"/>
                  <w:vAlign w:val="center"/>
                </w:tcPr>
                <w:p w14:paraId="667C304F">
                  <w:pPr>
                    <w:spacing w:before="48" w:before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40mg/L</w:t>
                  </w:r>
                </w:p>
              </w:tc>
            </w:tr>
            <w:tr w14:paraId="62B47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97" w:type="pct"/>
                  <w:vMerge w:val="continue"/>
                  <w:noWrap w:val="0"/>
                  <w:vAlign w:val="center"/>
                </w:tcPr>
                <w:p w14:paraId="3B691656">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1714BC0A">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0111D48D">
                  <w:pPr>
                    <w:widowControl/>
                    <w:spacing w:before="48" w:beforeLines="20"/>
                    <w:jc w:val="center"/>
                    <w:rPr>
                      <w:rFonts w:hint="default" w:ascii="Times New Roman" w:hAnsi="Times New Roman" w:eastAsia="宋体" w:cs="Times New Roman"/>
                      <w:color w:val="auto"/>
                      <w:sz w:val="21"/>
                      <w:szCs w:val="21"/>
                      <w:highlight w:val="none"/>
                    </w:rPr>
                  </w:pPr>
                </w:p>
              </w:tc>
              <w:tc>
                <w:tcPr>
                  <w:tcW w:w="845" w:type="pct"/>
                  <w:noWrap w:val="0"/>
                  <w:vAlign w:val="center"/>
                </w:tcPr>
                <w:p w14:paraId="46898C4B">
                  <w:pPr>
                    <w:widowControl/>
                    <w:spacing w:before="48" w:beforeLines="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916" w:type="pct"/>
                  <w:noWrap w:val="0"/>
                  <w:vAlign w:val="center"/>
                </w:tcPr>
                <w:p w14:paraId="659CE8CF">
                  <w:pPr>
                    <w:spacing w:before="48" w:beforeLines="2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8mg/L</w:t>
                  </w:r>
                </w:p>
              </w:tc>
            </w:tr>
            <w:tr w14:paraId="24A33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97" w:type="pct"/>
                  <w:vMerge w:val="continue"/>
                  <w:noWrap w:val="0"/>
                  <w:vAlign w:val="center"/>
                </w:tcPr>
                <w:p w14:paraId="4C269073">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191F9AD4">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00544051">
                  <w:pPr>
                    <w:widowControl/>
                    <w:spacing w:before="48" w:beforeLines="20"/>
                    <w:jc w:val="center"/>
                    <w:rPr>
                      <w:rFonts w:hint="default" w:ascii="Times New Roman" w:hAnsi="Times New Roman" w:eastAsia="宋体" w:cs="Times New Roman"/>
                      <w:color w:val="auto"/>
                      <w:sz w:val="21"/>
                      <w:szCs w:val="21"/>
                      <w:highlight w:val="none"/>
                    </w:rPr>
                  </w:pPr>
                </w:p>
              </w:tc>
              <w:tc>
                <w:tcPr>
                  <w:tcW w:w="845" w:type="pct"/>
                  <w:shd w:val="clear" w:color="auto" w:fill="auto"/>
                  <w:noWrap w:val="0"/>
                  <w:vAlign w:val="center"/>
                </w:tcPr>
                <w:p w14:paraId="6F71BE5B">
                  <w:pPr>
                    <w:widowControl/>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总氮</w:t>
                  </w:r>
                </w:p>
              </w:tc>
              <w:tc>
                <w:tcPr>
                  <w:tcW w:w="916" w:type="pct"/>
                  <w:shd w:val="clear" w:color="auto" w:fill="auto"/>
                  <w:noWrap w:val="0"/>
                  <w:vAlign w:val="center"/>
                </w:tcPr>
                <w:p w14:paraId="3151B41E">
                  <w:pPr>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70mg/L</w:t>
                  </w:r>
                </w:p>
              </w:tc>
            </w:tr>
          </w:tbl>
          <w:p w14:paraId="1DCA84EE">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val="en-US" w:eastAsia="zh-CN"/>
              </w:rPr>
              <w:t>唐王村农村生活污水处理站排放标准</w:t>
            </w:r>
            <w:r>
              <w:rPr>
                <w:rFonts w:hint="default" w:ascii="Times New Roman" w:hAnsi="Times New Roman" w:eastAsia="宋体" w:cs="Times New Roman"/>
                <w:bCs/>
                <w:color w:val="auto"/>
                <w:sz w:val="24"/>
              </w:rPr>
              <w:t>执行</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农村生活污水处理设施水污染物排放标准</w:t>
            </w:r>
            <w:r>
              <w:rPr>
                <w:rFonts w:hint="default" w:ascii="Times New Roman" w:hAnsi="Times New Roman" w:eastAsia="宋体" w:cs="Times New Roman"/>
                <w:bCs/>
                <w:color w:val="auto"/>
                <w:sz w:val="24"/>
                <w:lang w:eastAsia="zh-CN"/>
              </w:rPr>
              <w:t>》（DB32/ 3462</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eastAsia="zh-CN"/>
              </w:rPr>
              <w:t>2020）</w:t>
            </w:r>
            <w:r>
              <w:rPr>
                <w:rFonts w:hint="default" w:ascii="Times New Roman" w:hAnsi="Times New Roman" w:eastAsia="宋体" w:cs="Times New Roman"/>
                <w:bCs/>
                <w:color w:val="auto"/>
                <w:sz w:val="24"/>
              </w:rPr>
              <w:t>表2水污染物特别排放限值</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标准值见下表：</w:t>
            </w:r>
          </w:p>
          <w:p w14:paraId="21E40061">
            <w:pPr>
              <w:pStyle w:val="8"/>
              <w:keepNext/>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color w:val="auto"/>
                <w:sz w:val="24"/>
                <w:szCs w:val="24"/>
              </w:rPr>
              <w:t>尾水排放标准   单位：mg/L</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657"/>
              <w:gridCol w:w="1388"/>
              <w:gridCol w:w="1401"/>
              <w:gridCol w:w="1519"/>
            </w:tblGrid>
            <w:tr w14:paraId="77AC3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97" w:type="pct"/>
                  <w:noWrap w:val="0"/>
                  <w:vAlign w:val="center"/>
                </w:tcPr>
                <w:p w14:paraId="707B4071">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603" w:type="pct"/>
                  <w:noWrap w:val="0"/>
                  <w:vAlign w:val="center"/>
                </w:tcPr>
                <w:p w14:paraId="36EC3B3F">
                  <w:pPr>
                    <w:widowControl/>
                    <w:spacing w:before="48" w:beforeLine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c>
                <w:tcPr>
                  <w:tcW w:w="837" w:type="pct"/>
                  <w:noWrap w:val="0"/>
                  <w:vAlign w:val="center"/>
                </w:tcPr>
                <w:p w14:paraId="76F01F8D">
                  <w:pPr>
                    <w:widowControl/>
                    <w:spacing w:before="48" w:beforeLine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标准级别</w:t>
                  </w:r>
                </w:p>
              </w:tc>
              <w:tc>
                <w:tcPr>
                  <w:tcW w:w="845" w:type="pct"/>
                  <w:noWrap w:val="0"/>
                  <w:vAlign w:val="center"/>
                </w:tcPr>
                <w:p w14:paraId="4D246F49">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指标</w:t>
                  </w:r>
                </w:p>
              </w:tc>
              <w:tc>
                <w:tcPr>
                  <w:tcW w:w="916" w:type="pct"/>
                  <w:noWrap w:val="0"/>
                  <w:vAlign w:val="center"/>
                </w:tcPr>
                <w:p w14:paraId="27F62007">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w:t>
                  </w:r>
                </w:p>
              </w:tc>
            </w:tr>
            <w:tr w14:paraId="15A90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7" w:type="pct"/>
                  <w:vMerge w:val="restart"/>
                  <w:noWrap w:val="0"/>
                  <w:vAlign w:val="center"/>
                </w:tcPr>
                <w:p w14:paraId="338C4D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农村生活污水站排口</w:t>
                  </w:r>
                </w:p>
              </w:tc>
              <w:tc>
                <w:tcPr>
                  <w:tcW w:w="1603" w:type="pct"/>
                  <w:vMerge w:val="restart"/>
                  <w:noWrap w:val="0"/>
                  <w:vAlign w:val="center"/>
                </w:tcPr>
                <w:p w14:paraId="6CE0C0F3">
                  <w:pPr>
                    <w:widowControl/>
                    <w:spacing w:before="48" w:beforeLines="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农村生活污水处理设施水污染物排放标准</w:t>
                  </w:r>
                  <w:r>
                    <w:rPr>
                      <w:rFonts w:hint="default" w:ascii="Times New Roman" w:hAnsi="Times New Roman" w:eastAsia="宋体" w:cs="Times New Roman"/>
                      <w:color w:val="auto"/>
                      <w:sz w:val="21"/>
                      <w:szCs w:val="21"/>
                      <w:highlight w:val="none"/>
                      <w:lang w:eastAsia="zh-CN"/>
                    </w:rPr>
                    <w:t>》（DB32/ 3462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2020）</w:t>
                  </w:r>
                </w:p>
              </w:tc>
              <w:tc>
                <w:tcPr>
                  <w:tcW w:w="837" w:type="pct"/>
                  <w:vMerge w:val="restart"/>
                  <w:noWrap w:val="0"/>
                  <w:vAlign w:val="center"/>
                </w:tcPr>
                <w:p w14:paraId="678809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表2水污染物特别排放限值</w:t>
                  </w:r>
                </w:p>
              </w:tc>
              <w:tc>
                <w:tcPr>
                  <w:tcW w:w="845" w:type="pct"/>
                  <w:noWrap w:val="0"/>
                  <w:vAlign w:val="center"/>
                </w:tcPr>
                <w:p w14:paraId="62E7D75C">
                  <w:pPr>
                    <w:widowControl/>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916" w:type="pct"/>
                  <w:noWrap w:val="0"/>
                  <w:vAlign w:val="center"/>
                </w:tcPr>
                <w:p w14:paraId="1AF2CBFB">
                  <w:pPr>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50mg/L</w:t>
                  </w:r>
                </w:p>
              </w:tc>
            </w:tr>
            <w:tr w14:paraId="26C13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7" w:type="pct"/>
                  <w:vMerge w:val="continue"/>
                  <w:noWrap w:val="0"/>
                  <w:vAlign w:val="center"/>
                </w:tcPr>
                <w:p w14:paraId="430A13DE">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7E38EC1E">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2BA2B2B3">
                  <w:pPr>
                    <w:jc w:val="center"/>
                    <w:rPr>
                      <w:rFonts w:hint="default" w:ascii="Times New Roman" w:hAnsi="Times New Roman" w:eastAsia="宋体" w:cs="Times New Roman"/>
                      <w:color w:val="auto"/>
                      <w:sz w:val="21"/>
                      <w:szCs w:val="21"/>
                      <w:highlight w:val="none"/>
                    </w:rPr>
                  </w:pPr>
                </w:p>
              </w:tc>
              <w:tc>
                <w:tcPr>
                  <w:tcW w:w="845" w:type="pct"/>
                  <w:noWrap w:val="0"/>
                  <w:vAlign w:val="center"/>
                </w:tcPr>
                <w:p w14:paraId="637C8203">
                  <w:pPr>
                    <w:widowControl/>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氨氮</w:t>
                  </w:r>
                </w:p>
              </w:tc>
              <w:tc>
                <w:tcPr>
                  <w:tcW w:w="916" w:type="pct"/>
                  <w:noWrap w:val="0"/>
                  <w:vAlign w:val="center"/>
                </w:tcPr>
                <w:p w14:paraId="191EB8E3">
                  <w:pPr>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5（8）mg/L</w:t>
                  </w:r>
                </w:p>
              </w:tc>
            </w:tr>
            <w:tr w14:paraId="2B54F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7" w:type="pct"/>
                  <w:vMerge w:val="continue"/>
                  <w:noWrap w:val="0"/>
                  <w:vAlign w:val="center"/>
                </w:tcPr>
                <w:p w14:paraId="576927EF">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2DCB6B49">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1FE62097">
                  <w:pPr>
                    <w:jc w:val="center"/>
                    <w:rPr>
                      <w:rFonts w:hint="default" w:ascii="Times New Roman" w:hAnsi="Times New Roman" w:eastAsia="宋体" w:cs="Times New Roman"/>
                      <w:color w:val="auto"/>
                      <w:sz w:val="21"/>
                      <w:szCs w:val="21"/>
                      <w:highlight w:val="none"/>
                    </w:rPr>
                  </w:pPr>
                </w:p>
              </w:tc>
              <w:tc>
                <w:tcPr>
                  <w:tcW w:w="845" w:type="pct"/>
                  <w:noWrap w:val="0"/>
                  <w:vAlign w:val="center"/>
                </w:tcPr>
                <w:p w14:paraId="4B84AA34">
                  <w:pPr>
                    <w:widowControl/>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总磷</w:t>
                  </w:r>
                </w:p>
              </w:tc>
              <w:tc>
                <w:tcPr>
                  <w:tcW w:w="916" w:type="pct"/>
                  <w:noWrap w:val="0"/>
                  <w:vAlign w:val="center"/>
                </w:tcPr>
                <w:p w14:paraId="6470C841">
                  <w:pPr>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1mg/L</w:t>
                  </w:r>
                </w:p>
              </w:tc>
            </w:tr>
            <w:tr w14:paraId="1273B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7" w:type="pct"/>
                  <w:vMerge w:val="continue"/>
                  <w:noWrap w:val="0"/>
                  <w:vAlign w:val="center"/>
                </w:tcPr>
                <w:p w14:paraId="23E15315">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78CACC70">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1742B2EB">
                  <w:pPr>
                    <w:jc w:val="center"/>
                    <w:rPr>
                      <w:rFonts w:hint="default" w:ascii="Times New Roman" w:hAnsi="Times New Roman" w:eastAsia="宋体" w:cs="Times New Roman"/>
                      <w:color w:val="auto"/>
                      <w:sz w:val="21"/>
                      <w:szCs w:val="21"/>
                      <w:highlight w:val="none"/>
                    </w:rPr>
                  </w:pPr>
                </w:p>
              </w:tc>
              <w:tc>
                <w:tcPr>
                  <w:tcW w:w="845" w:type="pct"/>
                  <w:noWrap w:val="0"/>
                  <w:vAlign w:val="center"/>
                </w:tcPr>
                <w:p w14:paraId="13E1E101">
                  <w:pPr>
                    <w:widowControl/>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总氮</w:t>
                  </w:r>
                </w:p>
              </w:tc>
              <w:tc>
                <w:tcPr>
                  <w:tcW w:w="916" w:type="pct"/>
                  <w:noWrap w:val="0"/>
                  <w:vAlign w:val="center"/>
                </w:tcPr>
                <w:p w14:paraId="674ABB8E">
                  <w:pPr>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20mg/L</w:t>
                  </w:r>
                </w:p>
              </w:tc>
            </w:tr>
            <w:tr w14:paraId="12FED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7" w:type="pct"/>
                  <w:vMerge w:val="continue"/>
                  <w:noWrap w:val="0"/>
                  <w:vAlign w:val="center"/>
                </w:tcPr>
                <w:p w14:paraId="350A9C8F">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6AEA6935">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398BBED5">
                  <w:pPr>
                    <w:jc w:val="center"/>
                    <w:rPr>
                      <w:rFonts w:hint="default" w:ascii="Times New Roman" w:hAnsi="Times New Roman" w:eastAsia="宋体" w:cs="Times New Roman"/>
                      <w:color w:val="auto"/>
                      <w:sz w:val="21"/>
                      <w:szCs w:val="21"/>
                      <w:highlight w:val="none"/>
                    </w:rPr>
                  </w:pPr>
                </w:p>
              </w:tc>
              <w:tc>
                <w:tcPr>
                  <w:tcW w:w="845" w:type="pct"/>
                  <w:noWrap w:val="0"/>
                  <w:vAlign w:val="center"/>
                </w:tcPr>
                <w:p w14:paraId="28F7223F">
                  <w:pPr>
                    <w:widowControl/>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SS</w:t>
                  </w:r>
                </w:p>
              </w:tc>
              <w:tc>
                <w:tcPr>
                  <w:tcW w:w="916" w:type="pct"/>
                  <w:noWrap w:val="0"/>
                  <w:vAlign w:val="center"/>
                </w:tcPr>
                <w:p w14:paraId="09A2EF83">
                  <w:pPr>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mg/L</w:t>
                  </w:r>
                </w:p>
              </w:tc>
            </w:tr>
            <w:tr w14:paraId="52E15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7" w:type="pct"/>
                  <w:vMerge w:val="continue"/>
                  <w:noWrap w:val="0"/>
                  <w:vAlign w:val="center"/>
                </w:tcPr>
                <w:p w14:paraId="7C6B3329">
                  <w:pPr>
                    <w:jc w:val="center"/>
                    <w:rPr>
                      <w:rFonts w:hint="default" w:ascii="Times New Roman" w:hAnsi="Times New Roman" w:eastAsia="宋体" w:cs="Times New Roman"/>
                      <w:color w:val="auto"/>
                      <w:sz w:val="21"/>
                      <w:szCs w:val="21"/>
                      <w:highlight w:val="none"/>
                    </w:rPr>
                  </w:pPr>
                </w:p>
              </w:tc>
              <w:tc>
                <w:tcPr>
                  <w:tcW w:w="1603" w:type="pct"/>
                  <w:vMerge w:val="continue"/>
                  <w:noWrap w:val="0"/>
                  <w:vAlign w:val="center"/>
                </w:tcPr>
                <w:p w14:paraId="51EE5C2D">
                  <w:pPr>
                    <w:widowControl/>
                    <w:spacing w:before="48" w:beforeLines="20"/>
                    <w:jc w:val="center"/>
                    <w:rPr>
                      <w:rFonts w:hint="default" w:ascii="Times New Roman" w:hAnsi="Times New Roman" w:eastAsia="宋体" w:cs="Times New Roman"/>
                      <w:color w:val="auto"/>
                      <w:sz w:val="21"/>
                      <w:szCs w:val="21"/>
                      <w:highlight w:val="none"/>
                    </w:rPr>
                  </w:pPr>
                </w:p>
              </w:tc>
              <w:tc>
                <w:tcPr>
                  <w:tcW w:w="837" w:type="pct"/>
                  <w:vMerge w:val="continue"/>
                  <w:noWrap w:val="0"/>
                  <w:vAlign w:val="center"/>
                </w:tcPr>
                <w:p w14:paraId="6CF2DABF">
                  <w:pPr>
                    <w:jc w:val="center"/>
                    <w:rPr>
                      <w:rFonts w:hint="default" w:ascii="Times New Roman" w:hAnsi="Times New Roman" w:eastAsia="宋体" w:cs="Times New Roman"/>
                      <w:color w:val="auto"/>
                      <w:sz w:val="21"/>
                      <w:szCs w:val="21"/>
                      <w:highlight w:val="none"/>
                    </w:rPr>
                  </w:pPr>
                </w:p>
              </w:tc>
              <w:tc>
                <w:tcPr>
                  <w:tcW w:w="845" w:type="pct"/>
                  <w:noWrap w:val="0"/>
                  <w:vAlign w:val="center"/>
                </w:tcPr>
                <w:p w14:paraId="5B8E1817">
                  <w:pPr>
                    <w:widowControl/>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w:t>
                  </w:r>
                </w:p>
              </w:tc>
              <w:tc>
                <w:tcPr>
                  <w:tcW w:w="916" w:type="pct"/>
                  <w:noWrap w:val="0"/>
                  <w:vAlign w:val="center"/>
                </w:tcPr>
                <w:p w14:paraId="1DC24B12">
                  <w:pPr>
                    <w:spacing w:before="48" w:beforeLine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6-9</w:t>
                  </w:r>
                </w:p>
              </w:tc>
            </w:tr>
          </w:tbl>
          <w:p w14:paraId="264ED56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color w:val="auto"/>
                <w:sz w:val="20"/>
                <w:szCs w:val="21"/>
              </w:rPr>
            </w:pPr>
            <w:r>
              <w:rPr>
                <w:rFonts w:hint="default" w:ascii="Times New Roman" w:hAnsi="Times New Roman" w:eastAsia="宋体" w:cs="Times New Roman"/>
                <w:bCs/>
                <w:color w:val="auto"/>
                <w:sz w:val="22"/>
              </w:rPr>
              <w:t>注*：</w:t>
            </w:r>
            <w:r>
              <w:rPr>
                <w:rFonts w:hint="eastAsia" w:ascii="Times New Roman" w:hAnsi="Times New Roman" w:eastAsia="宋体" w:cs="Times New Roman"/>
                <w:color w:val="auto"/>
                <w:highlight w:val="none"/>
              </w:rPr>
              <w:t>括号外数值为水温＞12℃时的控制指标，括号内数值为水温≤12℃时的控制指标。</w:t>
            </w:r>
          </w:p>
          <w:p w14:paraId="326C6F5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3、噪声</w:t>
            </w:r>
          </w:p>
          <w:p w14:paraId="02847388">
            <w:pPr>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本项目营运期厂界噪声执行《工业企业厂界环境噪声排放标准》（GB12348-2008）</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类功能区标准</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敏感点噪声执行《</w:t>
            </w:r>
            <w:r>
              <w:rPr>
                <w:rFonts w:hint="eastAsia" w:ascii="Times New Roman" w:hAnsi="Times New Roman" w:eastAsia="宋体" w:cs="Times New Roman"/>
                <w:color w:val="auto"/>
                <w:sz w:val="24"/>
                <w:lang w:val="en-US" w:eastAsia="zh-CN"/>
              </w:rPr>
              <w:fldChar w:fldCharType="begin"/>
            </w:r>
            <w:r>
              <w:rPr>
                <w:rFonts w:hint="eastAsia" w:ascii="Times New Roman" w:hAnsi="Times New Roman" w:eastAsia="宋体" w:cs="Times New Roman"/>
                <w:color w:val="auto"/>
                <w:sz w:val="24"/>
                <w:lang w:val="en-US" w:eastAsia="zh-CN"/>
              </w:rPr>
              <w:instrText xml:space="preserve"> HYPERLINK "https://www.mee.gov.cn/ywgz/fgbz/bz/bzwb/wlhj/shjzlbz/200809/W020111121351590491445.pdf" </w:instrText>
            </w:r>
            <w:r>
              <w:rPr>
                <w:rFonts w:hint="eastAsia" w:ascii="Times New Roman" w:hAnsi="Times New Roman" w:eastAsia="宋体" w:cs="Times New Roman"/>
                <w:color w:val="auto"/>
                <w:sz w:val="24"/>
                <w:lang w:val="en-US" w:eastAsia="zh-CN"/>
              </w:rPr>
              <w:fldChar w:fldCharType="separate"/>
            </w:r>
            <w:r>
              <w:rPr>
                <w:rFonts w:hint="eastAsia" w:ascii="Times New Roman" w:hAnsi="Times New Roman" w:eastAsia="宋体" w:cs="Times New Roman"/>
                <w:color w:val="auto"/>
                <w:sz w:val="24"/>
                <w:lang w:val="en-US" w:eastAsia="zh-CN"/>
              </w:rPr>
              <w:t>声环境质量标准》（GB3096－2008）</w:t>
            </w:r>
            <w:r>
              <w:rPr>
                <w:rFonts w:hint="eastAsia" w:ascii="Times New Roman" w:hAnsi="Times New Roman" w:eastAsia="宋体" w:cs="Times New Roman"/>
                <w:color w:val="auto"/>
                <w:sz w:val="24"/>
                <w:lang w:val="en-US" w:eastAsia="zh-CN"/>
              </w:rPr>
              <w:fldChar w:fldCharType="end"/>
            </w:r>
            <w:r>
              <w:rPr>
                <w:rFonts w:hint="eastAsia" w:ascii="Times New Roman" w:hAnsi="Times New Roman" w:eastAsia="宋体" w:cs="Times New Roman"/>
                <w:color w:val="auto"/>
                <w:sz w:val="24"/>
                <w:lang w:val="en-US" w:eastAsia="zh-CN"/>
              </w:rPr>
              <w:t>2类标准</w:t>
            </w:r>
            <w:r>
              <w:rPr>
                <w:rFonts w:hint="default" w:ascii="Times New Roman" w:hAnsi="Times New Roman" w:eastAsia="宋体" w:cs="Times New Roman"/>
                <w:color w:val="auto"/>
                <w:sz w:val="24"/>
              </w:rPr>
              <w:t>。</w:t>
            </w:r>
          </w:p>
          <w:p w14:paraId="6B753E81">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11</w:t>
            </w:r>
            <w:r>
              <w:rPr>
                <w:rFonts w:hint="default" w:ascii="Times New Roman" w:hAnsi="Times New Roman" w:eastAsia="宋体" w:cs="Times New Roman"/>
                <w:b/>
                <w:color w:val="auto"/>
                <w:sz w:val="24"/>
              </w:rPr>
              <w:t xml:space="preserve">  噪声排放标准限值</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20"/>
              <w:gridCol w:w="2453"/>
              <w:gridCol w:w="1218"/>
              <w:gridCol w:w="949"/>
              <w:gridCol w:w="1325"/>
              <w:gridCol w:w="1326"/>
            </w:tblGrid>
            <w:tr w14:paraId="2157D0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15" w:type="pct"/>
                  <w:vMerge w:val="restart"/>
                  <w:tcBorders>
                    <w:tl2br w:val="nil"/>
                    <w:tr2bl w:val="nil"/>
                  </w:tcBorders>
                  <w:vAlign w:val="center"/>
                </w:tcPr>
                <w:p w14:paraId="3ADAC36E">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厂界名</w:t>
                  </w:r>
                </w:p>
              </w:tc>
              <w:tc>
                <w:tcPr>
                  <w:tcW w:w="1479" w:type="pct"/>
                  <w:vMerge w:val="restart"/>
                  <w:tcBorders>
                    <w:tl2br w:val="nil"/>
                    <w:tr2bl w:val="nil"/>
                  </w:tcBorders>
                  <w:vAlign w:val="center"/>
                </w:tcPr>
                <w:p w14:paraId="39A28032">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执行标准</w:t>
                  </w:r>
                </w:p>
              </w:tc>
              <w:tc>
                <w:tcPr>
                  <w:tcW w:w="734" w:type="pct"/>
                  <w:vMerge w:val="restart"/>
                  <w:tcBorders>
                    <w:tl2br w:val="nil"/>
                    <w:tr2bl w:val="nil"/>
                  </w:tcBorders>
                  <w:vAlign w:val="center"/>
                </w:tcPr>
                <w:p w14:paraId="58AED314">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级别</w:t>
                  </w:r>
                </w:p>
              </w:tc>
              <w:tc>
                <w:tcPr>
                  <w:tcW w:w="572" w:type="pct"/>
                  <w:vMerge w:val="restart"/>
                  <w:tcBorders>
                    <w:tl2br w:val="nil"/>
                    <w:tr2bl w:val="nil"/>
                  </w:tcBorders>
                  <w:vAlign w:val="center"/>
                </w:tcPr>
                <w:p w14:paraId="63C0A1BB">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单位</w:t>
                  </w:r>
                </w:p>
              </w:tc>
              <w:tc>
                <w:tcPr>
                  <w:tcW w:w="1598" w:type="pct"/>
                  <w:gridSpan w:val="2"/>
                  <w:tcBorders>
                    <w:tl2br w:val="nil"/>
                    <w:tr2bl w:val="nil"/>
                  </w:tcBorders>
                  <w:vAlign w:val="center"/>
                </w:tcPr>
                <w:p w14:paraId="27EB6CAA">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标准限值</w:t>
                  </w:r>
                </w:p>
              </w:tc>
            </w:tr>
            <w:tr w14:paraId="7EDCAF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15" w:type="pct"/>
                  <w:vMerge w:val="continue"/>
                  <w:tcBorders>
                    <w:tl2br w:val="nil"/>
                    <w:tr2bl w:val="nil"/>
                  </w:tcBorders>
                  <w:vAlign w:val="center"/>
                </w:tcPr>
                <w:p w14:paraId="4FC787FF">
                  <w:pPr>
                    <w:widowControl/>
                    <w:jc w:val="center"/>
                    <w:rPr>
                      <w:rFonts w:hint="default" w:ascii="Times New Roman" w:hAnsi="Times New Roman" w:eastAsia="宋体" w:cs="Times New Roman"/>
                      <w:b/>
                      <w:color w:val="auto"/>
                      <w:szCs w:val="21"/>
                    </w:rPr>
                  </w:pPr>
                </w:p>
              </w:tc>
              <w:tc>
                <w:tcPr>
                  <w:tcW w:w="1479" w:type="pct"/>
                  <w:vMerge w:val="continue"/>
                  <w:tcBorders>
                    <w:tl2br w:val="nil"/>
                    <w:tr2bl w:val="nil"/>
                  </w:tcBorders>
                  <w:vAlign w:val="center"/>
                </w:tcPr>
                <w:p w14:paraId="3CF146B4">
                  <w:pPr>
                    <w:widowControl/>
                    <w:jc w:val="center"/>
                    <w:rPr>
                      <w:rFonts w:hint="default" w:ascii="Times New Roman" w:hAnsi="Times New Roman" w:eastAsia="宋体" w:cs="Times New Roman"/>
                      <w:b/>
                      <w:color w:val="auto"/>
                      <w:szCs w:val="21"/>
                    </w:rPr>
                  </w:pPr>
                </w:p>
              </w:tc>
              <w:tc>
                <w:tcPr>
                  <w:tcW w:w="734" w:type="pct"/>
                  <w:vMerge w:val="continue"/>
                  <w:tcBorders>
                    <w:tl2br w:val="nil"/>
                    <w:tr2bl w:val="nil"/>
                  </w:tcBorders>
                  <w:vAlign w:val="center"/>
                </w:tcPr>
                <w:p w14:paraId="6A7E0484">
                  <w:pPr>
                    <w:widowControl/>
                    <w:jc w:val="center"/>
                    <w:rPr>
                      <w:rFonts w:hint="default" w:ascii="Times New Roman" w:hAnsi="Times New Roman" w:eastAsia="宋体" w:cs="Times New Roman"/>
                      <w:b/>
                      <w:color w:val="auto"/>
                      <w:szCs w:val="21"/>
                    </w:rPr>
                  </w:pPr>
                </w:p>
              </w:tc>
              <w:tc>
                <w:tcPr>
                  <w:tcW w:w="572" w:type="pct"/>
                  <w:vMerge w:val="continue"/>
                  <w:tcBorders>
                    <w:tl2br w:val="nil"/>
                    <w:tr2bl w:val="nil"/>
                  </w:tcBorders>
                  <w:vAlign w:val="center"/>
                </w:tcPr>
                <w:p w14:paraId="3BB1404A">
                  <w:pPr>
                    <w:widowControl/>
                    <w:jc w:val="center"/>
                    <w:rPr>
                      <w:rFonts w:hint="default" w:ascii="Times New Roman" w:hAnsi="Times New Roman" w:eastAsia="宋体" w:cs="Times New Roman"/>
                      <w:b/>
                      <w:color w:val="auto"/>
                      <w:szCs w:val="21"/>
                    </w:rPr>
                  </w:pPr>
                </w:p>
              </w:tc>
              <w:tc>
                <w:tcPr>
                  <w:tcW w:w="799" w:type="pct"/>
                  <w:tcBorders>
                    <w:tl2br w:val="nil"/>
                    <w:tr2bl w:val="nil"/>
                  </w:tcBorders>
                  <w:vAlign w:val="center"/>
                </w:tcPr>
                <w:p w14:paraId="7638CFB4">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昼</w:t>
                  </w:r>
                </w:p>
              </w:tc>
              <w:tc>
                <w:tcPr>
                  <w:tcW w:w="799" w:type="pct"/>
                  <w:tcBorders>
                    <w:tl2br w:val="nil"/>
                    <w:tr2bl w:val="nil"/>
                  </w:tcBorders>
                  <w:vAlign w:val="center"/>
                </w:tcPr>
                <w:p w14:paraId="1956C837">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夜</w:t>
                  </w:r>
                </w:p>
              </w:tc>
            </w:tr>
            <w:tr w14:paraId="0D6FC6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15" w:type="pct"/>
                  <w:tcBorders>
                    <w:tl2br w:val="nil"/>
                    <w:tr2bl w:val="nil"/>
                  </w:tcBorders>
                  <w:vAlign w:val="center"/>
                </w:tcPr>
                <w:p w14:paraId="77116595">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eastAsia="宋体" w:cs="Times New Roman"/>
                      <w:color w:val="auto"/>
                      <w:szCs w:val="21"/>
                    </w:rPr>
                    <w:t>项目厂界</w:t>
                  </w:r>
                </w:p>
              </w:tc>
              <w:tc>
                <w:tcPr>
                  <w:tcW w:w="1479" w:type="pct"/>
                  <w:tcBorders>
                    <w:tl2br w:val="nil"/>
                    <w:tr2bl w:val="nil"/>
                  </w:tcBorders>
                  <w:vAlign w:val="center"/>
                </w:tcPr>
                <w:p w14:paraId="703BD32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《工业企业厂界环境噪声排放标准》（GB12348－2008）</w:t>
                  </w:r>
                </w:p>
              </w:tc>
              <w:tc>
                <w:tcPr>
                  <w:tcW w:w="734" w:type="pct"/>
                  <w:tcBorders>
                    <w:tl2br w:val="nil"/>
                    <w:tr2bl w:val="nil"/>
                  </w:tcBorders>
                  <w:vAlign w:val="center"/>
                </w:tcPr>
                <w:p w14:paraId="76C0CA9F">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类功能区标准</w:t>
                  </w:r>
                </w:p>
              </w:tc>
              <w:tc>
                <w:tcPr>
                  <w:tcW w:w="572" w:type="pct"/>
                  <w:tcBorders>
                    <w:tl2br w:val="nil"/>
                    <w:tr2bl w:val="nil"/>
                  </w:tcBorders>
                  <w:vAlign w:val="center"/>
                </w:tcPr>
                <w:p w14:paraId="2A0369C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dB（A）</w:t>
                  </w:r>
                </w:p>
              </w:tc>
              <w:tc>
                <w:tcPr>
                  <w:tcW w:w="799" w:type="pct"/>
                  <w:tcBorders>
                    <w:tl2br w:val="nil"/>
                    <w:tr2bl w:val="nil"/>
                  </w:tcBorders>
                  <w:vAlign w:val="center"/>
                </w:tcPr>
                <w:p w14:paraId="387EB2E0">
                  <w:pPr>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6</w:t>
                  </w:r>
                  <w:r>
                    <w:rPr>
                      <w:rFonts w:hint="eastAsia" w:ascii="Times New Roman" w:hAnsi="Times New Roman" w:eastAsia="宋体" w:cs="Times New Roman"/>
                      <w:color w:val="auto"/>
                      <w:szCs w:val="21"/>
                      <w:lang w:val="en-US" w:eastAsia="zh-CN"/>
                    </w:rPr>
                    <w:t>0</w:t>
                  </w:r>
                </w:p>
              </w:tc>
              <w:tc>
                <w:tcPr>
                  <w:tcW w:w="799" w:type="pct"/>
                  <w:tcBorders>
                    <w:tl2br w:val="nil"/>
                    <w:tr2bl w:val="nil"/>
                  </w:tcBorders>
                  <w:vAlign w:val="center"/>
                </w:tcPr>
                <w:p w14:paraId="185DEF4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r>
            <w:tr w14:paraId="4AB560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615" w:type="pct"/>
                  <w:tcBorders>
                    <w:tl2br w:val="nil"/>
                    <w:tr2bl w:val="nil"/>
                  </w:tcBorders>
                  <w:vAlign w:val="center"/>
                </w:tcPr>
                <w:p w14:paraId="5B69C248">
                  <w:pPr>
                    <w:jc w:val="center"/>
                    <w:rPr>
                      <w:rFonts w:hint="default" w:ascii="Times New Roman" w:hAnsi="Times New Roman" w:eastAsia="宋体" w:cs="Times New Roman"/>
                      <w:color w:val="auto"/>
                      <w:szCs w:val="21"/>
                    </w:rPr>
                  </w:pPr>
                  <w:r>
                    <w:rPr>
                      <w:rFonts w:hint="eastAsia" w:ascii="宋体" w:hAnsi="宋体" w:eastAsia="宋体" w:cs="宋体"/>
                      <w:color w:val="auto"/>
                      <w:lang w:val="en-US" w:eastAsia="zh-CN"/>
                    </w:rPr>
                    <w:t>唐王村</w:t>
                  </w:r>
                </w:p>
              </w:tc>
              <w:tc>
                <w:tcPr>
                  <w:tcW w:w="1479" w:type="pct"/>
                  <w:tcBorders>
                    <w:tl2br w:val="nil"/>
                    <w:tr2bl w:val="nil"/>
                  </w:tcBorders>
                  <w:vAlign w:val="center"/>
                </w:tcPr>
                <w:p w14:paraId="6E992B8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HYPERLINK "https://www.mee.gov.cn/ywgz/fgbz/bz/bzwb/wlhj/shjzlbz/200809/W020111121351590491445.pdf"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声环境质量标准》（GB3096－2008）</w:t>
                  </w:r>
                  <w:r>
                    <w:rPr>
                      <w:rFonts w:hint="default" w:ascii="Times New Roman" w:hAnsi="Times New Roman" w:eastAsia="宋体" w:cs="Times New Roman"/>
                      <w:color w:val="auto"/>
                      <w:szCs w:val="21"/>
                      <w:lang w:val="en-US" w:eastAsia="zh-CN"/>
                    </w:rPr>
                    <w:fldChar w:fldCharType="end"/>
                  </w:r>
                </w:p>
              </w:tc>
              <w:tc>
                <w:tcPr>
                  <w:tcW w:w="734" w:type="pct"/>
                  <w:tcBorders>
                    <w:tl2br w:val="nil"/>
                    <w:tr2bl w:val="nil"/>
                  </w:tcBorders>
                  <w:shd w:val="clear" w:color="auto" w:fill="auto"/>
                  <w:vAlign w:val="center"/>
                </w:tcPr>
                <w:p w14:paraId="2CA6A30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w:t>
                  </w:r>
                </w:p>
              </w:tc>
              <w:tc>
                <w:tcPr>
                  <w:tcW w:w="572" w:type="pct"/>
                  <w:tcBorders>
                    <w:tl2br w:val="nil"/>
                    <w:tr2bl w:val="nil"/>
                  </w:tcBorders>
                  <w:shd w:val="clear" w:color="auto" w:fill="auto"/>
                  <w:vAlign w:val="center"/>
                </w:tcPr>
                <w:p w14:paraId="0E4CCCE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dB（A）</w:t>
                  </w:r>
                </w:p>
              </w:tc>
              <w:tc>
                <w:tcPr>
                  <w:tcW w:w="799" w:type="pct"/>
                  <w:tcBorders>
                    <w:tl2br w:val="nil"/>
                    <w:tr2bl w:val="nil"/>
                  </w:tcBorders>
                  <w:shd w:val="clear" w:color="auto" w:fill="auto"/>
                  <w:vAlign w:val="center"/>
                </w:tcPr>
                <w:p w14:paraId="01F3D3C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6</w:t>
                  </w:r>
                  <w:r>
                    <w:rPr>
                      <w:rFonts w:hint="eastAsia" w:ascii="Times New Roman" w:hAnsi="Times New Roman" w:eastAsia="宋体" w:cs="Times New Roman"/>
                      <w:color w:val="auto"/>
                      <w:szCs w:val="21"/>
                      <w:lang w:val="en-US" w:eastAsia="zh-CN"/>
                    </w:rPr>
                    <w:t>0</w:t>
                  </w:r>
                </w:p>
              </w:tc>
              <w:tc>
                <w:tcPr>
                  <w:tcW w:w="799" w:type="pct"/>
                  <w:tcBorders>
                    <w:tl2br w:val="nil"/>
                    <w:tr2bl w:val="nil"/>
                  </w:tcBorders>
                  <w:shd w:val="clear" w:color="auto" w:fill="auto"/>
                  <w:vAlign w:val="center"/>
                </w:tcPr>
                <w:p w14:paraId="0D3D51E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50</w:t>
                  </w:r>
                </w:p>
              </w:tc>
            </w:tr>
          </w:tbl>
          <w:p w14:paraId="01BC9784">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4、固体废物</w:t>
            </w:r>
          </w:p>
          <w:p w14:paraId="0003EC5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执行《危险废物收集、贮存、运输技术规范》（HJ2025-2012）、《危险废物识别标志设置技术规范》（HJ1276-2022）、《危险废物管理计划和管理台账制定技术导则》（HJ1259-2022）、《危险废物贮存污染控制标准》（GB18597-2023）以及《省生态环境厅关于印发&lt;江苏省固体废物全过程环境监管工作意见&gt;的通知》（苏环办[2024]16号）等相关文件；</w:t>
            </w:r>
          </w:p>
          <w:p w14:paraId="1630CEC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一般工业固废暂存场所的设置参照《一般工业固体废物贮存和填埋污染控制标准》（GB18599-2020）中防渗漏、防雨淋、防扬尘等相关要求。</w:t>
            </w:r>
          </w:p>
          <w:p w14:paraId="7B15E816">
            <w:pPr>
              <w:spacing w:line="360" w:lineRule="auto"/>
              <w:rPr>
                <w:rFonts w:hint="default" w:ascii="Times New Roman" w:hAnsi="Times New Roman" w:eastAsia="宋体" w:cs="Times New Roman"/>
                <w:color w:val="auto"/>
                <w:sz w:val="24"/>
              </w:rPr>
            </w:pPr>
          </w:p>
        </w:tc>
      </w:tr>
      <w:tr w14:paraId="6BC9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5A92E3A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总量控制指标</w:t>
            </w:r>
          </w:p>
        </w:tc>
        <w:tc>
          <w:tcPr>
            <w:tcW w:w="4581" w:type="pct"/>
          </w:tcPr>
          <w:p w14:paraId="63848B6E">
            <w:pPr>
              <w:keepNext w:val="0"/>
              <w:keepLines w:val="0"/>
              <w:pageBreakBefore w:val="0"/>
              <w:numPr>
                <w:ilvl w:val="0"/>
                <w:numId w:val="0"/>
              </w:numPr>
              <w:kinsoku/>
              <w:wordWrap/>
              <w:topLinePunct w:val="0"/>
              <w:autoSpaceDE/>
              <w:autoSpaceDN/>
              <w:bidi w:val="0"/>
              <w:adjustRightInd w:val="0"/>
              <w:snapToGrid w:val="0"/>
              <w:spacing w:line="500" w:lineRule="exact"/>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1、总量控制指标</w:t>
            </w:r>
          </w:p>
          <w:p w14:paraId="3AF15D9E">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本项目污染物总量控制指标及来源途径见下表。</w:t>
            </w:r>
          </w:p>
          <w:p w14:paraId="513F5942">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12</w:t>
            </w:r>
            <w:r>
              <w:rPr>
                <w:rFonts w:hint="default" w:ascii="Times New Roman" w:hAnsi="Times New Roman" w:eastAsia="宋体" w:cs="Times New Roman"/>
                <w:b/>
                <w:color w:val="auto"/>
                <w:sz w:val="24"/>
              </w:rPr>
              <w:t xml:space="preserve">  建设项目全厂污染物排放总量表（单位：t/a）</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72"/>
              <w:gridCol w:w="532"/>
              <w:gridCol w:w="1156"/>
              <w:gridCol w:w="1151"/>
              <w:gridCol w:w="1143"/>
              <w:gridCol w:w="1276"/>
              <w:gridCol w:w="1221"/>
              <w:gridCol w:w="1140"/>
            </w:tblGrid>
            <w:tr w14:paraId="772672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3" w:type="pct"/>
                  <w:gridSpan w:val="3"/>
                  <w:vMerge w:val="restart"/>
                  <w:vAlign w:val="center"/>
                </w:tcPr>
                <w:p w14:paraId="79D6D3C8">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污染物名称</w:t>
                  </w:r>
                </w:p>
              </w:tc>
              <w:tc>
                <w:tcPr>
                  <w:tcW w:w="694" w:type="pct"/>
                  <w:vMerge w:val="restart"/>
                  <w:vAlign w:val="center"/>
                </w:tcPr>
                <w:p w14:paraId="1CADE5B9">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本项目产生量</w:t>
                  </w:r>
                </w:p>
              </w:tc>
              <w:tc>
                <w:tcPr>
                  <w:tcW w:w="689" w:type="pct"/>
                  <w:vMerge w:val="restart"/>
                  <w:vAlign w:val="center"/>
                </w:tcPr>
                <w:p w14:paraId="0DC95B8E">
                  <w:pPr>
                    <w:jc w:val="center"/>
                    <w:rPr>
                      <w:rFonts w:hint="eastAsia"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rPr>
                    <w:t>本项目排放量</w:t>
                  </w:r>
                  <w:r>
                    <w:rPr>
                      <w:rFonts w:hint="eastAsia" w:ascii="Times New Roman" w:hAnsi="Times New Roman" w:eastAsia="宋体" w:cs="Times New Roman"/>
                      <w:b/>
                      <w:color w:val="auto"/>
                      <w:kern w:val="0"/>
                      <w:sz w:val="21"/>
                      <w:szCs w:val="21"/>
                      <w:lang w:eastAsia="zh-CN"/>
                    </w:rPr>
                    <w:t>（</w:t>
                  </w:r>
                  <w:r>
                    <w:rPr>
                      <w:rFonts w:hint="eastAsia" w:ascii="Times New Roman" w:hAnsi="Times New Roman" w:eastAsia="宋体" w:cs="Times New Roman"/>
                      <w:b/>
                      <w:color w:val="auto"/>
                      <w:kern w:val="0"/>
                      <w:sz w:val="21"/>
                      <w:szCs w:val="21"/>
                      <w:lang w:val="en-US" w:eastAsia="zh-CN"/>
                    </w:rPr>
                    <w:t>接管量</w:t>
                  </w:r>
                  <w:r>
                    <w:rPr>
                      <w:rFonts w:hint="eastAsia" w:ascii="Times New Roman" w:hAnsi="Times New Roman" w:eastAsia="宋体" w:cs="Times New Roman"/>
                      <w:b/>
                      <w:color w:val="auto"/>
                      <w:kern w:val="0"/>
                      <w:sz w:val="21"/>
                      <w:szCs w:val="21"/>
                      <w:lang w:eastAsia="zh-CN"/>
                    </w:rPr>
                    <w:t>）</w:t>
                  </w:r>
                </w:p>
              </w:tc>
              <w:tc>
                <w:tcPr>
                  <w:tcW w:w="1505" w:type="pct"/>
                  <w:gridSpan w:val="2"/>
                  <w:vAlign w:val="center"/>
                </w:tcPr>
                <w:p w14:paraId="4300AB23">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接管申请量</w:t>
                  </w:r>
                </w:p>
              </w:tc>
              <w:tc>
                <w:tcPr>
                  <w:tcW w:w="687" w:type="pct"/>
                  <w:vMerge w:val="restart"/>
                  <w:vAlign w:val="center"/>
                </w:tcPr>
                <w:p w14:paraId="5ED13EEA">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最终排入外环境量</w:t>
                  </w:r>
                </w:p>
              </w:tc>
            </w:tr>
            <w:tr w14:paraId="701978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3" w:type="pct"/>
                  <w:gridSpan w:val="3"/>
                  <w:vMerge w:val="continue"/>
                  <w:vAlign w:val="center"/>
                </w:tcPr>
                <w:p w14:paraId="42D682DE">
                  <w:pPr>
                    <w:jc w:val="center"/>
                    <w:rPr>
                      <w:rFonts w:hint="default" w:ascii="Times New Roman" w:hAnsi="Times New Roman" w:eastAsia="宋体" w:cs="Times New Roman"/>
                      <w:b/>
                      <w:color w:val="auto"/>
                      <w:kern w:val="0"/>
                      <w:sz w:val="21"/>
                      <w:szCs w:val="21"/>
                    </w:rPr>
                  </w:pPr>
                </w:p>
              </w:tc>
              <w:tc>
                <w:tcPr>
                  <w:tcW w:w="694" w:type="pct"/>
                  <w:vMerge w:val="continue"/>
                  <w:vAlign w:val="center"/>
                </w:tcPr>
                <w:p w14:paraId="78191228">
                  <w:pPr>
                    <w:jc w:val="center"/>
                    <w:rPr>
                      <w:rFonts w:hint="default" w:ascii="Times New Roman" w:hAnsi="Times New Roman" w:eastAsia="宋体" w:cs="Times New Roman"/>
                      <w:b/>
                      <w:color w:val="auto"/>
                      <w:kern w:val="0"/>
                      <w:sz w:val="21"/>
                      <w:szCs w:val="21"/>
                    </w:rPr>
                  </w:pPr>
                </w:p>
              </w:tc>
              <w:tc>
                <w:tcPr>
                  <w:tcW w:w="689" w:type="pct"/>
                  <w:vMerge w:val="continue"/>
                  <w:vAlign w:val="center"/>
                </w:tcPr>
                <w:p w14:paraId="5A0103AF">
                  <w:pPr>
                    <w:jc w:val="center"/>
                    <w:rPr>
                      <w:rFonts w:hint="default" w:ascii="Times New Roman" w:hAnsi="Times New Roman" w:eastAsia="宋体" w:cs="Times New Roman"/>
                      <w:b/>
                      <w:color w:val="auto"/>
                      <w:kern w:val="0"/>
                      <w:sz w:val="21"/>
                      <w:szCs w:val="21"/>
                    </w:rPr>
                  </w:pPr>
                </w:p>
              </w:tc>
              <w:tc>
                <w:tcPr>
                  <w:tcW w:w="769" w:type="pct"/>
                  <w:vAlign w:val="center"/>
                </w:tcPr>
                <w:p w14:paraId="202CB0BD">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控制因子</w:t>
                  </w:r>
                </w:p>
              </w:tc>
              <w:tc>
                <w:tcPr>
                  <w:tcW w:w="736" w:type="pct"/>
                  <w:vAlign w:val="center"/>
                </w:tcPr>
                <w:p w14:paraId="423961FF">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考核因子</w:t>
                  </w:r>
                </w:p>
              </w:tc>
              <w:tc>
                <w:tcPr>
                  <w:tcW w:w="687" w:type="pct"/>
                  <w:vMerge w:val="continue"/>
                  <w:vAlign w:val="center"/>
                </w:tcPr>
                <w:p w14:paraId="78967F97">
                  <w:pPr>
                    <w:jc w:val="center"/>
                    <w:rPr>
                      <w:rFonts w:hint="default" w:ascii="Times New Roman" w:hAnsi="Times New Roman" w:eastAsia="宋体" w:cs="Times New Roman"/>
                      <w:color w:val="auto"/>
                      <w:kern w:val="0"/>
                      <w:sz w:val="21"/>
                      <w:szCs w:val="21"/>
                    </w:rPr>
                  </w:pPr>
                </w:p>
              </w:tc>
            </w:tr>
            <w:tr w14:paraId="481AA4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restart"/>
                  <w:vAlign w:val="center"/>
                </w:tcPr>
                <w:p w14:paraId="3518BA84">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生活污水</w:t>
                  </w:r>
                </w:p>
              </w:tc>
              <w:tc>
                <w:tcPr>
                  <w:tcW w:w="697" w:type="pct"/>
                  <w:vAlign w:val="center"/>
                </w:tcPr>
                <w:p w14:paraId="7CC4667F">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水量</w:t>
                  </w:r>
                </w:p>
              </w:tc>
              <w:tc>
                <w:tcPr>
                  <w:tcW w:w="694" w:type="pct"/>
                  <w:vAlign w:val="center"/>
                </w:tcPr>
                <w:p w14:paraId="3913256A">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144</w:t>
                  </w:r>
                </w:p>
              </w:tc>
              <w:tc>
                <w:tcPr>
                  <w:tcW w:w="689" w:type="pct"/>
                  <w:shd w:val="clear" w:color="auto" w:fill="auto"/>
                  <w:vAlign w:val="center"/>
                </w:tcPr>
                <w:p w14:paraId="5B4ACD56">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144</w:t>
                  </w:r>
                </w:p>
              </w:tc>
              <w:tc>
                <w:tcPr>
                  <w:tcW w:w="769" w:type="pct"/>
                  <w:vAlign w:val="center"/>
                </w:tcPr>
                <w:p w14:paraId="680F3BEE">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c>
                <w:tcPr>
                  <w:tcW w:w="736" w:type="pct"/>
                  <w:vAlign w:val="center"/>
                </w:tcPr>
                <w:p w14:paraId="6C7AA10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vAlign w:val="center"/>
                </w:tcPr>
                <w:p w14:paraId="0B818040">
                  <w:pPr>
                    <w:jc w:val="center"/>
                    <w:rPr>
                      <w:rFonts w:hint="default" w:ascii="Times New Roman" w:hAnsi="Times New Roman" w:eastAsia="宋体" w:cs="Times New Roman"/>
                      <w:color w:val="auto"/>
                      <w:kern w:val="0"/>
                      <w:sz w:val="21"/>
                      <w:szCs w:val="21"/>
                      <w:lang w:val="en-US"/>
                    </w:rPr>
                  </w:pPr>
                  <w:r>
                    <w:rPr>
                      <w:rFonts w:hint="eastAsia" w:ascii="Times New Roman" w:hAnsi="Times New Roman" w:eastAsia="宋体" w:cs="Times New Roman"/>
                      <w:color w:val="auto"/>
                      <w:kern w:val="0"/>
                      <w:sz w:val="21"/>
                      <w:szCs w:val="21"/>
                      <w:lang w:val="en-US" w:eastAsia="zh-CN"/>
                    </w:rPr>
                    <w:t>144</w:t>
                  </w:r>
                </w:p>
              </w:tc>
            </w:tr>
            <w:tr w14:paraId="01FC38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734E07F5">
                  <w:pPr>
                    <w:jc w:val="center"/>
                    <w:rPr>
                      <w:rFonts w:hint="default" w:ascii="Times New Roman" w:hAnsi="Times New Roman" w:eastAsia="宋体" w:cs="Times New Roman"/>
                      <w:color w:val="auto"/>
                      <w:kern w:val="0"/>
                      <w:sz w:val="21"/>
                      <w:szCs w:val="21"/>
                    </w:rPr>
                  </w:pPr>
                </w:p>
              </w:tc>
              <w:tc>
                <w:tcPr>
                  <w:tcW w:w="697" w:type="pct"/>
                  <w:vAlign w:val="center"/>
                </w:tcPr>
                <w:p w14:paraId="0FAB5C8D">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694" w:type="pct"/>
                  <w:shd w:val="clear" w:color="auto" w:fill="auto"/>
                  <w:vAlign w:val="center"/>
                </w:tcPr>
                <w:p w14:paraId="56253A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0.058</w:t>
                  </w:r>
                </w:p>
              </w:tc>
              <w:tc>
                <w:tcPr>
                  <w:tcW w:w="689" w:type="pct"/>
                  <w:shd w:val="clear" w:color="auto" w:fill="auto"/>
                  <w:vAlign w:val="center"/>
                </w:tcPr>
                <w:p w14:paraId="7E580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0.058</w:t>
                  </w:r>
                </w:p>
              </w:tc>
              <w:tc>
                <w:tcPr>
                  <w:tcW w:w="769" w:type="pct"/>
                  <w:shd w:val="clear" w:color="auto" w:fill="auto"/>
                  <w:vAlign w:val="center"/>
                </w:tcPr>
                <w:p w14:paraId="3BEBA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0.058</w:t>
                  </w:r>
                </w:p>
              </w:tc>
              <w:tc>
                <w:tcPr>
                  <w:tcW w:w="736" w:type="pct"/>
                  <w:vAlign w:val="center"/>
                </w:tcPr>
                <w:p w14:paraId="1BB25EE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3898A4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0.0072</w:t>
                  </w:r>
                </w:p>
              </w:tc>
            </w:tr>
            <w:tr w14:paraId="6CC1AB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6D50646F">
                  <w:pPr>
                    <w:jc w:val="center"/>
                    <w:rPr>
                      <w:rFonts w:hint="default" w:ascii="Times New Roman" w:hAnsi="Times New Roman" w:eastAsia="宋体" w:cs="Times New Roman"/>
                      <w:color w:val="auto"/>
                      <w:kern w:val="0"/>
                      <w:sz w:val="21"/>
                      <w:szCs w:val="21"/>
                    </w:rPr>
                  </w:pPr>
                </w:p>
              </w:tc>
              <w:tc>
                <w:tcPr>
                  <w:tcW w:w="697" w:type="pct"/>
                  <w:vAlign w:val="center"/>
                </w:tcPr>
                <w:p w14:paraId="313AB24B">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694" w:type="pct"/>
                  <w:shd w:val="clear" w:color="auto" w:fill="auto"/>
                  <w:vAlign w:val="center"/>
                </w:tcPr>
                <w:p w14:paraId="45372C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0.004</w:t>
                  </w:r>
                </w:p>
              </w:tc>
              <w:tc>
                <w:tcPr>
                  <w:tcW w:w="689" w:type="pct"/>
                  <w:shd w:val="clear" w:color="auto" w:fill="auto"/>
                  <w:vAlign w:val="center"/>
                </w:tcPr>
                <w:p w14:paraId="0EBFC1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0.004</w:t>
                  </w:r>
                </w:p>
              </w:tc>
              <w:tc>
                <w:tcPr>
                  <w:tcW w:w="769" w:type="pct"/>
                  <w:shd w:val="clear" w:color="auto" w:fill="auto"/>
                  <w:vAlign w:val="center"/>
                </w:tcPr>
                <w:p w14:paraId="3DE91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0.004</w:t>
                  </w:r>
                </w:p>
              </w:tc>
              <w:tc>
                <w:tcPr>
                  <w:tcW w:w="736" w:type="pct"/>
                  <w:vAlign w:val="center"/>
                </w:tcPr>
                <w:p w14:paraId="6F8EC3C1">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3AD3B6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0.0007</w:t>
                  </w:r>
                </w:p>
              </w:tc>
            </w:tr>
            <w:tr w14:paraId="13CD16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27F97BB0">
                  <w:pPr>
                    <w:jc w:val="center"/>
                    <w:rPr>
                      <w:rFonts w:hint="default" w:ascii="Times New Roman" w:hAnsi="Times New Roman" w:eastAsia="宋体" w:cs="Times New Roman"/>
                      <w:color w:val="auto"/>
                      <w:kern w:val="0"/>
                      <w:sz w:val="21"/>
                      <w:szCs w:val="21"/>
                    </w:rPr>
                  </w:pPr>
                </w:p>
              </w:tc>
              <w:tc>
                <w:tcPr>
                  <w:tcW w:w="697" w:type="pct"/>
                  <w:vAlign w:val="center"/>
                </w:tcPr>
                <w:p w14:paraId="0C8DEEA4">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TP</w:t>
                  </w:r>
                </w:p>
              </w:tc>
              <w:tc>
                <w:tcPr>
                  <w:tcW w:w="694" w:type="pct"/>
                  <w:shd w:val="clear" w:color="auto" w:fill="auto"/>
                  <w:vAlign w:val="center"/>
                </w:tcPr>
                <w:p w14:paraId="31E72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c>
                <w:tcPr>
                  <w:tcW w:w="689" w:type="pct"/>
                  <w:shd w:val="clear" w:color="auto" w:fill="auto"/>
                  <w:vAlign w:val="center"/>
                </w:tcPr>
                <w:p w14:paraId="4C1D4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c>
                <w:tcPr>
                  <w:tcW w:w="769" w:type="pct"/>
                  <w:shd w:val="clear" w:color="auto" w:fill="auto"/>
                  <w:vAlign w:val="center"/>
                </w:tcPr>
                <w:p w14:paraId="384E4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0.0003</w:t>
                  </w:r>
                </w:p>
              </w:tc>
              <w:tc>
                <w:tcPr>
                  <w:tcW w:w="736" w:type="pct"/>
                  <w:vAlign w:val="center"/>
                </w:tcPr>
                <w:p w14:paraId="04A3E20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1AFB90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0.0001</w:t>
                  </w:r>
                </w:p>
              </w:tc>
            </w:tr>
            <w:tr w14:paraId="3DEB34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7C8E47CF">
                  <w:pPr>
                    <w:jc w:val="center"/>
                    <w:rPr>
                      <w:rFonts w:hint="default" w:ascii="Times New Roman" w:hAnsi="Times New Roman" w:eastAsia="宋体" w:cs="Times New Roman"/>
                      <w:color w:val="auto"/>
                      <w:kern w:val="0"/>
                      <w:sz w:val="21"/>
                      <w:szCs w:val="21"/>
                    </w:rPr>
                  </w:pPr>
                </w:p>
              </w:tc>
              <w:tc>
                <w:tcPr>
                  <w:tcW w:w="697" w:type="pct"/>
                  <w:vAlign w:val="center"/>
                </w:tcPr>
                <w:p w14:paraId="16E34622">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TN</w:t>
                  </w:r>
                </w:p>
              </w:tc>
              <w:tc>
                <w:tcPr>
                  <w:tcW w:w="694" w:type="pct"/>
                  <w:shd w:val="clear" w:color="auto" w:fill="auto"/>
                  <w:vAlign w:val="center"/>
                </w:tcPr>
                <w:p w14:paraId="486FE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w:t>
                  </w:r>
                </w:p>
              </w:tc>
              <w:tc>
                <w:tcPr>
                  <w:tcW w:w="689" w:type="pct"/>
                  <w:shd w:val="clear" w:color="auto" w:fill="auto"/>
                  <w:vAlign w:val="center"/>
                </w:tcPr>
                <w:p w14:paraId="7D6D3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w:t>
                  </w:r>
                </w:p>
              </w:tc>
              <w:tc>
                <w:tcPr>
                  <w:tcW w:w="769" w:type="pct"/>
                  <w:shd w:val="clear" w:color="auto" w:fill="auto"/>
                  <w:vAlign w:val="center"/>
                </w:tcPr>
                <w:p w14:paraId="7F4D4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w:t>
                  </w:r>
                </w:p>
              </w:tc>
              <w:tc>
                <w:tcPr>
                  <w:tcW w:w="736" w:type="pct"/>
                  <w:vAlign w:val="center"/>
                </w:tcPr>
                <w:p w14:paraId="06BF60BA">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146793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0.0029</w:t>
                  </w:r>
                </w:p>
              </w:tc>
            </w:tr>
            <w:tr w14:paraId="147B63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405" w:type="pct"/>
                  <w:vAlign w:val="center"/>
                </w:tcPr>
                <w:p w14:paraId="7214805B">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大气污染物</w:t>
                  </w:r>
                </w:p>
              </w:tc>
              <w:tc>
                <w:tcPr>
                  <w:tcW w:w="320" w:type="pct"/>
                  <w:shd w:val="clear" w:color="auto" w:fill="auto"/>
                  <w:vAlign w:val="center"/>
                </w:tcPr>
                <w:p w14:paraId="43CC4009">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无组织</w:t>
                  </w:r>
                </w:p>
              </w:tc>
              <w:tc>
                <w:tcPr>
                  <w:tcW w:w="697" w:type="pct"/>
                  <w:shd w:val="clear" w:color="auto" w:fill="auto"/>
                  <w:vAlign w:val="center"/>
                </w:tcPr>
                <w:p w14:paraId="54251FDD">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Cs/>
                      <w:color w:val="auto"/>
                      <w:sz w:val="21"/>
                      <w:szCs w:val="21"/>
                      <w:lang w:val="en-US" w:eastAsia="zh-CN"/>
                    </w:rPr>
                    <w:t>VOCs（含非甲烷总烃）</w:t>
                  </w:r>
                </w:p>
              </w:tc>
              <w:tc>
                <w:tcPr>
                  <w:tcW w:w="694" w:type="pct"/>
                  <w:vAlign w:val="center"/>
                </w:tcPr>
                <w:p w14:paraId="0CCBA265">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0.00052</w:t>
                  </w:r>
                </w:p>
              </w:tc>
              <w:tc>
                <w:tcPr>
                  <w:tcW w:w="689" w:type="pct"/>
                  <w:shd w:val="clear" w:color="auto" w:fill="auto"/>
                  <w:vAlign w:val="center"/>
                </w:tcPr>
                <w:p w14:paraId="1C54A351">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0.0001</w:t>
                  </w:r>
                </w:p>
              </w:tc>
              <w:tc>
                <w:tcPr>
                  <w:tcW w:w="769" w:type="pct"/>
                  <w:shd w:val="clear" w:color="auto" w:fill="auto"/>
                  <w:vAlign w:val="center"/>
                </w:tcPr>
                <w:p w14:paraId="67729217">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0.0001</w:t>
                  </w:r>
                </w:p>
              </w:tc>
              <w:tc>
                <w:tcPr>
                  <w:tcW w:w="736" w:type="pct"/>
                  <w:vAlign w:val="center"/>
                </w:tcPr>
                <w:p w14:paraId="063DCECA">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07AFCD26">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0.0001</w:t>
                  </w:r>
                </w:p>
              </w:tc>
            </w:tr>
            <w:tr w14:paraId="079B7D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restart"/>
                  <w:vAlign w:val="center"/>
                </w:tcPr>
                <w:p w14:paraId="37625B9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697" w:type="pct"/>
                  <w:vAlign w:val="center"/>
                </w:tcPr>
                <w:p w14:paraId="241BD382">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危险固废</w:t>
                  </w:r>
                </w:p>
              </w:tc>
              <w:tc>
                <w:tcPr>
                  <w:tcW w:w="694" w:type="pct"/>
                  <w:vAlign w:val="center"/>
                </w:tcPr>
                <w:p w14:paraId="40C596A9">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9.428</w:t>
                  </w:r>
                </w:p>
              </w:tc>
              <w:tc>
                <w:tcPr>
                  <w:tcW w:w="689" w:type="pct"/>
                  <w:vAlign w:val="center"/>
                </w:tcPr>
                <w:p w14:paraId="61D4DD3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46392D9D">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34402F20">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6416E4A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r w14:paraId="02660D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52CA6A4E">
                  <w:pPr>
                    <w:jc w:val="center"/>
                    <w:rPr>
                      <w:rFonts w:hint="default" w:ascii="Times New Roman" w:hAnsi="Times New Roman" w:eastAsia="宋体" w:cs="Times New Roman"/>
                      <w:color w:val="auto"/>
                      <w:kern w:val="0"/>
                      <w:sz w:val="21"/>
                      <w:szCs w:val="21"/>
                    </w:rPr>
                  </w:pPr>
                </w:p>
              </w:tc>
              <w:tc>
                <w:tcPr>
                  <w:tcW w:w="697" w:type="pct"/>
                  <w:vAlign w:val="center"/>
                </w:tcPr>
                <w:p w14:paraId="62F0AB0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一般固废</w:t>
                  </w:r>
                </w:p>
              </w:tc>
              <w:tc>
                <w:tcPr>
                  <w:tcW w:w="694" w:type="pct"/>
                  <w:vAlign w:val="center"/>
                </w:tcPr>
                <w:p w14:paraId="5964F3AF">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0.5</w:t>
                  </w:r>
                </w:p>
              </w:tc>
              <w:tc>
                <w:tcPr>
                  <w:tcW w:w="689" w:type="pct"/>
                  <w:vAlign w:val="center"/>
                </w:tcPr>
                <w:p w14:paraId="13FD8AF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7DE8B311">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453BFA84">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6D08D3AD">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r w14:paraId="359E72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7784859F">
                  <w:pPr>
                    <w:jc w:val="center"/>
                    <w:rPr>
                      <w:rFonts w:hint="default" w:ascii="Times New Roman" w:hAnsi="Times New Roman" w:eastAsia="宋体" w:cs="Times New Roman"/>
                      <w:color w:val="auto"/>
                      <w:kern w:val="0"/>
                      <w:sz w:val="21"/>
                      <w:szCs w:val="21"/>
                    </w:rPr>
                  </w:pPr>
                </w:p>
              </w:tc>
              <w:tc>
                <w:tcPr>
                  <w:tcW w:w="697" w:type="pct"/>
                  <w:vAlign w:val="center"/>
                </w:tcPr>
                <w:p w14:paraId="66E2E544">
                  <w:pPr>
                    <w:ind w:left="-105" w:leftChars="-50" w:right="-105" w:right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生活垃圾</w:t>
                  </w:r>
                </w:p>
              </w:tc>
              <w:tc>
                <w:tcPr>
                  <w:tcW w:w="694" w:type="pct"/>
                  <w:vAlign w:val="center"/>
                </w:tcPr>
                <w:p w14:paraId="79A810F9">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2.88</w:t>
                  </w:r>
                </w:p>
              </w:tc>
              <w:tc>
                <w:tcPr>
                  <w:tcW w:w="689" w:type="pct"/>
                  <w:vAlign w:val="center"/>
                </w:tcPr>
                <w:p w14:paraId="654F5097">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42E2E802">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1B06BC2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1B1D4FD1">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bl>
          <w:p w14:paraId="654827C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、总量平衡方案</w:t>
            </w:r>
          </w:p>
          <w:p w14:paraId="0CD6E49E">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（1）大气污染物</w:t>
            </w:r>
          </w:p>
          <w:p w14:paraId="050C9092">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废气：根据《常州市建设项目主要污染物排放总量指标审核及管理实施细则》（常政办发</w:t>
            </w:r>
            <w:r>
              <w:rPr>
                <w:rFonts w:hint="eastAsia" w:ascii="Times New Roman" w:hAnsi="Times New Roman" w:eastAsia="宋体" w:cs="Times New Roman"/>
                <w:color w:val="auto"/>
                <w:sz w:val="24"/>
                <w:lang w:val="en-US" w:eastAsia="zh-CN"/>
              </w:rPr>
              <w:t>〔2015〕104号）</w:t>
            </w:r>
            <w:r>
              <w:rPr>
                <w:rFonts w:hint="default" w:ascii="Times New Roman" w:hAnsi="Times New Roman" w:eastAsia="宋体" w:cs="Times New Roman"/>
                <w:color w:val="auto"/>
                <w:sz w:val="24"/>
                <w:lang w:val="en-US" w:eastAsia="zh-CN"/>
              </w:rPr>
              <w:t>规定：“新、改、扩建排放烟粉尘、挥发性有机物的项目，实行现役源2倍削减量替代或关闭类项目1.5倍削减量替代”。</w:t>
            </w:r>
          </w:p>
          <w:p w14:paraId="1980EEE9">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大气污染物排放总量控制指标为：VOCs（含非甲烷总烃）：0.0001t/a（其中，有组织排放</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t/a、无组织排放0.</w:t>
            </w:r>
            <w:r>
              <w:rPr>
                <w:rFonts w:hint="eastAsia" w:ascii="Times New Roman" w:hAnsi="Times New Roman" w:eastAsia="宋体" w:cs="Times New Roman"/>
                <w:color w:val="auto"/>
                <w:sz w:val="24"/>
                <w:lang w:val="en-US" w:eastAsia="zh-CN"/>
              </w:rPr>
              <w:t>0001</w:t>
            </w:r>
            <w:r>
              <w:rPr>
                <w:rFonts w:hint="default" w:ascii="Times New Roman" w:hAnsi="Times New Roman" w:eastAsia="宋体" w:cs="Times New Roman"/>
                <w:color w:val="auto"/>
                <w:sz w:val="24"/>
                <w:lang w:val="en-US" w:eastAsia="zh-CN"/>
              </w:rPr>
              <w:t>t/a），故本项目需申请总量为：VOCs（含非甲烷总烃）：0.0001t/a，拟在金坛区内进行平衡。</w:t>
            </w:r>
          </w:p>
          <w:p w14:paraId="34FC5770">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（2）水污染物</w:t>
            </w:r>
          </w:p>
          <w:p w14:paraId="13085948">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水污染物总量平衡途径：本项目新增生活污水排放量为</w:t>
            </w:r>
            <w:r>
              <w:rPr>
                <w:rFonts w:hint="eastAsia" w:ascii="Times New Roman" w:hAnsi="Times New Roman" w:eastAsia="宋体" w:cs="Times New Roman"/>
                <w:color w:val="auto"/>
                <w:sz w:val="24"/>
                <w:lang w:val="en-US" w:eastAsia="zh-CN"/>
              </w:rPr>
              <w:t>144</w:t>
            </w:r>
            <w:r>
              <w:rPr>
                <w:rFonts w:hint="default" w:ascii="Times New Roman" w:hAnsi="Times New Roman" w:eastAsia="宋体" w:cs="Times New Roman"/>
                <w:color w:val="auto"/>
                <w:sz w:val="24"/>
                <w:lang w:val="en-US" w:eastAsia="zh-CN"/>
              </w:rPr>
              <w:t>t/a，废水中各类污染物在农村生活污水站内平衡。</w:t>
            </w:r>
          </w:p>
          <w:p w14:paraId="204F5189">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（3）固体废弃物</w:t>
            </w:r>
          </w:p>
          <w:p w14:paraId="7B33DDC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本项目固体废弃物全部“零”排放，不会产生二次污染，故不申请总量。</w:t>
            </w:r>
          </w:p>
        </w:tc>
      </w:tr>
    </w:tbl>
    <w:p w14:paraId="334C0D8F">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E02ADAE">
      <w:pPr>
        <w:pStyle w:val="2"/>
        <w:numPr>
          <w:ilvl w:val="0"/>
          <w:numId w:val="7"/>
        </w:numPr>
        <w:ind w:left="420" w:leftChars="0" w:firstLineChars="0"/>
        <w:rPr>
          <w:rFonts w:hint="default" w:ascii="Times New Roman" w:hAnsi="Times New Roman" w:cs="Times New Roman"/>
          <w:color w:val="auto"/>
        </w:rPr>
      </w:pPr>
      <w:r>
        <w:rPr>
          <w:rFonts w:hint="default" w:ascii="Times New Roman" w:hAnsi="Times New Roman" w:cs="Times New Roman"/>
          <w:color w:val="auto"/>
        </w:rPr>
        <w:t>主要环境影响和保护措施</w:t>
      </w:r>
    </w:p>
    <w:tbl>
      <w:tblPr>
        <w:tblStyle w:val="29"/>
        <w:tblW w:w="92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6"/>
        <w:gridCol w:w="8700"/>
      </w:tblGrid>
      <w:tr w14:paraId="19692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6" w:type="dxa"/>
            <w:noWrap w:val="0"/>
            <w:tcMar>
              <w:left w:w="28" w:type="dxa"/>
              <w:right w:w="28" w:type="dxa"/>
            </w:tcMar>
            <w:vAlign w:val="center"/>
          </w:tcPr>
          <w:p w14:paraId="07EDB067">
            <w:pPr>
              <w:pStyle w:val="26"/>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施工期环境保护措施</w:t>
            </w:r>
          </w:p>
        </w:tc>
        <w:tc>
          <w:tcPr>
            <w:tcW w:w="8700" w:type="dxa"/>
            <w:noWrap w:val="0"/>
            <w:vAlign w:val="center"/>
          </w:tcPr>
          <w:p w14:paraId="0A767F24">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施工期环境影响简要分析：</w:t>
            </w:r>
          </w:p>
          <w:p w14:paraId="063F047F">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常州市三合光学技术有限公司</w:t>
            </w:r>
            <w:r>
              <w:rPr>
                <w:rFonts w:hint="default" w:ascii="Times New Roman" w:hAnsi="Times New Roman" w:eastAsia="宋体" w:cs="Times New Roman"/>
                <w:color w:val="auto"/>
                <w:sz w:val="24"/>
                <w:lang w:val="en-US" w:eastAsia="zh-CN"/>
              </w:rPr>
              <w:t>位于</w:t>
            </w:r>
            <w:r>
              <w:rPr>
                <w:rFonts w:hint="eastAsia" w:ascii="Times New Roman" w:hAnsi="Times New Roman" w:eastAsia="宋体" w:cs="Times New Roman"/>
                <w:color w:val="auto"/>
                <w:sz w:val="24"/>
                <w:lang w:eastAsia="zh-CN"/>
              </w:rPr>
              <w:t>常州市金坛区朱林镇唐王村委唐王村62号</w:t>
            </w:r>
            <w:r>
              <w:rPr>
                <w:rFonts w:hint="default" w:ascii="Times New Roman" w:hAnsi="Times New Roman" w:eastAsia="宋体" w:cs="Times New Roman"/>
                <w:color w:val="auto"/>
                <w:sz w:val="24"/>
              </w:rPr>
              <w:t>，本项目在</w:t>
            </w:r>
            <w:r>
              <w:rPr>
                <w:rFonts w:hint="eastAsia" w:ascii="Times New Roman" w:hAnsi="Times New Roman" w:eastAsia="宋体" w:cs="Times New Roman"/>
                <w:color w:val="auto"/>
                <w:sz w:val="24"/>
                <w:lang w:val="en-US" w:eastAsia="zh-CN"/>
              </w:rPr>
              <w:t>现有厂区</w:t>
            </w:r>
            <w:r>
              <w:rPr>
                <w:rFonts w:hint="default" w:ascii="Times New Roman" w:hAnsi="Times New Roman" w:eastAsia="宋体" w:cs="Times New Roman"/>
                <w:color w:val="auto"/>
                <w:sz w:val="24"/>
              </w:rPr>
              <w:t>内进行生产，施工期主要是在现有的生产车间内进行设备的安装和调试，不涉及厂房施工建设，所以无施工粉尘、噪声以及建筑垃圾产生。本项目施工期主要是运输设备的汽车进出产生少量的汽车尾气，不予考虑；管道敷设和设备安装产生的噪声，由于这些施工是在现有的生产车间内进行的，经过厂房的隔声后不会对附近产生噪声影响。</w:t>
            </w:r>
          </w:p>
          <w:p w14:paraId="19391BF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所以本项目的施工期过程简单，对周边环境影响较小。</w:t>
            </w:r>
          </w:p>
          <w:p w14:paraId="0C1364F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以下就噪声及固废对环境的影响加以分析，并提出相应的防治措施。</w:t>
            </w:r>
          </w:p>
          <w:p w14:paraId="152154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（1）施工期噪声影响分析及防治</w:t>
            </w:r>
          </w:p>
          <w:p w14:paraId="4E82E62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由于安装设备一般于白天作业，应加强对设备安装的管理和操作人员的环境意识教育，严格控制设备运输及安装过程中噪声，降低对周围环境的噪声影响。</w:t>
            </w:r>
          </w:p>
          <w:p w14:paraId="15E5BC3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（2）施工期固废影响分析及防治对策</w:t>
            </w:r>
          </w:p>
          <w:p w14:paraId="48FBFE2E">
            <w:pPr>
              <w:spacing w:line="360" w:lineRule="auto"/>
              <w:ind w:firstLine="480" w:firstLineChars="200"/>
              <w:rPr>
                <w:rFonts w:hint="default" w:ascii="Times New Roman" w:hAnsi="Times New Roman" w:cs="Times New Roman"/>
                <w:bCs/>
                <w:color w:val="auto"/>
                <w:spacing w:val="-10"/>
                <w:sz w:val="24"/>
              </w:rPr>
            </w:pPr>
            <w:r>
              <w:rPr>
                <w:rFonts w:hint="default" w:ascii="Times New Roman" w:hAnsi="Times New Roman" w:eastAsia="宋体" w:cs="Times New Roman"/>
                <w:color w:val="auto"/>
                <w:sz w:val="24"/>
              </w:rPr>
              <w:t>设备安装期间产生的固废主要是设备包装材料以及废安装材料。安装设备过程中产生的废包装及废材料应及时集中收集处理，并及时清运，一般外卖至固废回收站，从而维护厂区的环境卫生，保证产品质量。装修期间及时清理现场的废弃物；同时加强对装修人员的教育，不随意乱丢废弃物，倡导文明和绿色施工。</w:t>
            </w:r>
          </w:p>
        </w:tc>
      </w:tr>
      <w:tr w14:paraId="410B3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06" w:type="dxa"/>
            <w:noWrap w:val="0"/>
            <w:tcMar>
              <w:left w:w="28" w:type="dxa"/>
              <w:right w:w="28" w:type="dxa"/>
            </w:tcMar>
            <w:vAlign w:val="center"/>
          </w:tcPr>
          <w:p w14:paraId="246E9915">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
                <w:bCs w:val="0"/>
                <w:color w:val="auto"/>
                <w:sz w:val="24"/>
              </w:rPr>
              <w:t>运营期环境影响和保护措施</w:t>
            </w:r>
          </w:p>
        </w:tc>
        <w:tc>
          <w:tcPr>
            <w:tcW w:w="8700" w:type="dxa"/>
            <w:noWrap w:val="0"/>
            <w:vAlign w:val="center"/>
          </w:tcPr>
          <w:p w14:paraId="77FC2AC1">
            <w:pPr>
              <w:keepNext w:val="0"/>
              <w:keepLines w:val="0"/>
              <w:pageBreakBefore w:val="0"/>
              <w:widowControl w:val="0"/>
              <w:kinsoku/>
              <w:wordWrap/>
              <w:overflowPunct/>
              <w:topLinePunct w:val="0"/>
              <w:autoSpaceDE/>
              <w:autoSpaceDN/>
              <w:bidi w:val="0"/>
              <w:adjustRightInd w:val="0"/>
              <w:snapToGrid w:val="0"/>
              <w:spacing w:before="120" w:line="360" w:lineRule="auto"/>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一、废气</w:t>
            </w:r>
          </w:p>
          <w:p w14:paraId="26D844C6">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大气污染物产生情况</w:t>
            </w:r>
          </w:p>
          <w:p w14:paraId="5C0352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本项目废气主要为</w:t>
            </w:r>
            <w:r>
              <w:rPr>
                <w:rFonts w:hint="default" w:ascii="Times New Roman" w:hAnsi="Times New Roman" w:eastAsia="宋体" w:cs="Times New Roman"/>
                <w:color w:val="auto"/>
                <w:sz w:val="24"/>
                <w:szCs w:val="24"/>
                <w:lang w:val="en-US" w:eastAsia="zh-CN"/>
              </w:rPr>
              <w:t>固定工序废气</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经一套集气罩+二级活性炭吸附装置处理后</w:t>
            </w:r>
            <w:r>
              <w:rPr>
                <w:rFonts w:hint="eastAsia"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color w:val="auto"/>
                <w:sz w:val="24"/>
                <w:szCs w:val="24"/>
                <w:lang w:val="en-US" w:eastAsia="zh-CN"/>
              </w:rPr>
              <w:t>排放。</w:t>
            </w:r>
          </w:p>
          <w:p w14:paraId="4E88E8BE">
            <w:pPr>
              <w:pStyle w:val="10"/>
              <w:keepNext w:val="0"/>
              <w:keepLines w:val="0"/>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zCs w:val="24"/>
                <w:lang w:val="en-US" w:bidi="ar"/>
              </w:rPr>
            </w:pPr>
            <w:r>
              <w:rPr>
                <w:rFonts w:hint="default" w:ascii="Times New Roman" w:hAnsi="Times New Roman" w:eastAsia="宋体" w:cs="Times New Roman"/>
                <w:b/>
                <w:bCs/>
                <w:color w:val="auto"/>
                <w:sz w:val="24"/>
                <w:szCs w:val="24"/>
                <w:lang w:val="en-US" w:eastAsia="zh-CN"/>
              </w:rPr>
              <w:t>①固定工序废气</w:t>
            </w:r>
          </w:p>
          <w:p w14:paraId="79130C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项目固定工序需使用</w:t>
            </w:r>
            <w:r>
              <w:rPr>
                <w:rFonts w:hint="eastAsia" w:ascii="Times New Roman" w:hAnsi="Times New Roman" w:eastAsia="宋体" w:cs="Times New Roman"/>
                <w:color w:val="auto"/>
                <w:sz w:val="24"/>
                <w:szCs w:val="24"/>
                <w:lang w:val="en-US" w:eastAsia="zh-CN"/>
              </w:rPr>
              <w:t>热熔胶</w:t>
            </w:r>
            <w:r>
              <w:rPr>
                <w:rFonts w:hint="default" w:ascii="Times New Roman" w:hAnsi="Times New Roman" w:eastAsia="宋体" w:cs="Times New Roman"/>
                <w:color w:val="auto"/>
                <w:sz w:val="24"/>
                <w:szCs w:val="24"/>
                <w:lang w:val="en-US" w:eastAsia="zh-CN"/>
              </w:rPr>
              <w:t>，使用过程中会产生一定量的有机废气；</w:t>
            </w:r>
          </w:p>
          <w:p w14:paraId="5EDEA4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根据VOCs平衡（图2-</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固定工序</w:t>
            </w:r>
            <w:r>
              <w:rPr>
                <w:rFonts w:hint="default" w:ascii="Times New Roman" w:hAnsi="Times New Roman" w:eastAsia="宋体" w:cs="Times New Roman"/>
                <w:b w:val="0"/>
                <w:bCs w:val="0"/>
                <w:color w:val="auto"/>
                <w:sz w:val="24"/>
                <w:szCs w:val="24"/>
                <w:lang w:val="en-US" w:eastAsia="zh-CN"/>
              </w:rPr>
              <w:t>有机废气产生量共计为0.000</w:t>
            </w:r>
            <w:r>
              <w:rPr>
                <w:rFonts w:hint="eastAsia" w:ascii="Times New Roman" w:hAnsi="Times New Roman" w:eastAsia="宋体" w:cs="Times New Roman"/>
                <w:b w:val="0"/>
                <w:bCs w:val="0"/>
                <w:color w:val="auto"/>
                <w:sz w:val="24"/>
                <w:szCs w:val="24"/>
                <w:lang w:val="en-US" w:eastAsia="zh-CN"/>
              </w:rPr>
              <w:t>52</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以</w:t>
            </w:r>
            <w:r>
              <w:rPr>
                <w:rFonts w:hint="default" w:ascii="Times New Roman" w:hAnsi="Times New Roman" w:eastAsia="宋体" w:cs="Times New Roman"/>
                <w:b w:val="0"/>
                <w:bCs w:val="0"/>
                <w:color w:val="auto"/>
                <w:sz w:val="24"/>
                <w:szCs w:val="24"/>
                <w:lang w:val="en-US" w:eastAsia="zh-CN"/>
              </w:rPr>
              <w:t>非甲烷总烃</w:t>
            </w:r>
            <w:r>
              <w:rPr>
                <w:rFonts w:hint="eastAsia" w:ascii="Times New Roman" w:hAnsi="Times New Roman" w:eastAsia="宋体" w:cs="Times New Roman"/>
                <w:b w:val="0"/>
                <w:bCs w:val="0"/>
                <w:color w:val="auto"/>
                <w:sz w:val="24"/>
                <w:szCs w:val="24"/>
                <w:lang w:val="en-US" w:eastAsia="zh-CN"/>
              </w:rPr>
              <w:t>计</w:t>
            </w:r>
            <w:r>
              <w:rPr>
                <w:rFonts w:hint="default" w:ascii="Times New Roman" w:hAnsi="Times New Roman" w:eastAsia="宋体" w:cs="Times New Roman"/>
                <w:b w:val="0"/>
                <w:bCs w:val="0"/>
                <w:color w:val="auto"/>
                <w:sz w:val="24"/>
                <w:szCs w:val="24"/>
                <w:lang w:val="en-US" w:eastAsia="zh-CN"/>
              </w:rPr>
              <w:t>。</w:t>
            </w:r>
          </w:p>
          <w:p w14:paraId="39479E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固定工序</w:t>
            </w:r>
            <w:r>
              <w:rPr>
                <w:rFonts w:hint="eastAsia" w:ascii="Times New Roman" w:hAnsi="Times New Roman" w:eastAsia="宋体" w:cs="Times New Roman"/>
                <w:color w:val="auto"/>
                <w:sz w:val="24"/>
                <w:szCs w:val="24"/>
                <w:lang w:val="en-US" w:eastAsia="zh-CN"/>
              </w:rPr>
              <w:t>上方设置集气罩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废气捕集率以90%计，捕集后经一套</w:t>
            </w:r>
            <w:r>
              <w:rPr>
                <w:rFonts w:hint="default" w:ascii="Times New Roman" w:hAnsi="Times New Roman" w:eastAsia="宋体" w:cs="Times New Roman"/>
                <w:color w:val="auto"/>
                <w:sz w:val="24"/>
                <w:szCs w:val="24"/>
                <w:lang w:val="en-US" w:eastAsia="zh-CN"/>
              </w:rPr>
              <w:t>二级活性炭吸附装置处理后</w:t>
            </w:r>
            <w:r>
              <w:rPr>
                <w:rFonts w:hint="eastAsia"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，则无组织排放量为0.0001t/a</w:t>
            </w:r>
            <w:r>
              <w:rPr>
                <w:rFonts w:hint="default" w:ascii="Times New Roman" w:hAnsi="Times New Roman" w:eastAsia="宋体" w:cs="Times New Roman"/>
                <w:color w:val="auto"/>
                <w:kern w:val="0"/>
                <w:sz w:val="24"/>
                <w:szCs w:val="24"/>
                <w:lang w:bidi="ar"/>
              </w:rPr>
              <w:t>。</w:t>
            </w:r>
          </w:p>
          <w:p w14:paraId="42BF3C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②</w:t>
            </w:r>
            <w:r>
              <w:rPr>
                <w:rFonts w:hint="default" w:ascii="Times New Roman" w:hAnsi="Times New Roman" w:eastAsia="宋体" w:cs="Times New Roman"/>
                <w:b/>
                <w:bCs/>
                <w:color w:val="auto"/>
                <w:sz w:val="24"/>
                <w:lang w:val="en-US" w:eastAsia="zh-CN"/>
              </w:rPr>
              <w:t>危废库废气</w:t>
            </w:r>
          </w:p>
          <w:p w14:paraId="65FC98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本项目危废主要包括废活性炭、</w:t>
            </w:r>
            <w:r>
              <w:rPr>
                <w:rFonts w:hint="eastAsia" w:ascii="Times New Roman" w:hAnsi="Times New Roman" w:eastAsia="宋体" w:cs="Times New Roman"/>
                <w:b w:val="0"/>
                <w:bCs w:val="0"/>
                <w:color w:val="auto"/>
                <w:sz w:val="24"/>
                <w:lang w:val="en-US" w:eastAsia="zh-CN"/>
              </w:rPr>
              <w:t>清洗废液</w:t>
            </w:r>
            <w:r>
              <w:rPr>
                <w:rFonts w:hint="default" w:ascii="Times New Roman" w:hAnsi="Times New Roman" w:eastAsia="宋体" w:cs="Times New Roman"/>
                <w:b w:val="0"/>
                <w:bCs w:val="0"/>
                <w:color w:val="auto"/>
                <w:sz w:val="24"/>
                <w:lang w:val="en-US" w:eastAsia="zh-CN"/>
              </w:rPr>
              <w:t>等，贮存过程中会产生少量的有机废气，本项目拟采用密闭桶或吨袋收集存放危废，因此贮存过程中有机废气产生量极少，不定量分析。</w:t>
            </w:r>
          </w:p>
          <w:p w14:paraId="6AC50B3A">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废气治理措施</w:t>
            </w:r>
          </w:p>
          <w:p w14:paraId="15F2E87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①废气收集及治理方案</w:t>
            </w:r>
          </w:p>
          <w:p w14:paraId="27C15D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b/>
                <w:bCs/>
                <w:color w:val="auto"/>
                <w:sz w:val="24"/>
                <w:szCs w:val="24"/>
                <w:lang w:val="en-US" w:eastAsia="zh-CN" w:bidi="ar"/>
              </w:rPr>
              <w:t>固定工序：</w:t>
            </w:r>
            <w:r>
              <w:rPr>
                <w:rFonts w:hint="default" w:ascii="Times New Roman" w:hAnsi="Times New Roman" w:eastAsia="宋体" w:cs="Times New Roman"/>
                <w:color w:val="auto"/>
                <w:sz w:val="24"/>
                <w:szCs w:val="24"/>
                <w:lang w:bidi="ar"/>
              </w:rPr>
              <w:t>本项目</w:t>
            </w:r>
            <w:r>
              <w:rPr>
                <w:rFonts w:hint="default" w:ascii="Times New Roman" w:hAnsi="Times New Roman" w:eastAsia="宋体" w:cs="Times New Roman"/>
                <w:color w:val="auto"/>
                <w:sz w:val="24"/>
                <w:szCs w:val="24"/>
                <w:lang w:val="en-US" w:eastAsia="zh-CN" w:bidi="ar"/>
              </w:rPr>
              <w:t>在</w:t>
            </w:r>
            <w:r>
              <w:rPr>
                <w:rFonts w:hint="eastAsia" w:ascii="Times New Roman" w:hAnsi="Times New Roman" w:eastAsia="宋体" w:cs="Times New Roman"/>
                <w:color w:val="auto"/>
                <w:sz w:val="24"/>
                <w:szCs w:val="24"/>
                <w:lang w:val="en-US" w:eastAsia="zh-CN" w:bidi="ar"/>
              </w:rPr>
              <w:t>固定工作区域</w:t>
            </w:r>
            <w:r>
              <w:rPr>
                <w:rFonts w:hint="default" w:ascii="Times New Roman" w:hAnsi="Times New Roman" w:eastAsia="宋体" w:cs="Times New Roman"/>
                <w:color w:val="auto"/>
                <w:sz w:val="24"/>
                <w:szCs w:val="24"/>
                <w:lang w:val="en-US" w:eastAsia="zh-CN" w:bidi="ar"/>
              </w:rPr>
              <w:t>上方设置集气罩，将固定工序产生的废气收集至二级活性炭吸附装置处理后</w:t>
            </w:r>
            <w:r>
              <w:rPr>
                <w:rFonts w:hint="eastAsia" w:ascii="Times New Roman" w:hAnsi="Times New Roman" w:eastAsia="宋体" w:cs="Times New Roman"/>
                <w:color w:val="auto"/>
                <w:sz w:val="24"/>
                <w:szCs w:val="24"/>
                <w:lang w:val="en-US" w:eastAsia="zh-CN"/>
              </w:rPr>
              <w:t>无组织</w:t>
            </w:r>
            <w:r>
              <w:rPr>
                <w:rFonts w:hint="default" w:ascii="Times New Roman" w:hAnsi="Times New Roman" w:eastAsia="宋体" w:cs="Times New Roman"/>
                <w:color w:val="auto"/>
                <w:sz w:val="24"/>
                <w:szCs w:val="24"/>
                <w:lang w:val="en-US" w:eastAsia="zh-CN"/>
              </w:rPr>
              <w:t>排放</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集气罩</w:t>
            </w:r>
            <w:r>
              <w:rPr>
                <w:rFonts w:hint="default" w:ascii="Times New Roman" w:hAnsi="Times New Roman" w:eastAsia="宋体" w:cs="Times New Roman"/>
                <w:color w:val="auto"/>
                <w:sz w:val="24"/>
                <w:szCs w:val="24"/>
                <w:lang w:bidi="ar"/>
              </w:rPr>
              <w:t>收集率9</w:t>
            </w:r>
            <w:r>
              <w:rPr>
                <w:rFonts w:hint="default" w:ascii="Times New Roman" w:hAnsi="Times New Roman" w:eastAsia="宋体" w:cs="Times New Roman"/>
                <w:color w:val="auto"/>
                <w:sz w:val="24"/>
                <w:szCs w:val="24"/>
                <w:lang w:val="en-US" w:eastAsia="zh-CN" w:bidi="ar"/>
              </w:rPr>
              <w:t>0</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去除效率为90</w:t>
            </w:r>
            <w:r>
              <w:rPr>
                <w:rFonts w:hint="default" w:ascii="Times New Roman" w:hAnsi="Times New Roman" w:eastAsia="宋体" w:cs="Times New Roman"/>
                <w:color w:val="auto"/>
                <w:kern w:val="0"/>
                <w:sz w:val="24"/>
                <w:lang w:bidi="ar"/>
              </w:rPr>
              <w:t>%</w:t>
            </w:r>
            <w:r>
              <w:rPr>
                <w:rFonts w:hint="default" w:ascii="Times New Roman" w:hAnsi="Times New Roman" w:eastAsia="宋体" w:cs="Times New Roman"/>
                <w:color w:val="auto"/>
                <w:sz w:val="24"/>
                <w:szCs w:val="24"/>
                <w:lang w:bidi="ar"/>
              </w:rPr>
              <w:t>。</w:t>
            </w:r>
          </w:p>
          <w:p w14:paraId="4B8DE972">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本项目</w:t>
            </w:r>
            <w:r>
              <w:rPr>
                <w:rFonts w:hint="default" w:ascii="Times New Roman" w:hAnsi="Times New Roman" w:eastAsia="宋体" w:cs="Times New Roman"/>
                <w:color w:val="auto"/>
                <w:sz w:val="24"/>
              </w:rPr>
              <w:t>废气处理措施示意图见图4-</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14:paraId="6BA1D79B">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lang w:eastAsia="zh-CN"/>
              </w:rPr>
            </w:pPr>
            <w:r>
              <w:rPr>
                <w:color w:val="auto"/>
              </w:rPr>
              <w:drawing>
                <wp:inline distT="0" distB="0" distL="114300" distR="114300">
                  <wp:extent cx="5380355" cy="1069975"/>
                  <wp:effectExtent l="0" t="0" r="0" b="0"/>
                  <wp:docPr id="8" name="图片 8" descr="废气处理设施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废气处理设施11.3"/>
                          <pic:cNvPicPr>
                            <a:picLocks noChangeAspect="1"/>
                          </pic:cNvPicPr>
                        </pic:nvPicPr>
                        <pic:blipFill>
                          <a:blip r:embed="rId14"/>
                          <a:stretch>
                            <a:fillRect/>
                          </a:stretch>
                        </pic:blipFill>
                        <pic:spPr>
                          <a:xfrm>
                            <a:off x="0" y="0"/>
                            <a:ext cx="5380355" cy="1069975"/>
                          </a:xfrm>
                          <a:prstGeom prst="rect">
                            <a:avLst/>
                          </a:prstGeom>
                        </pic:spPr>
                      </pic:pic>
                    </a:graphicData>
                  </a:graphic>
                </wp:inline>
              </w:drawing>
            </w:r>
          </w:p>
          <w:p w14:paraId="7EA86217">
            <w:pPr>
              <w:pStyle w:val="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图4-</w:t>
            </w:r>
            <w:r>
              <w:rPr>
                <w:rFonts w:hint="default" w:ascii="Times New Roman" w:hAnsi="Times New Roman" w:eastAsia="宋体" w:cs="Times New Roman"/>
                <w:b/>
                <w:bCs/>
                <w:color w:val="auto"/>
                <w:kern w:val="0"/>
                <w:sz w:val="24"/>
                <w:lang w:val="en-US" w:eastAsia="zh-CN"/>
              </w:rPr>
              <w:t>1</w:t>
            </w:r>
            <w:r>
              <w:rPr>
                <w:rFonts w:hint="default" w:ascii="Times New Roman" w:hAnsi="Times New Roman" w:eastAsia="宋体" w:cs="Times New Roman"/>
                <w:b/>
                <w:bCs/>
                <w:color w:val="auto"/>
                <w:kern w:val="0"/>
                <w:sz w:val="24"/>
              </w:rPr>
              <w:t xml:space="preserve"> </w:t>
            </w:r>
            <w:r>
              <w:rPr>
                <w:rFonts w:hint="default" w:ascii="Times New Roman" w:hAnsi="Times New Roman" w:eastAsia="宋体" w:cs="Times New Roman"/>
                <w:b/>
                <w:bCs/>
                <w:color w:val="auto"/>
                <w:kern w:val="0"/>
                <w:sz w:val="24"/>
                <w:lang w:val="en-US" w:eastAsia="zh-CN"/>
              </w:rPr>
              <w:t xml:space="preserve"> </w:t>
            </w:r>
            <w:r>
              <w:rPr>
                <w:rFonts w:hint="default" w:ascii="Times New Roman" w:hAnsi="Times New Roman" w:eastAsia="宋体" w:cs="Times New Roman"/>
                <w:b/>
                <w:bCs/>
                <w:color w:val="auto"/>
                <w:kern w:val="0"/>
                <w:sz w:val="24"/>
              </w:rPr>
              <w:t>废气处理工艺流程</w:t>
            </w:r>
          </w:p>
          <w:p w14:paraId="25DEA417">
            <w:pPr>
              <w:keepNext w:val="0"/>
              <w:keepLines w:val="0"/>
              <w:pageBreakBefore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lang w:val="en-US" w:eastAsia="zh-CN"/>
              </w:rPr>
              <w:t>②</w:t>
            </w:r>
            <w:r>
              <w:rPr>
                <w:rFonts w:hint="default" w:ascii="Times New Roman" w:hAnsi="Times New Roman" w:eastAsia="宋体" w:cs="Times New Roman"/>
                <w:b/>
                <w:bCs/>
                <w:color w:val="auto"/>
                <w:sz w:val="24"/>
                <w:lang w:eastAsia="zh-CN"/>
              </w:rPr>
              <w:t>废气</w:t>
            </w:r>
            <w:r>
              <w:rPr>
                <w:rFonts w:hint="default" w:ascii="Times New Roman" w:hAnsi="Times New Roman" w:eastAsia="宋体" w:cs="Times New Roman"/>
                <w:b/>
                <w:bCs/>
                <w:color w:val="auto"/>
                <w:sz w:val="24"/>
                <w:lang w:val="en-US" w:eastAsia="zh-CN"/>
              </w:rPr>
              <w:t>收集系统风量核算</w:t>
            </w:r>
          </w:p>
          <w:p w14:paraId="3804380B">
            <w:pPr>
              <w:spacing w:line="500" w:lineRule="exact"/>
              <w:jc w:val="center"/>
              <w:rPr>
                <w:rFonts w:hint="default" w:ascii="Times New Roman" w:hAnsi="Times New Roman" w:eastAsia="宋体" w:cs="Times New Roman"/>
                <w:b/>
                <w:color w:val="auto"/>
                <w:sz w:val="24"/>
                <w:szCs w:val="24"/>
                <w:lang w:bidi="en-US"/>
              </w:rPr>
            </w:pPr>
            <w:r>
              <w:rPr>
                <w:rFonts w:hint="default" w:ascii="Times New Roman" w:hAnsi="Times New Roman" w:eastAsia="宋体" w:cs="Times New Roman"/>
                <w:b/>
                <w:color w:val="auto"/>
                <w:sz w:val="24"/>
                <w:szCs w:val="24"/>
                <w:lang w:val="en-US" w:eastAsia="zh-CN" w:bidi="en-US"/>
              </w:rPr>
              <w:t>表4-</w:t>
            </w:r>
            <w:r>
              <w:rPr>
                <w:rFonts w:hint="eastAsia" w:ascii="Times New Roman" w:hAnsi="Times New Roman" w:eastAsia="宋体" w:cs="Times New Roman"/>
                <w:b/>
                <w:color w:val="auto"/>
                <w:sz w:val="24"/>
                <w:szCs w:val="24"/>
                <w:lang w:val="en-US" w:eastAsia="zh-CN" w:bidi="en-US"/>
              </w:rPr>
              <w:t>1</w:t>
            </w:r>
            <w:r>
              <w:rPr>
                <w:rFonts w:hint="default" w:ascii="Times New Roman" w:hAnsi="Times New Roman" w:eastAsia="宋体" w:cs="Times New Roman"/>
                <w:b/>
                <w:color w:val="auto"/>
                <w:sz w:val="24"/>
                <w:szCs w:val="24"/>
                <w:lang w:val="en-US" w:eastAsia="zh-CN" w:bidi="en-US"/>
              </w:rPr>
              <w:t xml:space="preserve">  </w:t>
            </w:r>
            <w:r>
              <w:rPr>
                <w:rFonts w:hint="default" w:ascii="Times New Roman" w:hAnsi="Times New Roman" w:eastAsia="宋体" w:cs="Times New Roman"/>
                <w:b/>
                <w:color w:val="auto"/>
                <w:sz w:val="24"/>
                <w:szCs w:val="24"/>
                <w:lang w:bidi="en-US"/>
              </w:rPr>
              <w:t>本项目废气风量合理性核算表    单位：m</w:t>
            </w:r>
            <w:r>
              <w:rPr>
                <w:rFonts w:hint="default" w:ascii="Times New Roman" w:hAnsi="Times New Roman" w:eastAsia="宋体" w:cs="Times New Roman"/>
                <w:b/>
                <w:color w:val="auto"/>
                <w:sz w:val="24"/>
                <w:szCs w:val="24"/>
                <w:vertAlign w:val="superscript"/>
                <w:lang w:bidi="en-US"/>
              </w:rPr>
              <w:t>3</w:t>
            </w:r>
            <w:r>
              <w:rPr>
                <w:rFonts w:hint="default" w:ascii="Times New Roman" w:hAnsi="Times New Roman" w:eastAsia="宋体" w:cs="Times New Roman"/>
                <w:b/>
                <w:color w:val="auto"/>
                <w:sz w:val="24"/>
                <w:szCs w:val="24"/>
                <w:lang w:bidi="en-US"/>
              </w:rPr>
              <w:t>/h</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6"/>
              <w:gridCol w:w="1083"/>
              <w:gridCol w:w="2211"/>
              <w:gridCol w:w="1595"/>
              <w:gridCol w:w="1436"/>
              <w:gridCol w:w="990"/>
            </w:tblGrid>
            <w:tr w14:paraId="1A453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687" w:type="pct"/>
                  <w:tcBorders>
                    <w:tl2br w:val="nil"/>
                    <w:tr2bl w:val="nil"/>
                  </w:tcBorders>
                  <w:shd w:val="clear" w:color="auto" w:fill="auto"/>
                  <w:vAlign w:val="center"/>
                </w:tcPr>
                <w:p w14:paraId="34ED27F9">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废气来源</w:t>
                  </w:r>
                </w:p>
              </w:tc>
              <w:tc>
                <w:tcPr>
                  <w:tcW w:w="638" w:type="pct"/>
                  <w:tcBorders>
                    <w:tl2br w:val="nil"/>
                    <w:tr2bl w:val="nil"/>
                  </w:tcBorders>
                  <w:shd w:val="clear" w:color="auto" w:fill="auto"/>
                  <w:vAlign w:val="center"/>
                </w:tcPr>
                <w:p w14:paraId="14660316">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产污节点</w:t>
                  </w:r>
                </w:p>
              </w:tc>
              <w:tc>
                <w:tcPr>
                  <w:tcW w:w="1303" w:type="pct"/>
                  <w:tcBorders>
                    <w:tl2br w:val="nil"/>
                    <w:tr2bl w:val="nil"/>
                  </w:tcBorders>
                  <w:shd w:val="clear" w:color="auto" w:fill="auto"/>
                  <w:vAlign w:val="center"/>
                </w:tcPr>
                <w:p w14:paraId="08F6D0D0">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收集方式</w:t>
                  </w:r>
                </w:p>
              </w:tc>
              <w:tc>
                <w:tcPr>
                  <w:tcW w:w="940" w:type="pct"/>
                  <w:tcBorders>
                    <w:tl2br w:val="nil"/>
                    <w:tr2bl w:val="nil"/>
                  </w:tcBorders>
                  <w:shd w:val="clear" w:color="auto" w:fill="auto"/>
                  <w:vAlign w:val="center"/>
                </w:tcPr>
                <w:p w14:paraId="38F2F36B">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收集参数</w:t>
                  </w:r>
                </w:p>
              </w:tc>
              <w:tc>
                <w:tcPr>
                  <w:tcW w:w="846" w:type="pct"/>
                  <w:tcBorders>
                    <w:tl2br w:val="nil"/>
                    <w:tr2bl w:val="nil"/>
                  </w:tcBorders>
                  <w:shd w:val="clear" w:color="auto" w:fill="auto"/>
                  <w:vAlign w:val="center"/>
                </w:tcPr>
                <w:p w14:paraId="75107BA6">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核算风量</w:t>
                  </w:r>
                </w:p>
              </w:tc>
              <w:tc>
                <w:tcPr>
                  <w:tcW w:w="583" w:type="pct"/>
                  <w:tcBorders>
                    <w:tl2br w:val="nil"/>
                    <w:tr2bl w:val="nil"/>
                  </w:tcBorders>
                  <w:shd w:val="clear" w:color="auto" w:fill="auto"/>
                  <w:vAlign w:val="center"/>
                </w:tcPr>
                <w:p w14:paraId="703BFA15">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设计风量</w:t>
                  </w:r>
                </w:p>
              </w:tc>
            </w:tr>
            <w:tr w14:paraId="32BE0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87" w:type="pct"/>
                  <w:tcBorders>
                    <w:tl2br w:val="nil"/>
                    <w:tr2bl w:val="nil"/>
                  </w:tcBorders>
                  <w:shd w:val="clear" w:color="auto" w:fill="auto"/>
                  <w:vAlign w:val="center"/>
                </w:tcPr>
                <w:p w14:paraId="1B44EDBB">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固定工序</w:t>
                  </w:r>
                </w:p>
              </w:tc>
              <w:tc>
                <w:tcPr>
                  <w:tcW w:w="638" w:type="pct"/>
                  <w:tcBorders>
                    <w:tl2br w:val="nil"/>
                    <w:tr2bl w:val="nil"/>
                  </w:tcBorders>
                  <w:shd w:val="clear" w:color="auto" w:fill="auto"/>
                  <w:vAlign w:val="center"/>
                </w:tcPr>
                <w:p w14:paraId="0DDD2FD7">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固定</w:t>
                  </w:r>
                </w:p>
              </w:tc>
              <w:tc>
                <w:tcPr>
                  <w:tcW w:w="1303" w:type="pct"/>
                  <w:tcBorders>
                    <w:tl2br w:val="nil"/>
                    <w:tr2bl w:val="nil"/>
                  </w:tcBorders>
                  <w:shd w:val="clear" w:color="auto" w:fill="auto"/>
                  <w:vAlign w:val="center"/>
                </w:tcPr>
                <w:p w14:paraId="5590DFF9">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固定区域上方设置吸风罩</w:t>
                  </w:r>
                  <w:r>
                    <w:rPr>
                      <w:rFonts w:hint="eastAsia" w:ascii="Times New Roman" w:hAnsi="Times New Roman" w:eastAsia="宋体" w:cs="Times New Roman"/>
                      <w:color w:val="auto"/>
                      <w:kern w:val="0"/>
                      <w:sz w:val="21"/>
                      <w:szCs w:val="21"/>
                      <w:lang w:val="en-US" w:eastAsia="zh-CN" w:bidi="ar"/>
                    </w:rPr>
                    <w:t>（12个）</w:t>
                  </w:r>
                </w:p>
              </w:tc>
              <w:tc>
                <w:tcPr>
                  <w:tcW w:w="940" w:type="pct"/>
                  <w:tcBorders>
                    <w:tl2br w:val="nil"/>
                    <w:tr2bl w:val="nil"/>
                  </w:tcBorders>
                  <w:shd w:val="clear" w:color="auto" w:fill="auto"/>
                  <w:vAlign w:val="center"/>
                </w:tcPr>
                <w:p w14:paraId="5346E5C4">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1.2</w:t>
                  </w: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*0.3</w:t>
                  </w:r>
                  <w:r>
                    <w:rPr>
                      <w:rFonts w:hint="eastAsia" w:ascii="Times New Roman" w:hAnsi="Times New Roman" w:eastAsia="宋体" w:cs="Times New Roman"/>
                      <w:color w:val="auto"/>
                      <w:kern w:val="0"/>
                      <w:sz w:val="21"/>
                      <w:szCs w:val="21"/>
                      <w:lang w:val="en-US" w:eastAsia="zh-CN" w:bidi="ar"/>
                    </w:rPr>
                    <w:t>*12</w:t>
                  </w:r>
                </w:p>
              </w:tc>
              <w:tc>
                <w:tcPr>
                  <w:tcW w:w="846" w:type="pct"/>
                  <w:tcBorders>
                    <w:tl2br w:val="nil"/>
                    <w:tr2bl w:val="nil"/>
                  </w:tcBorders>
                  <w:shd w:val="clear" w:color="auto" w:fill="auto"/>
                  <w:vAlign w:val="center"/>
                </w:tcPr>
                <w:p w14:paraId="2D89BB0C">
                  <w:pPr>
                    <w:widowControl/>
                    <w:jc w:val="center"/>
                    <w:textAlignment w:val="center"/>
                    <w:rPr>
                      <w:rFonts w:hint="default" w:ascii="Times New Roman" w:hAnsi="Times New Roman" w:eastAsia="宋体" w:cs="Times New Roman"/>
                      <w:color w:val="auto"/>
                      <w:kern w:val="0"/>
                      <w:sz w:val="21"/>
                      <w:szCs w:val="21"/>
                      <w:lang w:val="en-US" w:bidi="ar"/>
                    </w:rPr>
                  </w:pPr>
                  <w:r>
                    <w:rPr>
                      <w:rFonts w:hint="eastAsia" w:ascii="Times New Roman" w:hAnsi="Times New Roman" w:eastAsia="宋体" w:cs="Times New Roman"/>
                      <w:color w:val="auto"/>
                      <w:kern w:val="0"/>
                      <w:sz w:val="21"/>
                      <w:szCs w:val="21"/>
                      <w:lang w:val="en-US" w:eastAsia="zh-CN" w:bidi="ar"/>
                    </w:rPr>
                    <w:t>6531.84</w:t>
                  </w:r>
                </w:p>
              </w:tc>
              <w:tc>
                <w:tcPr>
                  <w:tcW w:w="583" w:type="pct"/>
                  <w:tcBorders>
                    <w:tl2br w:val="nil"/>
                    <w:tr2bl w:val="nil"/>
                  </w:tcBorders>
                  <w:shd w:val="clear" w:color="auto" w:fill="auto"/>
                  <w:vAlign w:val="center"/>
                </w:tcPr>
                <w:p w14:paraId="008837A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000</w:t>
                  </w:r>
                </w:p>
              </w:tc>
            </w:tr>
          </w:tbl>
          <w:p w14:paraId="42291E7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注：</w:t>
            </w:r>
            <w:r>
              <w:rPr>
                <w:rFonts w:hint="default" w:ascii="Times New Roman" w:hAnsi="Times New Roman" w:eastAsia="宋体" w:cs="Times New Roman"/>
                <w:color w:val="auto"/>
                <w:sz w:val="21"/>
                <w:szCs w:val="21"/>
              </w:rPr>
              <w:t>上吸风罩排风量L（m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/s）的计算公式为：</w:t>
            </w:r>
          </w:p>
          <w:p w14:paraId="20E87BB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rPr>
            </w:pPr>
            <m:oMathPara>
              <m:oMath>
                <m:r>
                  <m:rPr>
                    <m:sty m:val="p"/>
                  </m:rPr>
                  <w:rPr>
                    <w:rFonts w:hint="default" w:ascii="Cambria Math" w:hAnsi="Cambria Math" w:eastAsia="宋体" w:cs="Times New Roman"/>
                    <w:color w:val="auto"/>
                    <w:kern w:val="2"/>
                    <w:sz w:val="21"/>
                    <w:szCs w:val="21"/>
                    <w:lang w:val="en-US" w:eastAsia="zh-CN" w:bidi="ar-SA"/>
                  </w:rPr>
                  <m:t>L=K∗P∗H∗</m:t>
                </m:r>
                <m:sSub>
                  <m:sSubPr>
                    <m:ctrlPr>
                      <w:rPr>
                        <w:rFonts w:hint="default" w:ascii="Cambria Math" w:hAnsi="Cambria Math" w:eastAsia="宋体" w:cs="Times New Roman"/>
                        <w:color w:val="auto"/>
                        <w:kern w:val="2"/>
                        <w:sz w:val="21"/>
                        <w:szCs w:val="21"/>
                        <w:lang w:val="en-US" w:eastAsia="zh-CN" w:bidi="ar-SA"/>
                      </w:rPr>
                    </m:ctrlPr>
                  </m:sSubPr>
                  <m:e>
                    <m:r>
                      <m:rPr>
                        <m:sty m:val="p"/>
                      </m:rPr>
                      <w:rPr>
                        <w:rFonts w:hint="default" w:ascii="Cambria Math" w:hAnsi="Cambria Math" w:eastAsia="宋体" w:cs="Times New Roman"/>
                        <w:color w:val="auto"/>
                        <w:kern w:val="2"/>
                        <w:sz w:val="21"/>
                        <w:szCs w:val="21"/>
                        <w:lang w:val="en-US" w:eastAsia="zh-CN" w:bidi="ar-SA"/>
                      </w:rPr>
                      <m:t>V</m:t>
                    </m:r>
                    <m:ctrlPr>
                      <w:rPr>
                        <w:rFonts w:hint="default" w:ascii="Cambria Math" w:hAnsi="Cambria Math" w:eastAsia="宋体" w:cs="Times New Roman"/>
                        <w:color w:val="auto"/>
                        <w:kern w:val="2"/>
                        <w:sz w:val="21"/>
                        <w:szCs w:val="21"/>
                        <w:lang w:val="en-US" w:eastAsia="zh-CN" w:bidi="ar-SA"/>
                      </w:rPr>
                    </m:ctrlPr>
                  </m:e>
                  <m:sub>
                    <m:r>
                      <m:rPr>
                        <m:sty m:val="p"/>
                      </m:rPr>
                      <w:rPr>
                        <w:rFonts w:hint="default" w:ascii="Cambria Math" w:hAnsi="Cambria Math" w:eastAsia="宋体" w:cs="Times New Roman"/>
                        <w:color w:val="auto"/>
                        <w:kern w:val="2"/>
                        <w:sz w:val="21"/>
                        <w:szCs w:val="21"/>
                        <w:lang w:val="en-US" w:eastAsia="zh-CN" w:bidi="ar-SA"/>
                      </w:rPr>
                      <m:t>x</m:t>
                    </m:r>
                    <m:ctrlPr>
                      <w:rPr>
                        <w:rFonts w:hint="default" w:ascii="Cambria Math" w:hAnsi="Cambria Math" w:eastAsia="宋体" w:cs="Times New Roman"/>
                        <w:color w:val="auto"/>
                        <w:kern w:val="2"/>
                        <w:sz w:val="21"/>
                        <w:szCs w:val="21"/>
                        <w:lang w:val="en-US" w:eastAsia="zh-CN" w:bidi="ar-SA"/>
                      </w:rPr>
                    </m:ctrlPr>
                  </m:sub>
                </m:sSub>
              </m:oMath>
            </m:oMathPara>
          </w:p>
          <w:p w14:paraId="2572254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——考虑沿高度分布不均匀的安全系数，通常取K=1.4</w:t>
            </w:r>
            <w:r>
              <w:rPr>
                <w:rFonts w:hint="default" w:ascii="Times New Roman" w:hAnsi="Times New Roman" w:eastAsia="宋体" w:cs="Times New Roman"/>
                <w:bCs/>
                <w:color w:val="auto"/>
                <w:sz w:val="21"/>
                <w:szCs w:val="21"/>
              </w:rPr>
              <w:t>；</w:t>
            </w:r>
          </w:p>
          <w:p w14:paraId="06F00109">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——排风罩敞开面的周长，m</w:t>
            </w:r>
            <w:r>
              <w:rPr>
                <w:rFonts w:hint="default" w:ascii="Times New Roman" w:hAnsi="Times New Roman" w:eastAsia="宋体" w:cs="Times New Roman"/>
                <w:color w:val="auto"/>
                <w:sz w:val="21"/>
                <w:szCs w:val="21"/>
                <w:lang w:eastAsia="zh-CN"/>
              </w:rPr>
              <w:t>；</w:t>
            </w:r>
          </w:p>
          <w:p w14:paraId="010EBB2B">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——罩口至有害物源的距离，m</w:t>
            </w:r>
            <w:r>
              <w:rPr>
                <w:rFonts w:hint="default" w:ascii="Times New Roman" w:hAnsi="Times New Roman" w:eastAsia="宋体" w:cs="Times New Roman"/>
                <w:color w:val="auto"/>
                <w:sz w:val="21"/>
                <w:szCs w:val="21"/>
                <w:lang w:eastAsia="zh-CN"/>
              </w:rPr>
              <w:t>；</w:t>
            </w:r>
          </w:p>
          <w:p w14:paraId="1100B70A">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——边缘控制点的控制风速，m/s</w:t>
            </w:r>
            <w:r>
              <w:rPr>
                <w:rFonts w:hint="default" w:ascii="Times New Roman" w:hAnsi="Times New Roman" w:eastAsia="宋体" w:cs="Times New Roman"/>
                <w:color w:val="auto"/>
                <w:sz w:val="21"/>
                <w:szCs w:val="21"/>
                <w:lang w:eastAsia="zh-CN"/>
              </w:rPr>
              <w:t>。</w:t>
            </w:r>
          </w:p>
          <w:p w14:paraId="6D157CE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bidi="ar"/>
              </w:rPr>
            </w:pPr>
            <w:r>
              <w:rPr>
                <w:rFonts w:hint="default" w:ascii="Times New Roman" w:hAnsi="Times New Roman" w:eastAsia="宋体" w:cs="Times New Roman"/>
                <w:b/>
                <w:bCs/>
                <w:color w:val="auto"/>
                <w:sz w:val="24"/>
                <w:szCs w:val="24"/>
                <w:lang w:val="en-US" w:eastAsia="zh-CN" w:bidi="ar"/>
              </w:rPr>
              <w:t>③废气处理装置运行原理</w:t>
            </w:r>
          </w:p>
          <w:p w14:paraId="07FF371C">
            <w:pPr>
              <w:pStyle w:val="62"/>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502" w:firstLineChars="200"/>
              <w:textAlignment w:val="auto"/>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z w:val="24"/>
                <w:lang w:val="en-US" w:eastAsia="zh-CN"/>
              </w:rPr>
              <w:t>二级活性炭装置</w:t>
            </w:r>
          </w:p>
          <w:p w14:paraId="339651BB">
            <w:pPr>
              <w:pStyle w:val="62"/>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val="0"/>
                <w:bCs w:val="0"/>
                <w:color w:val="auto"/>
                <w:spacing w:val="0"/>
                <w:sz w:val="24"/>
                <w:lang w:val="en-US" w:eastAsia="zh-CN"/>
              </w:rPr>
            </w:pPr>
            <w:r>
              <w:rPr>
                <w:rFonts w:hint="default" w:ascii="Times New Roman" w:hAnsi="Times New Roman" w:eastAsia="宋体" w:cs="Times New Roman"/>
                <w:b w:val="0"/>
                <w:bCs w:val="0"/>
                <w:color w:val="auto"/>
                <w:spacing w:val="0"/>
                <w:sz w:val="24"/>
                <w:lang w:val="en-US" w:eastAsia="zh-CN"/>
              </w:rPr>
              <w:t>活性炭是一种多孔性的含炭物质，它具有高度发达的孔隙构造，</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活性炭</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的多孔结构为其提供了大量的表面积，能与气体（杂质）充分接触，从而赋予了</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活性炭</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所特有的吸附性能，使其非常容易达到吸收收集杂质的目的。就像</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"http://zhidao.baidu.com/search?word=磁力&amp;fr=qb_search_exp&amp;ie=utf8"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磁力</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一样，所有的分子之间都具有相互引力。正因为如此，活性炭孔壁上的大量的分子可以产生强大的引力，从而达到将有害的杂质吸引到孔径中的目的。</w:t>
            </w:r>
          </w:p>
          <w:p w14:paraId="08F2A4DD">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val="0"/>
                <w:bCs w:val="0"/>
                <w:color w:val="auto"/>
                <w:spacing w:val="0"/>
                <w:sz w:val="24"/>
                <w:lang w:val="en-US" w:eastAsia="zh-CN"/>
              </w:rPr>
            </w:pPr>
            <w:r>
              <w:rPr>
                <w:rFonts w:hint="default" w:ascii="Times New Roman" w:hAnsi="Times New Roman" w:eastAsia="宋体" w:cs="Times New Roman"/>
                <w:b/>
                <w:bCs/>
                <w:color w:val="auto"/>
                <w:spacing w:val="0"/>
                <w:sz w:val="24"/>
                <w:lang w:val="en-US" w:eastAsia="zh-CN"/>
              </w:rPr>
              <w:t>处理可行性及达标分析：</w:t>
            </w:r>
            <w:r>
              <w:rPr>
                <w:rFonts w:hint="default" w:ascii="Times New Roman" w:hAnsi="Times New Roman" w:eastAsia="宋体" w:cs="Times New Roman"/>
                <w:b w:val="0"/>
                <w:bCs w:val="0"/>
                <w:color w:val="auto"/>
                <w:spacing w:val="0"/>
                <w:sz w:val="24"/>
                <w:lang w:val="en-US" w:eastAsia="zh-CN"/>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二级活性炭吸附装置”吸附有机废气，故有机废气处理效率保守取90%，具有可行性。</w:t>
            </w:r>
          </w:p>
          <w:p w14:paraId="1089482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与《吸附法工业有机废气治理工程技术规范（HJ2026-2013）》</w:t>
            </w:r>
            <w:r>
              <w:rPr>
                <w:rFonts w:hint="eastAsia" w:ascii="Times New Roman" w:hAnsi="Times New Roman" w:eastAsia="宋体" w:cs="Times New Roman"/>
                <w:b/>
                <w:bCs w:val="0"/>
                <w:color w:val="auto"/>
                <w:kern w:val="0"/>
                <w:sz w:val="24"/>
                <w:szCs w:val="24"/>
                <w:lang w:eastAsia="zh-CN"/>
              </w:rPr>
              <w:t>、《省生态环境厅关于深入开展涉VOCs治理重点工作核查的通知》（苏环办</w:t>
            </w:r>
            <w:r>
              <w:rPr>
                <w:rFonts w:hint="eastAsia" w:ascii="宋体" w:hAnsi="宋体" w:eastAsia="宋体" w:cs="宋体"/>
                <w:b/>
                <w:bCs w:val="0"/>
                <w:color w:val="auto"/>
                <w:kern w:val="0"/>
                <w:sz w:val="24"/>
                <w:szCs w:val="24"/>
                <w:lang w:eastAsia="zh-CN"/>
              </w:rPr>
              <w:t>〔</w:t>
            </w:r>
            <w:r>
              <w:rPr>
                <w:rFonts w:hint="eastAsia" w:ascii="Times New Roman" w:hAnsi="Times New Roman" w:eastAsia="宋体" w:cs="Times New Roman"/>
                <w:b/>
                <w:bCs w:val="0"/>
                <w:color w:val="auto"/>
                <w:kern w:val="0"/>
                <w:sz w:val="24"/>
                <w:szCs w:val="24"/>
                <w:lang w:eastAsia="zh-CN"/>
              </w:rPr>
              <w:t>2022</w:t>
            </w:r>
            <w:r>
              <w:rPr>
                <w:rFonts w:hint="eastAsia" w:ascii="宋体" w:hAnsi="宋体" w:eastAsia="宋体" w:cs="宋体"/>
                <w:b/>
                <w:bCs w:val="0"/>
                <w:color w:val="auto"/>
                <w:kern w:val="0"/>
                <w:sz w:val="24"/>
                <w:szCs w:val="24"/>
                <w:lang w:eastAsia="zh-CN"/>
              </w:rPr>
              <w:t>〕</w:t>
            </w:r>
            <w:r>
              <w:rPr>
                <w:rFonts w:hint="eastAsia" w:ascii="Times New Roman" w:hAnsi="Times New Roman" w:eastAsia="宋体" w:cs="Times New Roman"/>
                <w:b/>
                <w:bCs w:val="0"/>
                <w:color w:val="auto"/>
                <w:kern w:val="0"/>
                <w:sz w:val="24"/>
                <w:szCs w:val="24"/>
                <w:lang w:eastAsia="zh-CN"/>
              </w:rPr>
              <w:t>218号）</w:t>
            </w:r>
            <w:r>
              <w:rPr>
                <w:rFonts w:hint="eastAsia" w:ascii="Times New Roman" w:hAnsi="Times New Roman" w:eastAsia="宋体" w:cs="Times New Roman"/>
                <w:b/>
                <w:bCs w:val="0"/>
                <w:color w:val="auto"/>
                <w:kern w:val="0"/>
                <w:sz w:val="24"/>
                <w:szCs w:val="24"/>
                <w:lang w:val="en-US" w:eastAsia="zh-CN"/>
              </w:rPr>
              <w:t>等文件的相符性分析见下表：</w:t>
            </w:r>
          </w:p>
          <w:p w14:paraId="0AF28D8B">
            <w:pPr>
              <w:keepNext w:val="0"/>
              <w:keepLines w:val="0"/>
              <w:pageBreakBefore w:val="0"/>
              <w:kinsoku/>
              <w:wordWrap/>
              <w:overflowPunct/>
              <w:topLinePunct w:val="0"/>
              <w:autoSpaceDE/>
              <w:autoSpaceDN/>
              <w:bidi w:val="0"/>
              <w:adjustRightInd w:val="0"/>
              <w:snapToGrid w:val="0"/>
              <w:spacing w:before="72" w:beforeLines="30"/>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eastAsia="zh-CN"/>
              </w:rPr>
              <w:t>表</w:t>
            </w:r>
            <w:r>
              <w:rPr>
                <w:rFonts w:hint="default" w:ascii="Times New Roman" w:hAnsi="Times New Roman" w:eastAsia="宋体" w:cs="Times New Roman"/>
                <w:b/>
                <w:color w:val="auto"/>
                <w:sz w:val="24"/>
                <w:lang w:val="en-US" w:eastAsia="zh-CN"/>
              </w:rPr>
              <w:t>4-</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lang w:eastAsia="zh-CN"/>
              </w:rPr>
              <w:t xml:space="preserve"> 活性炭装置技术参数</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29"/>
              <w:gridCol w:w="1114"/>
              <w:gridCol w:w="1663"/>
              <w:gridCol w:w="2339"/>
              <w:gridCol w:w="3039"/>
            </w:tblGrid>
            <w:tr w14:paraId="1B0961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blHeader/>
                <w:jc w:val="center"/>
              </w:trPr>
              <w:tc>
                <w:tcPr>
                  <w:tcW w:w="193" w:type="pct"/>
                  <w:shd w:val="clear" w:color="auto" w:fill="FFFFFF"/>
                  <w:noWrap/>
                  <w:vAlign w:val="center"/>
                </w:tcPr>
                <w:p w14:paraId="677FC29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656" w:type="pct"/>
                  <w:shd w:val="clear" w:color="auto" w:fill="FFFFFF"/>
                  <w:noWrap/>
                  <w:vAlign w:val="center"/>
                </w:tcPr>
                <w:p w14:paraId="6885695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    称</w:t>
                  </w:r>
                </w:p>
              </w:tc>
              <w:tc>
                <w:tcPr>
                  <w:tcW w:w="980" w:type="pct"/>
                  <w:shd w:val="clear" w:color="auto" w:fill="FFFFFF"/>
                  <w:noWrap/>
                  <w:vAlign w:val="center"/>
                </w:tcPr>
                <w:p w14:paraId="72F6FE0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技术参数</w:t>
                  </w:r>
                </w:p>
              </w:tc>
              <w:tc>
                <w:tcPr>
                  <w:tcW w:w="1378" w:type="pct"/>
                  <w:shd w:val="clear" w:color="auto" w:fill="FFFFFF"/>
                  <w:noWrap/>
                  <w:vAlign w:val="center"/>
                </w:tcPr>
                <w:p w14:paraId="3A3EB41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《吸附法工业有机废气治理工程技术规范（HJ2026-2013）》要求</w:t>
                  </w:r>
                </w:p>
              </w:tc>
              <w:tc>
                <w:tcPr>
                  <w:tcW w:w="1791" w:type="pct"/>
                  <w:shd w:val="clear" w:color="auto" w:fill="FFFFFF"/>
                  <w:noWrap/>
                  <w:vAlign w:val="center"/>
                </w:tcPr>
                <w:p w14:paraId="77190DD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《省生态环境厅关于深入开展涉VOCs治理重点工作核查的通知》（苏环办【2022】218号）相关要求</w:t>
                  </w:r>
                </w:p>
              </w:tc>
            </w:tr>
            <w:tr w14:paraId="645C92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40D845D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656" w:type="pct"/>
                  <w:noWrap/>
                  <w:vAlign w:val="center"/>
                </w:tcPr>
                <w:p w14:paraId="0073277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废气净化方式</w:t>
                  </w:r>
                </w:p>
              </w:tc>
              <w:tc>
                <w:tcPr>
                  <w:tcW w:w="980" w:type="pct"/>
                  <w:noWrap/>
                  <w:vAlign w:val="center"/>
                </w:tcPr>
                <w:p w14:paraId="3CCE73B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活性炭吸附处理</w:t>
                  </w:r>
                </w:p>
              </w:tc>
              <w:tc>
                <w:tcPr>
                  <w:tcW w:w="1378" w:type="pct"/>
                  <w:noWrap/>
                  <w:vAlign w:val="center"/>
                </w:tcPr>
                <w:p w14:paraId="45B90B7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6AAE41B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46EFCB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1418D0E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656" w:type="pct"/>
                  <w:noWrap/>
                  <w:vAlign w:val="center"/>
                </w:tcPr>
                <w:p w14:paraId="5224CD6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风量</w:t>
                  </w:r>
                </w:p>
              </w:tc>
              <w:tc>
                <w:tcPr>
                  <w:tcW w:w="980" w:type="pct"/>
                  <w:noWrap/>
                  <w:vAlign w:val="center"/>
                </w:tcPr>
                <w:p w14:paraId="28BCF32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7</w:t>
                  </w:r>
                  <w:r>
                    <w:rPr>
                      <w:rFonts w:hint="default" w:ascii="Times New Roman" w:hAnsi="Times New Roman" w:eastAsia="宋体" w:cs="Times New Roman"/>
                      <w:color w:val="auto"/>
                      <w:kern w:val="0"/>
                      <w:sz w:val="21"/>
                      <w:szCs w:val="21"/>
                    </w:rPr>
                    <w:t>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1378" w:type="pct"/>
                  <w:noWrap/>
                  <w:vAlign w:val="center"/>
                </w:tcPr>
                <w:p w14:paraId="2B4A238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0B85922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D5E7B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2A96255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56" w:type="pct"/>
                  <w:noWrap/>
                  <w:vAlign w:val="center"/>
                </w:tcPr>
                <w:p w14:paraId="169AD3D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废气温度</w:t>
                  </w:r>
                </w:p>
              </w:tc>
              <w:tc>
                <w:tcPr>
                  <w:tcW w:w="980" w:type="pct"/>
                  <w:noWrap/>
                  <w:vAlign w:val="center"/>
                </w:tcPr>
                <w:p w14:paraId="2BFC0AD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1378" w:type="pct"/>
                  <w:noWrap/>
                  <w:vAlign w:val="center"/>
                </w:tcPr>
                <w:p w14:paraId="1FF683E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4B216A0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低于40℃</w:t>
                  </w:r>
                </w:p>
              </w:tc>
            </w:tr>
            <w:tr w14:paraId="5100A5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5DB8A94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656" w:type="pct"/>
                  <w:noWrap/>
                  <w:vAlign w:val="center"/>
                </w:tcPr>
                <w:p w14:paraId="4998D08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活性炭安装方式</w:t>
                  </w:r>
                </w:p>
              </w:tc>
              <w:tc>
                <w:tcPr>
                  <w:tcW w:w="980" w:type="pct"/>
                  <w:noWrap/>
                  <w:vAlign w:val="center"/>
                </w:tcPr>
                <w:p w14:paraId="43B3A1D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上装式，由活性炭、活性炭托盘、箱体组成</w:t>
                  </w:r>
                </w:p>
              </w:tc>
              <w:tc>
                <w:tcPr>
                  <w:tcW w:w="1378" w:type="pct"/>
                  <w:noWrap/>
                  <w:vAlign w:val="center"/>
                </w:tcPr>
                <w:p w14:paraId="2AD6FC7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304F0DC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AD898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22C4E1B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656" w:type="pct"/>
                  <w:noWrap/>
                  <w:vAlign w:val="center"/>
                </w:tcPr>
                <w:p w14:paraId="4D966AF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箱体规格（长度×宽度×高度）</w:t>
                  </w:r>
                </w:p>
              </w:tc>
              <w:tc>
                <w:tcPr>
                  <w:tcW w:w="980" w:type="pct"/>
                  <w:noWrap/>
                  <w:vAlign w:val="center"/>
                </w:tcPr>
                <w:p w14:paraId="3F07242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kern w:val="0"/>
                      <w:sz w:val="21"/>
                      <w:szCs w:val="21"/>
                    </w:rPr>
                    <w:t>1.8m×1.2m×1.0m</w:t>
                  </w:r>
                </w:p>
              </w:tc>
              <w:tc>
                <w:tcPr>
                  <w:tcW w:w="1378" w:type="pct"/>
                  <w:noWrap/>
                  <w:vAlign w:val="center"/>
                </w:tcPr>
                <w:p w14:paraId="23617FC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7921BA1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A9E46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02E71B8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656" w:type="pct"/>
                  <w:noWrap/>
                  <w:vAlign w:val="center"/>
                </w:tcPr>
                <w:p w14:paraId="21DD917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炭层规格（长度×宽度×厚度）</w:t>
                  </w:r>
                </w:p>
              </w:tc>
              <w:tc>
                <w:tcPr>
                  <w:tcW w:w="980" w:type="pct"/>
                  <w:noWrap/>
                  <w:vAlign w:val="center"/>
                </w:tcPr>
                <w:p w14:paraId="1A1B606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kern w:val="0"/>
                      <w:sz w:val="21"/>
                      <w:szCs w:val="21"/>
                    </w:rPr>
                    <w:t>1.5m×0.8m×0.3m</w:t>
                  </w:r>
                </w:p>
              </w:tc>
              <w:tc>
                <w:tcPr>
                  <w:tcW w:w="1378" w:type="pct"/>
                  <w:noWrap/>
                  <w:vAlign w:val="center"/>
                </w:tcPr>
                <w:p w14:paraId="77385AE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52B85C4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43FD8D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25240AA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656" w:type="pct"/>
                  <w:noWrap/>
                  <w:vAlign w:val="center"/>
                </w:tcPr>
                <w:p w14:paraId="37F4C7C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层数</w:t>
                  </w:r>
                </w:p>
              </w:tc>
              <w:tc>
                <w:tcPr>
                  <w:tcW w:w="980" w:type="pct"/>
                  <w:noWrap/>
                  <w:vAlign w:val="center"/>
                </w:tcPr>
                <w:p w14:paraId="2EA4F43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378" w:type="pct"/>
                  <w:noWrap/>
                  <w:vAlign w:val="center"/>
                </w:tcPr>
                <w:p w14:paraId="7A73750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3A5D126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6A307E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1DFEC02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656" w:type="pct"/>
                  <w:noWrap/>
                  <w:vAlign w:val="center"/>
                </w:tcPr>
                <w:p w14:paraId="079F0BF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活性炭类型</w:t>
                  </w:r>
                </w:p>
              </w:tc>
              <w:tc>
                <w:tcPr>
                  <w:tcW w:w="980" w:type="pct"/>
                  <w:noWrap/>
                  <w:vAlign w:val="center"/>
                </w:tcPr>
                <w:p w14:paraId="746B722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蜂窝状活性炭</w:t>
                  </w:r>
                </w:p>
              </w:tc>
              <w:tc>
                <w:tcPr>
                  <w:tcW w:w="1378" w:type="pct"/>
                  <w:noWrap/>
                  <w:vAlign w:val="center"/>
                </w:tcPr>
                <w:p w14:paraId="36C91DE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7B25D19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C2C41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1F51980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656" w:type="pct"/>
                  <w:noWrap/>
                  <w:vAlign w:val="center"/>
                </w:tcPr>
                <w:p w14:paraId="3161F5F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比表面积（m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/g）</w:t>
                  </w:r>
                </w:p>
              </w:tc>
              <w:tc>
                <w:tcPr>
                  <w:tcW w:w="980" w:type="pct"/>
                  <w:noWrap/>
                  <w:vAlign w:val="center"/>
                </w:tcPr>
                <w:p w14:paraId="12EA607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900~1600</w:t>
                  </w:r>
                </w:p>
              </w:tc>
              <w:tc>
                <w:tcPr>
                  <w:tcW w:w="1378" w:type="pct"/>
                  <w:noWrap/>
                  <w:vAlign w:val="center"/>
                </w:tcPr>
                <w:p w14:paraId="3F430E8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≥750</w:t>
                  </w:r>
                </w:p>
              </w:tc>
              <w:tc>
                <w:tcPr>
                  <w:tcW w:w="1791" w:type="pct"/>
                  <w:noWrap/>
                  <w:vAlign w:val="center"/>
                </w:tcPr>
                <w:p w14:paraId="76E53DC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14:paraId="6B8BCC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5A02D3E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656" w:type="pct"/>
                  <w:noWrap/>
                  <w:vAlign w:val="center"/>
                </w:tcPr>
                <w:p w14:paraId="3C5960F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孔体积（cm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/g）</w:t>
                  </w:r>
                </w:p>
              </w:tc>
              <w:tc>
                <w:tcPr>
                  <w:tcW w:w="980" w:type="pct"/>
                  <w:noWrap/>
                  <w:vAlign w:val="center"/>
                </w:tcPr>
                <w:p w14:paraId="36FF8F0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0.63</w:t>
                  </w:r>
                </w:p>
              </w:tc>
              <w:tc>
                <w:tcPr>
                  <w:tcW w:w="1378" w:type="pct"/>
                  <w:noWrap/>
                  <w:vAlign w:val="center"/>
                </w:tcPr>
                <w:p w14:paraId="573C9EE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406AEB7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1B451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1F84277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656" w:type="pct"/>
                  <w:noWrap/>
                  <w:vAlign w:val="center"/>
                </w:tcPr>
                <w:p w14:paraId="21137DC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活性炭密度（g/cm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980" w:type="pct"/>
                  <w:noWrap/>
                  <w:vAlign w:val="center"/>
                </w:tcPr>
                <w:p w14:paraId="24FB91B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0.45</w:t>
                  </w:r>
                </w:p>
              </w:tc>
              <w:tc>
                <w:tcPr>
                  <w:tcW w:w="1378" w:type="pct"/>
                  <w:noWrap/>
                  <w:vAlign w:val="center"/>
                </w:tcPr>
                <w:p w14:paraId="617FDC5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6C07196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63A382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7C62B12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656" w:type="pct"/>
                  <w:noWrap/>
                  <w:vAlign w:val="center"/>
                </w:tcPr>
                <w:p w14:paraId="5D32F5D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碘吸附值（mg/g）</w:t>
                  </w:r>
                </w:p>
              </w:tc>
              <w:tc>
                <w:tcPr>
                  <w:tcW w:w="980" w:type="pct"/>
                  <w:noWrap/>
                  <w:vAlign w:val="center"/>
                </w:tcPr>
                <w:p w14:paraId="5D50096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800</w:t>
                  </w:r>
                </w:p>
              </w:tc>
              <w:tc>
                <w:tcPr>
                  <w:tcW w:w="1378" w:type="pct"/>
                  <w:noWrap/>
                  <w:vAlign w:val="center"/>
                </w:tcPr>
                <w:p w14:paraId="1B4EF46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≥800</w:t>
                  </w:r>
                </w:p>
              </w:tc>
              <w:tc>
                <w:tcPr>
                  <w:tcW w:w="1791" w:type="pct"/>
                  <w:noWrap/>
                  <w:vAlign w:val="center"/>
                </w:tcPr>
                <w:p w14:paraId="49F3206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65</w:t>
                  </w:r>
                  <w:r>
                    <w:rPr>
                      <w:rFonts w:hint="default" w:ascii="Times New Roman" w:hAnsi="Times New Roman" w:eastAsia="宋体" w:cs="Times New Roman"/>
                      <w:color w:val="auto"/>
                      <w:sz w:val="21"/>
                      <w:szCs w:val="21"/>
                    </w:rPr>
                    <w:t>0</w:t>
                  </w:r>
                </w:p>
              </w:tc>
            </w:tr>
            <w:tr w14:paraId="0FF48C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162CA32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656" w:type="pct"/>
                  <w:noWrap/>
                  <w:vAlign w:val="center"/>
                </w:tcPr>
                <w:p w14:paraId="54EEC54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停留时间（s）</w:t>
                  </w:r>
                </w:p>
              </w:tc>
              <w:tc>
                <w:tcPr>
                  <w:tcW w:w="980" w:type="pct"/>
                  <w:noWrap/>
                  <w:vAlign w:val="center"/>
                </w:tcPr>
                <w:p w14:paraId="35DE9B6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1.04</w:t>
                  </w:r>
                </w:p>
              </w:tc>
              <w:tc>
                <w:tcPr>
                  <w:tcW w:w="1378" w:type="pct"/>
                  <w:noWrap/>
                  <w:vAlign w:val="center"/>
                </w:tcPr>
                <w:p w14:paraId="14A8971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w:t>
                  </w:r>
                </w:p>
              </w:tc>
              <w:tc>
                <w:tcPr>
                  <w:tcW w:w="1791" w:type="pct"/>
                  <w:noWrap/>
                  <w:vAlign w:val="center"/>
                </w:tcPr>
                <w:p w14:paraId="7C70B83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14:paraId="11B60C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69B0BE3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656" w:type="pct"/>
                  <w:noWrap/>
                  <w:vAlign w:val="center"/>
                </w:tcPr>
                <w:p w14:paraId="3C48B63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气流速度（m/s）</w:t>
                  </w:r>
                </w:p>
              </w:tc>
              <w:tc>
                <w:tcPr>
                  <w:tcW w:w="980" w:type="pct"/>
                  <w:noWrap/>
                  <w:vAlign w:val="center"/>
                </w:tcPr>
                <w:p w14:paraId="012690A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0.58</w:t>
                  </w:r>
                </w:p>
              </w:tc>
              <w:tc>
                <w:tcPr>
                  <w:tcW w:w="1378" w:type="pct"/>
                  <w:noWrap/>
                  <w:vAlign w:val="center"/>
                </w:tcPr>
                <w:p w14:paraId="028ACC7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≤1.20</w:t>
                  </w:r>
                </w:p>
              </w:tc>
              <w:tc>
                <w:tcPr>
                  <w:tcW w:w="1791" w:type="pct"/>
                  <w:noWrap/>
                  <w:vAlign w:val="center"/>
                </w:tcPr>
                <w:p w14:paraId="7828240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r>
            <w:tr w14:paraId="461B1C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41BB7C8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656" w:type="pct"/>
                  <w:noWrap/>
                  <w:vAlign w:val="center"/>
                </w:tcPr>
                <w:p w14:paraId="1A156CD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填充量</w:t>
                  </w:r>
                </w:p>
              </w:tc>
              <w:tc>
                <w:tcPr>
                  <w:tcW w:w="980" w:type="pct"/>
                  <w:noWrap/>
                  <w:vAlign w:val="center"/>
                </w:tcPr>
                <w:p w14:paraId="1B28D65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10kg</w:t>
                  </w:r>
                </w:p>
              </w:tc>
              <w:tc>
                <w:tcPr>
                  <w:tcW w:w="1378" w:type="pct"/>
                  <w:noWrap/>
                  <w:vAlign w:val="center"/>
                </w:tcPr>
                <w:p w14:paraId="73CAFD8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4919716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1D5939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18D3C59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w:t>
                  </w:r>
                </w:p>
              </w:tc>
              <w:tc>
                <w:tcPr>
                  <w:tcW w:w="656" w:type="pct"/>
                  <w:noWrap/>
                  <w:vAlign w:val="center"/>
                </w:tcPr>
                <w:p w14:paraId="043A45E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更换频次</w:t>
                  </w:r>
                </w:p>
              </w:tc>
              <w:tc>
                <w:tcPr>
                  <w:tcW w:w="980" w:type="pct"/>
                  <w:noWrap/>
                  <w:vAlign w:val="center"/>
                </w:tcPr>
                <w:p w14:paraId="787F495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lang w:val="en-US" w:eastAsia="zh-CN"/>
                    </w:rPr>
                    <w:t>661</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（本次按一年更换4次计）</w:t>
                  </w:r>
                </w:p>
              </w:tc>
              <w:tc>
                <w:tcPr>
                  <w:tcW w:w="1378" w:type="pct"/>
                  <w:noWrap/>
                  <w:vAlign w:val="center"/>
                </w:tcPr>
                <w:p w14:paraId="02616AE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3386E17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活性炭更换周期一般不应超过累计运行500小时或3个月</w:t>
                  </w:r>
                </w:p>
              </w:tc>
            </w:tr>
            <w:tr w14:paraId="1F28FF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1197675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w:t>
                  </w:r>
                </w:p>
              </w:tc>
              <w:tc>
                <w:tcPr>
                  <w:tcW w:w="656" w:type="pct"/>
                  <w:noWrap/>
                  <w:vAlign w:val="center"/>
                </w:tcPr>
                <w:p w14:paraId="71C1FC7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活性炭风阻力</w:t>
                  </w:r>
                </w:p>
              </w:tc>
              <w:tc>
                <w:tcPr>
                  <w:tcW w:w="980" w:type="pct"/>
                  <w:noWrap/>
                  <w:vAlign w:val="center"/>
                </w:tcPr>
                <w:p w14:paraId="1D91757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500pa</w:t>
                  </w:r>
                </w:p>
              </w:tc>
              <w:tc>
                <w:tcPr>
                  <w:tcW w:w="1378" w:type="pct"/>
                  <w:noWrap/>
                  <w:vAlign w:val="center"/>
                </w:tcPr>
                <w:p w14:paraId="0A72EC2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31C19F0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33FCE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193" w:type="pct"/>
                  <w:noWrap/>
                  <w:vAlign w:val="center"/>
                </w:tcPr>
                <w:p w14:paraId="5CF0C5B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w:t>
                  </w:r>
                </w:p>
              </w:tc>
              <w:tc>
                <w:tcPr>
                  <w:tcW w:w="656" w:type="pct"/>
                  <w:noWrap/>
                  <w:vAlign w:val="center"/>
                </w:tcPr>
                <w:p w14:paraId="58799FF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设计处理效率</w:t>
                  </w:r>
                </w:p>
              </w:tc>
              <w:tc>
                <w:tcPr>
                  <w:tcW w:w="980" w:type="pct"/>
                  <w:noWrap/>
                  <w:vAlign w:val="center"/>
                </w:tcPr>
                <w:p w14:paraId="1A76E2A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%（单套）</w:t>
                  </w:r>
                </w:p>
              </w:tc>
              <w:tc>
                <w:tcPr>
                  <w:tcW w:w="1378" w:type="pct"/>
                  <w:noWrap/>
                  <w:vAlign w:val="center"/>
                </w:tcPr>
                <w:p w14:paraId="1574B2D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791" w:type="pct"/>
                  <w:noWrap/>
                  <w:vAlign w:val="center"/>
                </w:tcPr>
                <w:p w14:paraId="597BD2B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bl>
          <w:p w14:paraId="4CB0F117">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根据《材料研究与应用》2010年12月第4卷第4期，余倩等人《活性炭吸附技术对VOCs净化处理的研究进展》一文，采用吸附法能够使VOCs的去除率高达90-95%，本项目</w:t>
            </w:r>
            <w:r>
              <w:rPr>
                <w:rFonts w:hint="default" w:ascii="Times New Roman" w:hAnsi="Times New Roman" w:eastAsia="宋体" w:cs="Times New Roman"/>
                <w:bCs/>
                <w:color w:val="auto"/>
                <w:kern w:val="0"/>
                <w:sz w:val="24"/>
                <w:szCs w:val="24"/>
                <w:lang w:val="en-US" w:eastAsia="zh-CN"/>
              </w:rPr>
              <w:t>挤出流延成膜工序</w:t>
            </w:r>
            <w:r>
              <w:rPr>
                <w:rFonts w:hint="default" w:ascii="Times New Roman" w:hAnsi="Times New Roman" w:eastAsia="宋体" w:cs="Times New Roman"/>
                <w:bCs/>
                <w:color w:val="auto"/>
                <w:kern w:val="0"/>
                <w:sz w:val="24"/>
                <w:szCs w:val="24"/>
              </w:rPr>
              <w:t>非甲烷总烃去除率保守估计取90%。根据</w:t>
            </w:r>
            <w:r>
              <w:rPr>
                <w:rFonts w:hint="default" w:ascii="Times New Roman" w:hAnsi="Times New Roman" w:eastAsia="宋体" w:cs="Times New Roman"/>
                <w:color w:val="auto"/>
                <w:kern w:val="0"/>
                <w:sz w:val="24"/>
                <w:szCs w:val="24"/>
              </w:rPr>
              <w:t>《省生态环境厅关于深入开展涉VOCs治理重点工作核查的通知》（苏环办【2022】218号）相关要求，采用蜂窝活性炭时，气体流速宜低于1.20m/s，</w:t>
            </w:r>
            <w:r>
              <w:rPr>
                <w:rFonts w:hint="default" w:ascii="Times New Roman" w:hAnsi="Times New Roman" w:eastAsia="宋体" w:cs="Times New Roman"/>
                <w:color w:val="auto"/>
                <w:kern w:val="0"/>
                <w:sz w:val="24"/>
                <w:szCs w:val="24"/>
                <w:shd w:val="clear" w:color="auto" w:fill="FFFFFF"/>
              </w:rPr>
              <w:t>蜂窝活性炭碘吸附值≥</w:t>
            </w:r>
            <w:r>
              <w:rPr>
                <w:rFonts w:hint="default" w:ascii="Times New Roman" w:hAnsi="Times New Roman" w:eastAsia="宋体" w:cs="Times New Roman"/>
                <w:color w:val="auto"/>
                <w:kern w:val="0"/>
                <w:sz w:val="24"/>
                <w:szCs w:val="24"/>
                <w:shd w:val="clear" w:color="auto" w:fill="FFFFFF"/>
                <w:lang w:val="en-US" w:eastAsia="zh-CN"/>
              </w:rPr>
              <w:t>80</w:t>
            </w:r>
            <w:r>
              <w:rPr>
                <w:rFonts w:hint="default" w:ascii="Times New Roman" w:hAnsi="Times New Roman" w:eastAsia="宋体" w:cs="Times New Roman"/>
                <w:color w:val="auto"/>
                <w:kern w:val="0"/>
                <w:sz w:val="24"/>
                <w:szCs w:val="24"/>
                <w:shd w:val="clear" w:color="auto" w:fill="FFFFFF"/>
              </w:rPr>
              <w:t>0mg/g，活性炭更换周期一般不应超过累计运行500小时或3个月，进入吸附设备的废气温度应低于40℃，</w:t>
            </w:r>
            <w:r>
              <w:rPr>
                <w:rFonts w:hint="default" w:ascii="Times New Roman" w:hAnsi="Times New Roman" w:eastAsia="宋体" w:cs="Times New Roman"/>
                <w:color w:val="auto"/>
                <w:kern w:val="0"/>
                <w:sz w:val="24"/>
                <w:szCs w:val="24"/>
              </w:rPr>
              <w:t>本项目设计活性炭过滤风速为</w:t>
            </w:r>
            <w:r>
              <w:rPr>
                <w:rFonts w:hint="default" w:ascii="Times New Roman" w:hAnsi="Times New Roman" w:eastAsia="宋体" w:cs="Times New Roman"/>
                <w:color w:val="auto"/>
                <w:kern w:val="0"/>
                <w:sz w:val="24"/>
                <w:szCs w:val="24"/>
                <w:lang w:val="en-US" w:eastAsia="zh-CN"/>
              </w:rPr>
              <w:t>0.58</w:t>
            </w:r>
            <w:r>
              <w:rPr>
                <w:rFonts w:hint="default" w:ascii="Times New Roman" w:hAnsi="Times New Roman" w:eastAsia="宋体" w:cs="Times New Roman"/>
                <w:color w:val="auto"/>
                <w:kern w:val="0"/>
                <w:sz w:val="24"/>
                <w:szCs w:val="24"/>
              </w:rPr>
              <w:t>m/s，</w:t>
            </w:r>
            <w:r>
              <w:rPr>
                <w:rFonts w:hint="default" w:ascii="Times New Roman" w:hAnsi="Times New Roman" w:eastAsia="宋体" w:cs="Times New Roman"/>
                <w:color w:val="auto"/>
                <w:kern w:val="0"/>
                <w:sz w:val="24"/>
                <w:szCs w:val="24"/>
                <w:shd w:val="clear" w:color="auto" w:fill="FFFFFF"/>
              </w:rPr>
              <w:t>碘吸附值为</w:t>
            </w:r>
            <w:r>
              <w:rPr>
                <w:rFonts w:hint="default" w:ascii="Times New Roman" w:hAnsi="Times New Roman" w:eastAsia="宋体" w:cs="Times New Roman"/>
                <w:color w:val="auto"/>
                <w:kern w:val="0"/>
                <w:sz w:val="24"/>
                <w:szCs w:val="24"/>
                <w:shd w:val="clear" w:color="auto" w:fill="FFFFFF"/>
                <w:lang w:val="en-US" w:eastAsia="zh-CN"/>
              </w:rPr>
              <w:t>80</w:t>
            </w:r>
            <w:r>
              <w:rPr>
                <w:rFonts w:hint="default" w:ascii="Times New Roman" w:hAnsi="Times New Roman" w:eastAsia="宋体" w:cs="Times New Roman"/>
                <w:color w:val="auto"/>
                <w:kern w:val="0"/>
                <w:sz w:val="24"/>
                <w:szCs w:val="24"/>
                <w:shd w:val="clear" w:color="auto" w:fill="FFFFFF"/>
              </w:rPr>
              <w:t>0mg/g，活性炭设计</w:t>
            </w:r>
            <w:r>
              <w:rPr>
                <w:rFonts w:hint="eastAsia" w:ascii="Times New Roman" w:hAnsi="Times New Roman" w:eastAsia="宋体" w:cs="Times New Roman"/>
                <w:color w:val="auto"/>
                <w:kern w:val="0"/>
                <w:sz w:val="24"/>
                <w:szCs w:val="24"/>
                <w:shd w:val="clear" w:color="auto" w:fill="FFFFFF"/>
                <w:lang w:val="en-US" w:eastAsia="zh-CN"/>
              </w:rPr>
              <w:t>89</w:t>
            </w:r>
            <w:r>
              <w:rPr>
                <w:rFonts w:hint="default" w:ascii="Times New Roman" w:hAnsi="Times New Roman" w:eastAsia="宋体" w:cs="Times New Roman"/>
                <w:color w:val="auto"/>
                <w:kern w:val="0"/>
                <w:sz w:val="24"/>
                <w:szCs w:val="24"/>
                <w:shd w:val="clear" w:color="auto" w:fill="FFFFFF"/>
                <w:lang w:val="en-US" w:eastAsia="zh-CN"/>
              </w:rPr>
              <w:t>d</w:t>
            </w:r>
            <w:r>
              <w:rPr>
                <w:rFonts w:hint="default" w:ascii="Times New Roman" w:hAnsi="Times New Roman" w:eastAsia="宋体" w:cs="Times New Roman"/>
                <w:color w:val="auto"/>
                <w:kern w:val="0"/>
                <w:sz w:val="24"/>
                <w:szCs w:val="24"/>
                <w:shd w:val="clear" w:color="auto" w:fill="FFFFFF"/>
              </w:rPr>
              <w:t>更换一次，项目有机废气产生温度较低，经过风机管道等冷却后，进入活性炭箱的温度低于40℃，因此本项目</w:t>
            </w:r>
            <w:r>
              <w:rPr>
                <w:rFonts w:hint="default" w:ascii="Times New Roman" w:hAnsi="Times New Roman" w:eastAsia="宋体" w:cs="Times New Roman"/>
                <w:bCs/>
                <w:color w:val="auto"/>
                <w:kern w:val="0"/>
                <w:sz w:val="24"/>
                <w:szCs w:val="24"/>
                <w:lang w:val="en-US" w:eastAsia="zh-CN"/>
              </w:rPr>
              <w:t>挤出流延成膜工序</w:t>
            </w:r>
            <w:r>
              <w:rPr>
                <w:rFonts w:hint="default" w:ascii="Times New Roman" w:hAnsi="Times New Roman" w:eastAsia="宋体" w:cs="Times New Roman"/>
                <w:color w:val="auto"/>
                <w:kern w:val="0"/>
                <w:sz w:val="24"/>
                <w:szCs w:val="24"/>
                <w:shd w:val="clear" w:color="auto" w:fill="FFFFFF"/>
              </w:rPr>
              <w:t>有机废气经过二级活性炭处理</w:t>
            </w:r>
            <w:r>
              <w:rPr>
                <w:rFonts w:hint="default" w:ascii="Times New Roman" w:hAnsi="Times New Roman" w:eastAsia="宋体" w:cs="Times New Roman"/>
                <w:color w:val="auto"/>
                <w:kern w:val="0"/>
                <w:sz w:val="24"/>
                <w:szCs w:val="24"/>
              </w:rPr>
              <w:t>满足要求。</w:t>
            </w:r>
          </w:p>
          <w:p w14:paraId="5EFD1392">
            <w:pPr>
              <w:pStyle w:val="63"/>
              <w:spacing w:line="360" w:lineRule="auto"/>
              <w:ind w:firstLine="420"/>
              <w:rPr>
                <w:rFonts w:hint="default" w:ascii="Times New Roman" w:hAnsi="Times New Roman" w:eastAsia="宋体" w:cs="Times New Roman"/>
                <w:color w:val="auto"/>
                <w:sz w:val="24"/>
              </w:rPr>
            </w:pPr>
            <w:r>
              <w:rPr>
                <w:rFonts w:hint="eastAsia" w:ascii="Times New Roman" w:hAnsi="Times New Roman" w:eastAsia="宋体" w:cs="Times New Roman"/>
                <w:b/>
                <w:bCs/>
                <w:color w:val="auto"/>
                <w:sz w:val="24"/>
                <w:lang w:val="en-US" w:eastAsia="zh-CN"/>
              </w:rPr>
              <w:t>活性炭更换频次计算公式如下：</w:t>
            </w:r>
          </w:p>
          <w:p w14:paraId="1E18AD7C">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T=m×s÷（c×10</w:t>
            </w:r>
            <w:r>
              <w:rPr>
                <w:rFonts w:hint="default" w:ascii="Times New Roman" w:hAnsi="Times New Roman" w:eastAsia="宋体" w:cs="Times New Roman"/>
                <w:color w:val="auto"/>
                <w:sz w:val="24"/>
                <w:vertAlign w:val="superscript"/>
              </w:rPr>
              <w:t>-6</w:t>
            </w:r>
            <w:r>
              <w:rPr>
                <w:rFonts w:hint="default" w:ascii="Times New Roman" w:hAnsi="Times New Roman" w:eastAsia="宋体" w:cs="Times New Roman"/>
                <w:color w:val="auto"/>
                <w:sz w:val="24"/>
              </w:rPr>
              <w:t>×Q×t）</w:t>
            </w:r>
          </w:p>
          <w:p w14:paraId="2EEF16D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式中：T—更换周期，天；</w:t>
            </w:r>
          </w:p>
          <w:p w14:paraId="2795F87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m—活性炭的用量，kg；</w:t>
            </w:r>
            <w:r>
              <w:rPr>
                <w:rFonts w:hint="default" w:ascii="Times New Roman" w:hAnsi="Times New Roman" w:eastAsia="宋体" w:cs="Times New Roman"/>
                <w:color w:val="auto"/>
                <w:sz w:val="24"/>
                <w:lang w:val="en-US" w:eastAsia="zh-CN"/>
              </w:rPr>
              <w:t>本项目固定</w:t>
            </w:r>
            <w:r>
              <w:rPr>
                <w:rFonts w:hint="default" w:ascii="Times New Roman" w:hAnsi="Times New Roman" w:eastAsia="宋体" w:cs="Times New Roman"/>
                <w:color w:val="auto"/>
                <w:sz w:val="24"/>
                <w:szCs w:val="24"/>
                <w:lang w:val="en-US" w:eastAsia="zh-CN"/>
              </w:rPr>
              <w:t>工序废气处理设施“二级活性炭吸附装置”</w:t>
            </w:r>
            <w:r>
              <w:rPr>
                <w:rFonts w:hint="default" w:ascii="Times New Roman" w:hAnsi="Times New Roman" w:eastAsia="宋体" w:cs="Times New Roman"/>
                <w:color w:val="auto"/>
                <w:sz w:val="24"/>
              </w:rPr>
              <w:t>中活性炭装填量为</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0kg。</w:t>
            </w:r>
          </w:p>
          <w:p w14:paraId="2AE3029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s—动态吸附量，%；（动态吸附量取值</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w:t>
            </w:r>
          </w:p>
          <w:p w14:paraId="527C1C2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c—活性炭削减的VOCs浓度，mg/m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“二级活性炭吸附装置”</w:t>
            </w:r>
            <w:r>
              <w:rPr>
                <w:rFonts w:hint="default" w:ascii="Times New Roman" w:hAnsi="Times New Roman" w:eastAsia="宋体" w:cs="Times New Roman"/>
                <w:color w:val="auto"/>
                <w:sz w:val="24"/>
              </w:rPr>
              <w:t>削减的VOCs浓度为</w:t>
            </w:r>
            <w:r>
              <w:rPr>
                <w:rFonts w:hint="eastAsia" w:ascii="Times New Roman" w:hAnsi="Times New Roman" w:eastAsia="宋体" w:cs="Times New Roman"/>
                <w:color w:val="auto"/>
                <w:sz w:val="24"/>
                <w:lang w:val="en-US" w:eastAsia="zh-CN"/>
              </w:rPr>
              <w:t>0.027</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467295F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Q—风量，单位m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/h；废气处理设施设计风量为</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61F57AB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t—运行时间，单位h/d。废气处理设施日运行</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h。</w:t>
            </w:r>
          </w:p>
          <w:p w14:paraId="103C5D2A">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color w:val="auto"/>
                <w:sz w:val="24"/>
              </w:rPr>
              <w:t>根据上述公式及参数计算得废气处理设施活性炭更换周期为</w:t>
            </w:r>
            <w:r>
              <w:rPr>
                <w:rFonts w:hint="eastAsia" w:ascii="Times New Roman" w:hAnsi="Times New Roman" w:eastAsia="宋体" w:cs="Times New Roman"/>
                <w:color w:val="auto"/>
                <w:sz w:val="24"/>
                <w:lang w:val="en-US" w:eastAsia="zh-CN"/>
              </w:rPr>
              <w:t>661</w:t>
            </w:r>
            <w:r>
              <w:rPr>
                <w:rFonts w:hint="default" w:ascii="Times New Roman" w:hAnsi="Times New Roman" w:eastAsia="宋体" w:cs="Times New Roman"/>
                <w:color w:val="auto"/>
                <w:sz w:val="24"/>
              </w:rPr>
              <w:t>d/次。</w:t>
            </w:r>
            <w:r>
              <w:rPr>
                <w:rFonts w:hint="eastAsia" w:ascii="Times New Roman" w:hAnsi="Times New Roman" w:eastAsia="宋体" w:cs="Times New Roman"/>
                <w:color w:val="auto"/>
                <w:sz w:val="24"/>
                <w:lang w:val="en-US" w:eastAsia="zh-CN"/>
              </w:rPr>
              <w:t>根据《省生态环境厅关于深入开展涉VOCs治理重点工作核查的通知》（苏环办【2022】218号）相关要求，活性炭更换周期一般不应超过累计运行500小时或3个月，因此本项目按1年更换4次计。</w:t>
            </w:r>
          </w:p>
          <w:p w14:paraId="6116902E">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活性炭吸附装置设置要求：</w:t>
            </w:r>
          </w:p>
          <w:p w14:paraId="64388AF1">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按照《吸附法工业有机废气治理工程技术规范》（HJ 2026-2013）、《</w:t>
            </w:r>
            <w:bookmarkStart w:id="14" w:name="_Hlk141347411"/>
            <w:r>
              <w:rPr>
                <w:rFonts w:hint="default" w:ascii="Times New Roman" w:hAnsi="Times New Roman" w:eastAsia="宋体" w:cs="Times New Roman"/>
                <w:b w:val="0"/>
                <w:bCs w:val="0"/>
                <w:color w:val="auto"/>
                <w:sz w:val="24"/>
                <w:lang w:val="en-US" w:eastAsia="zh-CN"/>
              </w:rPr>
              <w:t>环境保护产品技术要求 工业废气吸附净化装置</w:t>
            </w:r>
            <w:bookmarkEnd w:id="14"/>
            <w:r>
              <w:rPr>
                <w:rFonts w:hint="default" w:ascii="Times New Roman" w:hAnsi="Times New Roman" w:eastAsia="宋体" w:cs="Times New Roman"/>
                <w:b w:val="0"/>
                <w:bCs w:val="0"/>
                <w:color w:val="auto"/>
                <w:sz w:val="24"/>
                <w:lang w:val="en-US" w:eastAsia="zh-CN"/>
              </w:rPr>
              <w:t>》（</w:t>
            </w:r>
            <w:bookmarkStart w:id="15" w:name="_Hlk141347438"/>
            <w:r>
              <w:rPr>
                <w:rFonts w:hint="default" w:ascii="Times New Roman" w:hAnsi="Times New Roman" w:eastAsia="宋体" w:cs="Times New Roman"/>
                <w:b w:val="0"/>
                <w:bCs w:val="0"/>
                <w:color w:val="auto"/>
                <w:sz w:val="24"/>
                <w:lang w:val="en-US" w:eastAsia="zh-CN"/>
              </w:rPr>
              <w:t>HJ/T 386-2007</w:t>
            </w:r>
            <w:bookmarkEnd w:id="15"/>
            <w:r>
              <w:rPr>
                <w:rFonts w:hint="default" w:ascii="Times New Roman" w:hAnsi="Times New Roman" w:eastAsia="宋体" w:cs="Times New Roman"/>
                <w:b w:val="0"/>
                <w:bCs w:val="0"/>
                <w:color w:val="auto"/>
                <w:sz w:val="24"/>
                <w:lang w:val="en-US" w:eastAsia="zh-CN"/>
              </w:rPr>
              <w:t>）安全设置规定，本项目对拟建活性炭吸附装置提出以下要求：</w:t>
            </w:r>
          </w:p>
          <w:p w14:paraId="23E8D6E1">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①治理系统应有事故自动报警装置，并符合安全生产、事故防范的相关规定。</w:t>
            </w:r>
          </w:p>
          <w:p w14:paraId="0F8177FB">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②治理系统与主体生产装置之间的管道系统应安装阻火器（防火阀），阻火器性能应符合GB 13347的规定。</w:t>
            </w:r>
          </w:p>
          <w:p w14:paraId="0BB59A07">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w:t>
            </w:r>
          </w:p>
          <w:p w14:paraId="27E1D916">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④在吸附操作周期内，吸附了有机气体后吸附床内的温度应低于83℃。当吸附装置内的温度超过83℃时，应能自动报警，并立即启动降温装置。</w:t>
            </w:r>
          </w:p>
          <w:p w14:paraId="7F335BF1">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⑤采用热空气吹扫方式进行吸附剂再生时，当吸附装置内的温度超过120°时，应能自动报警并立即中止再生操作、启动降温措施。</w:t>
            </w:r>
          </w:p>
          <w:p w14:paraId="65237BB9">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⑥治理装置安装区域应按规定设置消防设施。</w:t>
            </w:r>
          </w:p>
          <w:p w14:paraId="4EE0795E">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⑦治理设备应具备短路保护和接地保护，接地电阻应小于4Q。</w:t>
            </w:r>
          </w:p>
          <w:p w14:paraId="62C9F8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b w:val="0"/>
                <w:bCs w:val="0"/>
                <w:color w:val="auto"/>
                <w:sz w:val="24"/>
                <w:lang w:val="en-US" w:eastAsia="zh-CN"/>
              </w:rPr>
              <w:t>⑧室外治理设备应安装符合GB 50057规定的避雷装置。</w:t>
            </w:r>
          </w:p>
          <w:p w14:paraId="039D55F7">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工程实例分析</w:t>
            </w:r>
          </w:p>
          <w:p w14:paraId="043ABD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本项目根据无锡市新环化工环境监测站于2019年3月对“常州市博源塑业有限公司年产260万件塑料制品项目”的“两级活性炭吸附装置”废气排放口的验收检测数据，其废气处理效率在90%以上，具体见下表。</w:t>
            </w:r>
          </w:p>
          <w:p w14:paraId="71F22D5C">
            <w:pPr>
              <w:adjustRightInd w:val="0"/>
              <w:snapToGrid w:val="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ascii="Times New Roman" w:hAnsi="Times New Roman" w:eastAsia="宋体" w:cs="Times New Roman"/>
                <w:b/>
                <w:color w:val="auto"/>
                <w:sz w:val="24"/>
                <w:szCs w:val="24"/>
                <w:lang w:val="en-US" w:eastAsia="zh-CN"/>
              </w:rPr>
              <w:t xml:space="preserve">3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工程实例废气监测结果表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13"/>
              <w:gridCol w:w="1413"/>
              <w:gridCol w:w="1413"/>
              <w:gridCol w:w="1414"/>
              <w:gridCol w:w="1418"/>
            </w:tblGrid>
            <w:tr w14:paraId="302B9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restart"/>
                  <w:vAlign w:val="center"/>
                </w:tcPr>
                <w:p w14:paraId="1892479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项目点位</w:t>
                  </w:r>
                </w:p>
              </w:tc>
              <w:tc>
                <w:tcPr>
                  <w:tcW w:w="833" w:type="pct"/>
                  <w:vMerge w:val="restart"/>
                  <w:vAlign w:val="center"/>
                </w:tcPr>
                <w:p w14:paraId="4CA1D8D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监测时间</w:t>
                  </w:r>
                </w:p>
              </w:tc>
              <w:tc>
                <w:tcPr>
                  <w:tcW w:w="3334" w:type="pct"/>
                  <w:gridSpan w:val="4"/>
                  <w:vAlign w:val="center"/>
                </w:tcPr>
                <w:p w14:paraId="53817278">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非甲烷总烃监测结果（mg/m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14:paraId="5A241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continue"/>
                  <w:vAlign w:val="center"/>
                </w:tcPr>
                <w:p w14:paraId="2B617209">
                  <w:pPr>
                    <w:adjustRightInd w:val="0"/>
                    <w:snapToGrid w:val="0"/>
                    <w:jc w:val="center"/>
                    <w:rPr>
                      <w:rFonts w:hint="default" w:ascii="Times New Roman" w:hAnsi="Times New Roman" w:eastAsia="宋体" w:cs="Times New Roman"/>
                      <w:color w:val="auto"/>
                      <w:sz w:val="21"/>
                      <w:szCs w:val="21"/>
                    </w:rPr>
                  </w:pPr>
                </w:p>
              </w:tc>
              <w:tc>
                <w:tcPr>
                  <w:tcW w:w="833" w:type="pct"/>
                  <w:vMerge w:val="continue"/>
                  <w:vAlign w:val="center"/>
                </w:tcPr>
                <w:p w14:paraId="603DBCDB">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738406B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33" w:type="pct"/>
                  <w:vAlign w:val="center"/>
                </w:tcPr>
                <w:p w14:paraId="6109816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33" w:type="pct"/>
                  <w:vAlign w:val="center"/>
                </w:tcPr>
                <w:p w14:paraId="4AAE863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33" w:type="pct"/>
                  <w:vAlign w:val="center"/>
                </w:tcPr>
                <w:p w14:paraId="3B5DAB0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r>
            <w:tr w14:paraId="49D9A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26E7E09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废气进口</w:t>
                  </w:r>
                </w:p>
              </w:tc>
              <w:tc>
                <w:tcPr>
                  <w:tcW w:w="833" w:type="pct"/>
                  <w:vMerge w:val="restart"/>
                  <w:vAlign w:val="center"/>
                </w:tcPr>
                <w:p w14:paraId="09994E4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2019.3.29</w:t>
                  </w:r>
                </w:p>
              </w:tc>
              <w:tc>
                <w:tcPr>
                  <w:tcW w:w="833" w:type="pct"/>
                  <w:vAlign w:val="center"/>
                </w:tcPr>
                <w:p w14:paraId="4882C5D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4.22</w:t>
                  </w:r>
                </w:p>
              </w:tc>
              <w:tc>
                <w:tcPr>
                  <w:tcW w:w="833" w:type="pct"/>
                  <w:vAlign w:val="center"/>
                </w:tcPr>
                <w:p w14:paraId="55FDFD8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w:t>
                  </w:r>
                </w:p>
              </w:tc>
              <w:tc>
                <w:tcPr>
                  <w:tcW w:w="833" w:type="pct"/>
                  <w:vAlign w:val="center"/>
                </w:tcPr>
                <w:p w14:paraId="584A12C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833" w:type="pct"/>
                  <w:vAlign w:val="center"/>
                </w:tcPr>
                <w:p w14:paraId="16E8B05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3.93</w:t>
                  </w:r>
                </w:p>
              </w:tc>
            </w:tr>
            <w:tr w14:paraId="37104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595152C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废气出口</w:t>
                  </w:r>
                </w:p>
              </w:tc>
              <w:tc>
                <w:tcPr>
                  <w:tcW w:w="833" w:type="pct"/>
                  <w:vMerge w:val="continue"/>
                  <w:vAlign w:val="center"/>
                </w:tcPr>
                <w:p w14:paraId="510F5192">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0454CFA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833" w:type="pct"/>
                  <w:vAlign w:val="center"/>
                </w:tcPr>
                <w:p w14:paraId="38D7508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833" w:type="pct"/>
                  <w:vAlign w:val="center"/>
                </w:tcPr>
                <w:p w14:paraId="67F8401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833" w:type="pct"/>
                  <w:vAlign w:val="center"/>
                </w:tcPr>
                <w:p w14:paraId="32B0541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r>
            <w:tr w14:paraId="66E58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7C3C546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处理效率</w:t>
                  </w:r>
                </w:p>
              </w:tc>
              <w:tc>
                <w:tcPr>
                  <w:tcW w:w="833" w:type="pct"/>
                  <w:vMerge w:val="continue"/>
                  <w:vAlign w:val="center"/>
                </w:tcPr>
                <w:p w14:paraId="137AD0AE">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320B54A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94.1</w:t>
                  </w:r>
                </w:p>
              </w:tc>
              <w:tc>
                <w:tcPr>
                  <w:tcW w:w="833" w:type="pct"/>
                  <w:vAlign w:val="center"/>
                </w:tcPr>
                <w:p w14:paraId="58DAEF1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91.7</w:t>
                  </w:r>
                </w:p>
              </w:tc>
              <w:tc>
                <w:tcPr>
                  <w:tcW w:w="833" w:type="pct"/>
                  <w:vAlign w:val="center"/>
                </w:tcPr>
                <w:p w14:paraId="7098D4A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93.9</w:t>
                  </w:r>
                </w:p>
              </w:tc>
              <w:tc>
                <w:tcPr>
                  <w:tcW w:w="833" w:type="pct"/>
                  <w:vAlign w:val="center"/>
                </w:tcPr>
                <w:p w14:paraId="672BF8A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93.4</w:t>
                  </w:r>
                </w:p>
              </w:tc>
            </w:tr>
          </w:tbl>
          <w:p w14:paraId="6EB98ED6">
            <w:pPr>
              <w:keepNext w:val="0"/>
              <w:keepLines w:val="0"/>
              <w:pageBreakBefore w:val="0"/>
              <w:widowControl w:val="0"/>
              <w:tabs>
                <w:tab w:val="left" w:pos="840"/>
              </w:tabs>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bidi="ar"/>
              </w:rPr>
            </w:pPr>
            <w:r>
              <w:rPr>
                <w:rFonts w:hint="default" w:ascii="Times New Roman" w:hAnsi="Times New Roman" w:eastAsia="宋体" w:cs="Times New Roman"/>
                <w:color w:val="auto"/>
                <w:sz w:val="24"/>
                <w:szCs w:val="24"/>
              </w:rPr>
              <w:t>由上表可知，“两级活性炭吸附装置”对非甲烷总烃的去除效率平均在90%以上，故认为本项目两级活性炭吸附装置对非甲烷总烃去除效率以90%计算是可行的。</w:t>
            </w:r>
          </w:p>
          <w:p w14:paraId="01D6817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bidi="ar"/>
              </w:rPr>
            </w:pPr>
            <w:r>
              <w:rPr>
                <w:rFonts w:hint="default" w:ascii="Times New Roman" w:hAnsi="Times New Roman" w:eastAsia="宋体" w:cs="Times New Roman"/>
                <w:b/>
                <w:bCs/>
                <w:color w:val="auto"/>
                <w:sz w:val="24"/>
                <w:szCs w:val="24"/>
                <w:lang w:val="en-US" w:eastAsia="zh-CN" w:bidi="ar"/>
              </w:rPr>
              <w:t>④废气处理措施技术可行性分析</w:t>
            </w:r>
          </w:p>
          <w:p w14:paraId="1B17BA0D">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根据《排污许可证申请与核发技术规范 石墨及其他非金属矿物制品制造》（HJ1119—2020）中表A.4，非甲烷总烃等的污染防治工艺有“活性炭吸附、静电吸附+活性炭吸附、冷凝+活性炭吸附”，本项目非甲烷总烃采用</w:t>
            </w:r>
            <w:r>
              <w:rPr>
                <w:rFonts w:hint="eastAsia" w:ascii="Times New Roman" w:hAnsi="Times New Roman" w:eastAsia="宋体" w:cs="Times New Roman"/>
                <w:color w:val="auto"/>
                <w:sz w:val="24"/>
                <w:szCs w:val="24"/>
                <w:lang w:val="en-US" w:eastAsia="zh-CN"/>
              </w:rPr>
              <w:t>二级</w:t>
            </w:r>
            <w:r>
              <w:rPr>
                <w:rFonts w:hint="default" w:ascii="Times New Roman" w:hAnsi="Times New Roman" w:eastAsia="宋体" w:cs="Times New Roman"/>
                <w:color w:val="auto"/>
                <w:sz w:val="24"/>
                <w:szCs w:val="24"/>
                <w:lang w:val="en-US" w:eastAsia="zh-CN"/>
              </w:rPr>
              <w:t>活性炭吸附装置进行处理，属于可行技术。</w:t>
            </w:r>
          </w:p>
          <w:p w14:paraId="4BF7108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⑤排气筒设置可行性分析</w:t>
            </w:r>
          </w:p>
          <w:p w14:paraId="33F71C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本项目不设施排气筒。</w:t>
            </w:r>
          </w:p>
          <w:p w14:paraId="5E752A1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（2）无组织废气</w:t>
            </w:r>
          </w:p>
          <w:p w14:paraId="4E8953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本项目无组织废气为未捕集</w:t>
            </w:r>
            <w:r>
              <w:rPr>
                <w:rFonts w:hint="eastAsia" w:ascii="Times New Roman" w:hAnsi="Times New Roman" w:eastAsia="宋体" w:cs="Times New Roman"/>
                <w:color w:val="auto"/>
                <w:sz w:val="24"/>
                <w:lang w:val="en-US" w:eastAsia="zh-CN"/>
              </w:rPr>
              <w:t>及处理后无组织排放的</w:t>
            </w:r>
            <w:r>
              <w:rPr>
                <w:rFonts w:hint="default" w:ascii="Times New Roman" w:hAnsi="Times New Roman" w:eastAsia="宋体" w:cs="Times New Roman"/>
                <w:color w:val="auto"/>
                <w:sz w:val="24"/>
                <w:szCs w:val="24"/>
                <w:lang w:val="en-US" w:eastAsia="zh-CN"/>
              </w:rPr>
              <w:t>固定</w:t>
            </w:r>
            <w:r>
              <w:rPr>
                <w:rFonts w:hint="default" w:ascii="Times New Roman" w:hAnsi="Times New Roman" w:eastAsia="宋体" w:cs="Times New Roman"/>
                <w:color w:val="auto"/>
                <w:sz w:val="24"/>
                <w:lang w:val="en-US" w:eastAsia="zh-CN"/>
              </w:rPr>
              <w:t>工序废气</w:t>
            </w:r>
            <w:r>
              <w:rPr>
                <w:rFonts w:hint="default" w:ascii="Times New Roman" w:hAnsi="Times New Roman" w:eastAsia="宋体" w:cs="Times New Roman"/>
                <w:color w:val="auto"/>
                <w:sz w:val="24"/>
              </w:rPr>
              <w:t>，为减小无组织废气对周围环境的影响，建议通过采取以下措施进行控制：</w:t>
            </w:r>
          </w:p>
          <w:p w14:paraId="42FA58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根据《大气污染控制工程》（高等教育出版社）中集气罩、吸风管的设计规范合理设置集气罩、吸风管的尺寸和安装位置，尽可能提高废气的收集效率，减小无组织排放源强；同时加强管理，尽量减少有机废气的散逸。</w:t>
            </w:r>
          </w:p>
          <w:p w14:paraId="11E078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②建设单位每天生产结束后环保设备风机仍继续运行2小时以上以提高废气捕集效率，减小无组织排放源强。</w:t>
            </w:r>
          </w:p>
          <w:p w14:paraId="1F861A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③加强生产管理，增加员工意识，规范操作，采取预防为主、清洁生产的方针，采用先进生产工艺，选用先进的生产设备和清洁原料。</w:t>
            </w:r>
          </w:p>
          <w:p w14:paraId="093014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④定期对废气处理设施进行维护、保养和清理，保证其处理效率。</w:t>
            </w:r>
          </w:p>
          <w:p w14:paraId="565D94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⑤加强车间通排风，以降低无组织排放废气的影响；</w:t>
            </w:r>
          </w:p>
          <w:p w14:paraId="11BCDE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综上所述，本项目无组织废气污染防治措施可行，可达标排放。</w:t>
            </w:r>
          </w:p>
          <w:p w14:paraId="3B3C6AF7">
            <w:pPr>
              <w:pStyle w:val="61"/>
              <w:spacing w:line="360" w:lineRule="auto"/>
              <w:ind w:firstLine="480" w:firstLineChars="200"/>
              <w:jc w:val="both"/>
              <w:rPr>
                <w:rFonts w:hint="default" w:ascii="Times New Roman" w:hAnsi="Times New Roman" w:eastAsia="宋体" w:cs="Times New Roman"/>
                <w:b w:val="0"/>
                <w:bCs/>
                <w:color w:val="auto"/>
                <w:sz w:val="24"/>
              </w:rPr>
            </w:pPr>
          </w:p>
        </w:tc>
      </w:tr>
    </w:tbl>
    <w:p w14:paraId="3B74CAF7">
      <w:pPr>
        <w:numPr>
          <w:ilvl w:val="0"/>
          <w:numId w:val="0"/>
        </w:num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9"/>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459"/>
      </w:tblGrid>
      <w:tr w14:paraId="15BAC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252" w:type="pct"/>
            <w:tcMar>
              <w:left w:w="28" w:type="dxa"/>
              <w:right w:w="28" w:type="dxa"/>
            </w:tcMar>
            <w:vAlign w:val="center"/>
          </w:tcPr>
          <w:p w14:paraId="6BC43152">
            <w:pPr>
              <w:adjustRightInd w:val="0"/>
              <w:snapToGrid w:val="0"/>
              <w:jc w:val="center"/>
              <w:rPr>
                <w:rFonts w:hint="default" w:ascii="Times New Roman" w:hAnsi="Times New Roman" w:eastAsia="宋体" w:cs="Times New Roman"/>
                <w:bCs/>
                <w:color w:val="auto"/>
                <w:sz w:val="28"/>
                <w:szCs w:val="28"/>
              </w:rPr>
            </w:pPr>
            <w:r>
              <w:rPr>
                <w:rFonts w:hint="default" w:ascii="Times New Roman" w:hAnsi="Times New Roman" w:eastAsia="宋体" w:cs="Times New Roman"/>
                <w:b/>
                <w:bCs w:val="0"/>
                <w:color w:val="auto"/>
                <w:sz w:val="24"/>
                <w:szCs w:val="24"/>
              </w:rPr>
              <w:t>运营期环境影响和保护措施</w:t>
            </w:r>
          </w:p>
        </w:tc>
        <w:tc>
          <w:tcPr>
            <w:tcW w:w="4747" w:type="pct"/>
            <w:vAlign w:val="center"/>
          </w:tcPr>
          <w:p w14:paraId="690F625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4"/>
                <w:lang w:val="en-US" w:eastAsia="zh-CN"/>
              </w:rPr>
              <w:t>3.</w:t>
            </w:r>
            <w:r>
              <w:rPr>
                <w:rFonts w:hint="default" w:ascii="Times New Roman" w:hAnsi="Times New Roman" w:eastAsia="宋体" w:cs="Times New Roman"/>
                <w:b/>
                <w:bCs w:val="0"/>
                <w:color w:val="auto"/>
                <w:sz w:val="24"/>
              </w:rPr>
              <w:t>达标情况分析</w:t>
            </w:r>
          </w:p>
          <w:p w14:paraId="4DFC38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本项目无组织废气排放情况见表4-</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w:t>
            </w:r>
          </w:p>
          <w:p w14:paraId="01F6A8CA">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 xml:space="preserve">  本项目无组织废气产生及排放情况表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29"/>
              <w:gridCol w:w="1906"/>
              <w:gridCol w:w="1296"/>
              <w:gridCol w:w="1524"/>
              <w:gridCol w:w="1455"/>
              <w:gridCol w:w="1349"/>
              <w:gridCol w:w="1530"/>
              <w:gridCol w:w="1524"/>
              <w:gridCol w:w="1525"/>
            </w:tblGrid>
            <w:tr w14:paraId="1D9B9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426" w:type="pct"/>
                  <w:vAlign w:val="center"/>
                </w:tcPr>
                <w:p w14:paraId="14FE2DEA">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面源名称</w:t>
                  </w:r>
                </w:p>
              </w:tc>
              <w:tc>
                <w:tcPr>
                  <w:tcW w:w="719" w:type="pct"/>
                  <w:vAlign w:val="center"/>
                </w:tcPr>
                <w:p w14:paraId="16F75D21">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污染物产生环节</w:t>
                  </w:r>
                </w:p>
              </w:tc>
              <w:tc>
                <w:tcPr>
                  <w:tcW w:w="489" w:type="pct"/>
                  <w:vAlign w:val="center"/>
                </w:tcPr>
                <w:p w14:paraId="4AEC2C60">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1CDD553F">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575" w:type="pct"/>
                  <w:vAlign w:val="center"/>
                </w:tcPr>
                <w:p w14:paraId="2980588B">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污染物产生量t/a</w:t>
                  </w:r>
                </w:p>
              </w:tc>
              <w:tc>
                <w:tcPr>
                  <w:tcW w:w="549" w:type="pct"/>
                  <w:vAlign w:val="center"/>
                </w:tcPr>
                <w:p w14:paraId="53F74CF2">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治理措施</w:t>
                  </w:r>
                </w:p>
              </w:tc>
              <w:tc>
                <w:tcPr>
                  <w:tcW w:w="509" w:type="pct"/>
                  <w:vAlign w:val="center"/>
                </w:tcPr>
                <w:p w14:paraId="1E71C5AD">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污染物排放量t/a</w:t>
                  </w:r>
                </w:p>
              </w:tc>
              <w:tc>
                <w:tcPr>
                  <w:tcW w:w="577" w:type="pct"/>
                  <w:vAlign w:val="center"/>
                </w:tcPr>
                <w:p w14:paraId="2CDAE5BE">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排放速率kg/h</w:t>
                  </w:r>
                </w:p>
              </w:tc>
              <w:tc>
                <w:tcPr>
                  <w:tcW w:w="575" w:type="pct"/>
                  <w:vAlign w:val="center"/>
                </w:tcPr>
                <w:p w14:paraId="524258D2">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面源面积（m</w:t>
                  </w:r>
                  <w:r>
                    <w:rPr>
                      <w:rFonts w:hint="default" w:ascii="Times New Roman" w:hAnsi="Times New Roman" w:eastAsia="宋体" w:cs="Times New Roman"/>
                      <w:b/>
                      <w:bCs/>
                      <w:color w:val="auto"/>
                      <w:szCs w:val="21"/>
                      <w:vertAlign w:val="superscript"/>
                    </w:rPr>
                    <w:t>2</w:t>
                  </w:r>
                  <w:r>
                    <w:rPr>
                      <w:rFonts w:hint="default" w:ascii="Times New Roman" w:hAnsi="Times New Roman" w:eastAsia="宋体" w:cs="Times New Roman"/>
                      <w:b/>
                      <w:bCs/>
                      <w:color w:val="auto"/>
                      <w:szCs w:val="21"/>
                    </w:rPr>
                    <w:t>）</w:t>
                  </w:r>
                </w:p>
              </w:tc>
              <w:tc>
                <w:tcPr>
                  <w:tcW w:w="575" w:type="pct"/>
                  <w:vAlign w:val="center"/>
                </w:tcPr>
                <w:p w14:paraId="025A3E8F">
                  <w:pPr>
                    <w:spacing w:line="276" w:lineRule="auto"/>
                    <w:jc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高度</w:t>
                  </w:r>
                  <w:r>
                    <w:rPr>
                      <w:rFonts w:hint="default" w:ascii="Times New Roman" w:hAnsi="Times New Roman" w:eastAsia="宋体" w:cs="Times New Roman"/>
                      <w:b/>
                      <w:bCs/>
                      <w:color w:val="auto"/>
                      <w:szCs w:val="21"/>
                    </w:rPr>
                    <w:t>（m）</w:t>
                  </w:r>
                </w:p>
              </w:tc>
            </w:tr>
            <w:tr w14:paraId="6ED49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26" w:type="pct"/>
                  <w:vAlign w:val="center"/>
                </w:tcPr>
                <w:p w14:paraId="24F6A938">
                  <w:pPr>
                    <w:spacing w:line="276" w:lineRule="auto"/>
                    <w:ind w:left="-105" w:leftChars="-50" w:right="-105" w:rightChars="-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生产车间</w:t>
                  </w:r>
                </w:p>
              </w:tc>
              <w:tc>
                <w:tcPr>
                  <w:tcW w:w="719" w:type="pct"/>
                  <w:vAlign w:val="center"/>
                </w:tcPr>
                <w:p w14:paraId="6D4570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固定工序</w:t>
                  </w:r>
                </w:p>
              </w:tc>
              <w:tc>
                <w:tcPr>
                  <w:tcW w:w="489" w:type="pct"/>
                  <w:vAlign w:val="center"/>
                </w:tcPr>
                <w:p w14:paraId="0644666F">
                  <w:pPr>
                    <w:adjustRightInd w:val="0"/>
                    <w:snapToGrid w:val="0"/>
                    <w:spacing w:line="276" w:lineRule="auto"/>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575" w:type="pct"/>
                  <w:vAlign w:val="center"/>
                </w:tcPr>
                <w:p w14:paraId="25FBF37E">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00052</w:t>
                  </w:r>
                </w:p>
              </w:tc>
              <w:tc>
                <w:tcPr>
                  <w:tcW w:w="549" w:type="pct"/>
                  <w:vAlign w:val="center"/>
                </w:tcPr>
                <w:p w14:paraId="100C6DF8">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二级活性炭吸附装置</w:t>
                  </w:r>
                </w:p>
              </w:tc>
              <w:tc>
                <w:tcPr>
                  <w:tcW w:w="509" w:type="pct"/>
                  <w:vAlign w:val="center"/>
                </w:tcPr>
                <w:p w14:paraId="022C495C">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0001</w:t>
                  </w:r>
                </w:p>
              </w:tc>
              <w:tc>
                <w:tcPr>
                  <w:tcW w:w="577" w:type="pct"/>
                  <w:vAlign w:val="center"/>
                </w:tcPr>
                <w:p w14:paraId="6849E92D">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0.00004</w:t>
                  </w:r>
                </w:p>
              </w:tc>
              <w:tc>
                <w:tcPr>
                  <w:tcW w:w="575" w:type="pct"/>
                  <w:vAlign w:val="center"/>
                </w:tcPr>
                <w:p w14:paraId="29B2468A">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375</w:t>
                  </w:r>
                </w:p>
              </w:tc>
              <w:tc>
                <w:tcPr>
                  <w:tcW w:w="575" w:type="pct"/>
                  <w:vAlign w:val="center"/>
                </w:tcPr>
                <w:p w14:paraId="2ECB6953">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r>
          </w:tbl>
          <w:p w14:paraId="2B18F4C8">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4.非正常排放</w:t>
            </w:r>
          </w:p>
          <w:p w14:paraId="6AF521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3DED56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3F466B40">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表4-</w:t>
            </w:r>
            <w:r>
              <w:rPr>
                <w:rFonts w:hint="eastAsia"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非正常工况废气源强表</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62"/>
              <w:gridCol w:w="2855"/>
              <w:gridCol w:w="1374"/>
              <w:gridCol w:w="1941"/>
              <w:gridCol w:w="1700"/>
              <w:gridCol w:w="1520"/>
              <w:gridCol w:w="1388"/>
              <w:gridCol w:w="1290"/>
            </w:tblGrid>
            <w:tr w14:paraId="3CD41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 w:hRule="atLeast"/>
                <w:jc w:val="center"/>
              </w:trPr>
              <w:tc>
                <w:tcPr>
                  <w:tcW w:w="439" w:type="pct"/>
                  <w:tcBorders>
                    <w:tl2br w:val="nil"/>
                    <w:tr2bl w:val="nil"/>
                  </w:tcBorders>
                  <w:shd w:val="clear" w:color="auto" w:fill="auto"/>
                  <w:vAlign w:val="center"/>
                </w:tcPr>
                <w:p w14:paraId="5FF8042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w:t>
                  </w:r>
                </w:p>
              </w:tc>
              <w:tc>
                <w:tcPr>
                  <w:tcW w:w="1078" w:type="pct"/>
                  <w:tcBorders>
                    <w:tl2br w:val="nil"/>
                    <w:tr2bl w:val="nil"/>
                  </w:tcBorders>
                  <w:shd w:val="clear" w:color="auto" w:fill="auto"/>
                  <w:vAlign w:val="center"/>
                </w:tcPr>
                <w:p w14:paraId="139A386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非正常排放原因</w:t>
                  </w:r>
                </w:p>
              </w:tc>
              <w:tc>
                <w:tcPr>
                  <w:tcW w:w="519" w:type="pct"/>
                  <w:tcBorders>
                    <w:tl2br w:val="nil"/>
                    <w:tr2bl w:val="nil"/>
                  </w:tcBorders>
                  <w:shd w:val="clear" w:color="auto" w:fill="auto"/>
                  <w:noWrap/>
                  <w:vAlign w:val="center"/>
                </w:tcPr>
                <w:p w14:paraId="19669B0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733" w:type="pct"/>
                  <w:tcBorders>
                    <w:tl2br w:val="nil"/>
                    <w:tr2bl w:val="nil"/>
                  </w:tcBorders>
                  <w:shd w:val="clear" w:color="auto" w:fill="auto"/>
                  <w:vAlign w:val="center"/>
                </w:tcPr>
                <w:p w14:paraId="6EA553A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非正常排放浓度</w:t>
                  </w:r>
                </w:p>
                <w:p w14:paraId="66AFDFF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642" w:type="pct"/>
                  <w:tcBorders>
                    <w:tl2br w:val="nil"/>
                    <w:tr2bl w:val="nil"/>
                  </w:tcBorders>
                  <w:shd w:val="clear" w:color="auto" w:fill="auto"/>
                  <w:vAlign w:val="center"/>
                </w:tcPr>
                <w:p w14:paraId="1150810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非正常排放速率（kg/h）</w:t>
                  </w:r>
                </w:p>
              </w:tc>
              <w:tc>
                <w:tcPr>
                  <w:tcW w:w="574" w:type="pct"/>
                  <w:tcBorders>
                    <w:tl2br w:val="nil"/>
                    <w:tr2bl w:val="nil"/>
                  </w:tcBorders>
                  <w:shd w:val="clear" w:color="auto" w:fill="auto"/>
                  <w:vAlign w:val="center"/>
                </w:tcPr>
                <w:p w14:paraId="34113A3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非正常排放量（kg）</w:t>
                  </w:r>
                </w:p>
              </w:tc>
              <w:tc>
                <w:tcPr>
                  <w:tcW w:w="524" w:type="pct"/>
                  <w:tcBorders>
                    <w:tl2br w:val="nil"/>
                    <w:tr2bl w:val="nil"/>
                  </w:tcBorders>
                  <w:shd w:val="clear" w:color="auto" w:fill="auto"/>
                  <w:vAlign w:val="center"/>
                </w:tcPr>
                <w:p w14:paraId="3017DA1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单次持续时间（h）</w:t>
                  </w:r>
                </w:p>
              </w:tc>
              <w:tc>
                <w:tcPr>
                  <w:tcW w:w="487" w:type="pct"/>
                  <w:tcBorders>
                    <w:tl2br w:val="nil"/>
                    <w:tr2bl w:val="nil"/>
                  </w:tcBorders>
                  <w:shd w:val="clear" w:color="auto" w:fill="auto"/>
                  <w:vAlign w:val="center"/>
                </w:tcPr>
                <w:p w14:paraId="678CD64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年发生频次</w:t>
                  </w:r>
                </w:p>
                <w:p w14:paraId="13538E6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（次）</w:t>
                  </w:r>
                </w:p>
              </w:tc>
            </w:tr>
            <w:tr w14:paraId="06C5E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l2br w:val="nil"/>
                    <w:tr2bl w:val="nil"/>
                  </w:tcBorders>
                  <w:shd w:val="clear" w:color="auto" w:fill="auto"/>
                  <w:vAlign w:val="center"/>
                </w:tcPr>
                <w:p w14:paraId="4369F389">
                  <w:pPr>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p>
              </w:tc>
              <w:tc>
                <w:tcPr>
                  <w:tcW w:w="1078" w:type="pct"/>
                  <w:tcBorders>
                    <w:tl2br w:val="nil"/>
                    <w:tr2bl w:val="nil"/>
                  </w:tcBorders>
                  <w:shd w:val="clear" w:color="auto" w:fill="auto"/>
                  <w:vAlign w:val="center"/>
                </w:tcPr>
                <w:p w14:paraId="7BBB5C51">
                  <w:pPr>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废气处理装置出现故障</w:t>
                  </w:r>
                </w:p>
              </w:tc>
              <w:tc>
                <w:tcPr>
                  <w:tcW w:w="519" w:type="pct"/>
                  <w:tcBorders>
                    <w:tl2br w:val="nil"/>
                    <w:tr2bl w:val="nil"/>
                  </w:tcBorders>
                  <w:shd w:val="clear" w:color="auto" w:fill="auto"/>
                  <w:noWrap/>
                  <w:vAlign w:val="center"/>
                </w:tcPr>
                <w:p w14:paraId="09C42EC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733" w:type="pct"/>
                  <w:tcBorders>
                    <w:tl2br w:val="nil"/>
                    <w:tr2bl w:val="nil"/>
                  </w:tcBorders>
                  <w:shd w:val="clear" w:color="auto" w:fill="auto"/>
                  <w:vAlign w:val="center"/>
                </w:tcPr>
                <w:p w14:paraId="11CE968E">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0.03</w:t>
                  </w:r>
                </w:p>
              </w:tc>
              <w:tc>
                <w:tcPr>
                  <w:tcW w:w="642" w:type="pct"/>
                  <w:tcBorders>
                    <w:tl2br w:val="nil"/>
                    <w:tr2bl w:val="nil"/>
                  </w:tcBorders>
                  <w:shd w:val="clear" w:color="auto" w:fill="auto"/>
                  <w:vAlign w:val="center"/>
                </w:tcPr>
                <w:p w14:paraId="6B3A99F7">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0.0002</w:t>
                  </w:r>
                </w:p>
              </w:tc>
              <w:tc>
                <w:tcPr>
                  <w:tcW w:w="574" w:type="pct"/>
                  <w:tcBorders>
                    <w:tl2br w:val="nil"/>
                    <w:tr2bl w:val="nil"/>
                  </w:tcBorders>
                  <w:shd w:val="clear" w:color="auto" w:fill="auto"/>
                  <w:vAlign w:val="center"/>
                </w:tcPr>
                <w:p w14:paraId="49BF6F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0.000005</w:t>
                  </w:r>
                </w:p>
              </w:tc>
              <w:tc>
                <w:tcPr>
                  <w:tcW w:w="524" w:type="pct"/>
                  <w:tcBorders>
                    <w:tl2br w:val="nil"/>
                    <w:tr2bl w:val="nil"/>
                  </w:tcBorders>
                  <w:shd w:val="clear" w:color="auto" w:fill="auto"/>
                  <w:noWrap/>
                  <w:vAlign w:val="center"/>
                </w:tcPr>
                <w:p w14:paraId="265A8D1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7" w:type="pct"/>
                  <w:tcBorders>
                    <w:tl2br w:val="nil"/>
                    <w:tr2bl w:val="nil"/>
                  </w:tcBorders>
                  <w:shd w:val="clear" w:color="auto" w:fill="auto"/>
                  <w:noWrap/>
                  <w:vAlign w:val="center"/>
                </w:tcPr>
                <w:p w14:paraId="1AF1C8E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r>
          </w:tbl>
          <w:p w14:paraId="4D9C935B">
            <w:pPr>
              <w:adjustRightInd w:val="0"/>
              <w:snapToGrid w:val="0"/>
              <w:spacing w:before="120" w:beforeLines="50" w:line="360" w:lineRule="auto"/>
              <w:rPr>
                <w:rFonts w:hint="default" w:ascii="Times New Roman" w:hAnsi="Times New Roman" w:eastAsia="宋体" w:cs="Times New Roman"/>
                <w:bCs/>
                <w:color w:val="auto"/>
                <w:sz w:val="24"/>
              </w:rPr>
            </w:pPr>
          </w:p>
        </w:tc>
      </w:tr>
    </w:tbl>
    <w:p w14:paraId="2DB1760E">
      <w:pPr>
        <w:numPr>
          <w:ilvl w:val="0"/>
          <w:numId w:val="0"/>
        </w:numPr>
        <w:rPr>
          <w:rFonts w:hint="default" w:ascii="Times New Roman" w:hAnsi="Times New Roman" w:cs="Times New Roman"/>
          <w:color w:val="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30"/>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8504"/>
      </w:tblGrid>
      <w:tr w14:paraId="3800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trPr>
        <w:tc>
          <w:tcPr>
            <w:tcW w:w="392" w:type="pct"/>
            <w:vAlign w:val="center"/>
          </w:tcPr>
          <w:p w14:paraId="5CDA880E">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607" w:type="pct"/>
          </w:tcPr>
          <w:p w14:paraId="6CFFEF49">
            <w:pPr>
              <w:keepNext w:val="0"/>
              <w:keepLines w:val="0"/>
              <w:pageBreakBefore w:val="0"/>
              <w:widowControl w:val="0"/>
              <w:numPr>
                <w:ilvl w:val="0"/>
                <w:numId w:val="0"/>
              </w:numPr>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5.</w:t>
            </w:r>
            <w:r>
              <w:rPr>
                <w:rFonts w:hint="default" w:ascii="Times New Roman" w:hAnsi="Times New Roman" w:eastAsia="宋体" w:cs="Times New Roman"/>
                <w:b/>
                <w:bCs w:val="0"/>
                <w:color w:val="auto"/>
                <w:sz w:val="24"/>
              </w:rPr>
              <w:t>监测计划</w:t>
            </w:r>
          </w:p>
          <w:p w14:paraId="49BC3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sz w:val="24"/>
                <w:highlight w:val="none"/>
                <w:lang w:val="en-US" w:eastAsia="zh-CN"/>
              </w:rPr>
              <w:t>参照《排污单位自行监测技术指南</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总则》（HJ819-2017）</w:t>
            </w:r>
            <w:r>
              <w:rPr>
                <w:rFonts w:hint="default" w:ascii="Times New Roman" w:hAnsi="Times New Roman" w:eastAsia="宋体" w:cs="Times New Roman"/>
                <w:color w:val="auto"/>
                <w:sz w:val="24"/>
                <w:szCs w:val="24"/>
                <w:lang w:val="en-US" w:eastAsia="zh-CN"/>
              </w:rPr>
              <w:t>、《排污许可证申请与核发技术规范 石墨及其他非金属矿物制品制造》（HJ1119—2020）</w:t>
            </w:r>
            <w:r>
              <w:rPr>
                <w:rFonts w:hint="default" w:ascii="Times New Roman" w:hAnsi="Times New Roman" w:eastAsia="宋体" w:cs="Times New Roman"/>
                <w:color w:val="auto"/>
                <w:sz w:val="24"/>
                <w:highlight w:val="none"/>
                <w:lang w:val="en-US" w:eastAsia="zh-CN"/>
              </w:rPr>
              <w:t>中相关要求，项目废气自行监测方案见下表。</w:t>
            </w:r>
          </w:p>
          <w:p w14:paraId="67EDDB6E">
            <w:pPr>
              <w:adjustRightInd w:val="0"/>
              <w:snapToGrid w:val="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 xml:space="preserve">  建设项目运营期废气监测计划表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36"/>
              <w:gridCol w:w="466"/>
              <w:gridCol w:w="1326"/>
              <w:gridCol w:w="1163"/>
              <w:gridCol w:w="889"/>
              <w:gridCol w:w="2031"/>
              <w:gridCol w:w="529"/>
              <w:gridCol w:w="1548"/>
            </w:tblGrid>
            <w:tr w14:paraId="0C1B9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02" w:type="pct"/>
                  <w:tcBorders>
                    <w:tl2br w:val="nil"/>
                    <w:tr2bl w:val="nil"/>
                  </w:tcBorders>
                  <w:vAlign w:val="center"/>
                </w:tcPr>
                <w:p w14:paraId="7C0BF467">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281" w:type="pct"/>
                  <w:tcBorders>
                    <w:tl2br w:val="nil"/>
                    <w:tr2bl w:val="nil"/>
                  </w:tcBorders>
                  <w:shd w:val="clear" w:color="auto" w:fill="auto"/>
                  <w:vAlign w:val="center"/>
                </w:tcPr>
                <w:p w14:paraId="08BF5F8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799" w:type="pct"/>
                  <w:tcBorders>
                    <w:tl2br w:val="nil"/>
                    <w:tr2bl w:val="nil"/>
                  </w:tcBorders>
                  <w:shd w:val="clear" w:color="auto" w:fill="auto"/>
                  <w:vAlign w:val="center"/>
                </w:tcPr>
                <w:p w14:paraId="36E066EA">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监测位置</w:t>
                  </w:r>
                </w:p>
              </w:tc>
              <w:tc>
                <w:tcPr>
                  <w:tcW w:w="701" w:type="pct"/>
                  <w:tcBorders>
                    <w:tl2br w:val="nil"/>
                    <w:tr2bl w:val="nil"/>
                  </w:tcBorders>
                  <w:shd w:val="clear" w:color="auto" w:fill="auto"/>
                  <w:vAlign w:val="center"/>
                </w:tcPr>
                <w:p w14:paraId="3393529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536" w:type="pct"/>
                  <w:tcBorders>
                    <w:tl2br w:val="nil"/>
                    <w:tr2bl w:val="nil"/>
                  </w:tcBorders>
                  <w:shd w:val="clear" w:color="auto" w:fill="auto"/>
                  <w:vAlign w:val="center"/>
                </w:tcPr>
                <w:p w14:paraId="0E1B62B6">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c>
                <w:tcPr>
                  <w:tcW w:w="1225" w:type="pct"/>
                  <w:tcBorders>
                    <w:tl2br w:val="nil"/>
                    <w:tr2bl w:val="nil"/>
                  </w:tcBorders>
                  <w:vAlign w:val="center"/>
                </w:tcPr>
                <w:p w14:paraId="605905FD">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319" w:type="pct"/>
                  <w:tcBorders>
                    <w:tl2br w:val="nil"/>
                    <w:tr2bl w:val="nil"/>
                  </w:tcBorders>
                  <w:shd w:val="clear" w:color="auto" w:fill="auto"/>
                  <w:vAlign w:val="center"/>
                </w:tcPr>
                <w:p w14:paraId="565D3471">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监测方法</w:t>
                  </w:r>
                </w:p>
              </w:tc>
              <w:tc>
                <w:tcPr>
                  <w:tcW w:w="933" w:type="pct"/>
                  <w:tcBorders>
                    <w:tl2br w:val="nil"/>
                    <w:tr2bl w:val="nil"/>
                  </w:tcBorders>
                  <w:vAlign w:val="center"/>
                </w:tcPr>
                <w:p w14:paraId="757B4F02">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依据</w:t>
                  </w:r>
                </w:p>
              </w:tc>
            </w:tr>
            <w:tr w14:paraId="5B909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2" w:type="pct"/>
                  <w:vMerge w:val="restart"/>
                  <w:tcBorders>
                    <w:tl2br w:val="nil"/>
                    <w:tr2bl w:val="nil"/>
                  </w:tcBorders>
                  <w:vAlign w:val="center"/>
                </w:tcPr>
                <w:p w14:paraId="32C388BC">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营运期</w:t>
                  </w:r>
                </w:p>
              </w:tc>
              <w:tc>
                <w:tcPr>
                  <w:tcW w:w="281" w:type="pct"/>
                  <w:vMerge w:val="restart"/>
                  <w:tcBorders>
                    <w:tl2br w:val="nil"/>
                    <w:tr2bl w:val="nil"/>
                  </w:tcBorders>
                  <w:shd w:val="clear" w:color="auto" w:fill="auto"/>
                  <w:vAlign w:val="center"/>
                </w:tcPr>
                <w:p w14:paraId="714883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99" w:type="pct"/>
                  <w:tcBorders>
                    <w:tl2br w:val="nil"/>
                    <w:tr2bl w:val="nil"/>
                  </w:tcBorders>
                  <w:shd w:val="clear" w:color="auto" w:fill="auto"/>
                  <w:vAlign w:val="center"/>
                </w:tcPr>
                <w:p w14:paraId="523C1A72">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厂界外1m范围内上风向1个点，下风向3个点</w:t>
                  </w:r>
                </w:p>
              </w:tc>
              <w:tc>
                <w:tcPr>
                  <w:tcW w:w="701" w:type="pct"/>
                  <w:tcBorders>
                    <w:tl2br w:val="nil"/>
                    <w:tr2bl w:val="nil"/>
                  </w:tcBorders>
                  <w:shd w:val="clear" w:color="auto" w:fill="auto"/>
                  <w:vAlign w:val="center"/>
                </w:tcPr>
                <w:p w14:paraId="7B791D8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536" w:type="pct"/>
                  <w:tcBorders>
                    <w:tl2br w:val="nil"/>
                    <w:tr2bl w:val="nil"/>
                  </w:tcBorders>
                  <w:shd w:val="clear" w:color="auto" w:fill="auto"/>
                  <w:vAlign w:val="center"/>
                </w:tcPr>
                <w:p w14:paraId="68E34A54">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225" w:type="pct"/>
                  <w:tcBorders>
                    <w:tl2br w:val="nil"/>
                    <w:tr2bl w:val="nil"/>
                  </w:tcBorders>
                  <w:shd w:val="clear" w:color="auto" w:fill="auto"/>
                  <w:vAlign w:val="center"/>
                </w:tcPr>
                <w:p w14:paraId="2BD7390A">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《大气污染物综合排放标准》（DB32/4041-2021）</w:t>
                  </w:r>
                  <w:r>
                    <w:rPr>
                      <w:rFonts w:hint="eastAsia" w:ascii="Times New Roman" w:hAnsi="Times New Roman" w:eastAsia="宋体" w:cs="Times New Roman"/>
                      <w:color w:val="auto"/>
                      <w:sz w:val="21"/>
                      <w:szCs w:val="21"/>
                      <w:lang w:val="en-US" w:eastAsia="zh-CN"/>
                    </w:rPr>
                    <w:t>表3</w:t>
                  </w:r>
                </w:p>
              </w:tc>
              <w:tc>
                <w:tcPr>
                  <w:tcW w:w="319" w:type="pct"/>
                  <w:vMerge w:val="restart"/>
                  <w:tcBorders>
                    <w:tl2br w:val="nil"/>
                    <w:tr2bl w:val="nil"/>
                  </w:tcBorders>
                  <w:shd w:val="clear" w:color="auto" w:fill="auto"/>
                  <w:vAlign w:val="center"/>
                </w:tcPr>
                <w:p w14:paraId="60FD4167">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Cs/>
                      <w:color w:val="auto"/>
                      <w:sz w:val="21"/>
                      <w:szCs w:val="21"/>
                    </w:rPr>
                    <w:t>采用国家规定最新监测方法与标准</w:t>
                  </w:r>
                </w:p>
              </w:tc>
              <w:tc>
                <w:tcPr>
                  <w:tcW w:w="933" w:type="pct"/>
                  <w:vMerge w:val="restart"/>
                  <w:tcBorders>
                    <w:tl2br w:val="nil"/>
                    <w:tr2bl w:val="nil"/>
                  </w:tcBorders>
                  <w:vAlign w:val="center"/>
                </w:tcPr>
                <w:p w14:paraId="6FDEE77C">
                  <w:pPr>
                    <w:spacing w:line="2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《排污许可证申请与核发技术规范 石墨及其他非金属矿物制品制造》（HJ1119—2020）</w:t>
                  </w:r>
                </w:p>
              </w:tc>
            </w:tr>
            <w:tr w14:paraId="5F5B7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2" w:type="pct"/>
                  <w:vMerge w:val="continue"/>
                  <w:tcBorders>
                    <w:tl2br w:val="nil"/>
                    <w:tr2bl w:val="nil"/>
                  </w:tcBorders>
                  <w:vAlign w:val="center"/>
                </w:tcPr>
                <w:p w14:paraId="4C69CB22">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2A1EFB61">
                  <w:pPr>
                    <w:jc w:val="center"/>
                    <w:rPr>
                      <w:rFonts w:hint="default" w:ascii="Times New Roman" w:hAnsi="Times New Roman" w:eastAsia="宋体" w:cs="Times New Roman"/>
                      <w:color w:val="auto"/>
                      <w:sz w:val="21"/>
                      <w:szCs w:val="21"/>
                    </w:rPr>
                  </w:pPr>
                </w:p>
              </w:tc>
              <w:tc>
                <w:tcPr>
                  <w:tcW w:w="799" w:type="pct"/>
                  <w:tcBorders>
                    <w:tl2br w:val="nil"/>
                    <w:tr2bl w:val="nil"/>
                  </w:tcBorders>
                  <w:shd w:val="clear" w:color="auto" w:fill="auto"/>
                  <w:vAlign w:val="center"/>
                </w:tcPr>
                <w:p w14:paraId="54BB63B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厂房外设置监控点</w:t>
                  </w:r>
                </w:p>
              </w:tc>
              <w:tc>
                <w:tcPr>
                  <w:tcW w:w="701" w:type="pct"/>
                  <w:tcBorders>
                    <w:tl2br w:val="nil"/>
                    <w:tr2bl w:val="nil"/>
                  </w:tcBorders>
                  <w:shd w:val="clear" w:color="auto" w:fill="auto"/>
                  <w:vAlign w:val="center"/>
                </w:tcPr>
                <w:p w14:paraId="4D28153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536" w:type="pct"/>
                  <w:tcBorders>
                    <w:tl2br w:val="nil"/>
                    <w:tr2bl w:val="nil"/>
                  </w:tcBorders>
                  <w:shd w:val="clear" w:color="auto" w:fill="auto"/>
                  <w:vAlign w:val="center"/>
                </w:tcPr>
                <w:p w14:paraId="59D63890">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1225" w:type="pct"/>
                  <w:tcBorders>
                    <w:tl2br w:val="nil"/>
                    <w:tr2bl w:val="nil"/>
                  </w:tcBorders>
                  <w:shd w:val="clear" w:color="auto" w:fill="auto"/>
                  <w:vAlign w:val="center"/>
                </w:tcPr>
                <w:p w14:paraId="3F630C7A">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《大气污染物综合排放标准》（DB32/4041-2021）</w:t>
                  </w:r>
                  <w:r>
                    <w:rPr>
                      <w:rFonts w:hint="eastAsia" w:ascii="Times New Roman" w:hAnsi="Times New Roman" w:eastAsia="宋体" w:cs="Times New Roman"/>
                      <w:color w:val="auto"/>
                      <w:sz w:val="21"/>
                      <w:szCs w:val="21"/>
                      <w:lang w:val="en-US" w:eastAsia="zh-CN"/>
                    </w:rPr>
                    <w:t>表2</w:t>
                  </w:r>
                </w:p>
              </w:tc>
              <w:tc>
                <w:tcPr>
                  <w:tcW w:w="319" w:type="pct"/>
                  <w:vMerge w:val="continue"/>
                  <w:tcBorders>
                    <w:tl2br w:val="nil"/>
                    <w:tr2bl w:val="nil"/>
                  </w:tcBorders>
                  <w:shd w:val="clear" w:color="auto" w:fill="auto"/>
                  <w:vAlign w:val="center"/>
                </w:tcPr>
                <w:p w14:paraId="30870877">
                  <w:pPr>
                    <w:spacing w:line="240" w:lineRule="exact"/>
                    <w:jc w:val="center"/>
                    <w:rPr>
                      <w:rFonts w:hint="default" w:ascii="Times New Roman" w:hAnsi="Times New Roman" w:eastAsia="宋体" w:cs="Times New Roman"/>
                      <w:bCs/>
                      <w:color w:val="auto"/>
                      <w:sz w:val="21"/>
                      <w:szCs w:val="21"/>
                    </w:rPr>
                  </w:pPr>
                </w:p>
              </w:tc>
              <w:tc>
                <w:tcPr>
                  <w:tcW w:w="933" w:type="pct"/>
                  <w:vMerge w:val="continue"/>
                  <w:tcBorders>
                    <w:tl2br w:val="nil"/>
                    <w:tr2bl w:val="nil"/>
                  </w:tcBorders>
                  <w:vAlign w:val="center"/>
                </w:tcPr>
                <w:p w14:paraId="3590270E">
                  <w:pPr>
                    <w:spacing w:line="240" w:lineRule="exact"/>
                    <w:jc w:val="center"/>
                    <w:rPr>
                      <w:rFonts w:hint="default" w:ascii="Times New Roman" w:hAnsi="Times New Roman" w:eastAsia="宋体" w:cs="Times New Roman"/>
                      <w:bCs/>
                      <w:color w:val="auto"/>
                      <w:sz w:val="21"/>
                      <w:szCs w:val="21"/>
                    </w:rPr>
                  </w:pPr>
                </w:p>
              </w:tc>
            </w:tr>
          </w:tbl>
          <w:p w14:paraId="2BC46836">
            <w:pPr>
              <w:pStyle w:val="10"/>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rPr>
              <w:t>6.</w:t>
            </w:r>
            <w:r>
              <w:rPr>
                <w:rFonts w:hint="default" w:ascii="Times New Roman" w:hAnsi="Times New Roman" w:eastAsia="宋体" w:cs="Times New Roman"/>
                <w:b/>
                <w:bCs/>
                <w:color w:val="auto"/>
                <w:kern w:val="2"/>
                <w:sz w:val="24"/>
                <w:szCs w:val="24"/>
              </w:rPr>
              <w:t>大气环境影响分析</w:t>
            </w:r>
          </w:p>
          <w:p w14:paraId="7DA5F226">
            <w:pPr>
              <w:pStyle w:val="10"/>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①区域环境质量现状</w:t>
            </w:r>
          </w:p>
          <w:p w14:paraId="7532AC87">
            <w:pPr>
              <w:pStyle w:val="10"/>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年常州市生态环境状况公报》</w:t>
            </w:r>
            <w:r>
              <w:rPr>
                <w:rFonts w:hint="default" w:ascii="Times New Roman" w:hAnsi="Times New Roman" w:eastAsia="宋体" w:cs="Times New Roman"/>
                <w:color w:val="auto"/>
                <w:sz w:val="24"/>
                <w:szCs w:val="24"/>
              </w:rPr>
              <w:t>，本项目所在地属于非达标区，常州市人民政府制定了</w:t>
            </w:r>
            <w:r>
              <w:rPr>
                <w:rFonts w:hint="default" w:ascii="Times New Roman" w:hAnsi="Times New Roman" w:eastAsia="宋体" w:cs="Times New Roman"/>
                <w:color w:val="auto"/>
                <w:sz w:val="24"/>
              </w:rPr>
              <w:t>《常州市深入打好污染防治攻坚战专项行动方案》</w:t>
            </w:r>
            <w:r>
              <w:rPr>
                <w:rFonts w:hint="default" w:ascii="Times New Roman" w:hAnsi="Times New Roman" w:eastAsia="宋体" w:cs="Times New Roman"/>
                <w:color w:val="auto"/>
                <w:sz w:val="24"/>
                <w:szCs w:val="24"/>
              </w:rPr>
              <w:t>，预期常州市大气环境空气质量将得到进一步改善。</w:t>
            </w:r>
          </w:p>
          <w:p w14:paraId="3C2DF667">
            <w:pPr>
              <w:pStyle w:val="10"/>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本项目废气经处理后排放浓度、排放速率等均满足相关标准限值，对周围空 气环境影响较小。结合项目所在地环境质量现状特征因子补充监测报告，本项目 的建设符合大气环境质量底线要求。</w:t>
            </w:r>
          </w:p>
          <w:p w14:paraId="4A21F176">
            <w:pPr>
              <w:pStyle w:val="10"/>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②敏感保护目标 </w:t>
            </w:r>
          </w:p>
          <w:p w14:paraId="4F40F3C1">
            <w:pPr>
              <w:pStyle w:val="10"/>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项目周边500m范围内敏感点主要为</w:t>
            </w:r>
            <w:r>
              <w:rPr>
                <w:rFonts w:hint="default" w:ascii="Times New Roman" w:hAnsi="Times New Roman" w:eastAsia="宋体" w:cs="Times New Roman"/>
                <w:color w:val="auto"/>
                <w:sz w:val="24"/>
                <w:szCs w:val="24"/>
                <w:lang w:val="en-US" w:eastAsia="zh-CN"/>
              </w:rPr>
              <w:t>唐王村</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江苏省金坛区唐王小学</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lang w:val="en-US" w:eastAsia="zh-CN"/>
              </w:rPr>
              <w:t>E</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唐埠</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440</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lang w:val="en-US" w:eastAsia="zh-CN"/>
              </w:rPr>
              <w:t>、溪北</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430</w:t>
            </w:r>
            <w:r>
              <w:rPr>
                <w:rFonts w:hint="default" w:ascii="Times New Roman" w:hAnsi="Times New Roman" w:eastAsia="宋体" w:cs="Times New Roman"/>
                <w:color w:val="auto"/>
                <w:sz w:val="24"/>
                <w:szCs w:val="24"/>
              </w:rPr>
              <w:t>m）。</w:t>
            </w:r>
          </w:p>
          <w:p w14:paraId="142AE62C">
            <w:pPr>
              <w:pStyle w:val="10"/>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sz w:val="24"/>
                <w:szCs w:val="24"/>
              </w:rPr>
              <w:t>③大气排放影响分析</w:t>
            </w:r>
          </w:p>
          <w:p w14:paraId="650BD23B">
            <w:pPr>
              <w:pStyle w:val="62"/>
              <w:keepNext w:val="0"/>
              <w:keepLines w:val="0"/>
              <w:pageBreakBefore w:val="0"/>
              <w:widowControl w:val="0"/>
              <w:kinsoku/>
              <w:wordWrap/>
              <w:overflowPunct/>
              <w:topLinePunct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snapToGrid w:val="0"/>
                <w:color w:val="auto"/>
                <w:spacing w:val="0"/>
                <w:szCs w:val="24"/>
              </w:rPr>
            </w:pPr>
            <w:r>
              <w:rPr>
                <w:rFonts w:hint="default" w:ascii="Times New Roman" w:hAnsi="Times New Roman" w:eastAsia="宋体" w:cs="Times New Roman"/>
                <w:snapToGrid w:val="0"/>
                <w:color w:val="auto"/>
                <w:spacing w:val="0"/>
                <w:szCs w:val="24"/>
              </w:rPr>
              <w:t>本项目排放的大气污染物为非甲烷总烃</w:t>
            </w:r>
            <w:r>
              <w:rPr>
                <w:rFonts w:hint="default" w:ascii="Times New Roman" w:hAnsi="Times New Roman" w:eastAsia="宋体" w:cs="Times New Roman"/>
                <w:snapToGrid w:val="0"/>
                <w:color w:val="auto"/>
                <w:spacing w:val="0"/>
                <w:szCs w:val="24"/>
                <w:lang w:val="en-US" w:eastAsia="zh-CN"/>
              </w:rPr>
              <w:t>等</w:t>
            </w:r>
            <w:r>
              <w:rPr>
                <w:rFonts w:hint="default" w:ascii="Times New Roman" w:hAnsi="Times New Roman" w:eastAsia="宋体" w:cs="Times New Roman"/>
                <w:snapToGrid w:val="0"/>
                <w:color w:val="auto"/>
                <w:spacing w:val="0"/>
                <w:szCs w:val="24"/>
              </w:rPr>
              <w:t>，针对各产污环节，均采取了可行的污染治理措施，经处理后均达标排放，排放强度较低；且本项目卫生防护距离内无各类敏感目标，因此本项目不会对周边敏感目标造成影响。</w:t>
            </w:r>
          </w:p>
          <w:p w14:paraId="3732A598">
            <w:pPr>
              <w:pStyle w:val="62"/>
              <w:keepNext w:val="0"/>
              <w:keepLines w:val="0"/>
              <w:pageBreakBefore w:val="0"/>
              <w:widowControl w:val="0"/>
              <w:kinsoku/>
              <w:wordWrap/>
              <w:overflowPunct/>
              <w:topLinePunct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snapToGrid w:val="0"/>
                <w:color w:val="auto"/>
                <w:spacing w:val="0"/>
                <w:szCs w:val="24"/>
              </w:rPr>
            </w:pPr>
            <w:r>
              <w:rPr>
                <w:rFonts w:hint="default" w:ascii="Times New Roman" w:hAnsi="Times New Roman" w:eastAsia="宋体" w:cs="Times New Roman"/>
                <w:snapToGrid w:val="0"/>
                <w:color w:val="auto"/>
                <w:spacing w:val="0"/>
                <w:szCs w:val="24"/>
              </w:rPr>
              <w:t>综上所述，本项目废气污染物经处理后排放对周围环境影响较小。本评价认为，从大气环境影响的角度来讲，建设项目在拟建地建设是可行的。</w:t>
            </w:r>
          </w:p>
          <w:p w14:paraId="0E56FE81">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卫生防护距离</w:t>
            </w:r>
          </w:p>
          <w:p w14:paraId="482945E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根据《大气有害物质无组织排放卫生防护距离推导技术导则》（GB/T39499-2020）规定中制定的卫生防护距离制定方法，计算本项目卫生防护距离。卫生防护距离按下式计算：</w:t>
            </w:r>
          </w:p>
          <w:p w14:paraId="630DDBE3">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34.4pt;width:143.2pt;" o:ole="t" filled="f" o:preferrelative="t" stroked="f" coordsize="21600,21600">
                  <v:path/>
                  <v:fill on="f" focussize="0,0"/>
                  <v:stroke on="f"/>
                  <v:imagedata r:id="rId16" o:title=""/>
                  <o:lock v:ext="edit" aspectratio="t"/>
                  <w10:wrap type="none"/>
                  <w10:anchorlock/>
                </v:shape>
                <o:OLEObject Type="Embed" ProgID="Equation.2" ShapeID="_x0000_i1025" DrawAspect="Content" ObjectID="_1468075725" r:id="rId15">
                  <o:LockedField>false</o:LockedField>
                </o:OLEObject>
              </w:object>
            </w:r>
          </w:p>
          <w:p w14:paraId="0296958F">
            <w:pPr>
              <w:spacing w:line="360" w:lineRule="auto"/>
              <w:ind w:firstLine="42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式中：Cm—环境一次浓度标准限值（mg/m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2C362FE3">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L—工业企业所需的防护距离（m）；</w:t>
            </w:r>
          </w:p>
          <w:p w14:paraId="280731AA">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Qc—有害气体无组织排放量可以达到的控制水平（kg/h）；</w:t>
            </w:r>
          </w:p>
          <w:p w14:paraId="085D496D">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r—有害气体无组织排放源所在生产单元的等效半径（m）；根据生产单元的占地面积S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计算，r=</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lang w:val="en-US" w:eastAsia="zh-CN"/>
              </w:rPr>
              <w:t>Π</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vertAlign w:val="superscript"/>
              </w:rPr>
              <w:t>0.5</w:t>
            </w:r>
            <w:r>
              <w:rPr>
                <w:rFonts w:hint="default" w:ascii="Times New Roman" w:hAnsi="Times New Roman" w:eastAsia="宋体" w:cs="Times New Roman"/>
                <w:color w:val="auto"/>
                <w:sz w:val="24"/>
              </w:rPr>
              <w:t>。</w:t>
            </w:r>
          </w:p>
          <w:p w14:paraId="3BCE237D">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A、B、C、D—卫生防护距离计算系数。</w:t>
            </w:r>
          </w:p>
          <w:p w14:paraId="472509E4">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rPr>
              <w:t xml:space="preserve">  卫生防护距离初值计算系数</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49"/>
              <w:gridCol w:w="1288"/>
              <w:gridCol w:w="627"/>
              <w:gridCol w:w="627"/>
              <w:gridCol w:w="630"/>
              <w:gridCol w:w="628"/>
              <w:gridCol w:w="628"/>
              <w:gridCol w:w="630"/>
              <w:gridCol w:w="628"/>
              <w:gridCol w:w="628"/>
              <w:gridCol w:w="625"/>
            </w:tblGrid>
            <w:tr w14:paraId="045865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703F1D7D">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6794F2D1">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2BE5E173">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卫生防护距离L（m）</w:t>
                  </w:r>
                </w:p>
              </w:tc>
            </w:tr>
            <w:tr w14:paraId="05EC27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266E1118">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03C2312">
                  <w:pPr>
                    <w:rPr>
                      <w:rFonts w:hint="default" w:ascii="Times New Roman" w:hAnsi="Times New Roman" w:eastAsia="宋体" w:cs="Times New Roman"/>
                      <w:b/>
                      <w:bCs/>
                      <w:color w:val="auto"/>
                      <w:szCs w:val="21"/>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33973D4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7ECA7D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1000＜L≤2000</w:t>
                  </w:r>
                </w:p>
              </w:tc>
              <w:tc>
                <w:tcPr>
                  <w:tcW w:w="1136" w:type="pct"/>
                  <w:gridSpan w:val="3"/>
                  <w:tcBorders>
                    <w:top w:val="single" w:color="auto" w:sz="2" w:space="0"/>
                    <w:left w:val="single" w:color="auto" w:sz="2" w:space="0"/>
                    <w:bottom w:val="single" w:color="auto" w:sz="2" w:space="0"/>
                    <w:right w:val="nil"/>
                  </w:tcBorders>
                  <w:vAlign w:val="center"/>
                </w:tcPr>
                <w:p w14:paraId="0156936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L＞2000</w:t>
                  </w:r>
                </w:p>
              </w:tc>
            </w:tr>
            <w:tr w14:paraId="4CEAAB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343B8207">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5B05CCFF">
                  <w:pPr>
                    <w:rPr>
                      <w:rFonts w:hint="default" w:ascii="Times New Roman" w:hAnsi="Times New Roman" w:eastAsia="宋体" w:cs="Times New Roman"/>
                      <w:b/>
                      <w:bCs/>
                      <w:color w:val="auto"/>
                      <w:szCs w:val="21"/>
                    </w:rPr>
                  </w:pPr>
                </w:p>
              </w:tc>
              <w:tc>
                <w:tcPr>
                  <w:tcW w:w="3410" w:type="pct"/>
                  <w:gridSpan w:val="9"/>
                  <w:tcBorders>
                    <w:top w:val="single" w:color="auto" w:sz="2" w:space="0"/>
                    <w:left w:val="single" w:color="auto" w:sz="2" w:space="0"/>
                    <w:bottom w:val="single" w:color="auto" w:sz="2" w:space="0"/>
                    <w:right w:val="nil"/>
                  </w:tcBorders>
                  <w:vAlign w:val="center"/>
                </w:tcPr>
                <w:p w14:paraId="6AA6F9C1">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工业企业大气污染源构成类型</w:t>
                  </w:r>
                </w:p>
              </w:tc>
            </w:tr>
            <w:tr w14:paraId="76C230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56828236">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69419A27">
                  <w:pPr>
                    <w:rPr>
                      <w:rFonts w:hint="default" w:ascii="Times New Roman" w:hAnsi="Times New Roman" w:eastAsia="宋体" w:cs="Times New Roman"/>
                      <w:b/>
                      <w:bCs/>
                      <w:color w:val="auto"/>
                      <w:szCs w:val="21"/>
                    </w:rPr>
                  </w:pPr>
                </w:p>
              </w:tc>
              <w:tc>
                <w:tcPr>
                  <w:tcW w:w="378" w:type="pct"/>
                  <w:tcBorders>
                    <w:top w:val="single" w:color="auto" w:sz="2" w:space="0"/>
                    <w:left w:val="single" w:color="auto" w:sz="2" w:space="0"/>
                    <w:bottom w:val="single" w:color="auto" w:sz="2" w:space="0"/>
                    <w:right w:val="single" w:color="auto" w:sz="2" w:space="0"/>
                  </w:tcBorders>
                  <w:vAlign w:val="center"/>
                </w:tcPr>
                <w:p w14:paraId="09D3E7E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8" w:type="pct"/>
                  <w:tcBorders>
                    <w:top w:val="single" w:color="auto" w:sz="2" w:space="0"/>
                    <w:left w:val="single" w:color="auto" w:sz="2" w:space="0"/>
                    <w:bottom w:val="single" w:color="auto" w:sz="2" w:space="0"/>
                    <w:right w:val="single" w:color="auto" w:sz="2" w:space="0"/>
                  </w:tcBorders>
                  <w:vAlign w:val="center"/>
                </w:tcPr>
                <w:p w14:paraId="1E0192E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80" w:type="pct"/>
                  <w:tcBorders>
                    <w:top w:val="single" w:color="auto" w:sz="2" w:space="0"/>
                    <w:left w:val="single" w:color="auto" w:sz="2" w:space="0"/>
                    <w:bottom w:val="single" w:color="auto" w:sz="2" w:space="0"/>
                    <w:right w:val="single" w:color="auto" w:sz="2" w:space="0"/>
                  </w:tcBorders>
                  <w:vAlign w:val="center"/>
                </w:tcPr>
                <w:p w14:paraId="28800D8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7293055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5058729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79" w:type="pct"/>
                  <w:tcBorders>
                    <w:top w:val="single" w:color="auto" w:sz="2" w:space="0"/>
                    <w:left w:val="single" w:color="auto" w:sz="2" w:space="0"/>
                    <w:bottom w:val="single" w:color="auto" w:sz="2" w:space="0"/>
                    <w:right w:val="single" w:color="auto" w:sz="2" w:space="0"/>
                  </w:tcBorders>
                  <w:vAlign w:val="center"/>
                </w:tcPr>
                <w:p w14:paraId="67F7762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7D8C652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2B9AE86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78" w:type="pct"/>
                  <w:tcBorders>
                    <w:top w:val="single" w:color="auto" w:sz="2" w:space="0"/>
                    <w:left w:val="single" w:color="auto" w:sz="2" w:space="0"/>
                    <w:bottom w:val="single" w:color="auto" w:sz="2" w:space="0"/>
                    <w:right w:val="nil"/>
                  </w:tcBorders>
                  <w:vAlign w:val="center"/>
                </w:tcPr>
                <w:p w14:paraId="770DE70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r>
            <w:tr w14:paraId="018B41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05CAD01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A</w:t>
                  </w:r>
                </w:p>
              </w:tc>
              <w:tc>
                <w:tcPr>
                  <w:tcW w:w="777" w:type="pct"/>
                  <w:tcBorders>
                    <w:top w:val="single" w:color="auto" w:sz="2" w:space="0"/>
                    <w:left w:val="single" w:color="auto" w:sz="2" w:space="0"/>
                    <w:bottom w:val="single" w:color="auto" w:sz="2" w:space="0"/>
                    <w:right w:val="single" w:color="auto" w:sz="2" w:space="0"/>
                  </w:tcBorders>
                  <w:vAlign w:val="center"/>
                </w:tcPr>
                <w:p w14:paraId="2FF70BD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378" w:type="pct"/>
                  <w:tcBorders>
                    <w:top w:val="single" w:color="auto" w:sz="2" w:space="0"/>
                    <w:left w:val="single" w:color="auto" w:sz="2" w:space="0"/>
                    <w:bottom w:val="single" w:color="auto" w:sz="2" w:space="0"/>
                    <w:right w:val="single" w:color="auto" w:sz="2" w:space="0"/>
                  </w:tcBorders>
                  <w:vAlign w:val="center"/>
                </w:tcPr>
                <w:p w14:paraId="71D3D32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8" w:type="pct"/>
                  <w:tcBorders>
                    <w:top w:val="single" w:color="auto" w:sz="2" w:space="0"/>
                    <w:left w:val="single" w:color="auto" w:sz="2" w:space="0"/>
                    <w:bottom w:val="single" w:color="auto" w:sz="2" w:space="0"/>
                    <w:right w:val="single" w:color="auto" w:sz="2" w:space="0"/>
                  </w:tcBorders>
                  <w:vAlign w:val="center"/>
                </w:tcPr>
                <w:p w14:paraId="48CBD3E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80" w:type="pct"/>
                  <w:tcBorders>
                    <w:top w:val="single" w:color="auto" w:sz="2" w:space="0"/>
                    <w:left w:val="single" w:color="auto" w:sz="2" w:space="0"/>
                    <w:bottom w:val="single" w:color="auto" w:sz="2" w:space="0"/>
                    <w:right w:val="single" w:color="auto" w:sz="2" w:space="0"/>
                  </w:tcBorders>
                  <w:vAlign w:val="center"/>
                </w:tcPr>
                <w:p w14:paraId="51D0D84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3BA2284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74DB575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694D68B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789A9E0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c>
                <w:tcPr>
                  <w:tcW w:w="379" w:type="pct"/>
                  <w:tcBorders>
                    <w:top w:val="single" w:color="auto" w:sz="2" w:space="0"/>
                    <w:left w:val="single" w:color="auto" w:sz="2" w:space="0"/>
                    <w:bottom w:val="single" w:color="auto" w:sz="2" w:space="0"/>
                    <w:right w:val="single" w:color="auto" w:sz="2" w:space="0"/>
                  </w:tcBorders>
                  <w:vAlign w:val="center"/>
                </w:tcPr>
                <w:p w14:paraId="2146D1E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c>
                <w:tcPr>
                  <w:tcW w:w="378" w:type="pct"/>
                  <w:tcBorders>
                    <w:top w:val="single" w:color="auto" w:sz="2" w:space="0"/>
                    <w:left w:val="single" w:color="auto" w:sz="2" w:space="0"/>
                    <w:bottom w:val="single" w:color="auto" w:sz="2" w:space="0"/>
                    <w:right w:val="nil"/>
                  </w:tcBorders>
                  <w:vAlign w:val="center"/>
                </w:tcPr>
                <w:p w14:paraId="01DD6A0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r>
            <w:tr w14:paraId="0BF685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4B071219">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1D5B133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2-4</w:t>
                  </w:r>
                </w:p>
              </w:tc>
              <w:tc>
                <w:tcPr>
                  <w:tcW w:w="378" w:type="pct"/>
                  <w:tcBorders>
                    <w:top w:val="single" w:color="auto" w:sz="2" w:space="0"/>
                    <w:left w:val="single" w:color="auto" w:sz="2" w:space="0"/>
                    <w:bottom w:val="single" w:color="auto" w:sz="2" w:space="0"/>
                    <w:right w:val="single" w:color="auto" w:sz="2" w:space="0"/>
                  </w:tcBorders>
                  <w:vAlign w:val="center"/>
                </w:tcPr>
                <w:p w14:paraId="682965A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4A498B0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470</w:t>
                  </w:r>
                </w:p>
              </w:tc>
              <w:tc>
                <w:tcPr>
                  <w:tcW w:w="380" w:type="pct"/>
                  <w:tcBorders>
                    <w:top w:val="single" w:color="auto" w:sz="2" w:space="0"/>
                    <w:left w:val="single" w:color="auto" w:sz="2" w:space="0"/>
                    <w:bottom w:val="single" w:color="auto" w:sz="2" w:space="0"/>
                    <w:right w:val="single" w:color="auto" w:sz="2" w:space="0"/>
                  </w:tcBorders>
                  <w:vAlign w:val="center"/>
                </w:tcPr>
                <w:p w14:paraId="6DE8870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1C663B7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700</w:t>
                  </w:r>
                </w:p>
              </w:tc>
              <w:tc>
                <w:tcPr>
                  <w:tcW w:w="379" w:type="pct"/>
                  <w:tcBorders>
                    <w:top w:val="single" w:color="auto" w:sz="2" w:space="0"/>
                    <w:left w:val="single" w:color="auto" w:sz="2" w:space="0"/>
                    <w:bottom w:val="single" w:color="auto" w:sz="2" w:space="0"/>
                    <w:right w:val="single" w:color="auto" w:sz="2" w:space="0"/>
                  </w:tcBorders>
                  <w:vAlign w:val="center"/>
                </w:tcPr>
                <w:p w14:paraId="31E175C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470</w:t>
                  </w:r>
                </w:p>
              </w:tc>
              <w:tc>
                <w:tcPr>
                  <w:tcW w:w="379" w:type="pct"/>
                  <w:tcBorders>
                    <w:top w:val="single" w:color="auto" w:sz="2" w:space="0"/>
                    <w:left w:val="single" w:color="auto" w:sz="2" w:space="0"/>
                    <w:bottom w:val="single" w:color="auto" w:sz="2" w:space="0"/>
                    <w:right w:val="single" w:color="auto" w:sz="2" w:space="0"/>
                  </w:tcBorders>
                  <w:vAlign w:val="center"/>
                </w:tcPr>
                <w:p w14:paraId="6E89AE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0865A61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380</w:t>
                  </w:r>
                </w:p>
              </w:tc>
              <w:tc>
                <w:tcPr>
                  <w:tcW w:w="379" w:type="pct"/>
                  <w:tcBorders>
                    <w:top w:val="single" w:color="auto" w:sz="2" w:space="0"/>
                    <w:left w:val="single" w:color="auto" w:sz="2" w:space="0"/>
                    <w:bottom w:val="single" w:color="auto" w:sz="2" w:space="0"/>
                    <w:right w:val="single" w:color="auto" w:sz="2" w:space="0"/>
                  </w:tcBorders>
                  <w:vAlign w:val="center"/>
                </w:tcPr>
                <w:p w14:paraId="1551304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250</w:t>
                  </w:r>
                </w:p>
              </w:tc>
              <w:tc>
                <w:tcPr>
                  <w:tcW w:w="378" w:type="pct"/>
                  <w:tcBorders>
                    <w:top w:val="single" w:color="auto" w:sz="2" w:space="0"/>
                    <w:left w:val="single" w:color="auto" w:sz="2" w:space="0"/>
                    <w:bottom w:val="single" w:color="auto" w:sz="2" w:space="0"/>
                    <w:right w:val="nil"/>
                  </w:tcBorders>
                  <w:vAlign w:val="center"/>
                </w:tcPr>
                <w:p w14:paraId="308EE8C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190</w:t>
                  </w:r>
                </w:p>
              </w:tc>
            </w:tr>
            <w:tr w14:paraId="164A2D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C1C6808">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5D603C1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&gt;4</w:t>
                  </w:r>
                </w:p>
              </w:tc>
              <w:tc>
                <w:tcPr>
                  <w:tcW w:w="378" w:type="pct"/>
                  <w:tcBorders>
                    <w:top w:val="single" w:color="auto" w:sz="2" w:space="0"/>
                    <w:left w:val="single" w:color="auto" w:sz="2" w:space="0"/>
                    <w:bottom w:val="single" w:color="auto" w:sz="2" w:space="0"/>
                    <w:right w:val="single" w:color="auto" w:sz="2" w:space="0"/>
                  </w:tcBorders>
                  <w:vAlign w:val="center"/>
                </w:tcPr>
                <w:p w14:paraId="48DC439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530</w:t>
                  </w:r>
                </w:p>
              </w:tc>
              <w:tc>
                <w:tcPr>
                  <w:tcW w:w="378" w:type="pct"/>
                  <w:tcBorders>
                    <w:top w:val="single" w:color="auto" w:sz="2" w:space="0"/>
                    <w:left w:val="single" w:color="auto" w:sz="2" w:space="0"/>
                    <w:bottom w:val="single" w:color="auto" w:sz="2" w:space="0"/>
                    <w:right w:val="single" w:color="auto" w:sz="2" w:space="0"/>
                  </w:tcBorders>
                  <w:vAlign w:val="center"/>
                </w:tcPr>
                <w:p w14:paraId="44F3372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80" w:type="pct"/>
                  <w:tcBorders>
                    <w:top w:val="single" w:color="auto" w:sz="2" w:space="0"/>
                    <w:left w:val="single" w:color="auto" w:sz="2" w:space="0"/>
                    <w:bottom w:val="single" w:color="auto" w:sz="2" w:space="0"/>
                    <w:right w:val="single" w:color="auto" w:sz="2" w:space="0"/>
                  </w:tcBorders>
                  <w:vAlign w:val="center"/>
                </w:tcPr>
                <w:p w14:paraId="5E7BA44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154FEEC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530</w:t>
                  </w:r>
                </w:p>
              </w:tc>
              <w:tc>
                <w:tcPr>
                  <w:tcW w:w="379" w:type="pct"/>
                  <w:tcBorders>
                    <w:top w:val="single" w:color="auto" w:sz="2" w:space="0"/>
                    <w:left w:val="single" w:color="auto" w:sz="2" w:space="0"/>
                    <w:bottom w:val="single" w:color="auto" w:sz="2" w:space="0"/>
                    <w:right w:val="single" w:color="auto" w:sz="2" w:space="0"/>
                  </w:tcBorders>
                  <w:vAlign w:val="center"/>
                </w:tcPr>
                <w:p w14:paraId="44F6665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C79128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0FE533A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290</w:t>
                  </w:r>
                </w:p>
              </w:tc>
              <w:tc>
                <w:tcPr>
                  <w:tcW w:w="379" w:type="pct"/>
                  <w:tcBorders>
                    <w:top w:val="single" w:color="auto" w:sz="2" w:space="0"/>
                    <w:left w:val="single" w:color="auto" w:sz="2" w:space="0"/>
                    <w:bottom w:val="single" w:color="auto" w:sz="2" w:space="0"/>
                    <w:right w:val="single" w:color="auto" w:sz="2" w:space="0"/>
                  </w:tcBorders>
                  <w:vAlign w:val="center"/>
                </w:tcPr>
                <w:p w14:paraId="6DC4963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190</w:t>
                  </w:r>
                </w:p>
              </w:tc>
              <w:tc>
                <w:tcPr>
                  <w:tcW w:w="378" w:type="pct"/>
                  <w:tcBorders>
                    <w:top w:val="single" w:color="auto" w:sz="2" w:space="0"/>
                    <w:left w:val="single" w:color="auto" w:sz="2" w:space="0"/>
                    <w:bottom w:val="single" w:color="auto" w:sz="2" w:space="0"/>
                    <w:right w:val="nil"/>
                  </w:tcBorders>
                  <w:vAlign w:val="center"/>
                </w:tcPr>
                <w:p w14:paraId="1F548DE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140</w:t>
                  </w:r>
                </w:p>
              </w:tc>
            </w:tr>
            <w:tr w14:paraId="49E01E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4F52CFB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B</w:t>
                  </w:r>
                </w:p>
              </w:tc>
              <w:tc>
                <w:tcPr>
                  <w:tcW w:w="777" w:type="pct"/>
                  <w:tcBorders>
                    <w:top w:val="single" w:color="auto" w:sz="2" w:space="0"/>
                    <w:left w:val="single" w:color="auto" w:sz="2" w:space="0"/>
                    <w:bottom w:val="single" w:color="auto" w:sz="2" w:space="0"/>
                    <w:right w:val="single" w:color="auto" w:sz="2" w:space="0"/>
                  </w:tcBorders>
                  <w:vAlign w:val="center"/>
                </w:tcPr>
                <w:p w14:paraId="5E5E1BC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6CE936B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7CC7840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0.015</w:t>
                  </w:r>
                </w:p>
              </w:tc>
              <w:tc>
                <w:tcPr>
                  <w:tcW w:w="1136" w:type="pct"/>
                  <w:gridSpan w:val="3"/>
                  <w:tcBorders>
                    <w:top w:val="single" w:color="auto" w:sz="2" w:space="0"/>
                    <w:left w:val="single" w:color="auto" w:sz="2" w:space="0"/>
                    <w:bottom w:val="single" w:color="auto" w:sz="2" w:space="0"/>
                    <w:right w:val="nil"/>
                  </w:tcBorders>
                  <w:vAlign w:val="center"/>
                </w:tcPr>
                <w:p w14:paraId="141954E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0.015</w:t>
                  </w:r>
                </w:p>
              </w:tc>
            </w:tr>
            <w:tr w14:paraId="7E659B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46549516">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6767760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48F28CF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0.021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584437F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0.036</w:t>
                  </w:r>
                </w:p>
              </w:tc>
              <w:tc>
                <w:tcPr>
                  <w:tcW w:w="1136" w:type="pct"/>
                  <w:gridSpan w:val="3"/>
                  <w:tcBorders>
                    <w:top w:val="single" w:color="auto" w:sz="2" w:space="0"/>
                    <w:left w:val="single" w:color="auto" w:sz="2" w:space="0"/>
                    <w:bottom w:val="single" w:color="auto" w:sz="2" w:space="0"/>
                    <w:right w:val="nil"/>
                  </w:tcBorders>
                  <w:vAlign w:val="center"/>
                </w:tcPr>
                <w:p w14:paraId="686C986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0.036</w:t>
                  </w:r>
                </w:p>
              </w:tc>
            </w:tr>
            <w:tr w14:paraId="2C50E2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53D475B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C</w:t>
                  </w:r>
                </w:p>
              </w:tc>
              <w:tc>
                <w:tcPr>
                  <w:tcW w:w="777" w:type="pct"/>
                  <w:tcBorders>
                    <w:top w:val="single" w:color="auto" w:sz="2" w:space="0"/>
                    <w:left w:val="single" w:color="auto" w:sz="2" w:space="0"/>
                    <w:bottom w:val="single" w:color="auto" w:sz="2" w:space="0"/>
                    <w:right w:val="single" w:color="auto" w:sz="2" w:space="0"/>
                  </w:tcBorders>
                  <w:vAlign w:val="center"/>
                </w:tcPr>
                <w:p w14:paraId="7A67014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5FA7249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5175370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1.79</w:t>
                  </w:r>
                </w:p>
              </w:tc>
              <w:tc>
                <w:tcPr>
                  <w:tcW w:w="1136" w:type="pct"/>
                  <w:gridSpan w:val="3"/>
                  <w:tcBorders>
                    <w:top w:val="single" w:color="auto" w:sz="2" w:space="0"/>
                    <w:left w:val="single" w:color="auto" w:sz="2" w:space="0"/>
                    <w:bottom w:val="single" w:color="auto" w:sz="2" w:space="0"/>
                    <w:right w:val="nil"/>
                  </w:tcBorders>
                  <w:vAlign w:val="center"/>
                </w:tcPr>
                <w:p w14:paraId="0C7E0CD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1.79</w:t>
                  </w:r>
                </w:p>
              </w:tc>
            </w:tr>
            <w:tr w14:paraId="061E53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C9703EE">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4BAC94F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330A00B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F9E605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1.77</w:t>
                  </w:r>
                </w:p>
              </w:tc>
              <w:tc>
                <w:tcPr>
                  <w:tcW w:w="1136" w:type="pct"/>
                  <w:gridSpan w:val="3"/>
                  <w:tcBorders>
                    <w:top w:val="single" w:color="auto" w:sz="2" w:space="0"/>
                    <w:left w:val="single" w:color="auto" w:sz="2" w:space="0"/>
                    <w:bottom w:val="single" w:color="auto" w:sz="2" w:space="0"/>
                    <w:right w:val="nil"/>
                  </w:tcBorders>
                  <w:vAlign w:val="center"/>
                </w:tcPr>
                <w:p w14:paraId="6744332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1.77</w:t>
                  </w:r>
                </w:p>
              </w:tc>
            </w:tr>
            <w:tr w14:paraId="72F928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073BD41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D</w:t>
                  </w:r>
                </w:p>
              </w:tc>
              <w:tc>
                <w:tcPr>
                  <w:tcW w:w="777" w:type="pct"/>
                  <w:tcBorders>
                    <w:top w:val="single" w:color="auto" w:sz="2" w:space="0"/>
                    <w:left w:val="single" w:color="auto" w:sz="2" w:space="0"/>
                    <w:bottom w:val="single" w:color="auto" w:sz="2" w:space="0"/>
                    <w:right w:val="single" w:color="auto" w:sz="2" w:space="0"/>
                  </w:tcBorders>
                  <w:vAlign w:val="center"/>
                </w:tcPr>
                <w:p w14:paraId="66289E4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0416EDA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2F13CA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0.78</w:t>
                  </w:r>
                </w:p>
              </w:tc>
              <w:tc>
                <w:tcPr>
                  <w:tcW w:w="1136" w:type="pct"/>
                  <w:gridSpan w:val="3"/>
                  <w:tcBorders>
                    <w:top w:val="single" w:color="auto" w:sz="2" w:space="0"/>
                    <w:left w:val="single" w:color="auto" w:sz="2" w:space="0"/>
                    <w:bottom w:val="single" w:color="auto" w:sz="2" w:space="0"/>
                    <w:right w:val="nil"/>
                  </w:tcBorders>
                  <w:vAlign w:val="center"/>
                </w:tcPr>
                <w:p w14:paraId="60C8C80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0.57</w:t>
                  </w:r>
                </w:p>
              </w:tc>
            </w:tr>
            <w:tr w14:paraId="6261E4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E159ACE">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47994EE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5CB852B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5A0AB03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0.84</w:t>
                  </w:r>
                </w:p>
              </w:tc>
              <w:tc>
                <w:tcPr>
                  <w:tcW w:w="1136" w:type="pct"/>
                  <w:gridSpan w:val="3"/>
                  <w:tcBorders>
                    <w:top w:val="single" w:color="auto" w:sz="2" w:space="0"/>
                    <w:left w:val="single" w:color="auto" w:sz="2" w:space="0"/>
                    <w:bottom w:val="single" w:color="auto" w:sz="2" w:space="0"/>
                    <w:right w:val="nil"/>
                  </w:tcBorders>
                  <w:vAlign w:val="center"/>
                </w:tcPr>
                <w:p w14:paraId="6F61BB2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0.76</w:t>
                  </w:r>
                </w:p>
              </w:tc>
            </w:tr>
            <w:tr w14:paraId="2C143B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42B8B69E">
                  <w:pPr>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注：</w:t>
                  </w:r>
                  <w:r>
                    <w:rPr>
                      <w:rFonts w:hint="default" w:ascii="Times New Roman" w:hAnsi="Times New Roman" w:eastAsia="宋体" w:cs="Times New Roman"/>
                      <w:color w:val="auto"/>
                      <w:sz w:val="18"/>
                      <w:szCs w:val="18"/>
                    </w:rPr>
                    <w:t>Ⅰ类：与无组织排放源共存的排放同种有害气体的排气筒的排放量，大于或等于标准规定的允许排放量的1/3者。</w:t>
                  </w:r>
                </w:p>
                <w:p w14:paraId="724CF8CE">
                  <w:pPr>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2FF6C42E">
                  <w:pPr>
                    <w:jc w:val="left"/>
                    <w:rPr>
                      <w:rFonts w:hint="default" w:ascii="Times New Roman" w:hAnsi="Times New Roman" w:eastAsia="宋体" w:cs="Times New Roman"/>
                      <w:b/>
                      <w:bCs/>
                      <w:color w:val="auto"/>
                    </w:rPr>
                  </w:pPr>
                  <w:r>
                    <w:rPr>
                      <w:rFonts w:hint="default" w:ascii="Times New Roman" w:hAnsi="Times New Roman" w:eastAsia="宋体" w:cs="Times New Roman"/>
                      <w:color w:val="auto"/>
                      <w:sz w:val="18"/>
                      <w:szCs w:val="18"/>
                    </w:rPr>
                    <w:t>Ⅲ类：无排放同种有害物质的排气筒与无组织排放源共存，但无组织排放的有害物质的容许浓度是按慢性反应指标确定者。</w:t>
                  </w:r>
                </w:p>
              </w:tc>
            </w:tr>
          </w:tbl>
          <w:p w14:paraId="43ED1AB1">
            <w:pPr>
              <w:adjustRightInd w:val="0"/>
              <w:snapToGrid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0A282D84">
            <w:pPr>
              <w:spacing w:line="360" w:lineRule="auto"/>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经计算，本项目卫生防护距离计算结果见表4-</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w:t>
            </w:r>
          </w:p>
          <w:p w14:paraId="1710360E">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 xml:space="preserve">  卫生防护距离计算结果表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531"/>
              <w:gridCol w:w="795"/>
              <w:gridCol w:w="645"/>
              <w:gridCol w:w="780"/>
              <w:gridCol w:w="886"/>
              <w:gridCol w:w="511"/>
              <w:gridCol w:w="663"/>
              <w:gridCol w:w="562"/>
              <w:gridCol w:w="564"/>
              <w:gridCol w:w="783"/>
              <w:gridCol w:w="783"/>
              <w:gridCol w:w="785"/>
            </w:tblGrid>
            <w:tr w14:paraId="224FF3C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320" w:type="pct"/>
                  <w:vMerge w:val="restart"/>
                  <w:vAlign w:val="center"/>
                </w:tcPr>
                <w:p w14:paraId="3239E9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w:t>
                  </w:r>
                </w:p>
                <w:p w14:paraId="135E13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479" w:type="pct"/>
                  <w:vMerge w:val="restart"/>
                  <w:vAlign w:val="center"/>
                </w:tcPr>
                <w:p w14:paraId="069487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389" w:type="pct"/>
                  <w:vMerge w:val="restart"/>
                  <w:vAlign w:val="center"/>
                </w:tcPr>
                <w:p w14:paraId="5F1CB4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Qc</w:t>
                  </w:r>
                </w:p>
                <w:p w14:paraId="6D1476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color w:val="auto"/>
                    </w:rPr>
                    <w:t>（kg/h）</w:t>
                  </w:r>
                </w:p>
              </w:tc>
              <w:tc>
                <w:tcPr>
                  <w:tcW w:w="470" w:type="pct"/>
                  <w:vMerge w:val="restart"/>
                  <w:vAlign w:val="center"/>
                </w:tcPr>
                <w:p w14:paraId="7EB7F3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面源面积（m</w:t>
                  </w:r>
                  <w:r>
                    <w:rPr>
                      <w:rFonts w:hint="default" w:ascii="Times New Roman" w:hAnsi="Times New Roman" w:eastAsia="宋体" w:cs="Times New Roman"/>
                      <w:b/>
                      <w:bCs/>
                      <w:color w:val="auto"/>
                      <w:vertAlign w:val="superscript"/>
                    </w:rPr>
                    <w:t>2</w:t>
                  </w:r>
                  <w:r>
                    <w:rPr>
                      <w:rFonts w:hint="default" w:ascii="Times New Roman" w:hAnsi="Times New Roman" w:eastAsia="宋体" w:cs="Times New Roman"/>
                      <w:b/>
                      <w:bCs/>
                      <w:color w:val="auto"/>
                    </w:rPr>
                    <w:t>）</w:t>
                  </w:r>
                </w:p>
              </w:tc>
              <w:tc>
                <w:tcPr>
                  <w:tcW w:w="1922" w:type="pct"/>
                  <w:gridSpan w:val="5"/>
                  <w:vAlign w:val="center"/>
                </w:tcPr>
                <w:p w14:paraId="3B3703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计算参数</w:t>
                  </w:r>
                </w:p>
              </w:tc>
              <w:tc>
                <w:tcPr>
                  <w:tcW w:w="1418" w:type="pct"/>
                  <w:gridSpan w:val="3"/>
                  <w:vAlign w:val="center"/>
                </w:tcPr>
                <w:p w14:paraId="1DA99D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卫生防护距离</w:t>
                  </w:r>
                </w:p>
              </w:tc>
            </w:tr>
            <w:tr w14:paraId="5975911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320" w:type="pct"/>
                  <w:vMerge w:val="continue"/>
                  <w:tcBorders>
                    <w:bottom w:val="single" w:color="auto" w:sz="4" w:space="0"/>
                  </w:tcBorders>
                  <w:vAlign w:val="center"/>
                </w:tcPr>
                <w:p w14:paraId="55669A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p>
              </w:tc>
              <w:tc>
                <w:tcPr>
                  <w:tcW w:w="479" w:type="pct"/>
                  <w:vMerge w:val="continue"/>
                  <w:vAlign w:val="center"/>
                </w:tcPr>
                <w:p w14:paraId="268F05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p>
              </w:tc>
              <w:tc>
                <w:tcPr>
                  <w:tcW w:w="389" w:type="pct"/>
                  <w:vMerge w:val="continue"/>
                  <w:vAlign w:val="center"/>
                </w:tcPr>
                <w:p w14:paraId="21C5DA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p>
              </w:tc>
              <w:tc>
                <w:tcPr>
                  <w:tcW w:w="470" w:type="pct"/>
                  <w:vMerge w:val="continue"/>
                  <w:vAlign w:val="center"/>
                </w:tcPr>
                <w:p w14:paraId="3C8ADC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p>
              </w:tc>
              <w:tc>
                <w:tcPr>
                  <w:tcW w:w="534" w:type="pct"/>
                  <w:vAlign w:val="center"/>
                </w:tcPr>
                <w:p w14:paraId="4E7283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Cm（mg/m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308" w:type="pct"/>
                  <w:vAlign w:val="center"/>
                </w:tcPr>
                <w:p w14:paraId="3EFACE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A</w:t>
                  </w:r>
                </w:p>
              </w:tc>
              <w:tc>
                <w:tcPr>
                  <w:tcW w:w="399" w:type="pct"/>
                  <w:vAlign w:val="center"/>
                </w:tcPr>
                <w:p w14:paraId="2709DF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B</w:t>
                  </w:r>
                </w:p>
              </w:tc>
              <w:tc>
                <w:tcPr>
                  <w:tcW w:w="339" w:type="pct"/>
                  <w:vAlign w:val="center"/>
                </w:tcPr>
                <w:p w14:paraId="6B22B4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w:t>
                  </w:r>
                </w:p>
              </w:tc>
              <w:tc>
                <w:tcPr>
                  <w:tcW w:w="340" w:type="pct"/>
                  <w:vAlign w:val="center"/>
                </w:tcPr>
                <w:p w14:paraId="342A8E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D</w:t>
                  </w:r>
                </w:p>
              </w:tc>
              <w:tc>
                <w:tcPr>
                  <w:tcW w:w="472" w:type="pct"/>
                  <w:vAlign w:val="center"/>
                </w:tcPr>
                <w:p w14:paraId="507811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L计（m）</w:t>
                  </w:r>
                </w:p>
              </w:tc>
              <w:tc>
                <w:tcPr>
                  <w:tcW w:w="472" w:type="pct"/>
                  <w:vAlign w:val="center"/>
                </w:tcPr>
                <w:p w14:paraId="0AE967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L卫（m）</w:t>
                  </w:r>
                </w:p>
              </w:tc>
              <w:tc>
                <w:tcPr>
                  <w:tcW w:w="473" w:type="pct"/>
                  <w:vAlign w:val="center"/>
                </w:tcPr>
                <w:p w14:paraId="698A36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w:t>
                  </w:r>
                  <w:r>
                    <w:rPr>
                      <w:rFonts w:hint="default" w:ascii="Times New Roman" w:hAnsi="Times New Roman" w:eastAsia="宋体" w:cs="Times New Roman"/>
                      <w:b/>
                      <w:bCs/>
                      <w:color w:val="auto"/>
                      <w:lang w:val="en-US" w:eastAsia="zh-CN"/>
                    </w:rPr>
                    <w:t>总</w:t>
                  </w:r>
                  <w:r>
                    <w:rPr>
                      <w:rFonts w:hint="default" w:ascii="Times New Roman" w:hAnsi="Times New Roman" w:eastAsia="宋体" w:cs="Times New Roman"/>
                      <w:b/>
                      <w:bCs/>
                      <w:color w:val="auto"/>
                    </w:rPr>
                    <w:t>（m）</w:t>
                  </w:r>
                </w:p>
              </w:tc>
            </w:tr>
            <w:tr w14:paraId="2473676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320" w:type="pct"/>
                  <w:tcBorders>
                    <w:top w:val="single" w:color="auto" w:sz="4" w:space="0"/>
                  </w:tcBorders>
                  <w:vAlign w:val="center"/>
                </w:tcPr>
                <w:p w14:paraId="7F2580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生产车间</w:t>
                  </w:r>
                </w:p>
              </w:tc>
              <w:tc>
                <w:tcPr>
                  <w:tcW w:w="479" w:type="pct"/>
                  <w:vAlign w:val="center"/>
                </w:tcPr>
                <w:p w14:paraId="0CBE0A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非甲烷总烃</w:t>
                  </w:r>
                </w:p>
              </w:tc>
              <w:tc>
                <w:tcPr>
                  <w:tcW w:w="389" w:type="pct"/>
                  <w:vAlign w:val="center"/>
                </w:tcPr>
                <w:p w14:paraId="37F673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00004</w:t>
                  </w:r>
                </w:p>
              </w:tc>
              <w:tc>
                <w:tcPr>
                  <w:tcW w:w="470" w:type="pct"/>
                  <w:vAlign w:val="center"/>
                </w:tcPr>
                <w:p w14:paraId="4B0C76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375</w:t>
                  </w:r>
                </w:p>
              </w:tc>
              <w:tc>
                <w:tcPr>
                  <w:tcW w:w="534" w:type="pct"/>
                  <w:vAlign w:val="center"/>
                </w:tcPr>
                <w:p w14:paraId="2983AD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308" w:type="pct"/>
                  <w:vAlign w:val="center"/>
                </w:tcPr>
                <w:p w14:paraId="5D26BC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470</w:t>
                  </w:r>
                </w:p>
              </w:tc>
              <w:tc>
                <w:tcPr>
                  <w:tcW w:w="399" w:type="pct"/>
                  <w:vAlign w:val="center"/>
                </w:tcPr>
                <w:p w14:paraId="7695C8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0.021</w:t>
                  </w:r>
                </w:p>
              </w:tc>
              <w:tc>
                <w:tcPr>
                  <w:tcW w:w="339" w:type="pct"/>
                  <w:vAlign w:val="center"/>
                </w:tcPr>
                <w:p w14:paraId="4C7626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1.85</w:t>
                  </w:r>
                </w:p>
              </w:tc>
              <w:tc>
                <w:tcPr>
                  <w:tcW w:w="340" w:type="pct"/>
                  <w:vAlign w:val="center"/>
                </w:tcPr>
                <w:p w14:paraId="417E55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0.84</w:t>
                  </w:r>
                </w:p>
              </w:tc>
              <w:tc>
                <w:tcPr>
                  <w:tcW w:w="472" w:type="pct"/>
                  <w:vAlign w:val="center"/>
                </w:tcPr>
                <w:p w14:paraId="0ABB68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0.001</w:t>
                  </w:r>
                </w:p>
              </w:tc>
              <w:tc>
                <w:tcPr>
                  <w:tcW w:w="472" w:type="pct"/>
                  <w:vAlign w:val="center"/>
                </w:tcPr>
                <w:p w14:paraId="0DCE2D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c>
                <w:tcPr>
                  <w:tcW w:w="473" w:type="pct"/>
                  <w:vAlign w:val="center"/>
                </w:tcPr>
                <w:p w14:paraId="22B9C7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0</w:t>
                  </w:r>
                </w:p>
              </w:tc>
            </w:tr>
          </w:tbl>
          <w:p w14:paraId="00CF78FC">
            <w:pPr>
              <w:spacing w:line="360" w:lineRule="auto"/>
              <w:ind w:firstLine="480" w:firstLineChars="200"/>
              <w:rPr>
                <w:rFonts w:hint="default" w:ascii="Times New Roman" w:hAnsi="Times New Roman" w:eastAsia="宋体" w:cs="Times New Roman"/>
                <w:b w:val="0"/>
                <w:bCs/>
                <w:color w:val="auto"/>
                <w:kern w:val="0"/>
                <w:sz w:val="24"/>
                <w:szCs w:val="24"/>
              </w:rPr>
            </w:pPr>
            <w:r>
              <w:rPr>
                <w:rFonts w:hint="default" w:ascii="Times New Roman" w:hAnsi="Times New Roman" w:eastAsia="宋体" w:cs="Times New Roman"/>
                <w:color w:val="auto"/>
                <w:sz w:val="24"/>
              </w:rPr>
              <w:t>根据《大气有害物质无组织排放卫生防护距离推导技术导则》（GB/T 39499-2020）确定本项目卫生防护距离是以</w:t>
            </w:r>
            <w:r>
              <w:rPr>
                <w:rFonts w:hint="default" w:ascii="Times New Roman" w:hAnsi="Times New Roman" w:eastAsia="宋体" w:cs="Times New Roman"/>
                <w:color w:val="auto"/>
                <w:sz w:val="24"/>
                <w:lang w:val="en-US" w:eastAsia="zh-CN"/>
              </w:rPr>
              <w:t>生产</w:t>
            </w:r>
            <w:r>
              <w:rPr>
                <w:rFonts w:hint="default" w:ascii="Times New Roman" w:hAnsi="Times New Roman" w:eastAsia="宋体" w:cs="Times New Roman"/>
                <w:color w:val="auto"/>
                <w:sz w:val="24"/>
              </w:rPr>
              <w:t>车间为边界外扩</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0米范围设置卫生防护距离（具体范围见图2）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highlight w:val="none"/>
              </w:rPr>
              <w:t>经实地勘察，项目卫生防护距离内目前无居住、医院、学校等环境敏感点，将来也不得建设环境敏感点，以避免环境纠纷。</w:t>
            </w:r>
          </w:p>
          <w:p w14:paraId="134C13B0">
            <w:pPr>
              <w:spacing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大气环境影响评价结论</w:t>
            </w:r>
          </w:p>
          <w:p w14:paraId="20E8D64D">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default" w:ascii="Times New Roman" w:hAnsi="Times New Roman" w:eastAsia="宋体" w:cs="Times New Roman"/>
                <w:color w:val="auto"/>
                <w:sz w:val="24"/>
              </w:rPr>
              <w:t>。</w:t>
            </w:r>
          </w:p>
          <w:p w14:paraId="1D9E557D">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二、废水</w:t>
            </w:r>
          </w:p>
          <w:p w14:paraId="60EBD77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1.废水</w:t>
            </w:r>
            <w:r>
              <w:rPr>
                <w:rFonts w:hint="default" w:ascii="Times New Roman" w:hAnsi="Times New Roman" w:eastAsia="宋体" w:cs="Times New Roman"/>
                <w:b/>
                <w:bCs w:val="0"/>
                <w:color w:val="auto"/>
                <w:sz w:val="24"/>
              </w:rPr>
              <w:t>产</w:t>
            </w:r>
            <w:r>
              <w:rPr>
                <w:rFonts w:hint="default" w:ascii="Times New Roman" w:hAnsi="Times New Roman" w:eastAsia="宋体" w:cs="Times New Roman"/>
                <w:b/>
                <w:bCs w:val="0"/>
                <w:color w:val="auto"/>
                <w:sz w:val="24"/>
                <w:lang w:val="en-US" w:eastAsia="zh-CN"/>
              </w:rPr>
              <w:t>生</w:t>
            </w:r>
            <w:r>
              <w:rPr>
                <w:rFonts w:hint="default" w:ascii="Times New Roman" w:hAnsi="Times New Roman" w:eastAsia="宋体" w:cs="Times New Roman"/>
                <w:b/>
                <w:bCs w:val="0"/>
                <w:color w:val="auto"/>
                <w:sz w:val="24"/>
              </w:rPr>
              <w:t>情况</w:t>
            </w:r>
          </w:p>
          <w:p w14:paraId="7A25962F">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生活用水</w:t>
            </w:r>
          </w:p>
          <w:p w14:paraId="64E2403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本项目生活污水排放量为</w:t>
            </w:r>
            <w:r>
              <w:rPr>
                <w:rFonts w:hint="eastAsia" w:ascii="Times New Roman" w:hAnsi="Times New Roman" w:eastAsia="宋体" w:cs="Times New Roman"/>
                <w:color w:val="auto"/>
                <w:sz w:val="24"/>
                <w:lang w:val="en-US" w:eastAsia="zh-CN"/>
              </w:rPr>
              <w:t>144</w:t>
            </w:r>
            <w:r>
              <w:rPr>
                <w:rFonts w:hint="default" w:ascii="Times New Roman" w:hAnsi="Times New Roman" w:eastAsia="宋体" w:cs="Times New Roman"/>
                <w:color w:val="auto"/>
                <w:sz w:val="24"/>
              </w:rPr>
              <w:t>t/a，主要污染物为：COD、SS、氨氮、TN、TP产生浓度分别为400mg/L、2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0mg/L、30mg/L、</w:t>
            </w:r>
            <w:r>
              <w:rPr>
                <w:rFonts w:hint="default"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mg/L。</w:t>
            </w:r>
          </w:p>
          <w:p w14:paraId="2795AA3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污染防治措施</w:t>
            </w:r>
          </w:p>
          <w:p w14:paraId="24FA7C9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厂区实现雨污分流。本项目生活污水</w:t>
            </w:r>
            <w:r>
              <w:rPr>
                <w:rFonts w:hint="eastAsia" w:ascii="Times New Roman" w:hAnsi="Times New Roman" w:eastAsia="宋体" w:cs="Times New Roman"/>
                <w:color w:val="auto"/>
                <w:sz w:val="24"/>
                <w:lang w:val="en-US" w:eastAsia="zh-CN"/>
              </w:rPr>
              <w:t>接管至唐王村农村生活污水处理站</w:t>
            </w:r>
            <w:r>
              <w:rPr>
                <w:rFonts w:hint="default" w:ascii="Times New Roman" w:hAnsi="Times New Roman" w:eastAsia="宋体" w:cs="Times New Roman"/>
                <w:color w:val="auto"/>
                <w:sz w:val="24"/>
              </w:rPr>
              <w:t>。</w:t>
            </w:r>
          </w:p>
          <w:p w14:paraId="28ADCB1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3.接管可行性分析</w:t>
            </w:r>
          </w:p>
          <w:p w14:paraId="713F4025">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（1）水量可行性分析</w:t>
            </w:r>
          </w:p>
          <w:p w14:paraId="680C9586">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eastAsia" w:ascii="Times New Roman" w:hAnsi="Times New Roman" w:eastAsia="宋体" w:cs="Times New Roman"/>
                <w:bCs/>
                <w:color w:val="auto"/>
                <w:sz w:val="24"/>
                <w:lang w:val="en-US" w:eastAsia="zh-CN"/>
              </w:rPr>
              <w:t>唐王村农村生活污水处理站</w:t>
            </w:r>
            <w:r>
              <w:rPr>
                <w:rFonts w:hint="default" w:ascii="Times New Roman" w:hAnsi="Times New Roman" w:eastAsia="宋体" w:cs="Times New Roman"/>
                <w:b w:val="0"/>
                <w:bCs w:val="0"/>
                <w:color w:val="auto"/>
                <w:sz w:val="24"/>
                <w:szCs w:val="24"/>
              </w:rPr>
              <w:t>总规模为</w:t>
            </w:r>
            <w:r>
              <w:rPr>
                <w:rFonts w:hint="default" w:ascii="Times New Roman" w:hAnsi="Times New Roman" w:eastAsia="宋体" w:cs="Times New Roman"/>
                <w:b w:val="0"/>
                <w:bCs w:val="0"/>
                <w:color w:val="auto"/>
                <w:sz w:val="24"/>
                <w:szCs w:val="24"/>
                <w:lang w:val="en-US" w:eastAsia="zh-CN"/>
              </w:rPr>
              <w:t>33</w:t>
            </w:r>
            <w:r>
              <w:rPr>
                <w:rFonts w:hint="default" w:ascii="Times New Roman" w:hAnsi="Times New Roman" w:eastAsia="宋体" w:cs="Times New Roman"/>
                <w:b w:val="0"/>
                <w:bCs w:val="0"/>
                <w:color w:val="auto"/>
                <w:sz w:val="24"/>
                <w:szCs w:val="24"/>
              </w:rPr>
              <w:t>0吨/天，现状污水站接管废水均为生活污水</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本项目建成后，新增废水量</w:t>
            </w:r>
            <w:r>
              <w:rPr>
                <w:rFonts w:hint="eastAsia" w:ascii="Times New Roman" w:hAnsi="Times New Roman" w:eastAsia="宋体" w:cs="Times New Roman"/>
                <w:b w:val="0"/>
                <w:bCs w:val="0"/>
                <w:color w:val="auto"/>
                <w:sz w:val="24"/>
                <w:szCs w:val="24"/>
                <w:lang w:val="en-US" w:eastAsia="zh-CN"/>
              </w:rPr>
              <w:t>0.48</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eastAsia" w:ascii="Times New Roman" w:hAnsi="Times New Roman" w:eastAsia="宋体" w:cs="Times New Roman"/>
                <w:b w:val="0"/>
                <w:bCs w:val="0"/>
                <w:color w:val="auto"/>
                <w:sz w:val="24"/>
                <w:szCs w:val="24"/>
                <w:lang w:val="en-US" w:eastAsia="zh-CN"/>
              </w:rPr>
              <w:t>144</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/a），</w:t>
            </w:r>
            <w:r>
              <w:rPr>
                <w:rFonts w:hint="default" w:ascii="Times New Roman" w:hAnsi="Times New Roman" w:eastAsia="宋体" w:cs="Times New Roman"/>
                <w:b w:val="0"/>
                <w:bCs w:val="0"/>
                <w:color w:val="auto"/>
                <w:sz w:val="24"/>
                <w:szCs w:val="24"/>
                <w:lang w:val="en-US" w:eastAsia="zh-CN"/>
              </w:rPr>
              <w:t>占污水处理站处理总量0.</w:t>
            </w:r>
            <w:r>
              <w:rPr>
                <w:rFonts w:hint="eastAsia" w:ascii="Times New Roman" w:hAnsi="Times New Roman" w:eastAsia="宋体" w:cs="Times New Roman"/>
                <w:b w:val="0"/>
                <w:bCs w:val="0"/>
                <w:color w:val="auto"/>
                <w:sz w:val="24"/>
                <w:szCs w:val="24"/>
                <w:lang w:val="en-US" w:eastAsia="zh-CN"/>
              </w:rPr>
              <w:t>145</w:t>
            </w:r>
            <w:r>
              <w:rPr>
                <w:rFonts w:hint="default" w:ascii="Times New Roman" w:hAnsi="Times New Roman" w:eastAsia="宋体" w:cs="Times New Roman"/>
                <w:b w:val="0"/>
                <w:bCs w:val="0"/>
                <w:color w:val="auto"/>
                <w:sz w:val="24"/>
                <w:szCs w:val="24"/>
              </w:rPr>
              <w:t>%，不会对农村污水处理站的正常运行造成影响。因此，从废水量来看，农村污水处理站完全有能力接纳本项目废水。</w:t>
            </w:r>
          </w:p>
          <w:p w14:paraId="463546C5">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（2）水质可行性分析</w:t>
            </w:r>
          </w:p>
          <w:p w14:paraId="49709601">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本项目生活污水水质简单，排放浓度满足</w:t>
            </w:r>
            <w:r>
              <w:rPr>
                <w:rFonts w:hint="eastAsia" w:ascii="Times New Roman" w:hAnsi="Times New Roman" w:eastAsia="宋体" w:cs="Times New Roman"/>
                <w:bCs/>
                <w:color w:val="auto"/>
                <w:sz w:val="24"/>
                <w:lang w:val="en-US" w:eastAsia="zh-CN"/>
              </w:rPr>
              <w:t>唐王村农村生活污水处理站</w:t>
            </w:r>
            <w:r>
              <w:rPr>
                <w:rFonts w:hint="default" w:ascii="Times New Roman" w:hAnsi="Times New Roman" w:eastAsia="宋体" w:cs="Times New Roman"/>
                <w:b w:val="0"/>
                <w:bCs w:val="0"/>
                <w:color w:val="auto"/>
                <w:sz w:val="24"/>
                <w:szCs w:val="24"/>
              </w:rPr>
              <w:t>处理要求。</w:t>
            </w:r>
            <w:r>
              <w:rPr>
                <w:rFonts w:hint="default" w:ascii="Times New Roman" w:hAnsi="Times New Roman" w:eastAsia="宋体" w:cs="Times New Roman"/>
                <w:b w:val="0"/>
                <w:bCs w:val="0"/>
                <w:color w:val="auto"/>
                <w:sz w:val="24"/>
                <w:szCs w:val="24"/>
                <w:lang w:val="en-US" w:eastAsia="zh-CN"/>
              </w:rPr>
              <w:t>企业</w:t>
            </w:r>
            <w:r>
              <w:rPr>
                <w:rFonts w:hint="default" w:ascii="Times New Roman" w:hAnsi="Times New Roman" w:eastAsia="宋体" w:cs="Times New Roman"/>
                <w:b w:val="0"/>
                <w:bCs w:val="0"/>
                <w:color w:val="auto"/>
                <w:sz w:val="24"/>
                <w:szCs w:val="24"/>
              </w:rPr>
              <w:t>已和</w:t>
            </w:r>
            <w:r>
              <w:rPr>
                <w:rFonts w:hint="default" w:ascii="Times New Roman" w:hAnsi="Times New Roman" w:eastAsia="宋体" w:cs="Times New Roman"/>
                <w:b w:val="0"/>
                <w:bCs w:val="0"/>
                <w:color w:val="auto"/>
                <w:sz w:val="24"/>
                <w:szCs w:val="24"/>
                <w:lang w:eastAsia="zh-CN"/>
              </w:rPr>
              <w:t>常州市金坛区</w:t>
            </w:r>
            <w:r>
              <w:rPr>
                <w:rFonts w:hint="eastAsia" w:ascii="Times New Roman" w:hAnsi="Times New Roman" w:eastAsia="宋体" w:cs="Times New Roman"/>
                <w:b w:val="0"/>
                <w:bCs w:val="0"/>
                <w:color w:val="auto"/>
                <w:sz w:val="24"/>
                <w:szCs w:val="24"/>
                <w:lang w:val="en-US" w:eastAsia="zh-CN"/>
              </w:rPr>
              <w:t>朱林镇人民政府</w:t>
            </w:r>
            <w:r>
              <w:rPr>
                <w:rFonts w:hint="default" w:ascii="Times New Roman" w:hAnsi="Times New Roman" w:eastAsia="宋体" w:cs="Times New Roman"/>
                <w:b w:val="0"/>
                <w:bCs w:val="0"/>
                <w:color w:val="auto"/>
                <w:sz w:val="24"/>
                <w:szCs w:val="24"/>
              </w:rPr>
              <w:t>签订协议，污水委托处理合同</w:t>
            </w:r>
            <w:r>
              <w:rPr>
                <w:rFonts w:hint="default" w:ascii="Times New Roman" w:hAnsi="Times New Roman" w:eastAsia="宋体" w:cs="Times New Roman"/>
                <w:b w:val="0"/>
                <w:bCs w:val="0"/>
                <w:color w:val="auto"/>
                <w:sz w:val="24"/>
                <w:szCs w:val="24"/>
                <w:lang w:val="en-US" w:eastAsia="zh-CN"/>
              </w:rPr>
              <w:t>详见附件</w:t>
            </w:r>
            <w:r>
              <w:rPr>
                <w:rFonts w:hint="default" w:ascii="Times New Roman" w:hAnsi="Times New Roman" w:eastAsia="宋体" w:cs="Times New Roman"/>
                <w:b w:val="0"/>
                <w:bCs w:val="0"/>
                <w:color w:val="auto"/>
                <w:sz w:val="24"/>
                <w:szCs w:val="24"/>
              </w:rPr>
              <w:t>。</w:t>
            </w:r>
          </w:p>
          <w:p w14:paraId="6B705BED">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（3）污水处理厂工艺可行性分析</w:t>
            </w:r>
          </w:p>
          <w:p w14:paraId="77BD7230">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color w:val="auto"/>
                <w:kern w:val="0"/>
                <w:sz w:val="24"/>
                <w:szCs w:val="24"/>
                <w:lang w:val="en-US" w:eastAsia="zh-CN" w:bidi="ar-SA"/>
              </w:rPr>
              <w:t>农村生活污水站</w:t>
            </w:r>
            <w:r>
              <w:rPr>
                <w:rFonts w:hint="default" w:ascii="Times New Roman" w:hAnsi="Times New Roman" w:eastAsia="宋体" w:cs="Times New Roman"/>
                <w:b w:val="0"/>
                <w:bCs w:val="0"/>
                <w:color w:val="auto"/>
                <w:sz w:val="24"/>
                <w:szCs w:val="24"/>
              </w:rPr>
              <w:t>主要采用“A</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O+人工湿地”污水处理工艺，目前已建成投入运行。污水经格栅井隔离大块杂物，进入调节池，由提升泵提升至厌氧池、缺氧池、好氧池、沉淀池（A</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/O</w:t>
            </w:r>
            <w:r>
              <w:rPr>
                <w:rFonts w:hint="default" w:ascii="Times New Roman" w:hAnsi="Times New Roman" w:eastAsia="宋体" w:cs="Times New Roman"/>
                <w:b w:val="0"/>
                <w:bCs w:val="0"/>
                <w:color w:val="auto"/>
                <w:sz w:val="24"/>
                <w:szCs w:val="24"/>
                <w:lang w:val="en-US" w:eastAsia="zh-CN"/>
              </w:rPr>
              <w:t>一</w:t>
            </w:r>
            <w:r>
              <w:rPr>
                <w:rFonts w:hint="default" w:ascii="Times New Roman" w:hAnsi="Times New Roman" w:eastAsia="宋体" w:cs="Times New Roman"/>
                <w:b w:val="0"/>
                <w:bCs w:val="0"/>
                <w:color w:val="auto"/>
                <w:sz w:val="24"/>
                <w:szCs w:val="24"/>
              </w:rPr>
              <w:t>体化池），污水在A</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/O</w:t>
            </w:r>
            <w:r>
              <w:rPr>
                <w:rFonts w:hint="default" w:ascii="Times New Roman" w:hAnsi="Times New Roman" w:eastAsia="宋体" w:cs="Times New Roman"/>
                <w:b w:val="0"/>
                <w:bCs w:val="0"/>
                <w:color w:val="auto"/>
                <w:sz w:val="24"/>
                <w:szCs w:val="24"/>
                <w:lang w:val="en-US" w:eastAsia="zh-CN"/>
              </w:rPr>
              <w:t>一</w:t>
            </w:r>
            <w:r>
              <w:rPr>
                <w:rFonts w:hint="default" w:ascii="Times New Roman" w:hAnsi="Times New Roman" w:eastAsia="宋体" w:cs="Times New Roman"/>
                <w:b w:val="0"/>
                <w:bCs w:val="0"/>
                <w:color w:val="auto"/>
                <w:sz w:val="24"/>
                <w:szCs w:val="24"/>
              </w:rPr>
              <w:t>体化池内停留一定时间后以便微生物对有机物进行充分的生物降解，并去除一定量的污染物质；经过沉淀池之后，上清液流入人工湿地，污染物经植物吸收以及微生物的作用被大量去除，处理后的污水经出水井排入人工湿地并达标排放</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尾水可满足</w:t>
            </w:r>
            <w:r>
              <w:rPr>
                <w:rFonts w:hint="default" w:ascii="Times New Roman" w:hAnsi="Times New Roman" w:eastAsia="宋体" w:cs="Times New Roman"/>
                <w:b w:val="0"/>
                <w:bCs w:val="0"/>
                <w:color w:val="auto"/>
                <w:sz w:val="24"/>
                <w:szCs w:val="24"/>
                <w:lang w:eastAsia="zh-CN"/>
              </w:rPr>
              <w:t>《农村生活污水处理设施水污染物排放标准》</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DB32/3462-2020</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表2水污染物特别排放限值</w:t>
            </w:r>
            <w:r>
              <w:rPr>
                <w:rFonts w:hint="default" w:ascii="Times New Roman" w:hAnsi="Times New Roman" w:eastAsia="宋体" w:cs="Times New Roman"/>
                <w:b w:val="0"/>
                <w:bCs w:val="0"/>
                <w:color w:val="auto"/>
                <w:sz w:val="24"/>
                <w:szCs w:val="24"/>
              </w:rPr>
              <w:t>。污水处理过程中产生的大块杂物、污泥等固体废弃物运往垃圾填埋场进行填埋处理。</w:t>
            </w:r>
          </w:p>
          <w:p w14:paraId="3FC50894">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color w:val="auto"/>
                <w:kern w:val="0"/>
                <w:sz w:val="24"/>
                <w:szCs w:val="24"/>
                <w:lang w:val="en-US" w:eastAsia="zh-CN" w:bidi="ar-SA"/>
              </w:rPr>
              <w:t>农村生活污水站</w:t>
            </w:r>
            <w:r>
              <w:rPr>
                <w:rFonts w:hint="default" w:ascii="Times New Roman" w:hAnsi="Times New Roman" w:eastAsia="宋体" w:cs="Times New Roman"/>
                <w:b w:val="0"/>
                <w:bCs w:val="0"/>
                <w:color w:val="auto"/>
                <w:sz w:val="24"/>
                <w:szCs w:val="24"/>
              </w:rPr>
              <w:t>污水处理工艺流程见图</w:t>
            </w:r>
            <w:r>
              <w:rPr>
                <w:rFonts w:hint="default"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w:t>
            </w:r>
          </w:p>
          <w:p w14:paraId="108C71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drawing>
                <wp:inline distT="0" distB="0" distL="114300" distR="114300">
                  <wp:extent cx="3945255" cy="1628775"/>
                  <wp:effectExtent l="0" t="0" r="190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3945255" cy="1628775"/>
                          </a:xfrm>
                          <a:prstGeom prst="rect">
                            <a:avLst/>
                          </a:prstGeom>
                          <a:noFill/>
                          <a:ln>
                            <a:noFill/>
                          </a:ln>
                        </pic:spPr>
                      </pic:pic>
                    </a:graphicData>
                  </a:graphic>
                </wp:inline>
              </w:drawing>
            </w:r>
          </w:p>
          <w:p w14:paraId="3832C33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图4-</w:t>
            </w:r>
            <w:r>
              <w:rPr>
                <w:rFonts w:hint="eastAsia"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b/>
                <w:bCs/>
                <w:color w:val="auto"/>
                <w:sz w:val="24"/>
                <w:szCs w:val="24"/>
              </w:rPr>
              <w:t>污水处理厂处理工艺流程图</w:t>
            </w:r>
          </w:p>
          <w:p w14:paraId="01602FF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综上所述，本项目从</w:t>
            </w:r>
            <w:r>
              <w:rPr>
                <w:rFonts w:hint="eastAsia" w:ascii="Times New Roman" w:hAnsi="Times New Roman" w:eastAsia="宋体" w:cs="Times New Roman"/>
                <w:bCs/>
                <w:color w:val="auto"/>
                <w:sz w:val="24"/>
                <w:highlight w:val="none"/>
                <w:lang w:val="en-US" w:eastAsia="zh-CN"/>
              </w:rPr>
              <w:t>水量、水质</w:t>
            </w:r>
            <w:r>
              <w:rPr>
                <w:rFonts w:hint="default" w:ascii="Times New Roman" w:hAnsi="Times New Roman" w:eastAsia="宋体" w:cs="Times New Roman"/>
                <w:bCs/>
                <w:color w:val="auto"/>
                <w:sz w:val="24"/>
                <w:highlight w:val="none"/>
                <w:lang w:val="en-US" w:eastAsia="zh-CN"/>
              </w:rPr>
              <w:t>、处理工艺以及水量水质来看，本项目运营后污水接入</w:t>
            </w:r>
            <w:r>
              <w:rPr>
                <w:rFonts w:hint="eastAsia" w:ascii="Times New Roman" w:hAnsi="Times New Roman" w:eastAsia="宋体" w:cs="Times New Roman"/>
                <w:bCs/>
                <w:color w:val="auto"/>
                <w:sz w:val="24"/>
                <w:lang w:val="en-US" w:eastAsia="zh-CN"/>
              </w:rPr>
              <w:t>唐王村农村生活污水处理站</w:t>
            </w:r>
            <w:r>
              <w:rPr>
                <w:rFonts w:hint="default" w:ascii="Times New Roman" w:hAnsi="Times New Roman" w:eastAsia="宋体" w:cs="Times New Roman"/>
                <w:bCs/>
                <w:color w:val="auto"/>
                <w:sz w:val="24"/>
                <w:highlight w:val="none"/>
                <w:lang w:val="en-US" w:eastAsia="zh-CN"/>
              </w:rPr>
              <w:t>处理是可行的。</w:t>
            </w:r>
          </w:p>
          <w:p w14:paraId="6FDE9BCE">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4.废水排放情况</w:t>
            </w:r>
          </w:p>
          <w:p w14:paraId="7F1C280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（1）废水排放情况汇总</w:t>
            </w:r>
          </w:p>
          <w:p w14:paraId="614E244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w:t>
            </w:r>
            <w:r>
              <w:rPr>
                <w:rFonts w:hint="eastAsia" w:ascii="Times New Roman" w:hAnsi="Times New Roman" w:eastAsia="宋体" w:cs="Times New Roman"/>
                <w:bCs/>
                <w:color w:val="auto"/>
                <w:sz w:val="24"/>
                <w:highlight w:val="none"/>
                <w:lang w:val="en-US" w:eastAsia="zh-CN"/>
              </w:rPr>
              <w:t>接管至</w:t>
            </w:r>
            <w:r>
              <w:rPr>
                <w:rFonts w:hint="eastAsia" w:ascii="Times New Roman" w:hAnsi="Times New Roman" w:eastAsia="宋体" w:cs="Times New Roman"/>
                <w:bCs/>
                <w:color w:val="auto"/>
                <w:sz w:val="24"/>
                <w:lang w:val="en-US" w:eastAsia="zh-CN"/>
              </w:rPr>
              <w:t>唐王村农村生活污水处理站</w:t>
            </w:r>
            <w:r>
              <w:rPr>
                <w:rFonts w:hint="default" w:ascii="Times New Roman" w:hAnsi="Times New Roman" w:eastAsia="宋体" w:cs="Times New Roman"/>
                <w:bCs/>
                <w:color w:val="auto"/>
                <w:sz w:val="24"/>
                <w:highlight w:val="none"/>
                <w:lang w:val="en-US" w:eastAsia="zh-CN"/>
              </w:rPr>
              <w:t>集中处理，废水产生及排放情况见下表。</w:t>
            </w:r>
          </w:p>
          <w:p w14:paraId="54F74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本项目废水污染物排放情况表</w:t>
            </w:r>
          </w:p>
          <w:tbl>
            <w:tblPr>
              <w:tblStyle w:val="2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6"/>
              <w:gridCol w:w="845"/>
              <w:gridCol w:w="845"/>
              <w:gridCol w:w="852"/>
              <w:gridCol w:w="1114"/>
              <w:gridCol w:w="721"/>
              <w:gridCol w:w="721"/>
              <w:gridCol w:w="789"/>
              <w:gridCol w:w="796"/>
              <w:gridCol w:w="914"/>
            </w:tblGrid>
            <w:tr w14:paraId="219608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5EE82AC3">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废水产生源</w:t>
                  </w:r>
                </w:p>
              </w:tc>
              <w:tc>
                <w:tcPr>
                  <w:tcW w:w="1534" w:type="pct"/>
                  <w:gridSpan w:val="3"/>
                  <w:vAlign w:val="center"/>
                </w:tcPr>
                <w:p w14:paraId="35848A18">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污染物产生情况</w:t>
                  </w:r>
                </w:p>
              </w:tc>
              <w:tc>
                <w:tcPr>
                  <w:tcW w:w="672" w:type="pct"/>
                  <w:vMerge w:val="restart"/>
                  <w:vAlign w:val="center"/>
                </w:tcPr>
                <w:p w14:paraId="7BC2124E">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拟采取</w:t>
                  </w:r>
                </w:p>
                <w:p w14:paraId="7F06F720">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措施</w:t>
                  </w:r>
                </w:p>
              </w:tc>
              <w:tc>
                <w:tcPr>
                  <w:tcW w:w="1346" w:type="pct"/>
                  <w:gridSpan w:val="3"/>
                  <w:vAlign w:val="center"/>
                </w:tcPr>
                <w:p w14:paraId="4A22D33A">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污染物排放情况</w:t>
                  </w:r>
                </w:p>
              </w:tc>
              <w:tc>
                <w:tcPr>
                  <w:tcW w:w="480" w:type="pct"/>
                  <w:vMerge w:val="restart"/>
                  <w:vAlign w:val="center"/>
                </w:tcPr>
                <w:p w14:paraId="52CE84B7">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w:t>
                  </w:r>
                </w:p>
                <w:p w14:paraId="2C796228">
                  <w:pPr>
                    <w:tabs>
                      <w:tab w:val="left" w:pos="6840"/>
                    </w:tabs>
                    <w:spacing w:line="270" w:lineRule="exact"/>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标准</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mg/L</w:t>
                  </w:r>
                  <w:r>
                    <w:rPr>
                      <w:rFonts w:hint="default" w:ascii="Times New Roman" w:hAnsi="Times New Roman" w:eastAsia="宋体" w:cs="Times New Roman"/>
                      <w:b/>
                      <w:bCs/>
                      <w:color w:val="auto"/>
                      <w:szCs w:val="21"/>
                      <w:lang w:eastAsia="zh-CN"/>
                    </w:rPr>
                    <w:t>）</w:t>
                  </w:r>
                </w:p>
              </w:tc>
              <w:tc>
                <w:tcPr>
                  <w:tcW w:w="551" w:type="pct"/>
                  <w:vMerge w:val="restart"/>
                  <w:vAlign w:val="center"/>
                </w:tcPr>
                <w:p w14:paraId="3B305125">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排放方式与去向</w:t>
                  </w:r>
                </w:p>
              </w:tc>
            </w:tr>
            <w:tr w14:paraId="29EE3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10B02F4D">
                  <w:pPr>
                    <w:tabs>
                      <w:tab w:val="left" w:pos="6840"/>
                    </w:tabs>
                    <w:spacing w:line="270" w:lineRule="exact"/>
                    <w:jc w:val="center"/>
                    <w:rPr>
                      <w:rFonts w:hint="default" w:ascii="Times New Roman" w:hAnsi="Times New Roman" w:eastAsia="宋体" w:cs="Times New Roman"/>
                      <w:b/>
                      <w:bCs/>
                      <w:color w:val="auto"/>
                      <w:szCs w:val="21"/>
                    </w:rPr>
                  </w:pPr>
                </w:p>
              </w:tc>
              <w:tc>
                <w:tcPr>
                  <w:tcW w:w="510" w:type="pct"/>
                  <w:vAlign w:val="center"/>
                </w:tcPr>
                <w:p w14:paraId="00D4FC55">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4ACE3A31">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510" w:type="pct"/>
                  <w:vAlign w:val="center"/>
                </w:tcPr>
                <w:p w14:paraId="71B49F4F">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w:t>
                  </w:r>
                </w:p>
                <w:p w14:paraId="0F121041">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mg/L</w:t>
                  </w:r>
                </w:p>
              </w:tc>
              <w:tc>
                <w:tcPr>
                  <w:tcW w:w="514" w:type="pct"/>
                  <w:vAlign w:val="center"/>
                </w:tcPr>
                <w:p w14:paraId="71B52142">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产生量</w:t>
                  </w:r>
                </w:p>
                <w:p w14:paraId="0280B422">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t/a</w:t>
                  </w:r>
                </w:p>
              </w:tc>
              <w:tc>
                <w:tcPr>
                  <w:tcW w:w="672" w:type="pct"/>
                  <w:vMerge w:val="continue"/>
                  <w:vAlign w:val="center"/>
                </w:tcPr>
                <w:p w14:paraId="054DCB98">
                  <w:pPr>
                    <w:tabs>
                      <w:tab w:val="left" w:pos="6840"/>
                    </w:tabs>
                    <w:spacing w:line="270" w:lineRule="exact"/>
                    <w:jc w:val="center"/>
                    <w:rPr>
                      <w:rFonts w:hint="default" w:ascii="Times New Roman" w:hAnsi="Times New Roman" w:eastAsia="宋体" w:cs="Times New Roman"/>
                      <w:b/>
                      <w:bCs/>
                      <w:color w:val="auto"/>
                      <w:szCs w:val="21"/>
                    </w:rPr>
                  </w:pPr>
                </w:p>
              </w:tc>
              <w:tc>
                <w:tcPr>
                  <w:tcW w:w="435" w:type="pct"/>
                  <w:vAlign w:val="center"/>
                </w:tcPr>
                <w:p w14:paraId="00023BF9">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2994588B">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435" w:type="pct"/>
                  <w:vAlign w:val="center"/>
                </w:tcPr>
                <w:p w14:paraId="041E4B44">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浓度</w:t>
                  </w:r>
                </w:p>
                <w:p w14:paraId="08CF3A38">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mg/L</w:t>
                  </w:r>
                </w:p>
              </w:tc>
              <w:tc>
                <w:tcPr>
                  <w:tcW w:w="476" w:type="pct"/>
                  <w:vAlign w:val="center"/>
                </w:tcPr>
                <w:p w14:paraId="54350B98">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排放量</w:t>
                  </w:r>
                </w:p>
                <w:p w14:paraId="6A8D195E">
                  <w:pPr>
                    <w:tabs>
                      <w:tab w:val="left" w:pos="6840"/>
                    </w:tabs>
                    <w:spacing w:line="27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t/a</w:t>
                  </w:r>
                </w:p>
              </w:tc>
              <w:tc>
                <w:tcPr>
                  <w:tcW w:w="480" w:type="pct"/>
                  <w:vMerge w:val="continue"/>
                  <w:vAlign w:val="center"/>
                </w:tcPr>
                <w:p w14:paraId="5EE90183">
                  <w:pPr>
                    <w:tabs>
                      <w:tab w:val="left" w:pos="6840"/>
                    </w:tabs>
                    <w:spacing w:line="270" w:lineRule="exact"/>
                    <w:jc w:val="center"/>
                    <w:rPr>
                      <w:rFonts w:hint="default" w:ascii="Times New Roman" w:hAnsi="Times New Roman" w:eastAsia="宋体" w:cs="Times New Roman"/>
                      <w:color w:val="auto"/>
                      <w:szCs w:val="21"/>
                    </w:rPr>
                  </w:pPr>
                </w:p>
              </w:tc>
              <w:tc>
                <w:tcPr>
                  <w:tcW w:w="551" w:type="pct"/>
                  <w:vMerge w:val="continue"/>
                  <w:vAlign w:val="center"/>
                </w:tcPr>
                <w:p w14:paraId="0C1AD789">
                  <w:pPr>
                    <w:tabs>
                      <w:tab w:val="left" w:pos="6840"/>
                    </w:tabs>
                    <w:spacing w:line="270" w:lineRule="exact"/>
                    <w:jc w:val="center"/>
                    <w:rPr>
                      <w:rFonts w:hint="default" w:ascii="Times New Roman" w:hAnsi="Times New Roman" w:eastAsia="宋体" w:cs="Times New Roman"/>
                      <w:color w:val="auto"/>
                      <w:szCs w:val="21"/>
                    </w:rPr>
                  </w:pPr>
                </w:p>
              </w:tc>
            </w:tr>
            <w:tr w14:paraId="21195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2004574D">
                  <w:pPr>
                    <w:tabs>
                      <w:tab w:val="left" w:pos="6840"/>
                    </w:tabs>
                    <w:spacing w:line="27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生活</w:t>
                  </w:r>
                  <w:r>
                    <w:rPr>
                      <w:rFonts w:hint="default" w:ascii="Times New Roman" w:hAnsi="Times New Roman" w:eastAsia="宋体" w:cs="Times New Roman"/>
                      <w:color w:val="auto"/>
                      <w:sz w:val="21"/>
                      <w:szCs w:val="21"/>
                    </w:rPr>
                    <w:t>污水</w:t>
                  </w:r>
                  <w:r>
                    <w:rPr>
                      <w:rFonts w:hint="eastAsia" w:ascii="Times New Roman" w:hAnsi="Times New Roman" w:eastAsia="宋体" w:cs="Times New Roman"/>
                      <w:color w:val="auto"/>
                      <w:sz w:val="21"/>
                      <w:szCs w:val="21"/>
                      <w:lang w:val="en-US" w:eastAsia="zh-CN"/>
                    </w:rPr>
                    <w:t>144</w:t>
                  </w:r>
                </w:p>
                <w:p w14:paraId="5AD6BF9D">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t/a</w:t>
                  </w:r>
                </w:p>
              </w:tc>
              <w:tc>
                <w:tcPr>
                  <w:tcW w:w="510" w:type="pct"/>
                  <w:vAlign w:val="center"/>
                </w:tcPr>
                <w:p w14:paraId="157EF7A3">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510" w:type="pct"/>
                  <w:vAlign w:val="center"/>
                </w:tcPr>
                <w:p w14:paraId="0B0ED871">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514" w:type="pct"/>
                  <w:vAlign w:val="center"/>
                </w:tcPr>
                <w:p w14:paraId="5BDAE28C">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0.058</w:t>
                  </w:r>
                </w:p>
              </w:tc>
              <w:tc>
                <w:tcPr>
                  <w:tcW w:w="672" w:type="pct"/>
                  <w:vMerge w:val="restart"/>
                  <w:vAlign w:val="center"/>
                </w:tcPr>
                <w:p w14:paraId="0C5E2997">
                  <w:pPr>
                    <w:tabs>
                      <w:tab w:val="left" w:pos="6840"/>
                    </w:tabs>
                    <w:spacing w:line="27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c>
                <w:tcPr>
                  <w:tcW w:w="435" w:type="pct"/>
                  <w:vAlign w:val="center"/>
                </w:tcPr>
                <w:p w14:paraId="69FB23A2">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435" w:type="pct"/>
                  <w:vAlign w:val="center"/>
                </w:tcPr>
                <w:p w14:paraId="2E7E3CB3">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c>
                <w:tcPr>
                  <w:tcW w:w="476" w:type="pct"/>
                  <w:shd w:val="clear" w:color="auto" w:fill="auto"/>
                  <w:vAlign w:val="center"/>
                </w:tcPr>
                <w:p w14:paraId="09C463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0.058</w:t>
                  </w:r>
                </w:p>
              </w:tc>
              <w:tc>
                <w:tcPr>
                  <w:tcW w:w="480" w:type="pct"/>
                  <w:shd w:val="clear" w:color="auto" w:fill="auto"/>
                  <w:vAlign w:val="center"/>
                </w:tcPr>
                <w:p w14:paraId="032FF515">
                  <w:pPr>
                    <w:autoSpaceDE w:val="0"/>
                    <w:autoSpaceDN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45</w:t>
                  </w:r>
                  <w:r>
                    <w:rPr>
                      <w:rFonts w:hint="default" w:ascii="Times New Roman" w:hAnsi="Times New Roman" w:eastAsia="仿宋" w:cs="Times New Roman"/>
                      <w:color w:val="auto"/>
                      <w:szCs w:val="21"/>
                    </w:rPr>
                    <w:t>0</w:t>
                  </w:r>
                </w:p>
              </w:tc>
              <w:tc>
                <w:tcPr>
                  <w:tcW w:w="551" w:type="pct"/>
                  <w:vMerge w:val="restart"/>
                  <w:vAlign w:val="center"/>
                </w:tcPr>
                <w:p w14:paraId="05173C2C">
                  <w:pPr>
                    <w:tabs>
                      <w:tab w:val="left" w:pos="6840"/>
                    </w:tabs>
                    <w:spacing w:line="270" w:lineRule="exact"/>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接管至唐王村农村生活污水处理站</w:t>
                  </w:r>
                </w:p>
              </w:tc>
            </w:tr>
            <w:tr w14:paraId="4C0706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B52D37A">
                  <w:pPr>
                    <w:tabs>
                      <w:tab w:val="left" w:pos="6840"/>
                    </w:tabs>
                    <w:spacing w:line="270" w:lineRule="exact"/>
                    <w:jc w:val="center"/>
                    <w:rPr>
                      <w:rFonts w:hint="default" w:ascii="Times New Roman" w:hAnsi="Times New Roman" w:eastAsia="宋体" w:cs="Times New Roman"/>
                      <w:color w:val="auto"/>
                      <w:szCs w:val="21"/>
                    </w:rPr>
                  </w:pPr>
                </w:p>
              </w:tc>
              <w:tc>
                <w:tcPr>
                  <w:tcW w:w="510" w:type="pct"/>
                  <w:vAlign w:val="center"/>
                </w:tcPr>
                <w:p w14:paraId="49B37CD6">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510" w:type="pct"/>
                  <w:vAlign w:val="center"/>
                </w:tcPr>
                <w:p w14:paraId="4469A73C">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0</w:t>
                  </w:r>
                </w:p>
              </w:tc>
              <w:tc>
                <w:tcPr>
                  <w:tcW w:w="514" w:type="pct"/>
                  <w:vAlign w:val="center"/>
                </w:tcPr>
                <w:p w14:paraId="6BB8A0B0">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0.029</w:t>
                  </w:r>
                </w:p>
              </w:tc>
              <w:tc>
                <w:tcPr>
                  <w:tcW w:w="672" w:type="pct"/>
                  <w:vMerge w:val="continue"/>
                  <w:vAlign w:val="center"/>
                </w:tcPr>
                <w:p w14:paraId="0055C47F">
                  <w:pPr>
                    <w:tabs>
                      <w:tab w:val="left" w:pos="6840"/>
                    </w:tabs>
                    <w:spacing w:line="270" w:lineRule="exact"/>
                    <w:jc w:val="center"/>
                    <w:rPr>
                      <w:rFonts w:hint="default" w:ascii="Times New Roman" w:hAnsi="Times New Roman" w:eastAsia="宋体" w:cs="Times New Roman"/>
                      <w:color w:val="auto"/>
                      <w:szCs w:val="21"/>
                    </w:rPr>
                  </w:pPr>
                </w:p>
              </w:tc>
              <w:tc>
                <w:tcPr>
                  <w:tcW w:w="435" w:type="pct"/>
                  <w:vAlign w:val="center"/>
                </w:tcPr>
                <w:p w14:paraId="01BEE844">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435" w:type="pct"/>
                  <w:vAlign w:val="center"/>
                </w:tcPr>
                <w:p w14:paraId="13C364E7">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0</w:t>
                  </w:r>
                </w:p>
              </w:tc>
              <w:tc>
                <w:tcPr>
                  <w:tcW w:w="476" w:type="pct"/>
                  <w:shd w:val="clear" w:color="auto" w:fill="auto"/>
                  <w:vAlign w:val="center"/>
                </w:tcPr>
                <w:p w14:paraId="2A99A9B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0.029</w:t>
                  </w:r>
                </w:p>
              </w:tc>
              <w:tc>
                <w:tcPr>
                  <w:tcW w:w="480" w:type="pct"/>
                  <w:shd w:val="clear" w:color="auto" w:fill="auto"/>
                  <w:vAlign w:val="center"/>
                </w:tcPr>
                <w:p w14:paraId="0863A10E">
                  <w:pPr>
                    <w:widowControl/>
                    <w:autoSpaceDE w:val="0"/>
                    <w:autoSpaceDN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35</w:t>
                  </w:r>
                  <w:r>
                    <w:rPr>
                      <w:rFonts w:hint="default" w:ascii="Times New Roman" w:hAnsi="Times New Roman" w:eastAsia="仿宋" w:cs="Times New Roman"/>
                      <w:color w:val="auto"/>
                      <w:szCs w:val="21"/>
                    </w:rPr>
                    <w:t>0</w:t>
                  </w:r>
                </w:p>
              </w:tc>
              <w:tc>
                <w:tcPr>
                  <w:tcW w:w="551" w:type="pct"/>
                  <w:vMerge w:val="continue"/>
                  <w:vAlign w:val="center"/>
                </w:tcPr>
                <w:p w14:paraId="7E83F509">
                  <w:pPr>
                    <w:tabs>
                      <w:tab w:val="left" w:pos="6840"/>
                    </w:tabs>
                    <w:spacing w:line="270" w:lineRule="exact"/>
                    <w:jc w:val="center"/>
                    <w:rPr>
                      <w:rFonts w:hint="default" w:ascii="Times New Roman" w:hAnsi="Times New Roman" w:eastAsia="宋体" w:cs="Times New Roman"/>
                      <w:color w:val="auto"/>
                      <w:szCs w:val="21"/>
                    </w:rPr>
                  </w:pPr>
                </w:p>
              </w:tc>
            </w:tr>
            <w:tr w14:paraId="2A8900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3352A69">
                  <w:pPr>
                    <w:tabs>
                      <w:tab w:val="left" w:pos="6840"/>
                    </w:tabs>
                    <w:spacing w:line="270" w:lineRule="exact"/>
                    <w:jc w:val="center"/>
                    <w:rPr>
                      <w:rFonts w:hint="default" w:ascii="Times New Roman" w:hAnsi="Times New Roman" w:eastAsia="宋体" w:cs="Times New Roman"/>
                      <w:color w:val="auto"/>
                      <w:szCs w:val="21"/>
                    </w:rPr>
                  </w:pPr>
                </w:p>
              </w:tc>
              <w:tc>
                <w:tcPr>
                  <w:tcW w:w="510" w:type="pct"/>
                  <w:vAlign w:val="center"/>
                </w:tcPr>
                <w:p w14:paraId="483570F0">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510" w:type="pct"/>
                  <w:vAlign w:val="center"/>
                </w:tcPr>
                <w:p w14:paraId="462C8198">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514" w:type="pct"/>
                  <w:vAlign w:val="center"/>
                </w:tcPr>
                <w:p w14:paraId="11849BDB">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672" w:type="pct"/>
                  <w:vMerge w:val="continue"/>
                  <w:vAlign w:val="center"/>
                </w:tcPr>
                <w:p w14:paraId="69AEC841">
                  <w:pPr>
                    <w:tabs>
                      <w:tab w:val="left" w:pos="6840"/>
                    </w:tabs>
                    <w:spacing w:line="270" w:lineRule="exact"/>
                    <w:jc w:val="center"/>
                    <w:rPr>
                      <w:rFonts w:hint="default" w:ascii="Times New Roman" w:hAnsi="Times New Roman" w:eastAsia="宋体" w:cs="Times New Roman"/>
                      <w:color w:val="auto"/>
                      <w:szCs w:val="21"/>
                    </w:rPr>
                  </w:pPr>
                </w:p>
              </w:tc>
              <w:tc>
                <w:tcPr>
                  <w:tcW w:w="435" w:type="pct"/>
                  <w:vAlign w:val="center"/>
                </w:tcPr>
                <w:p w14:paraId="4DC30E24">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435" w:type="pct"/>
                  <w:vAlign w:val="center"/>
                </w:tcPr>
                <w:p w14:paraId="6B996BED">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476" w:type="pct"/>
                  <w:shd w:val="clear" w:color="auto" w:fill="auto"/>
                  <w:vAlign w:val="center"/>
                </w:tcPr>
                <w:p w14:paraId="116F047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480" w:type="pct"/>
                  <w:shd w:val="clear" w:color="auto" w:fill="auto"/>
                  <w:vAlign w:val="center"/>
                </w:tcPr>
                <w:p w14:paraId="5CBF6EE1">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4</w:t>
                  </w:r>
                  <w:r>
                    <w:rPr>
                      <w:rFonts w:hint="eastAsia" w:ascii="Times New Roman" w:hAnsi="Times New Roman" w:eastAsia="仿宋" w:cs="Times New Roman"/>
                      <w:color w:val="auto"/>
                      <w:szCs w:val="21"/>
                      <w:lang w:val="en-US" w:eastAsia="zh-CN"/>
                    </w:rPr>
                    <w:t>0</w:t>
                  </w:r>
                </w:p>
              </w:tc>
              <w:tc>
                <w:tcPr>
                  <w:tcW w:w="551" w:type="pct"/>
                  <w:vMerge w:val="continue"/>
                  <w:vAlign w:val="center"/>
                </w:tcPr>
                <w:p w14:paraId="62D0A999">
                  <w:pPr>
                    <w:tabs>
                      <w:tab w:val="left" w:pos="6840"/>
                    </w:tabs>
                    <w:spacing w:line="270" w:lineRule="exact"/>
                    <w:jc w:val="center"/>
                    <w:rPr>
                      <w:rFonts w:hint="default" w:ascii="Times New Roman" w:hAnsi="Times New Roman" w:eastAsia="宋体" w:cs="Times New Roman"/>
                      <w:color w:val="auto"/>
                      <w:szCs w:val="21"/>
                    </w:rPr>
                  </w:pPr>
                </w:p>
              </w:tc>
            </w:tr>
            <w:tr w14:paraId="6F7A1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1A40382E">
                  <w:pPr>
                    <w:tabs>
                      <w:tab w:val="left" w:pos="6840"/>
                    </w:tabs>
                    <w:spacing w:line="270" w:lineRule="exact"/>
                    <w:jc w:val="center"/>
                    <w:rPr>
                      <w:rFonts w:hint="default" w:ascii="Times New Roman" w:hAnsi="Times New Roman" w:eastAsia="宋体" w:cs="Times New Roman"/>
                      <w:color w:val="auto"/>
                      <w:szCs w:val="21"/>
                    </w:rPr>
                  </w:pPr>
                </w:p>
              </w:tc>
              <w:tc>
                <w:tcPr>
                  <w:tcW w:w="510" w:type="pct"/>
                  <w:vAlign w:val="center"/>
                </w:tcPr>
                <w:p w14:paraId="548F448C">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510" w:type="pct"/>
                  <w:vAlign w:val="center"/>
                </w:tcPr>
                <w:p w14:paraId="2D16DD1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w:t>
                  </w:r>
                </w:p>
              </w:tc>
              <w:tc>
                <w:tcPr>
                  <w:tcW w:w="514" w:type="pct"/>
                  <w:vAlign w:val="center"/>
                </w:tcPr>
                <w:p w14:paraId="58B1DDC0">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672" w:type="pct"/>
                  <w:vMerge w:val="continue"/>
                  <w:vAlign w:val="center"/>
                </w:tcPr>
                <w:p w14:paraId="099C4578">
                  <w:pPr>
                    <w:tabs>
                      <w:tab w:val="left" w:pos="6840"/>
                    </w:tabs>
                    <w:spacing w:line="270" w:lineRule="exact"/>
                    <w:jc w:val="center"/>
                    <w:rPr>
                      <w:rFonts w:hint="default" w:ascii="Times New Roman" w:hAnsi="Times New Roman" w:eastAsia="宋体" w:cs="Times New Roman"/>
                      <w:color w:val="auto"/>
                      <w:szCs w:val="21"/>
                    </w:rPr>
                  </w:pPr>
                </w:p>
              </w:tc>
              <w:tc>
                <w:tcPr>
                  <w:tcW w:w="435" w:type="pct"/>
                  <w:vAlign w:val="center"/>
                </w:tcPr>
                <w:p w14:paraId="716B3573">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435" w:type="pct"/>
                  <w:vAlign w:val="center"/>
                </w:tcPr>
                <w:p w14:paraId="7938CFC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w:t>
                  </w:r>
                </w:p>
              </w:tc>
              <w:tc>
                <w:tcPr>
                  <w:tcW w:w="476" w:type="pct"/>
                  <w:shd w:val="clear" w:color="auto" w:fill="auto"/>
                  <w:vAlign w:val="center"/>
                </w:tcPr>
                <w:p w14:paraId="592AC8E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480" w:type="pct"/>
                  <w:shd w:val="clear" w:color="auto" w:fill="auto"/>
                  <w:vAlign w:val="center"/>
                </w:tcPr>
                <w:p w14:paraId="4A51430C">
                  <w:pPr>
                    <w:widowControl/>
                    <w:autoSpaceDE w:val="0"/>
                    <w:autoSpaceDN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70</w:t>
                  </w:r>
                </w:p>
              </w:tc>
              <w:tc>
                <w:tcPr>
                  <w:tcW w:w="551" w:type="pct"/>
                  <w:vMerge w:val="continue"/>
                  <w:vAlign w:val="center"/>
                </w:tcPr>
                <w:p w14:paraId="4C90DD63">
                  <w:pPr>
                    <w:tabs>
                      <w:tab w:val="left" w:pos="6840"/>
                    </w:tabs>
                    <w:spacing w:line="270" w:lineRule="exact"/>
                    <w:jc w:val="center"/>
                    <w:rPr>
                      <w:rFonts w:hint="default" w:ascii="Times New Roman" w:hAnsi="Times New Roman" w:eastAsia="宋体" w:cs="Times New Roman"/>
                      <w:color w:val="auto"/>
                      <w:szCs w:val="21"/>
                    </w:rPr>
                  </w:pPr>
                </w:p>
              </w:tc>
            </w:tr>
            <w:tr w14:paraId="09729F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72237FC4">
                  <w:pPr>
                    <w:tabs>
                      <w:tab w:val="left" w:pos="6840"/>
                    </w:tabs>
                    <w:spacing w:line="270" w:lineRule="exact"/>
                    <w:jc w:val="center"/>
                    <w:rPr>
                      <w:rFonts w:hint="default" w:ascii="Times New Roman" w:hAnsi="Times New Roman" w:eastAsia="宋体" w:cs="Times New Roman"/>
                      <w:color w:val="auto"/>
                      <w:szCs w:val="21"/>
                    </w:rPr>
                  </w:pPr>
                </w:p>
              </w:tc>
              <w:tc>
                <w:tcPr>
                  <w:tcW w:w="510" w:type="pct"/>
                  <w:vAlign w:val="center"/>
                </w:tcPr>
                <w:p w14:paraId="7E0D5950">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510" w:type="pct"/>
                  <w:vAlign w:val="center"/>
                </w:tcPr>
                <w:p w14:paraId="601EC550">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2</w:t>
                  </w:r>
                </w:p>
              </w:tc>
              <w:tc>
                <w:tcPr>
                  <w:tcW w:w="514" w:type="pct"/>
                  <w:vAlign w:val="center"/>
                </w:tcPr>
                <w:p w14:paraId="64929D20">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672" w:type="pct"/>
                  <w:vMerge w:val="continue"/>
                  <w:vAlign w:val="center"/>
                </w:tcPr>
                <w:p w14:paraId="0B08D835">
                  <w:pPr>
                    <w:tabs>
                      <w:tab w:val="left" w:pos="6840"/>
                    </w:tabs>
                    <w:spacing w:line="270" w:lineRule="exact"/>
                    <w:jc w:val="center"/>
                    <w:rPr>
                      <w:rFonts w:hint="default" w:ascii="Times New Roman" w:hAnsi="Times New Roman" w:eastAsia="宋体" w:cs="Times New Roman"/>
                      <w:color w:val="auto"/>
                      <w:szCs w:val="21"/>
                    </w:rPr>
                  </w:pPr>
                </w:p>
              </w:tc>
              <w:tc>
                <w:tcPr>
                  <w:tcW w:w="435" w:type="pct"/>
                  <w:vAlign w:val="center"/>
                </w:tcPr>
                <w:p w14:paraId="5E005C58">
                  <w:pPr>
                    <w:tabs>
                      <w:tab w:val="left" w:pos="6840"/>
                    </w:tabs>
                    <w:spacing w:line="27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435" w:type="pct"/>
                  <w:vAlign w:val="center"/>
                </w:tcPr>
                <w:p w14:paraId="1BA875A1">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lang w:val="en-US" w:eastAsia="zh-CN"/>
                    </w:rPr>
                    <w:t>2</w:t>
                  </w:r>
                </w:p>
              </w:tc>
              <w:tc>
                <w:tcPr>
                  <w:tcW w:w="476" w:type="pct"/>
                  <w:shd w:val="clear" w:color="auto" w:fill="auto"/>
                  <w:vAlign w:val="center"/>
                </w:tcPr>
                <w:p w14:paraId="5A2C75E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480" w:type="pct"/>
                  <w:shd w:val="clear" w:color="auto" w:fill="auto"/>
                  <w:vAlign w:val="center"/>
                </w:tcPr>
                <w:p w14:paraId="1FF79952">
                  <w:pPr>
                    <w:widowControl/>
                    <w:autoSpaceDE w:val="0"/>
                    <w:autoSpaceDN w:val="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8</w:t>
                  </w:r>
                </w:p>
              </w:tc>
              <w:tc>
                <w:tcPr>
                  <w:tcW w:w="551" w:type="pct"/>
                  <w:vMerge w:val="continue"/>
                  <w:vAlign w:val="center"/>
                </w:tcPr>
                <w:p w14:paraId="2078B576">
                  <w:pPr>
                    <w:tabs>
                      <w:tab w:val="left" w:pos="6840"/>
                    </w:tabs>
                    <w:spacing w:line="270" w:lineRule="exact"/>
                    <w:jc w:val="center"/>
                    <w:rPr>
                      <w:rFonts w:hint="default" w:ascii="Times New Roman" w:hAnsi="Times New Roman" w:eastAsia="宋体" w:cs="Times New Roman"/>
                      <w:color w:val="auto"/>
                      <w:szCs w:val="21"/>
                    </w:rPr>
                  </w:pPr>
                </w:p>
              </w:tc>
            </w:tr>
          </w:tbl>
          <w:p w14:paraId="07E9734F">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（2）排放口基本信息</w:t>
            </w:r>
          </w:p>
          <w:p w14:paraId="57EDF0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kern w:val="2"/>
                <w:sz w:val="24"/>
                <w:szCs w:val="24"/>
                <w:highlight w:val="none"/>
                <w:lang w:val="en-US" w:eastAsia="zh-CN" w:bidi="ar-SA"/>
              </w:rPr>
              <w:t>项目</w:t>
            </w:r>
            <w:r>
              <w:rPr>
                <w:rFonts w:hint="default" w:ascii="Times New Roman" w:hAnsi="Times New Roman" w:eastAsia="宋体" w:cs="Times New Roman"/>
                <w:bCs/>
                <w:color w:val="auto"/>
                <w:sz w:val="24"/>
                <w:highlight w:val="none"/>
                <w:lang w:val="en-US" w:eastAsia="zh-CN"/>
              </w:rPr>
              <w:t>生活污水</w:t>
            </w:r>
            <w:r>
              <w:rPr>
                <w:rFonts w:hint="eastAsia" w:ascii="Times New Roman" w:hAnsi="Times New Roman" w:eastAsia="宋体" w:cs="Times New Roman"/>
                <w:bCs/>
                <w:color w:val="auto"/>
                <w:sz w:val="24"/>
                <w:highlight w:val="none"/>
                <w:lang w:val="en-US" w:eastAsia="zh-CN"/>
              </w:rPr>
              <w:t>接管至唐王村农村生活污水处理站</w:t>
            </w:r>
            <w:r>
              <w:rPr>
                <w:rFonts w:hint="default" w:ascii="Times New Roman" w:hAnsi="Times New Roman" w:eastAsia="宋体" w:cs="Times New Roman"/>
                <w:bCs/>
                <w:color w:val="auto"/>
                <w:sz w:val="24"/>
                <w:highlight w:val="none"/>
                <w:lang w:val="en-US" w:eastAsia="zh-CN"/>
              </w:rPr>
              <w:t>集中处理</w:t>
            </w:r>
            <w:r>
              <w:rPr>
                <w:rFonts w:hint="default" w:ascii="Times New Roman" w:hAnsi="Times New Roman" w:eastAsia="宋体" w:cs="Times New Roman"/>
                <w:b w:val="0"/>
                <w:bCs w:val="0"/>
                <w:color w:val="auto"/>
                <w:kern w:val="2"/>
                <w:sz w:val="24"/>
                <w:szCs w:val="24"/>
                <w:highlight w:val="none"/>
                <w:lang w:val="en-US" w:eastAsia="zh-CN" w:bidi="ar-SA"/>
              </w:rPr>
              <w:t>，排放口信息如下。</w:t>
            </w:r>
          </w:p>
          <w:p w14:paraId="12D6A1C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表4-1</w:t>
            </w:r>
            <w:r>
              <w:rPr>
                <w:rFonts w:hint="eastAsia" w:ascii="Times New Roman" w:hAnsi="Times New Roman" w:eastAsia="宋体" w:cs="Times New Roman"/>
                <w:b/>
                <w:bCs/>
                <w:color w:val="auto"/>
                <w:kern w:val="0"/>
                <w:sz w:val="24"/>
                <w:szCs w:val="24"/>
                <w:lang w:val="en-US" w:eastAsia="zh-CN"/>
              </w:rPr>
              <w:t>0</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废水污染物排放执行标准表</w:t>
            </w:r>
          </w:p>
          <w:tbl>
            <w:tblPr>
              <w:tblStyle w:val="29"/>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1"/>
              <w:gridCol w:w="850"/>
              <w:gridCol w:w="1663"/>
              <w:gridCol w:w="3007"/>
              <w:gridCol w:w="1394"/>
              <w:gridCol w:w="700"/>
            </w:tblGrid>
            <w:tr w14:paraId="57A62BA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4" w:type="pct"/>
                  <w:vMerge w:val="restart"/>
                  <w:tcBorders>
                    <w:tl2br w:val="nil"/>
                    <w:tr2bl w:val="nil"/>
                  </w:tcBorders>
                  <w:vAlign w:val="center"/>
                </w:tcPr>
                <w:p w14:paraId="0AA237B0">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序号</w:t>
                  </w:r>
                </w:p>
              </w:tc>
              <w:tc>
                <w:tcPr>
                  <w:tcW w:w="512" w:type="pct"/>
                  <w:vMerge w:val="restart"/>
                  <w:tcBorders>
                    <w:tl2br w:val="nil"/>
                    <w:tr2bl w:val="nil"/>
                  </w:tcBorders>
                  <w:vAlign w:val="center"/>
                </w:tcPr>
                <w:p w14:paraId="177DF028">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排放口编号</w:t>
                  </w:r>
                </w:p>
              </w:tc>
              <w:tc>
                <w:tcPr>
                  <w:tcW w:w="1003" w:type="pct"/>
                  <w:vMerge w:val="restart"/>
                  <w:tcBorders>
                    <w:tl2br w:val="nil"/>
                    <w:tr2bl w:val="nil"/>
                  </w:tcBorders>
                  <w:vAlign w:val="center"/>
                </w:tcPr>
                <w:p w14:paraId="714A6859">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污染物种类</w:t>
                  </w:r>
                </w:p>
              </w:tc>
              <w:tc>
                <w:tcPr>
                  <w:tcW w:w="3078" w:type="pct"/>
                  <w:gridSpan w:val="3"/>
                  <w:tcBorders>
                    <w:tl2br w:val="nil"/>
                    <w:tr2bl w:val="nil"/>
                  </w:tcBorders>
                  <w:vAlign w:val="center"/>
                </w:tcPr>
                <w:p w14:paraId="4F98313E">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国家或地方排放标准及其他按规定商议的排放协议</w:t>
                  </w:r>
                </w:p>
              </w:tc>
            </w:tr>
            <w:tr w14:paraId="3199CC8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4" w:type="pct"/>
                  <w:vMerge w:val="continue"/>
                  <w:tcBorders>
                    <w:tl2br w:val="nil"/>
                    <w:tr2bl w:val="nil"/>
                  </w:tcBorders>
                  <w:vAlign w:val="center"/>
                </w:tcPr>
                <w:p w14:paraId="48303FC6">
                  <w:pPr>
                    <w:jc w:val="center"/>
                    <w:rPr>
                      <w:rFonts w:hint="default" w:ascii="Times New Roman" w:hAnsi="Times New Roman" w:eastAsia="宋体" w:cs="Times New Roman"/>
                      <w:b/>
                      <w:bCs/>
                      <w:color w:val="auto"/>
                      <w:kern w:val="0"/>
                      <w:szCs w:val="21"/>
                    </w:rPr>
                  </w:pPr>
                </w:p>
              </w:tc>
              <w:tc>
                <w:tcPr>
                  <w:tcW w:w="512" w:type="pct"/>
                  <w:vMerge w:val="continue"/>
                  <w:tcBorders>
                    <w:tl2br w:val="nil"/>
                    <w:tr2bl w:val="nil"/>
                  </w:tcBorders>
                  <w:vAlign w:val="center"/>
                </w:tcPr>
                <w:p w14:paraId="3ACD8E28">
                  <w:pPr>
                    <w:jc w:val="center"/>
                    <w:rPr>
                      <w:rFonts w:hint="default" w:ascii="Times New Roman" w:hAnsi="Times New Roman" w:eastAsia="宋体" w:cs="Times New Roman"/>
                      <w:b/>
                      <w:bCs/>
                      <w:color w:val="auto"/>
                      <w:kern w:val="0"/>
                      <w:szCs w:val="21"/>
                    </w:rPr>
                  </w:pPr>
                </w:p>
              </w:tc>
              <w:tc>
                <w:tcPr>
                  <w:tcW w:w="1003" w:type="pct"/>
                  <w:vMerge w:val="continue"/>
                  <w:tcBorders>
                    <w:tl2br w:val="nil"/>
                    <w:tr2bl w:val="nil"/>
                  </w:tcBorders>
                  <w:vAlign w:val="center"/>
                </w:tcPr>
                <w:p w14:paraId="6B2B4238">
                  <w:pPr>
                    <w:jc w:val="center"/>
                    <w:rPr>
                      <w:rFonts w:hint="default" w:ascii="Times New Roman" w:hAnsi="Times New Roman" w:eastAsia="宋体" w:cs="Times New Roman"/>
                      <w:b/>
                      <w:bCs/>
                      <w:color w:val="auto"/>
                      <w:kern w:val="0"/>
                      <w:szCs w:val="21"/>
                    </w:rPr>
                  </w:pPr>
                </w:p>
              </w:tc>
              <w:tc>
                <w:tcPr>
                  <w:tcW w:w="1814" w:type="pct"/>
                  <w:tcBorders>
                    <w:tl2br w:val="nil"/>
                    <w:tr2bl w:val="nil"/>
                  </w:tcBorders>
                  <w:vAlign w:val="center"/>
                </w:tcPr>
                <w:p w14:paraId="62257803">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名称</w:t>
                  </w:r>
                </w:p>
              </w:tc>
              <w:tc>
                <w:tcPr>
                  <w:tcW w:w="1263" w:type="pct"/>
                  <w:gridSpan w:val="2"/>
                  <w:tcBorders>
                    <w:tl2br w:val="nil"/>
                    <w:tr2bl w:val="nil"/>
                  </w:tcBorders>
                  <w:vAlign w:val="center"/>
                </w:tcPr>
                <w:p w14:paraId="6E7F606B">
                  <w:pPr>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浓度限值（mg/L）</w:t>
                  </w:r>
                </w:p>
              </w:tc>
            </w:tr>
            <w:tr w14:paraId="3AAD0E2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4" w:type="pct"/>
                  <w:vMerge w:val="restart"/>
                  <w:tcBorders>
                    <w:tl2br w:val="nil"/>
                    <w:tr2bl w:val="nil"/>
                  </w:tcBorders>
                  <w:vAlign w:val="center"/>
                </w:tcPr>
                <w:p w14:paraId="45279ED8">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512" w:type="pct"/>
                  <w:vMerge w:val="restart"/>
                  <w:tcBorders>
                    <w:tl2br w:val="nil"/>
                    <w:tr2bl w:val="nil"/>
                  </w:tcBorders>
                  <w:vAlign w:val="center"/>
                </w:tcPr>
                <w:p w14:paraId="647D25F2">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DW001</w:t>
                  </w:r>
                </w:p>
              </w:tc>
              <w:tc>
                <w:tcPr>
                  <w:tcW w:w="1003" w:type="pct"/>
                  <w:vMerge w:val="restart"/>
                  <w:tcBorders>
                    <w:tl2br w:val="nil"/>
                    <w:tr2bl w:val="nil"/>
                  </w:tcBorders>
                  <w:vAlign w:val="center"/>
                </w:tcPr>
                <w:p w14:paraId="2D294CBD">
                  <w:pPr>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pH、COD、SS、NH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-N、TP、TN</w:t>
                  </w:r>
                </w:p>
              </w:tc>
              <w:tc>
                <w:tcPr>
                  <w:tcW w:w="1814" w:type="pct"/>
                  <w:vMerge w:val="restart"/>
                  <w:tcBorders>
                    <w:tl2br w:val="nil"/>
                    <w:tr2bl w:val="nil"/>
                  </w:tcBorders>
                  <w:vAlign w:val="center"/>
                </w:tcPr>
                <w:p w14:paraId="485674B5">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《污水排入城镇下水道水质标准》（GB/T31962-2015）中B级标准和唐王村农村生活污水处理站的接管标准</w:t>
                  </w:r>
                </w:p>
              </w:tc>
              <w:tc>
                <w:tcPr>
                  <w:tcW w:w="841" w:type="pct"/>
                  <w:tcBorders>
                    <w:tl2br w:val="nil"/>
                    <w:tr2bl w:val="nil"/>
                  </w:tcBorders>
                  <w:vAlign w:val="center"/>
                </w:tcPr>
                <w:p w14:paraId="69964C2A">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pH</w:t>
                  </w:r>
                </w:p>
              </w:tc>
              <w:tc>
                <w:tcPr>
                  <w:tcW w:w="422" w:type="pct"/>
                  <w:tcBorders>
                    <w:tl2br w:val="nil"/>
                    <w:tr2bl w:val="nil"/>
                  </w:tcBorders>
                  <w:vAlign w:val="center"/>
                </w:tcPr>
                <w:p w14:paraId="7AD0D664">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6~9</w:t>
                  </w:r>
                </w:p>
              </w:tc>
            </w:tr>
            <w:tr w14:paraId="50A424E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4" w:type="pct"/>
                  <w:vMerge w:val="continue"/>
                  <w:tcBorders>
                    <w:tl2br w:val="nil"/>
                    <w:tr2bl w:val="nil"/>
                  </w:tcBorders>
                  <w:vAlign w:val="center"/>
                </w:tcPr>
                <w:p w14:paraId="48B69996">
                  <w:pPr>
                    <w:jc w:val="center"/>
                    <w:rPr>
                      <w:rFonts w:hint="default" w:ascii="Times New Roman" w:hAnsi="Times New Roman" w:eastAsia="宋体" w:cs="Times New Roman"/>
                      <w:color w:val="auto"/>
                      <w:kern w:val="0"/>
                      <w:szCs w:val="21"/>
                    </w:rPr>
                  </w:pPr>
                </w:p>
              </w:tc>
              <w:tc>
                <w:tcPr>
                  <w:tcW w:w="512" w:type="pct"/>
                  <w:vMerge w:val="continue"/>
                  <w:tcBorders>
                    <w:tl2br w:val="nil"/>
                    <w:tr2bl w:val="nil"/>
                  </w:tcBorders>
                  <w:vAlign w:val="center"/>
                </w:tcPr>
                <w:p w14:paraId="5A670C7C">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55948EDF">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088B0497">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00D3B25E">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422" w:type="pct"/>
                  <w:tcBorders>
                    <w:tl2br w:val="nil"/>
                    <w:tr2bl w:val="nil"/>
                  </w:tcBorders>
                  <w:vAlign w:val="center"/>
                </w:tcPr>
                <w:p w14:paraId="4AFE9DD6">
                  <w:pPr>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Cs w:val="21"/>
                      <w:lang w:val="en-US" w:eastAsia="zh-CN"/>
                    </w:rPr>
                    <w:t>45</w:t>
                  </w:r>
                  <w:r>
                    <w:rPr>
                      <w:rFonts w:hint="default" w:ascii="Times New Roman" w:hAnsi="Times New Roman" w:eastAsia="宋体" w:cs="Times New Roman"/>
                      <w:color w:val="auto"/>
                      <w:szCs w:val="21"/>
                    </w:rPr>
                    <w:t>0</w:t>
                  </w:r>
                </w:p>
              </w:tc>
            </w:tr>
            <w:tr w14:paraId="5F86FFE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4" w:type="pct"/>
                  <w:vMerge w:val="continue"/>
                  <w:tcBorders>
                    <w:tl2br w:val="nil"/>
                    <w:tr2bl w:val="nil"/>
                  </w:tcBorders>
                  <w:vAlign w:val="center"/>
                </w:tcPr>
                <w:p w14:paraId="6F8CA7D0">
                  <w:pPr>
                    <w:jc w:val="center"/>
                    <w:rPr>
                      <w:rFonts w:hint="default" w:ascii="Times New Roman" w:hAnsi="Times New Roman" w:eastAsia="宋体" w:cs="Times New Roman"/>
                      <w:color w:val="auto"/>
                      <w:kern w:val="0"/>
                      <w:szCs w:val="21"/>
                    </w:rPr>
                  </w:pPr>
                </w:p>
              </w:tc>
              <w:tc>
                <w:tcPr>
                  <w:tcW w:w="512" w:type="pct"/>
                  <w:vMerge w:val="continue"/>
                  <w:tcBorders>
                    <w:tl2br w:val="nil"/>
                    <w:tr2bl w:val="nil"/>
                  </w:tcBorders>
                  <w:vAlign w:val="center"/>
                </w:tcPr>
                <w:p w14:paraId="7BF1AED2">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4B64D1FD">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411EB34F">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61678D41">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SS</w:t>
                  </w:r>
                </w:p>
              </w:tc>
              <w:tc>
                <w:tcPr>
                  <w:tcW w:w="422" w:type="pct"/>
                  <w:tcBorders>
                    <w:tl2br w:val="nil"/>
                    <w:tr2bl w:val="nil"/>
                  </w:tcBorders>
                  <w:vAlign w:val="center"/>
                </w:tcPr>
                <w:p w14:paraId="02CB90E4">
                  <w:pPr>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Cs w:val="21"/>
                      <w:lang w:val="en-US" w:eastAsia="zh-CN"/>
                    </w:rPr>
                    <w:t>35</w:t>
                  </w:r>
                  <w:r>
                    <w:rPr>
                      <w:rFonts w:hint="default" w:ascii="Times New Roman" w:hAnsi="Times New Roman" w:eastAsia="宋体" w:cs="Times New Roman"/>
                      <w:color w:val="auto"/>
                      <w:szCs w:val="21"/>
                    </w:rPr>
                    <w:t>0</w:t>
                  </w:r>
                </w:p>
              </w:tc>
            </w:tr>
            <w:tr w14:paraId="1619AAC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4" w:type="pct"/>
                  <w:vMerge w:val="continue"/>
                  <w:tcBorders>
                    <w:tl2br w:val="nil"/>
                    <w:tr2bl w:val="nil"/>
                  </w:tcBorders>
                  <w:vAlign w:val="center"/>
                </w:tcPr>
                <w:p w14:paraId="5EF650FC">
                  <w:pPr>
                    <w:jc w:val="center"/>
                    <w:rPr>
                      <w:rFonts w:hint="default" w:ascii="Times New Roman" w:hAnsi="Times New Roman" w:eastAsia="宋体" w:cs="Times New Roman"/>
                      <w:color w:val="auto"/>
                      <w:kern w:val="0"/>
                      <w:szCs w:val="21"/>
                    </w:rPr>
                  </w:pPr>
                </w:p>
              </w:tc>
              <w:tc>
                <w:tcPr>
                  <w:tcW w:w="512" w:type="pct"/>
                  <w:vMerge w:val="continue"/>
                  <w:tcBorders>
                    <w:tl2br w:val="nil"/>
                    <w:tr2bl w:val="nil"/>
                  </w:tcBorders>
                  <w:vAlign w:val="center"/>
                </w:tcPr>
                <w:p w14:paraId="711D2527">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0F9D7AAD">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6AE3ED8A">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57A5B0F2">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NH</w:t>
                  </w:r>
                  <w:r>
                    <w:rPr>
                      <w:rFonts w:hint="default" w:ascii="Times New Roman" w:hAnsi="Times New Roman" w:eastAsia="宋体" w:cs="Times New Roman"/>
                      <w:color w:val="auto"/>
                      <w:kern w:val="0"/>
                      <w:szCs w:val="21"/>
                      <w:vertAlign w:val="subscript"/>
                    </w:rPr>
                    <w:t>3</w:t>
                  </w:r>
                  <w:r>
                    <w:rPr>
                      <w:rFonts w:hint="default" w:ascii="Times New Roman" w:hAnsi="Times New Roman" w:eastAsia="宋体" w:cs="Times New Roman"/>
                      <w:color w:val="auto"/>
                      <w:kern w:val="0"/>
                      <w:szCs w:val="21"/>
                    </w:rPr>
                    <w:t>-N</w:t>
                  </w:r>
                </w:p>
              </w:tc>
              <w:tc>
                <w:tcPr>
                  <w:tcW w:w="422" w:type="pct"/>
                  <w:tcBorders>
                    <w:tl2br w:val="nil"/>
                    <w:tr2bl w:val="nil"/>
                  </w:tcBorders>
                  <w:vAlign w:val="center"/>
                </w:tcPr>
                <w:p w14:paraId="498A134A">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szCs w:val="21"/>
                      <w:lang w:val="en-US" w:eastAsia="zh-CN"/>
                    </w:rPr>
                    <w:t>40</w:t>
                  </w:r>
                </w:p>
              </w:tc>
            </w:tr>
            <w:tr w14:paraId="75E05B3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4" w:type="pct"/>
                  <w:vMerge w:val="continue"/>
                  <w:tcBorders>
                    <w:tl2br w:val="nil"/>
                    <w:tr2bl w:val="nil"/>
                  </w:tcBorders>
                  <w:vAlign w:val="center"/>
                </w:tcPr>
                <w:p w14:paraId="704DAA7B">
                  <w:pPr>
                    <w:jc w:val="center"/>
                    <w:rPr>
                      <w:rFonts w:hint="default" w:ascii="Times New Roman" w:hAnsi="Times New Roman" w:eastAsia="宋体" w:cs="Times New Roman"/>
                      <w:color w:val="auto"/>
                      <w:kern w:val="0"/>
                      <w:szCs w:val="21"/>
                    </w:rPr>
                  </w:pPr>
                </w:p>
              </w:tc>
              <w:tc>
                <w:tcPr>
                  <w:tcW w:w="512" w:type="pct"/>
                  <w:vMerge w:val="continue"/>
                  <w:tcBorders>
                    <w:tl2br w:val="nil"/>
                    <w:tr2bl w:val="nil"/>
                  </w:tcBorders>
                  <w:vAlign w:val="center"/>
                </w:tcPr>
                <w:p w14:paraId="31D8384A">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04325693">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28762F16">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33F21FFB">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TN</w:t>
                  </w:r>
                </w:p>
              </w:tc>
              <w:tc>
                <w:tcPr>
                  <w:tcW w:w="422" w:type="pct"/>
                  <w:tcBorders>
                    <w:tl2br w:val="nil"/>
                    <w:tr2bl w:val="nil"/>
                  </w:tcBorders>
                  <w:vAlign w:val="center"/>
                </w:tcPr>
                <w:p w14:paraId="31241DD1">
                  <w:pPr>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0</w:t>
                  </w:r>
                </w:p>
              </w:tc>
            </w:tr>
            <w:tr w14:paraId="10145E0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4" w:type="pct"/>
                  <w:vMerge w:val="continue"/>
                  <w:tcBorders>
                    <w:tl2br w:val="nil"/>
                    <w:tr2bl w:val="nil"/>
                  </w:tcBorders>
                  <w:vAlign w:val="center"/>
                </w:tcPr>
                <w:p w14:paraId="08F27692">
                  <w:pPr>
                    <w:jc w:val="center"/>
                    <w:rPr>
                      <w:rFonts w:hint="default" w:ascii="Times New Roman" w:hAnsi="Times New Roman" w:eastAsia="宋体" w:cs="Times New Roman"/>
                      <w:color w:val="auto"/>
                      <w:kern w:val="0"/>
                      <w:szCs w:val="21"/>
                    </w:rPr>
                  </w:pPr>
                </w:p>
              </w:tc>
              <w:tc>
                <w:tcPr>
                  <w:tcW w:w="512" w:type="pct"/>
                  <w:vMerge w:val="continue"/>
                  <w:tcBorders>
                    <w:tl2br w:val="nil"/>
                    <w:tr2bl w:val="nil"/>
                  </w:tcBorders>
                  <w:vAlign w:val="center"/>
                </w:tcPr>
                <w:p w14:paraId="0E622091">
                  <w:pPr>
                    <w:jc w:val="center"/>
                    <w:rPr>
                      <w:rFonts w:hint="default" w:ascii="Times New Roman" w:hAnsi="Times New Roman" w:eastAsia="宋体" w:cs="Times New Roman"/>
                      <w:color w:val="auto"/>
                      <w:kern w:val="0"/>
                      <w:szCs w:val="21"/>
                    </w:rPr>
                  </w:pPr>
                </w:p>
              </w:tc>
              <w:tc>
                <w:tcPr>
                  <w:tcW w:w="1003" w:type="pct"/>
                  <w:vMerge w:val="continue"/>
                  <w:tcBorders>
                    <w:tl2br w:val="nil"/>
                    <w:tr2bl w:val="nil"/>
                  </w:tcBorders>
                  <w:vAlign w:val="center"/>
                </w:tcPr>
                <w:p w14:paraId="75104443">
                  <w:pPr>
                    <w:jc w:val="center"/>
                    <w:rPr>
                      <w:rFonts w:hint="default" w:ascii="Times New Roman" w:hAnsi="Times New Roman" w:eastAsia="宋体" w:cs="Times New Roman"/>
                      <w:color w:val="auto"/>
                      <w:kern w:val="0"/>
                      <w:szCs w:val="21"/>
                    </w:rPr>
                  </w:pPr>
                </w:p>
              </w:tc>
              <w:tc>
                <w:tcPr>
                  <w:tcW w:w="1814" w:type="pct"/>
                  <w:vMerge w:val="continue"/>
                  <w:tcBorders>
                    <w:tl2br w:val="nil"/>
                    <w:tr2bl w:val="nil"/>
                  </w:tcBorders>
                  <w:vAlign w:val="center"/>
                </w:tcPr>
                <w:p w14:paraId="2A1A18DF">
                  <w:pPr>
                    <w:jc w:val="center"/>
                    <w:rPr>
                      <w:rFonts w:hint="default" w:ascii="Times New Roman" w:hAnsi="Times New Roman" w:eastAsia="宋体" w:cs="Times New Roman"/>
                      <w:color w:val="auto"/>
                      <w:kern w:val="0"/>
                      <w:szCs w:val="21"/>
                    </w:rPr>
                  </w:pPr>
                </w:p>
              </w:tc>
              <w:tc>
                <w:tcPr>
                  <w:tcW w:w="841" w:type="pct"/>
                  <w:tcBorders>
                    <w:tl2br w:val="nil"/>
                    <w:tr2bl w:val="nil"/>
                  </w:tcBorders>
                  <w:vAlign w:val="center"/>
                </w:tcPr>
                <w:p w14:paraId="416FC1EC">
                  <w:pPr>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TP</w:t>
                  </w:r>
                </w:p>
              </w:tc>
              <w:tc>
                <w:tcPr>
                  <w:tcW w:w="422" w:type="pct"/>
                  <w:tcBorders>
                    <w:tl2br w:val="nil"/>
                    <w:tr2bl w:val="nil"/>
                  </w:tcBorders>
                  <w:vAlign w:val="center"/>
                </w:tcPr>
                <w:p w14:paraId="672B9815">
                  <w:pPr>
                    <w:adjustRightInd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szCs w:val="21"/>
                      <w:lang w:val="en-US" w:eastAsia="zh-CN"/>
                    </w:rPr>
                    <w:t>8</w:t>
                  </w:r>
                </w:p>
              </w:tc>
            </w:tr>
          </w:tbl>
          <w:p w14:paraId="7C7DA6AE">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监测要求</w:t>
            </w:r>
          </w:p>
          <w:p w14:paraId="1EE18D6A">
            <w:pPr>
              <w:keepNext w:val="0"/>
              <w:keepLines w:val="0"/>
              <w:pageBreakBefore w:val="0"/>
              <w:widowControl w:val="0"/>
              <w:tabs>
                <w:tab w:val="left" w:pos="213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根据《排污许可证申请与核发技术规范 总则》（HJ942-2018）和</w:t>
            </w:r>
            <w:r>
              <w:rPr>
                <w:rFonts w:hint="default" w:ascii="Times New Roman" w:hAnsi="Times New Roman" w:eastAsia="宋体" w:cs="Times New Roman"/>
                <w:color w:val="auto"/>
                <w:sz w:val="24"/>
                <w:szCs w:val="24"/>
                <w:lang w:val="en-US" w:eastAsia="zh-CN"/>
              </w:rPr>
              <w:t>《排污许可证申请与核发技术规范 石墨及其他非金属矿物制品制造》（HJ1119—2020）</w:t>
            </w:r>
            <w:r>
              <w:rPr>
                <w:rFonts w:hint="default" w:ascii="Times New Roman" w:hAnsi="Times New Roman" w:eastAsia="宋体" w:cs="Times New Roman"/>
                <w:color w:val="auto"/>
                <w:sz w:val="24"/>
              </w:rPr>
              <w:t>要求，本项目运营期废水监测计划如下表。</w:t>
            </w:r>
          </w:p>
          <w:p w14:paraId="22D54EBA">
            <w:pPr>
              <w:keepNext/>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kern w:val="0"/>
                <w:sz w:val="24"/>
                <w:szCs w:val="24"/>
              </w:rPr>
              <w:t>表4-1</w:t>
            </w:r>
            <w:r>
              <w:rPr>
                <w:rFonts w:hint="eastAsia" w:ascii="Times New Roman" w:hAnsi="Times New Roman" w:eastAsia="宋体" w:cs="Times New Roman"/>
                <w:b/>
                <w:bCs/>
                <w:color w:val="auto"/>
                <w:kern w:val="0"/>
                <w:sz w:val="24"/>
                <w:szCs w:val="24"/>
                <w:lang w:val="en-US" w:eastAsia="zh-CN"/>
              </w:rPr>
              <w:t>1</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color w:val="auto"/>
                <w:sz w:val="24"/>
                <w:szCs w:val="24"/>
              </w:rPr>
              <w:t>环境监测计划</w:t>
            </w:r>
          </w:p>
          <w:tbl>
            <w:tblPr>
              <w:tblStyle w:val="2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1235"/>
              <w:gridCol w:w="1495"/>
              <w:gridCol w:w="1140"/>
              <w:gridCol w:w="2220"/>
              <w:gridCol w:w="1320"/>
            </w:tblGrid>
            <w:tr w14:paraId="12A94E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528" w:type="pct"/>
                  <w:tcBorders>
                    <w:tl2br w:val="nil"/>
                    <w:tr2bl w:val="nil"/>
                  </w:tcBorders>
                  <w:vAlign w:val="center"/>
                </w:tcPr>
                <w:p w14:paraId="54EDE872">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745" w:type="pct"/>
                  <w:tcBorders>
                    <w:tl2br w:val="nil"/>
                    <w:tr2bl w:val="nil"/>
                  </w:tcBorders>
                  <w:vAlign w:val="center"/>
                </w:tcPr>
                <w:p w14:paraId="132502DF">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监测位置</w:t>
                  </w:r>
                </w:p>
              </w:tc>
              <w:tc>
                <w:tcPr>
                  <w:tcW w:w="902" w:type="pct"/>
                  <w:tcBorders>
                    <w:tl2br w:val="nil"/>
                    <w:tr2bl w:val="nil"/>
                  </w:tcBorders>
                  <w:vAlign w:val="center"/>
                </w:tcPr>
                <w:p w14:paraId="3B7DD58B">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687" w:type="pct"/>
                  <w:tcBorders>
                    <w:tl2br w:val="nil"/>
                    <w:tr2bl w:val="nil"/>
                  </w:tcBorders>
                  <w:vAlign w:val="center"/>
                </w:tcPr>
                <w:p w14:paraId="7D6D1038">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1339" w:type="pct"/>
                  <w:tcBorders>
                    <w:tl2br w:val="nil"/>
                    <w:tr2bl w:val="nil"/>
                  </w:tcBorders>
                  <w:vAlign w:val="center"/>
                </w:tcPr>
                <w:p w14:paraId="56321E6E">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c>
                <w:tcPr>
                  <w:tcW w:w="796" w:type="pct"/>
                  <w:tcBorders>
                    <w:tl2br w:val="nil"/>
                    <w:tr2bl w:val="nil"/>
                  </w:tcBorders>
                  <w:vAlign w:val="center"/>
                </w:tcPr>
                <w:p w14:paraId="1682EE09">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监测单位</w:t>
                  </w:r>
                </w:p>
              </w:tc>
            </w:tr>
            <w:tr w14:paraId="36BEDA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70" w:hRule="atLeast"/>
                <w:jc w:val="center"/>
              </w:trPr>
              <w:tc>
                <w:tcPr>
                  <w:tcW w:w="528" w:type="pct"/>
                  <w:tcBorders>
                    <w:tl2br w:val="nil"/>
                    <w:tr2bl w:val="nil"/>
                  </w:tcBorders>
                  <w:vAlign w:val="center"/>
                </w:tcPr>
                <w:p w14:paraId="798B300D">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45" w:type="pct"/>
                  <w:tcBorders>
                    <w:tl2br w:val="nil"/>
                    <w:tr2bl w:val="nil"/>
                  </w:tcBorders>
                  <w:vAlign w:val="center"/>
                </w:tcPr>
                <w:p w14:paraId="28A2170E">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污水排口</w:t>
                  </w:r>
                </w:p>
              </w:tc>
              <w:tc>
                <w:tcPr>
                  <w:tcW w:w="902" w:type="pct"/>
                  <w:tcBorders>
                    <w:tl2br w:val="nil"/>
                    <w:tr2bl w:val="nil"/>
                  </w:tcBorders>
                  <w:vAlign w:val="center"/>
                </w:tcPr>
                <w:p w14:paraId="0D2FD8CF">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-N、TP、TN</w:t>
                  </w:r>
                </w:p>
              </w:tc>
              <w:tc>
                <w:tcPr>
                  <w:tcW w:w="687" w:type="pct"/>
                  <w:tcBorders>
                    <w:tl2br w:val="nil"/>
                    <w:tr2bl w:val="nil"/>
                  </w:tcBorders>
                  <w:vAlign w:val="center"/>
                </w:tcPr>
                <w:p w14:paraId="709F459A">
                  <w:pPr>
                    <w:autoSpaceDE w:val="0"/>
                    <w:autoSpaceDN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1次/</w:t>
                  </w:r>
                  <w:r>
                    <w:rPr>
                      <w:rFonts w:hint="eastAsia" w:ascii="Times New Roman" w:hAnsi="Times New Roman" w:eastAsia="宋体" w:cs="Times New Roman"/>
                      <w:color w:val="auto"/>
                      <w:sz w:val="21"/>
                      <w:szCs w:val="21"/>
                      <w:lang w:val="en-US" w:eastAsia="zh-CN"/>
                    </w:rPr>
                    <w:t>年</w:t>
                  </w:r>
                </w:p>
              </w:tc>
              <w:tc>
                <w:tcPr>
                  <w:tcW w:w="1339" w:type="pct"/>
                  <w:tcBorders>
                    <w:tl2br w:val="nil"/>
                    <w:tr2bl w:val="nil"/>
                  </w:tcBorders>
                  <w:vAlign w:val="center"/>
                </w:tcPr>
                <w:p w14:paraId="5564D6F5">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《污水排入城镇下水道水质标准》（GB/T31962-2015）中B级标准和唐王村农村生活污水处理站的接管标准</w:t>
                  </w:r>
                </w:p>
              </w:tc>
              <w:tc>
                <w:tcPr>
                  <w:tcW w:w="796" w:type="pct"/>
                  <w:tcBorders>
                    <w:tl2br w:val="nil"/>
                    <w:tr2bl w:val="nil"/>
                  </w:tcBorders>
                  <w:vAlign w:val="center"/>
                </w:tcPr>
                <w:p w14:paraId="78BD3F2E">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有资质的环境监测机构</w:t>
                  </w:r>
                </w:p>
              </w:tc>
            </w:tr>
          </w:tbl>
          <w:p w14:paraId="3A96BAB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6.排污口规范化设置</w:t>
            </w:r>
          </w:p>
          <w:p w14:paraId="5761A9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本项目依托现有雨水和污水排放口，不改变现有排水系统。目前项目所在地地块内已实施“雨污分流”，并设置规范化雨水排放口。</w:t>
            </w:r>
          </w:p>
          <w:p w14:paraId="2EA9D5B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7.环境影响分析小结</w:t>
            </w:r>
          </w:p>
          <w:p w14:paraId="515165D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highlight w:val="none"/>
                <w:lang w:val="en-US" w:eastAsia="zh-CN"/>
              </w:rPr>
              <w:t>本项目生活污水</w:t>
            </w:r>
            <w:r>
              <w:rPr>
                <w:rFonts w:hint="eastAsia" w:ascii="Times New Roman" w:hAnsi="Times New Roman" w:eastAsia="宋体" w:cs="Times New Roman"/>
                <w:bCs/>
                <w:color w:val="auto"/>
                <w:sz w:val="24"/>
                <w:highlight w:val="none"/>
                <w:lang w:val="en-US" w:eastAsia="zh-CN"/>
              </w:rPr>
              <w:t>接管至唐王村农村生活污水处理站</w:t>
            </w:r>
            <w:r>
              <w:rPr>
                <w:rFonts w:hint="default" w:ascii="Times New Roman" w:hAnsi="Times New Roman" w:eastAsia="宋体" w:cs="Times New Roman"/>
                <w:bCs/>
                <w:color w:val="auto"/>
                <w:sz w:val="24"/>
                <w:highlight w:val="none"/>
                <w:lang w:val="en-US" w:eastAsia="zh-CN"/>
              </w:rPr>
              <w:t>集中处理</w:t>
            </w:r>
            <w:r>
              <w:rPr>
                <w:rFonts w:hint="eastAsia" w:ascii="Times New Roman" w:hAnsi="Times New Roman" w:eastAsia="宋体" w:cs="Times New Roman"/>
                <w:bCs/>
                <w:color w:val="auto"/>
                <w:sz w:val="24"/>
                <w:highlight w:val="none"/>
                <w:lang w:val="en-US" w:eastAsia="zh-CN"/>
              </w:rPr>
              <w:t>后排放</w:t>
            </w:r>
            <w:r>
              <w:rPr>
                <w:rFonts w:hint="default" w:ascii="Times New Roman" w:hAnsi="Times New Roman" w:eastAsia="宋体" w:cs="Times New Roman"/>
                <w:bCs/>
                <w:color w:val="auto"/>
                <w:sz w:val="24"/>
                <w:highlight w:val="none"/>
                <w:lang w:val="en-US" w:eastAsia="zh-CN"/>
              </w:rPr>
              <w:t>。故本项目废水排放对地表水环境影响很小，是可以接受的。</w:t>
            </w:r>
          </w:p>
          <w:p w14:paraId="2DDCC6C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三、噪声</w:t>
            </w:r>
          </w:p>
          <w:p w14:paraId="77F63DA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1、噪声源强分析</w:t>
            </w:r>
          </w:p>
          <w:p w14:paraId="4E2B4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本项目高噪声源主要为平面铣磨机、单轴抛光机及超声波清洗机等设备，项目噪声源距离1米处声压级在70~85dB（A）之间。</w:t>
            </w:r>
          </w:p>
          <w:p w14:paraId="37AD54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577CD94F">
            <w:pPr>
              <w:spacing w:line="360" w:lineRule="auto"/>
              <w:ind w:firstLine="480" w:firstLineChars="200"/>
              <w:rPr>
                <w:rFonts w:hint="default" w:ascii="Times New Roman" w:hAnsi="Times New Roman" w:eastAsia="宋体" w:cs="Times New Roman"/>
                <w:color w:val="auto"/>
                <w:sz w:val="24"/>
              </w:rPr>
            </w:pPr>
          </w:p>
          <w:p w14:paraId="5FC7E675">
            <w:pPr>
              <w:spacing w:line="360" w:lineRule="auto"/>
              <w:rPr>
                <w:rFonts w:hint="default" w:ascii="Times New Roman" w:hAnsi="Times New Roman" w:eastAsia="宋体" w:cs="Times New Roman"/>
                <w:color w:val="auto"/>
                <w:sz w:val="24"/>
              </w:rPr>
            </w:pPr>
          </w:p>
        </w:tc>
      </w:tr>
    </w:tbl>
    <w:p w14:paraId="5012B3E4">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445"/>
      </w:tblGrid>
      <w:tr w14:paraId="2EFF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57" w:type="pct"/>
            <w:vAlign w:val="center"/>
          </w:tcPr>
          <w:p w14:paraId="472FF9EF">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742" w:type="pct"/>
            <w:vAlign w:val="center"/>
          </w:tcPr>
          <w:p w14:paraId="3123DD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表4-1</w:t>
            </w:r>
            <w:r>
              <w:rPr>
                <w:rFonts w:hint="eastAsia"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b/>
                <w:bCs/>
                <w:color w:val="auto"/>
                <w:sz w:val="24"/>
                <w:szCs w:val="24"/>
              </w:rPr>
              <w:t>本项目主要噪声污染源一览表</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室内声源</w:t>
            </w:r>
            <w:r>
              <w:rPr>
                <w:rFonts w:hint="default" w:ascii="Times New Roman" w:hAnsi="Times New Roman" w:eastAsia="宋体" w:cs="Times New Roman"/>
                <w:b/>
                <w:bCs/>
                <w:color w:val="auto"/>
                <w:sz w:val="24"/>
                <w:szCs w:val="24"/>
                <w:lang w:eastAsia="zh-CN"/>
              </w:rPr>
              <w:t>）</w:t>
            </w:r>
          </w:p>
          <w:tbl>
            <w:tblPr>
              <w:tblStyle w:val="29"/>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558"/>
              <w:gridCol w:w="1545"/>
              <w:gridCol w:w="916"/>
              <w:gridCol w:w="609"/>
              <w:gridCol w:w="1461"/>
              <w:gridCol w:w="1064"/>
              <w:gridCol w:w="556"/>
              <w:gridCol w:w="556"/>
              <w:gridCol w:w="611"/>
              <w:gridCol w:w="693"/>
              <w:gridCol w:w="688"/>
              <w:gridCol w:w="535"/>
              <w:gridCol w:w="958"/>
              <w:gridCol w:w="958"/>
              <w:gridCol w:w="1024"/>
            </w:tblGrid>
            <w:tr w14:paraId="4F719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restart"/>
                  <w:noWrap w:val="0"/>
                  <w:vAlign w:val="center"/>
                </w:tcPr>
                <w:p w14:paraId="21A0A594">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11" w:type="pct"/>
                  <w:vMerge w:val="restart"/>
                  <w:noWrap w:val="0"/>
                  <w:vAlign w:val="center"/>
                </w:tcPr>
                <w:p w14:paraId="18D07039">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建筑物名称</w:t>
                  </w:r>
                </w:p>
              </w:tc>
              <w:tc>
                <w:tcPr>
                  <w:tcW w:w="584" w:type="pct"/>
                  <w:vMerge w:val="restart"/>
                  <w:noWrap w:val="0"/>
                  <w:vAlign w:val="center"/>
                </w:tcPr>
                <w:p w14:paraId="66F2BEAC">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声源名称</w:t>
                  </w:r>
                </w:p>
              </w:tc>
              <w:tc>
                <w:tcPr>
                  <w:tcW w:w="346" w:type="pct"/>
                  <w:vMerge w:val="restart"/>
                  <w:noWrap w:val="0"/>
                  <w:vAlign w:val="center"/>
                </w:tcPr>
                <w:p w14:paraId="15D85C05">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型号</w:t>
                  </w:r>
                </w:p>
              </w:tc>
              <w:tc>
                <w:tcPr>
                  <w:tcW w:w="230" w:type="pct"/>
                  <w:vMerge w:val="restart"/>
                  <w:noWrap w:val="0"/>
                  <w:vAlign w:val="center"/>
                </w:tcPr>
                <w:p w14:paraId="680E9113">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数量</w:t>
                  </w:r>
                </w:p>
              </w:tc>
              <w:tc>
                <w:tcPr>
                  <w:tcW w:w="552" w:type="pct"/>
                  <w:noWrap w:val="0"/>
                  <w:vAlign w:val="center"/>
                </w:tcPr>
                <w:p w14:paraId="013B5852">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声源源强</w:t>
                  </w:r>
                </w:p>
              </w:tc>
              <w:tc>
                <w:tcPr>
                  <w:tcW w:w="402" w:type="pct"/>
                  <w:vMerge w:val="restart"/>
                  <w:noWrap w:val="0"/>
                  <w:vAlign w:val="center"/>
                </w:tcPr>
                <w:p w14:paraId="7A1E170F">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声源控制措施</w:t>
                  </w:r>
                </w:p>
              </w:tc>
              <w:tc>
                <w:tcPr>
                  <w:tcW w:w="651" w:type="pct"/>
                  <w:gridSpan w:val="3"/>
                  <w:noWrap w:val="0"/>
                  <w:vAlign w:val="center"/>
                </w:tcPr>
                <w:p w14:paraId="3EB4A9A8">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空间相对位置/m</w:t>
                  </w:r>
                </w:p>
              </w:tc>
              <w:tc>
                <w:tcPr>
                  <w:tcW w:w="262" w:type="pct"/>
                  <w:vMerge w:val="restart"/>
                  <w:noWrap w:val="0"/>
                  <w:vAlign w:val="center"/>
                </w:tcPr>
                <w:p w14:paraId="44CDBB39">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w:t>
                  </w:r>
                  <w:r>
                    <w:rPr>
                      <w:rFonts w:hint="default" w:ascii="Times New Roman" w:hAnsi="Times New Roman" w:eastAsia="宋体" w:cs="Times New Roman"/>
                      <w:b/>
                      <w:color w:val="auto"/>
                      <w:sz w:val="21"/>
                      <w:szCs w:val="21"/>
                      <w:lang w:eastAsia="zh-CN"/>
                    </w:rPr>
                    <w:t>最近</w:t>
                  </w:r>
                  <w:r>
                    <w:rPr>
                      <w:rFonts w:hint="default" w:ascii="Times New Roman" w:hAnsi="Times New Roman" w:eastAsia="宋体" w:cs="Times New Roman"/>
                      <w:b/>
                      <w:color w:val="auto"/>
                      <w:sz w:val="21"/>
                      <w:szCs w:val="21"/>
                    </w:rPr>
                    <w:t>距离/m</w:t>
                  </w:r>
                </w:p>
              </w:tc>
              <w:tc>
                <w:tcPr>
                  <w:tcW w:w="260" w:type="pct"/>
                  <w:vMerge w:val="restart"/>
                  <w:noWrap w:val="0"/>
                  <w:vAlign w:val="center"/>
                </w:tcPr>
                <w:p w14:paraId="39F3A977">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室内边界声级</w:t>
                  </w:r>
                </w:p>
              </w:tc>
              <w:tc>
                <w:tcPr>
                  <w:tcW w:w="202" w:type="pct"/>
                  <w:vMerge w:val="restart"/>
                  <w:noWrap w:val="0"/>
                  <w:vAlign w:val="center"/>
                </w:tcPr>
                <w:p w14:paraId="5AD71682">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运行时段</w:t>
                  </w:r>
                </w:p>
              </w:tc>
              <w:tc>
                <w:tcPr>
                  <w:tcW w:w="362" w:type="pct"/>
                  <w:vMerge w:val="restart"/>
                  <w:noWrap w:val="0"/>
                  <w:vAlign w:val="center"/>
                </w:tcPr>
                <w:p w14:paraId="1B02756B">
                  <w:pPr>
                    <w:adjustRightInd w:val="0"/>
                    <w:snapToGrid w:val="0"/>
                    <w:ind w:left="-105" w:leftChars="-50" w:right="-105" w:rightChars="-5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建筑物插入损失/dB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749" w:type="pct"/>
                  <w:gridSpan w:val="2"/>
                  <w:noWrap w:val="0"/>
                  <w:vAlign w:val="center"/>
                </w:tcPr>
                <w:p w14:paraId="0DB92007">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建筑物外噪声</w:t>
                  </w:r>
                </w:p>
              </w:tc>
            </w:tr>
            <w:tr w14:paraId="48387A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continue"/>
                  <w:noWrap w:val="0"/>
                  <w:vAlign w:val="center"/>
                </w:tcPr>
                <w:p w14:paraId="3B64A09D">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11" w:type="pct"/>
                  <w:vMerge w:val="continue"/>
                  <w:noWrap w:val="0"/>
                  <w:vAlign w:val="center"/>
                </w:tcPr>
                <w:p w14:paraId="57686630">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584" w:type="pct"/>
                  <w:vMerge w:val="continue"/>
                  <w:noWrap w:val="0"/>
                  <w:vAlign w:val="center"/>
                </w:tcPr>
                <w:p w14:paraId="3FF91ABD">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346" w:type="pct"/>
                  <w:vMerge w:val="continue"/>
                  <w:noWrap w:val="0"/>
                  <w:vAlign w:val="center"/>
                </w:tcPr>
                <w:p w14:paraId="7AC4B68F">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30" w:type="pct"/>
                  <w:vMerge w:val="continue"/>
                  <w:noWrap w:val="0"/>
                  <w:vAlign w:val="center"/>
                </w:tcPr>
                <w:p w14:paraId="0EF098CB">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552" w:type="pct"/>
                  <w:noWrap w:val="0"/>
                  <w:vAlign w:val="center"/>
                </w:tcPr>
                <w:p w14:paraId="52D47D5D">
                  <w:pPr>
                    <w:adjustRightInd w:val="0"/>
                    <w:snapToGrid w:val="0"/>
                    <w:ind w:left="-105" w:leftChars="-50" w:right="-105" w:rightChars="-5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声</w:t>
                  </w:r>
                  <w:r>
                    <w:rPr>
                      <w:rFonts w:hint="default" w:ascii="Times New Roman" w:hAnsi="Times New Roman" w:eastAsia="宋体" w:cs="Times New Roman"/>
                      <w:b/>
                      <w:color w:val="auto"/>
                      <w:sz w:val="21"/>
                      <w:szCs w:val="21"/>
                      <w:lang w:eastAsia="zh-CN"/>
                    </w:rPr>
                    <w:t>功率</w:t>
                  </w:r>
                  <w:r>
                    <w:rPr>
                      <w:rFonts w:hint="default" w:ascii="Times New Roman" w:hAnsi="Times New Roman" w:eastAsia="宋体" w:cs="Times New Roman"/>
                      <w:b/>
                      <w:color w:val="auto"/>
                      <w:sz w:val="21"/>
                      <w:szCs w:val="21"/>
                    </w:rPr>
                    <w:t>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402" w:type="pct"/>
                  <w:vMerge w:val="continue"/>
                  <w:noWrap w:val="0"/>
                  <w:vAlign w:val="center"/>
                </w:tcPr>
                <w:p w14:paraId="5605ABF5">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10" w:type="pct"/>
                  <w:noWrap w:val="0"/>
                  <w:vAlign w:val="center"/>
                </w:tcPr>
                <w:p w14:paraId="624E4779">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X</w:t>
                  </w:r>
                </w:p>
              </w:tc>
              <w:tc>
                <w:tcPr>
                  <w:tcW w:w="210" w:type="pct"/>
                  <w:noWrap w:val="0"/>
                  <w:vAlign w:val="center"/>
                </w:tcPr>
                <w:p w14:paraId="426C3EA9">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Y</w:t>
                  </w:r>
                </w:p>
              </w:tc>
              <w:tc>
                <w:tcPr>
                  <w:tcW w:w="231" w:type="pct"/>
                  <w:noWrap w:val="0"/>
                  <w:vAlign w:val="center"/>
                </w:tcPr>
                <w:p w14:paraId="5F7E253C">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Z</w:t>
                  </w:r>
                </w:p>
              </w:tc>
              <w:tc>
                <w:tcPr>
                  <w:tcW w:w="262" w:type="pct"/>
                  <w:vMerge w:val="continue"/>
                  <w:noWrap w:val="0"/>
                  <w:vAlign w:val="center"/>
                </w:tcPr>
                <w:p w14:paraId="7804532B">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60" w:type="pct"/>
                  <w:vMerge w:val="continue"/>
                  <w:noWrap w:val="0"/>
                  <w:vAlign w:val="center"/>
                </w:tcPr>
                <w:p w14:paraId="1C4DDB6B">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02" w:type="pct"/>
                  <w:vMerge w:val="continue"/>
                  <w:noWrap w:val="0"/>
                  <w:vAlign w:val="center"/>
                </w:tcPr>
                <w:p w14:paraId="62D2914C">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362" w:type="pct"/>
                  <w:vMerge w:val="continue"/>
                  <w:noWrap w:val="0"/>
                  <w:vAlign w:val="center"/>
                </w:tcPr>
                <w:p w14:paraId="71D3D606">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362" w:type="pct"/>
                  <w:noWrap w:val="0"/>
                  <w:vAlign w:val="center"/>
                </w:tcPr>
                <w:p w14:paraId="094F0D15">
                  <w:pPr>
                    <w:adjustRightInd w:val="0"/>
                    <w:snapToGrid w:val="0"/>
                    <w:ind w:left="-105" w:leftChars="-50" w:right="-105" w:rightChars="-5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声压级/dB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387" w:type="pct"/>
                  <w:noWrap w:val="0"/>
                  <w:vAlign w:val="center"/>
                </w:tcPr>
                <w:p w14:paraId="30819C5B">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建筑物外距离</w:t>
                  </w:r>
                </w:p>
              </w:tc>
            </w:tr>
            <w:tr w14:paraId="43AA9D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1F5BAFD">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1" w:type="pct"/>
                  <w:vMerge w:val="restart"/>
                  <w:noWrap w:val="0"/>
                  <w:vAlign w:val="center"/>
                </w:tcPr>
                <w:p w14:paraId="1BEEA133">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车间</w:t>
                  </w:r>
                </w:p>
              </w:tc>
              <w:tc>
                <w:tcPr>
                  <w:tcW w:w="584" w:type="pct"/>
                  <w:shd w:val="clear" w:color="auto" w:fill="auto"/>
                  <w:noWrap w:val="0"/>
                  <w:vAlign w:val="center"/>
                </w:tcPr>
                <w:p w14:paraId="3B98E3B5">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平面铣磨机</w:t>
                  </w:r>
                </w:p>
              </w:tc>
              <w:tc>
                <w:tcPr>
                  <w:tcW w:w="346" w:type="pct"/>
                  <w:noWrap w:val="0"/>
                  <w:vAlign w:val="center"/>
                </w:tcPr>
                <w:p w14:paraId="7F76AB59">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30" w:type="pct"/>
                  <w:noWrap w:val="0"/>
                  <w:vAlign w:val="center"/>
                </w:tcPr>
                <w:p w14:paraId="3DC90A7F">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w:t>
                  </w:r>
                </w:p>
              </w:tc>
              <w:tc>
                <w:tcPr>
                  <w:tcW w:w="552" w:type="pct"/>
                  <w:noWrap w:val="0"/>
                  <w:vAlign w:val="center"/>
                </w:tcPr>
                <w:p w14:paraId="49F0167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restart"/>
                  <w:noWrap w:val="0"/>
                  <w:vAlign w:val="center"/>
                </w:tcPr>
                <w:p w14:paraId="3FD74EC1">
                  <w:pPr>
                    <w:adjustRightInd w:val="0"/>
                    <w:snapToGrid w:val="0"/>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减振、厂房隔音</w:t>
                  </w:r>
                </w:p>
              </w:tc>
              <w:tc>
                <w:tcPr>
                  <w:tcW w:w="210" w:type="pct"/>
                  <w:noWrap w:val="0"/>
                  <w:vAlign w:val="center"/>
                </w:tcPr>
                <w:p w14:paraId="0F5705FB">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210" w:type="pct"/>
                  <w:noWrap w:val="0"/>
                  <w:vAlign w:val="center"/>
                </w:tcPr>
                <w:p w14:paraId="6AD88DB9">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231" w:type="pct"/>
                  <w:noWrap w:val="0"/>
                  <w:vAlign w:val="center"/>
                </w:tcPr>
                <w:p w14:paraId="410B2A5C">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2D9E4F83">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260" w:type="pct"/>
                  <w:noWrap w:val="0"/>
                  <w:vAlign w:val="bottom"/>
                </w:tcPr>
                <w:p w14:paraId="66070A2E">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75.6</w:t>
                  </w:r>
                </w:p>
              </w:tc>
              <w:tc>
                <w:tcPr>
                  <w:tcW w:w="202" w:type="pct"/>
                  <w:noWrap w:val="0"/>
                  <w:vAlign w:val="center"/>
                </w:tcPr>
                <w:p w14:paraId="1353F458">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h</w:t>
                  </w:r>
                </w:p>
              </w:tc>
              <w:tc>
                <w:tcPr>
                  <w:tcW w:w="362" w:type="pct"/>
                  <w:noWrap w:val="0"/>
                  <w:vAlign w:val="center"/>
                </w:tcPr>
                <w:p w14:paraId="1AF9854A">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noWrap w:val="0"/>
                  <w:vAlign w:val="bottom"/>
                </w:tcPr>
                <w:p w14:paraId="01531D86">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50.6</w:t>
                  </w:r>
                </w:p>
              </w:tc>
              <w:tc>
                <w:tcPr>
                  <w:tcW w:w="387" w:type="pct"/>
                  <w:noWrap w:val="0"/>
                  <w:vAlign w:val="center"/>
                </w:tcPr>
                <w:p w14:paraId="0FFF9BF2">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598E9F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E3344F3">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11" w:type="pct"/>
                  <w:vMerge w:val="continue"/>
                  <w:noWrap w:val="0"/>
                  <w:vAlign w:val="center"/>
                </w:tcPr>
                <w:p w14:paraId="5B2F1B71">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p>
              </w:tc>
              <w:tc>
                <w:tcPr>
                  <w:tcW w:w="584" w:type="pct"/>
                  <w:shd w:val="clear" w:color="auto" w:fill="auto"/>
                  <w:noWrap w:val="0"/>
                  <w:vAlign w:val="center"/>
                </w:tcPr>
                <w:p w14:paraId="28218E60">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单轴抛光机</w:t>
                  </w:r>
                </w:p>
              </w:tc>
              <w:tc>
                <w:tcPr>
                  <w:tcW w:w="346" w:type="pct"/>
                  <w:noWrap w:val="0"/>
                  <w:vAlign w:val="center"/>
                </w:tcPr>
                <w:p w14:paraId="37636E54">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30" w:type="pct"/>
                  <w:noWrap w:val="0"/>
                  <w:vAlign w:val="center"/>
                </w:tcPr>
                <w:p w14:paraId="6421AE8B">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80</w:t>
                  </w:r>
                </w:p>
              </w:tc>
              <w:tc>
                <w:tcPr>
                  <w:tcW w:w="552" w:type="pct"/>
                  <w:noWrap w:val="0"/>
                  <w:vAlign w:val="center"/>
                </w:tcPr>
                <w:p w14:paraId="689471C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402" w:type="pct"/>
                  <w:vMerge w:val="continue"/>
                  <w:noWrap w:val="0"/>
                  <w:vAlign w:val="center"/>
                </w:tcPr>
                <w:p w14:paraId="47AE333B">
                  <w:pPr>
                    <w:adjustRightInd w:val="0"/>
                    <w:snapToGrid w:val="0"/>
                    <w:ind w:left="-105" w:leftChars="-50" w:right="-105" w:rightChars="-50"/>
                    <w:jc w:val="center"/>
                    <w:rPr>
                      <w:rFonts w:hint="default" w:ascii="Times New Roman" w:hAnsi="Times New Roman" w:eastAsia="宋体" w:cs="Times New Roman"/>
                      <w:bCs/>
                      <w:color w:val="auto"/>
                      <w:sz w:val="21"/>
                      <w:szCs w:val="21"/>
                    </w:rPr>
                  </w:pPr>
                </w:p>
              </w:tc>
              <w:tc>
                <w:tcPr>
                  <w:tcW w:w="210" w:type="pct"/>
                  <w:noWrap w:val="0"/>
                  <w:vAlign w:val="center"/>
                </w:tcPr>
                <w:p w14:paraId="127DC4E0">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210" w:type="pct"/>
                  <w:noWrap w:val="0"/>
                  <w:vAlign w:val="center"/>
                </w:tcPr>
                <w:p w14:paraId="4D656B08">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231" w:type="pct"/>
                  <w:noWrap w:val="0"/>
                  <w:vAlign w:val="center"/>
                </w:tcPr>
                <w:p w14:paraId="1476A5B2">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54DB102E">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260" w:type="pct"/>
                  <w:noWrap w:val="0"/>
                  <w:vAlign w:val="bottom"/>
                </w:tcPr>
                <w:p w14:paraId="3994E72B">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80.1</w:t>
                  </w:r>
                </w:p>
              </w:tc>
              <w:tc>
                <w:tcPr>
                  <w:tcW w:w="202" w:type="pct"/>
                  <w:noWrap w:val="0"/>
                  <w:vAlign w:val="center"/>
                </w:tcPr>
                <w:p w14:paraId="47705147">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h</w:t>
                  </w:r>
                </w:p>
              </w:tc>
              <w:tc>
                <w:tcPr>
                  <w:tcW w:w="362" w:type="pct"/>
                  <w:noWrap w:val="0"/>
                  <w:vAlign w:val="center"/>
                </w:tcPr>
                <w:p w14:paraId="2C499E68">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noWrap w:val="0"/>
                  <w:vAlign w:val="bottom"/>
                </w:tcPr>
                <w:p w14:paraId="5EB6A411">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55.1</w:t>
                  </w:r>
                </w:p>
              </w:tc>
              <w:tc>
                <w:tcPr>
                  <w:tcW w:w="387" w:type="pct"/>
                  <w:noWrap w:val="0"/>
                  <w:vAlign w:val="center"/>
                </w:tcPr>
                <w:p w14:paraId="39895F8C">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58F7D2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3B50B368">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11" w:type="pct"/>
                  <w:vMerge w:val="continue"/>
                  <w:noWrap w:val="0"/>
                  <w:vAlign w:val="center"/>
                </w:tcPr>
                <w:p w14:paraId="28935A90">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p>
              </w:tc>
              <w:tc>
                <w:tcPr>
                  <w:tcW w:w="584" w:type="pct"/>
                  <w:shd w:val="clear" w:color="auto" w:fill="auto"/>
                  <w:noWrap w:val="0"/>
                  <w:vAlign w:val="center"/>
                </w:tcPr>
                <w:p w14:paraId="59A9917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超声波清洗</w:t>
                  </w:r>
                  <w:r>
                    <w:rPr>
                      <w:rFonts w:hint="eastAsia" w:ascii="Times New Roman" w:hAnsi="Times New Roman" w:eastAsia="宋体" w:cs="Times New Roman"/>
                      <w:i w:val="0"/>
                      <w:iCs w:val="0"/>
                      <w:color w:val="auto"/>
                      <w:kern w:val="0"/>
                      <w:sz w:val="21"/>
                      <w:szCs w:val="21"/>
                      <w:u w:val="none"/>
                      <w:lang w:val="en-US" w:eastAsia="zh-CN" w:bidi="ar"/>
                    </w:rPr>
                    <w:t>机</w:t>
                  </w:r>
                </w:p>
              </w:tc>
              <w:tc>
                <w:tcPr>
                  <w:tcW w:w="346" w:type="pct"/>
                  <w:noWrap w:val="0"/>
                  <w:vAlign w:val="center"/>
                </w:tcPr>
                <w:p w14:paraId="362114B4">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30" w:type="pct"/>
                  <w:noWrap w:val="0"/>
                  <w:vAlign w:val="center"/>
                </w:tcPr>
                <w:p w14:paraId="4FE82E97">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552" w:type="pct"/>
                  <w:noWrap w:val="0"/>
                  <w:vAlign w:val="center"/>
                </w:tcPr>
                <w:p w14:paraId="53E185B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continue"/>
                  <w:noWrap w:val="0"/>
                  <w:vAlign w:val="center"/>
                </w:tcPr>
                <w:p w14:paraId="70E5A927">
                  <w:pPr>
                    <w:adjustRightInd w:val="0"/>
                    <w:snapToGrid w:val="0"/>
                    <w:ind w:left="-105" w:leftChars="-50" w:right="-105" w:rightChars="-50"/>
                    <w:jc w:val="center"/>
                    <w:rPr>
                      <w:rFonts w:hint="default" w:ascii="Times New Roman" w:hAnsi="Times New Roman" w:eastAsia="宋体" w:cs="Times New Roman"/>
                      <w:bCs/>
                      <w:color w:val="auto"/>
                      <w:sz w:val="21"/>
                      <w:szCs w:val="21"/>
                    </w:rPr>
                  </w:pPr>
                </w:p>
              </w:tc>
              <w:tc>
                <w:tcPr>
                  <w:tcW w:w="210" w:type="pct"/>
                  <w:noWrap w:val="0"/>
                  <w:vAlign w:val="center"/>
                </w:tcPr>
                <w:p w14:paraId="0AA79082">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210" w:type="pct"/>
                  <w:noWrap w:val="0"/>
                  <w:vAlign w:val="center"/>
                </w:tcPr>
                <w:p w14:paraId="605723C0">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231" w:type="pct"/>
                  <w:noWrap w:val="0"/>
                  <w:vAlign w:val="center"/>
                </w:tcPr>
                <w:p w14:paraId="76B87EE7">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51C6DE49">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260" w:type="pct"/>
                  <w:noWrap w:val="0"/>
                  <w:vAlign w:val="bottom"/>
                </w:tcPr>
                <w:p w14:paraId="5EEA4027">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69.0</w:t>
                  </w:r>
                </w:p>
              </w:tc>
              <w:tc>
                <w:tcPr>
                  <w:tcW w:w="202" w:type="pct"/>
                  <w:noWrap w:val="0"/>
                  <w:vAlign w:val="center"/>
                </w:tcPr>
                <w:p w14:paraId="77A7DD5E">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h</w:t>
                  </w:r>
                </w:p>
              </w:tc>
              <w:tc>
                <w:tcPr>
                  <w:tcW w:w="362" w:type="pct"/>
                  <w:noWrap w:val="0"/>
                  <w:vAlign w:val="center"/>
                </w:tcPr>
                <w:p w14:paraId="71D8672B">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2" w:type="pct"/>
                  <w:noWrap w:val="0"/>
                  <w:vAlign w:val="bottom"/>
                </w:tcPr>
                <w:p w14:paraId="107C74D8">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44.0</w:t>
                  </w:r>
                </w:p>
              </w:tc>
              <w:tc>
                <w:tcPr>
                  <w:tcW w:w="387" w:type="pct"/>
                  <w:noWrap w:val="0"/>
                  <w:vAlign w:val="center"/>
                </w:tcPr>
                <w:p w14:paraId="30619D76">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013EAD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23713B3A">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11" w:type="pct"/>
                  <w:vMerge w:val="continue"/>
                  <w:noWrap w:val="0"/>
                  <w:vAlign w:val="center"/>
                </w:tcPr>
                <w:p w14:paraId="41A92B30">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p>
              </w:tc>
              <w:tc>
                <w:tcPr>
                  <w:tcW w:w="584" w:type="pct"/>
                  <w:shd w:val="clear" w:color="auto" w:fill="auto"/>
                  <w:noWrap w:val="0"/>
                  <w:vAlign w:val="center"/>
                </w:tcPr>
                <w:p w14:paraId="6608FC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空压机</w:t>
                  </w:r>
                </w:p>
              </w:tc>
              <w:tc>
                <w:tcPr>
                  <w:tcW w:w="346" w:type="pct"/>
                  <w:noWrap w:val="0"/>
                  <w:vAlign w:val="center"/>
                </w:tcPr>
                <w:p w14:paraId="48EE1D18">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30" w:type="pct"/>
                  <w:noWrap w:val="0"/>
                  <w:vAlign w:val="center"/>
                </w:tcPr>
                <w:p w14:paraId="3DB49C8A">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552" w:type="pct"/>
                  <w:noWrap w:val="0"/>
                  <w:vAlign w:val="center"/>
                </w:tcPr>
                <w:p w14:paraId="3DE1F0D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402" w:type="pct"/>
                  <w:vMerge w:val="continue"/>
                  <w:noWrap w:val="0"/>
                  <w:vAlign w:val="center"/>
                </w:tcPr>
                <w:p w14:paraId="366554A5">
                  <w:pPr>
                    <w:adjustRightInd w:val="0"/>
                    <w:snapToGrid w:val="0"/>
                    <w:ind w:left="-105" w:leftChars="-50" w:right="-105" w:rightChars="-50"/>
                    <w:jc w:val="center"/>
                    <w:rPr>
                      <w:rFonts w:hint="default" w:ascii="Times New Roman" w:hAnsi="Times New Roman" w:eastAsia="宋体" w:cs="Times New Roman"/>
                      <w:bCs/>
                      <w:color w:val="auto"/>
                      <w:sz w:val="21"/>
                      <w:szCs w:val="21"/>
                    </w:rPr>
                  </w:pPr>
                </w:p>
              </w:tc>
              <w:tc>
                <w:tcPr>
                  <w:tcW w:w="210" w:type="pct"/>
                  <w:noWrap w:val="0"/>
                  <w:vAlign w:val="center"/>
                </w:tcPr>
                <w:p w14:paraId="7564DF9E">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210" w:type="pct"/>
                  <w:noWrap w:val="0"/>
                  <w:vAlign w:val="center"/>
                </w:tcPr>
                <w:p w14:paraId="600BC7E9">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231" w:type="pct"/>
                  <w:shd w:val="clear" w:color="auto" w:fill="auto"/>
                  <w:noWrap w:val="0"/>
                  <w:vAlign w:val="center"/>
                </w:tcPr>
                <w:p w14:paraId="67744A6C">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62" w:type="pct"/>
                  <w:shd w:val="clear" w:color="auto" w:fill="auto"/>
                  <w:noWrap w:val="0"/>
                  <w:vAlign w:val="center"/>
                </w:tcPr>
                <w:p w14:paraId="33AAC2BC">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260" w:type="pct"/>
                  <w:noWrap w:val="0"/>
                  <w:vAlign w:val="bottom"/>
                </w:tcPr>
                <w:p w14:paraId="7CBD4BD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75.8</w:t>
                  </w:r>
                </w:p>
              </w:tc>
              <w:tc>
                <w:tcPr>
                  <w:tcW w:w="202" w:type="pct"/>
                  <w:shd w:val="clear" w:color="auto" w:fill="auto"/>
                  <w:noWrap w:val="0"/>
                  <w:vAlign w:val="center"/>
                </w:tcPr>
                <w:p w14:paraId="4FCC7CF7">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h</w:t>
                  </w:r>
                </w:p>
              </w:tc>
              <w:tc>
                <w:tcPr>
                  <w:tcW w:w="362" w:type="pct"/>
                  <w:shd w:val="clear" w:color="auto" w:fill="auto"/>
                  <w:noWrap w:val="0"/>
                  <w:vAlign w:val="center"/>
                </w:tcPr>
                <w:p w14:paraId="5C0FBF5E">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w:t>
                  </w:r>
                </w:p>
              </w:tc>
              <w:tc>
                <w:tcPr>
                  <w:tcW w:w="362" w:type="pct"/>
                  <w:noWrap w:val="0"/>
                  <w:vAlign w:val="bottom"/>
                </w:tcPr>
                <w:p w14:paraId="248FCB30">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50.8</w:t>
                  </w:r>
                </w:p>
              </w:tc>
              <w:tc>
                <w:tcPr>
                  <w:tcW w:w="387" w:type="pct"/>
                  <w:noWrap w:val="0"/>
                  <w:vAlign w:val="center"/>
                </w:tcPr>
                <w:p w14:paraId="7B37EA72">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bl>
          <w:p w14:paraId="18D1A44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表4-1</w:t>
            </w:r>
            <w:r>
              <w:rPr>
                <w:rFonts w:hint="eastAsia" w:ascii="Times New Roman" w:hAnsi="Times New Roman" w:eastAsia="宋体" w:cs="Times New Roman"/>
                <w:b/>
                <w:bCs/>
                <w:color w:val="auto"/>
                <w:sz w:val="24"/>
                <w:szCs w:val="24"/>
                <w:lang w:val="en-US" w:eastAsia="zh-CN"/>
              </w:rPr>
              <w:t xml:space="preserve">3  </w:t>
            </w:r>
            <w:r>
              <w:rPr>
                <w:rFonts w:hint="default" w:ascii="Times New Roman" w:hAnsi="Times New Roman" w:eastAsia="宋体" w:cs="Times New Roman"/>
                <w:b/>
                <w:bCs/>
                <w:color w:val="auto"/>
                <w:sz w:val="24"/>
                <w:szCs w:val="24"/>
                <w:lang w:eastAsia="zh-CN"/>
              </w:rPr>
              <w:t>本项目</w:t>
            </w:r>
            <w:r>
              <w:rPr>
                <w:rFonts w:hint="default" w:ascii="Times New Roman" w:hAnsi="Times New Roman" w:eastAsia="宋体" w:cs="Times New Roman"/>
                <w:b/>
                <w:bCs/>
                <w:color w:val="auto"/>
                <w:sz w:val="24"/>
                <w:szCs w:val="24"/>
                <w:lang w:val="en-US" w:eastAsia="zh-CN"/>
              </w:rPr>
              <w:t>主要噪声污染源一览表（室外声源）</w:t>
            </w:r>
          </w:p>
          <w:tbl>
            <w:tblPr>
              <w:tblStyle w:val="29"/>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09"/>
              <w:gridCol w:w="1492"/>
              <w:gridCol w:w="974"/>
              <w:gridCol w:w="1244"/>
              <w:gridCol w:w="1244"/>
              <w:gridCol w:w="1257"/>
              <w:gridCol w:w="2038"/>
              <w:gridCol w:w="2104"/>
              <w:gridCol w:w="2062"/>
            </w:tblGrid>
            <w:tr w14:paraId="2896C31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6" w:type="pct"/>
                  <w:vMerge w:val="restart"/>
                  <w:tcBorders>
                    <w:tl2br w:val="nil"/>
                    <w:tr2bl w:val="nil"/>
                  </w:tcBorders>
                  <w:vAlign w:val="center"/>
                </w:tcPr>
                <w:p w14:paraId="3DD9B2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23957D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lang w:val="en-US" w:eastAsia="zh-CN"/>
                    </w:rPr>
                    <w:t>声源名称</w:t>
                  </w:r>
                </w:p>
              </w:tc>
              <w:tc>
                <w:tcPr>
                  <w:tcW w:w="368" w:type="pct"/>
                  <w:vMerge w:val="restart"/>
                  <w:tcBorders>
                    <w:tl2br w:val="nil"/>
                    <w:tr2bl w:val="nil"/>
                  </w:tcBorders>
                  <w:vAlign w:val="center"/>
                </w:tcPr>
                <w:p w14:paraId="51CE24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数量</w:t>
                  </w:r>
                </w:p>
              </w:tc>
              <w:tc>
                <w:tcPr>
                  <w:tcW w:w="1415" w:type="pct"/>
                  <w:gridSpan w:val="3"/>
                  <w:tcBorders>
                    <w:tl2br w:val="nil"/>
                    <w:tr2bl w:val="nil"/>
                  </w:tcBorders>
                  <w:vAlign w:val="center"/>
                </w:tcPr>
                <w:p w14:paraId="6DD50F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空间相对位置/m</w:t>
                  </w:r>
                </w:p>
              </w:tc>
              <w:tc>
                <w:tcPr>
                  <w:tcW w:w="770" w:type="pct"/>
                  <w:vMerge w:val="restart"/>
                  <w:tcBorders>
                    <w:tl2br w:val="nil"/>
                    <w:tr2bl w:val="nil"/>
                  </w:tcBorders>
                  <w:vAlign w:val="center"/>
                </w:tcPr>
                <w:p w14:paraId="5C1D4A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单台声功率级dB（A）</w:t>
                  </w:r>
                </w:p>
              </w:tc>
              <w:tc>
                <w:tcPr>
                  <w:tcW w:w="795" w:type="pct"/>
                  <w:vMerge w:val="restart"/>
                  <w:tcBorders>
                    <w:tl2br w:val="nil"/>
                    <w:tr2bl w:val="nil"/>
                  </w:tcBorders>
                  <w:vAlign w:val="center"/>
                </w:tcPr>
                <w:p w14:paraId="34D6F0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声源控制</w:t>
                  </w:r>
                </w:p>
                <w:p w14:paraId="766011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措施</w:t>
                  </w:r>
                </w:p>
              </w:tc>
              <w:tc>
                <w:tcPr>
                  <w:tcW w:w="779" w:type="pct"/>
                  <w:vMerge w:val="restart"/>
                  <w:tcBorders>
                    <w:tl2br w:val="nil"/>
                    <w:tr2bl w:val="nil"/>
                  </w:tcBorders>
                  <w:vAlign w:val="center"/>
                </w:tcPr>
                <w:p w14:paraId="3A5CBF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运行时段</w:t>
                  </w:r>
                </w:p>
              </w:tc>
            </w:tr>
            <w:tr w14:paraId="16FD4EB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6" w:type="pct"/>
                  <w:vMerge w:val="continue"/>
                  <w:tcBorders>
                    <w:tl2br w:val="nil"/>
                    <w:tr2bl w:val="nil"/>
                  </w:tcBorders>
                  <w:vAlign w:val="center"/>
                </w:tcPr>
                <w:p w14:paraId="367BC9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564" w:type="pct"/>
                  <w:vMerge w:val="continue"/>
                  <w:tcBorders>
                    <w:tl2br w:val="nil"/>
                    <w:tr2bl w:val="nil"/>
                  </w:tcBorders>
                  <w:vAlign w:val="center"/>
                </w:tcPr>
                <w:p w14:paraId="0DB33C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368" w:type="pct"/>
                  <w:vMerge w:val="continue"/>
                  <w:tcBorders>
                    <w:tl2br w:val="nil"/>
                    <w:tr2bl w:val="nil"/>
                  </w:tcBorders>
                  <w:vAlign w:val="center"/>
                </w:tcPr>
                <w:p w14:paraId="00FF51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470" w:type="pct"/>
                  <w:tcBorders>
                    <w:tl2br w:val="nil"/>
                    <w:tr2bl w:val="nil"/>
                  </w:tcBorders>
                  <w:vAlign w:val="center"/>
                </w:tcPr>
                <w:p w14:paraId="4E7A04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X</w:t>
                  </w:r>
                </w:p>
              </w:tc>
              <w:tc>
                <w:tcPr>
                  <w:tcW w:w="470" w:type="pct"/>
                  <w:tcBorders>
                    <w:tl2br w:val="nil"/>
                    <w:tr2bl w:val="nil"/>
                  </w:tcBorders>
                  <w:vAlign w:val="center"/>
                </w:tcPr>
                <w:p w14:paraId="2250BC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Y</w:t>
                  </w:r>
                </w:p>
              </w:tc>
              <w:tc>
                <w:tcPr>
                  <w:tcW w:w="474" w:type="pct"/>
                  <w:tcBorders>
                    <w:tl2br w:val="nil"/>
                    <w:tr2bl w:val="nil"/>
                  </w:tcBorders>
                  <w:vAlign w:val="center"/>
                </w:tcPr>
                <w:p w14:paraId="38C584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Z</w:t>
                  </w:r>
                </w:p>
              </w:tc>
              <w:tc>
                <w:tcPr>
                  <w:tcW w:w="770" w:type="pct"/>
                  <w:vMerge w:val="continue"/>
                  <w:tcBorders>
                    <w:tl2br w:val="nil"/>
                    <w:tr2bl w:val="nil"/>
                  </w:tcBorders>
                  <w:vAlign w:val="center"/>
                </w:tcPr>
                <w:p w14:paraId="6F2AE0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795" w:type="pct"/>
                  <w:vMerge w:val="continue"/>
                  <w:tcBorders>
                    <w:tl2br w:val="nil"/>
                    <w:tr2bl w:val="nil"/>
                  </w:tcBorders>
                  <w:vAlign w:val="center"/>
                </w:tcPr>
                <w:p w14:paraId="188318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779" w:type="pct"/>
                  <w:vMerge w:val="continue"/>
                  <w:tcBorders>
                    <w:tl2br w:val="nil"/>
                    <w:tr2bl w:val="nil"/>
                  </w:tcBorders>
                  <w:vAlign w:val="center"/>
                </w:tcPr>
                <w:p w14:paraId="2F2BE9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r>
            <w:tr w14:paraId="3C02FC6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14:paraId="258E73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73AF1F3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lang w:val="en-US" w:eastAsia="zh-CN"/>
                    </w:rPr>
                    <w:t>风机1</w:t>
                  </w:r>
                </w:p>
              </w:tc>
              <w:tc>
                <w:tcPr>
                  <w:tcW w:w="368" w:type="pct"/>
                  <w:tcBorders>
                    <w:tl2br w:val="nil"/>
                    <w:tr2bl w:val="nil"/>
                  </w:tcBorders>
                  <w:vAlign w:val="center"/>
                </w:tcPr>
                <w:p w14:paraId="0FFA6F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lang w:val="en-US" w:eastAsia="zh-CN"/>
                    </w:rPr>
                    <w:t>1</w:t>
                  </w:r>
                </w:p>
              </w:tc>
              <w:tc>
                <w:tcPr>
                  <w:tcW w:w="470" w:type="pct"/>
                  <w:tcBorders>
                    <w:tl2br w:val="nil"/>
                    <w:tr2bl w:val="nil"/>
                  </w:tcBorders>
                  <w:vAlign w:val="center"/>
                </w:tcPr>
                <w:p w14:paraId="25A3F18B">
                  <w:pPr>
                    <w:adjustRightInd w:val="0"/>
                    <w:snapToGrid w:val="0"/>
                    <w:ind w:left="-105" w:leftChars="-50" w:right="-105" w:rightChars="-5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28</w:t>
                  </w:r>
                </w:p>
              </w:tc>
              <w:tc>
                <w:tcPr>
                  <w:tcW w:w="470" w:type="pct"/>
                  <w:tcBorders>
                    <w:tl2br w:val="nil"/>
                    <w:tr2bl w:val="nil"/>
                  </w:tcBorders>
                  <w:vAlign w:val="center"/>
                </w:tcPr>
                <w:p w14:paraId="5012FB3F">
                  <w:pPr>
                    <w:adjustRightInd w:val="0"/>
                    <w:snapToGrid w:val="0"/>
                    <w:ind w:left="-105" w:leftChars="-50" w:right="-105" w:rightChars="-5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40</w:t>
                  </w:r>
                </w:p>
              </w:tc>
              <w:tc>
                <w:tcPr>
                  <w:tcW w:w="474" w:type="pct"/>
                  <w:tcBorders>
                    <w:tl2br w:val="nil"/>
                    <w:tr2bl w:val="nil"/>
                  </w:tcBorders>
                  <w:vAlign w:val="center"/>
                </w:tcPr>
                <w:p w14:paraId="7CD934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p>
              </w:tc>
              <w:tc>
                <w:tcPr>
                  <w:tcW w:w="770" w:type="pct"/>
                  <w:tcBorders>
                    <w:tl2br w:val="nil"/>
                    <w:tr2bl w:val="nil"/>
                  </w:tcBorders>
                  <w:vAlign w:val="center"/>
                </w:tcPr>
                <w:p w14:paraId="6C8DCE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85</w:t>
                  </w:r>
                </w:p>
              </w:tc>
              <w:tc>
                <w:tcPr>
                  <w:tcW w:w="795" w:type="pct"/>
                  <w:tcBorders>
                    <w:tl2br w:val="nil"/>
                    <w:tr2bl w:val="nil"/>
                  </w:tcBorders>
                  <w:vAlign w:val="center"/>
                </w:tcPr>
                <w:p w14:paraId="59DE30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Cs w:val="20"/>
                    </w:rPr>
                    <w:t>减振、隔音</w:t>
                  </w:r>
                </w:p>
              </w:tc>
              <w:tc>
                <w:tcPr>
                  <w:tcW w:w="779" w:type="pct"/>
                  <w:tcBorders>
                    <w:tl2br w:val="nil"/>
                    <w:tr2bl w:val="nil"/>
                  </w:tcBorders>
                  <w:vAlign w:val="center"/>
                </w:tcPr>
                <w:p w14:paraId="71CBD5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工作时</w:t>
                  </w:r>
                </w:p>
              </w:tc>
            </w:tr>
          </w:tbl>
          <w:p w14:paraId="7A53E37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注：表4-1</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及表4-1</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中空间相对坐标以</w:t>
            </w:r>
            <w:r>
              <w:rPr>
                <w:rFonts w:hint="eastAsia" w:ascii="Times New Roman" w:hAnsi="Times New Roman" w:eastAsia="宋体" w:cs="Times New Roman"/>
                <w:b/>
                <w:bCs/>
                <w:color w:val="auto"/>
                <w:sz w:val="21"/>
                <w:szCs w:val="21"/>
                <w:lang w:val="en-US" w:eastAsia="zh-CN"/>
              </w:rPr>
              <w:t>厂区</w:t>
            </w:r>
            <w:r>
              <w:rPr>
                <w:rFonts w:hint="default" w:ascii="Times New Roman" w:hAnsi="Times New Roman" w:eastAsia="宋体" w:cs="Times New Roman"/>
                <w:b/>
                <w:bCs/>
                <w:color w:val="auto"/>
                <w:sz w:val="21"/>
                <w:szCs w:val="21"/>
                <w:lang w:val="en-US" w:eastAsia="zh-CN"/>
              </w:rPr>
              <w:t>西南角为原点（0，0，0），东西方向为X轴，南北方向为Y轴，垂直方向为Z轴。</w:t>
            </w:r>
          </w:p>
          <w:p w14:paraId="07EDEE5C">
            <w:pPr>
              <w:spacing w:line="360" w:lineRule="auto"/>
              <w:jc w:val="center"/>
              <w:rPr>
                <w:rFonts w:hint="default" w:ascii="Times New Roman" w:hAnsi="Times New Roman" w:eastAsia="宋体" w:cs="Times New Roman"/>
                <w:color w:val="auto"/>
                <w:sz w:val="24"/>
              </w:rPr>
            </w:pPr>
          </w:p>
        </w:tc>
      </w:tr>
    </w:tbl>
    <w:p w14:paraId="7B8228BB">
      <w:pPr>
        <w:rPr>
          <w:rFonts w:hint="default" w:ascii="Times New Roman" w:hAnsi="Times New Roman" w:cs="Times New Roman"/>
          <w:color w:val="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8564"/>
      </w:tblGrid>
      <w:tr w14:paraId="5A70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Align w:val="center"/>
          </w:tcPr>
          <w:p w14:paraId="3A59FA6B">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610" w:type="pct"/>
          </w:tcPr>
          <w:p w14:paraId="4544AC74">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2、降噪措施</w:t>
            </w:r>
          </w:p>
          <w:p w14:paraId="05AE351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①企业在选购设备时购置符合国家颁布的各类机械噪声标准的低噪声设备，保证运行时能符合工业企业车间噪声卫生标准，同时能保证达到厂界噪声控制值。</w:t>
            </w:r>
          </w:p>
          <w:p w14:paraId="7BCEEF5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②针对较大的设备噪声源，可通过设备安装减振座、加设减振垫等方式来进行减振处理。</w:t>
            </w:r>
          </w:p>
          <w:p w14:paraId="10AA7E1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③对产生的机械撞击性噪声采用性能好的隔声门窗将噪声封隔起来，以减少噪声的传播，设置隔声控制室，将操作人员与噪声源分离开等。</w:t>
            </w:r>
          </w:p>
          <w:p w14:paraId="7CC026E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④在噪声传播途径上采取措施加以控制，如强噪声源车间的建筑围护结构均以封闭为主，同时采取车间外及厂界的绿化，利用建筑物与树木阻隔声音的传播。</w:t>
            </w:r>
          </w:p>
          <w:p w14:paraId="3FE96A1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⑤保持设备处于良好的运转状态，防止因设备运转不正常而增大噪声，要经常进行保养，加润滑油，减少摩擦力，降低噪声。</w:t>
            </w:r>
          </w:p>
          <w:p w14:paraId="17A978E0">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3、预测排放强度、达标情况分析</w:t>
            </w:r>
          </w:p>
          <w:p w14:paraId="4AE970F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本项目生产制度为一班制，夜间不生产，故本次评价对东、南、西、北厂界</w:t>
            </w:r>
            <w:r>
              <w:rPr>
                <w:rFonts w:hint="eastAsia" w:ascii="Times New Roman" w:hAnsi="Times New Roman" w:eastAsia="宋体" w:cs="Times New Roman"/>
                <w:color w:val="auto"/>
                <w:sz w:val="24"/>
                <w:lang w:val="en-US" w:eastAsia="zh-CN"/>
              </w:rPr>
              <w:t>和敏感点</w:t>
            </w:r>
            <w:r>
              <w:rPr>
                <w:rFonts w:hint="default" w:ascii="Times New Roman" w:hAnsi="Times New Roman" w:eastAsia="宋体" w:cs="Times New Roman"/>
                <w:color w:val="auto"/>
                <w:sz w:val="24"/>
                <w:lang w:val="en-US" w:eastAsia="zh-CN"/>
              </w:rPr>
              <w:t>进行昼间噪声的影响预测。</w:t>
            </w:r>
            <w:r>
              <w:rPr>
                <w:rFonts w:hint="default" w:ascii="Times New Roman" w:hAnsi="Times New Roman" w:eastAsia="宋体" w:cs="Times New Roman"/>
                <w:color w:val="auto"/>
                <w:sz w:val="24"/>
              </w:rPr>
              <w:t>根据企业提供的噪声设备分布情况，</w:t>
            </w:r>
            <w:r>
              <w:rPr>
                <w:rFonts w:hint="default" w:ascii="Times New Roman" w:hAnsi="Times New Roman" w:eastAsia="宋体" w:cs="Times New Roman"/>
                <w:color w:val="auto"/>
                <w:sz w:val="24"/>
                <w:lang w:val="en-US" w:eastAsia="zh-CN"/>
              </w:rPr>
              <w:t>噪声源对厂界噪声</w:t>
            </w:r>
            <w:r>
              <w:rPr>
                <w:rFonts w:hint="eastAsia" w:ascii="Times New Roman" w:hAnsi="Times New Roman" w:eastAsia="宋体" w:cs="Times New Roman"/>
                <w:color w:val="auto"/>
                <w:sz w:val="24"/>
                <w:lang w:val="en-US" w:eastAsia="zh-CN"/>
              </w:rPr>
              <w:t>和敏感点</w:t>
            </w:r>
            <w:r>
              <w:rPr>
                <w:rFonts w:hint="default" w:ascii="Times New Roman" w:hAnsi="Times New Roman" w:eastAsia="宋体" w:cs="Times New Roman"/>
                <w:color w:val="auto"/>
                <w:sz w:val="24"/>
                <w:lang w:val="en-US" w:eastAsia="zh-CN"/>
              </w:rPr>
              <w:t>的影响预测结果见下表。</w:t>
            </w:r>
          </w:p>
          <w:p w14:paraId="3CE5950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本项目各厂界昼间噪声预测结果dB（A）</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669"/>
              <w:gridCol w:w="1669"/>
              <w:gridCol w:w="1669"/>
              <w:gridCol w:w="1669"/>
            </w:tblGrid>
            <w:tr w14:paraId="798E0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5FEB17E4">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color w:val="auto"/>
                      <w:szCs w:val="21"/>
                    </w:rPr>
                    <w:t>目标</w:t>
                  </w:r>
                </w:p>
              </w:tc>
              <w:tc>
                <w:tcPr>
                  <w:tcW w:w="1000" w:type="pct"/>
                  <w:tcBorders>
                    <w:tl2br w:val="nil"/>
                    <w:tr2bl w:val="nil"/>
                  </w:tcBorders>
                  <w:vAlign w:val="center"/>
                </w:tcPr>
                <w:p w14:paraId="20712138">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背景值</w:t>
                  </w:r>
                </w:p>
              </w:tc>
              <w:tc>
                <w:tcPr>
                  <w:tcW w:w="1000" w:type="pct"/>
                  <w:tcBorders>
                    <w:tl2br w:val="nil"/>
                    <w:tr2bl w:val="nil"/>
                  </w:tcBorders>
                  <w:vAlign w:val="center"/>
                </w:tcPr>
                <w:p w14:paraId="053C37F0">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昼间</w:t>
                  </w:r>
                  <w:r>
                    <w:rPr>
                      <w:rFonts w:hint="default" w:ascii="Times New Roman" w:hAnsi="Times New Roman" w:eastAsia="宋体" w:cs="Times New Roman"/>
                      <w:b/>
                      <w:color w:val="auto"/>
                      <w:szCs w:val="21"/>
                      <w:lang w:val="en-US" w:eastAsia="zh-CN"/>
                    </w:rPr>
                    <w:t>噪声</w:t>
                  </w:r>
                  <w:r>
                    <w:rPr>
                      <w:rFonts w:hint="default" w:ascii="Times New Roman" w:hAnsi="Times New Roman" w:eastAsia="宋体" w:cs="Times New Roman"/>
                      <w:b/>
                      <w:color w:val="auto"/>
                      <w:szCs w:val="21"/>
                    </w:rPr>
                    <w:t>贡献值</w:t>
                  </w:r>
                </w:p>
              </w:tc>
              <w:tc>
                <w:tcPr>
                  <w:tcW w:w="1000" w:type="pct"/>
                  <w:tcBorders>
                    <w:tl2br w:val="nil"/>
                    <w:tr2bl w:val="nil"/>
                  </w:tcBorders>
                  <w:vAlign w:val="center"/>
                </w:tcPr>
                <w:p w14:paraId="26BC75AA">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叠加值</w:t>
                  </w:r>
                </w:p>
              </w:tc>
              <w:tc>
                <w:tcPr>
                  <w:tcW w:w="1000" w:type="pct"/>
                  <w:tcBorders>
                    <w:tl2br w:val="nil"/>
                    <w:tr2bl w:val="nil"/>
                  </w:tcBorders>
                  <w:vAlign w:val="center"/>
                </w:tcPr>
                <w:p w14:paraId="64E98D16">
                  <w:pPr>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Cs w:val="21"/>
                    </w:rPr>
                    <w:t>标准</w:t>
                  </w:r>
                  <w:r>
                    <w:rPr>
                      <w:rFonts w:hint="default" w:ascii="Times New Roman" w:hAnsi="Times New Roman" w:eastAsia="宋体" w:cs="Times New Roman"/>
                      <w:b/>
                      <w:color w:val="auto"/>
                      <w:szCs w:val="21"/>
                      <w:lang w:eastAsia="zh-CN"/>
                    </w:rPr>
                    <w:t>（</w:t>
                  </w:r>
                  <w:r>
                    <w:rPr>
                      <w:rFonts w:hint="default" w:ascii="Times New Roman" w:hAnsi="Times New Roman" w:eastAsia="宋体" w:cs="Times New Roman"/>
                      <w:b/>
                      <w:color w:val="auto"/>
                      <w:szCs w:val="21"/>
                    </w:rPr>
                    <w:t>昼间</w:t>
                  </w:r>
                  <w:r>
                    <w:rPr>
                      <w:rFonts w:hint="default" w:ascii="Times New Roman" w:hAnsi="Times New Roman" w:eastAsia="宋体" w:cs="Times New Roman"/>
                      <w:b/>
                      <w:color w:val="auto"/>
                      <w:szCs w:val="21"/>
                      <w:lang w:eastAsia="zh-CN"/>
                    </w:rPr>
                    <w:t>）</w:t>
                  </w:r>
                </w:p>
              </w:tc>
            </w:tr>
            <w:tr w14:paraId="5CF35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4B66EF63">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东厂界</w:t>
                  </w:r>
                </w:p>
              </w:tc>
              <w:tc>
                <w:tcPr>
                  <w:tcW w:w="1000" w:type="pct"/>
                  <w:tcBorders>
                    <w:tl2br w:val="nil"/>
                    <w:tr2bl w:val="nil"/>
                  </w:tcBorders>
                  <w:vAlign w:val="center"/>
                </w:tcPr>
                <w:p w14:paraId="3781B1A0">
                  <w:pPr>
                    <w:spacing w:line="30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58</w:t>
                  </w:r>
                </w:p>
              </w:tc>
              <w:tc>
                <w:tcPr>
                  <w:tcW w:w="1000" w:type="pct"/>
                  <w:tcBorders>
                    <w:tl2br w:val="nil"/>
                    <w:tr2bl w:val="nil"/>
                  </w:tcBorders>
                  <w:vAlign w:val="center"/>
                </w:tcPr>
                <w:p w14:paraId="62025F67">
                  <w:pPr>
                    <w:pStyle w:val="4"/>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54.0</w:t>
                  </w:r>
                </w:p>
              </w:tc>
              <w:tc>
                <w:tcPr>
                  <w:tcW w:w="1000" w:type="pct"/>
                  <w:tcBorders>
                    <w:tl2br w:val="nil"/>
                    <w:tr2bl w:val="nil"/>
                  </w:tcBorders>
                  <w:vAlign w:val="center"/>
                </w:tcPr>
                <w:p w14:paraId="26CFDD8F">
                  <w:pPr>
                    <w:pStyle w:val="4"/>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59.2</w:t>
                  </w:r>
                </w:p>
              </w:tc>
              <w:tc>
                <w:tcPr>
                  <w:tcW w:w="1000" w:type="pct"/>
                  <w:tcBorders>
                    <w:tl2br w:val="nil"/>
                    <w:tr2bl w:val="nil"/>
                  </w:tcBorders>
                  <w:vAlign w:val="center"/>
                </w:tcPr>
                <w:p w14:paraId="150D8F33">
                  <w:pPr>
                    <w:pStyle w:val="4"/>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0</w:t>
                  </w:r>
                </w:p>
              </w:tc>
            </w:tr>
            <w:tr w14:paraId="5922A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55583953">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南厂界</w:t>
                  </w:r>
                </w:p>
              </w:tc>
              <w:tc>
                <w:tcPr>
                  <w:tcW w:w="1000" w:type="pct"/>
                  <w:tcBorders>
                    <w:tl2br w:val="nil"/>
                    <w:tr2bl w:val="nil"/>
                  </w:tcBorders>
                  <w:vAlign w:val="center"/>
                </w:tcPr>
                <w:p w14:paraId="6058EB3D">
                  <w:pPr>
                    <w:spacing w:line="30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57</w:t>
                  </w:r>
                </w:p>
              </w:tc>
              <w:tc>
                <w:tcPr>
                  <w:tcW w:w="1000" w:type="pct"/>
                  <w:tcBorders>
                    <w:tl2br w:val="nil"/>
                    <w:tr2bl w:val="nil"/>
                  </w:tcBorders>
                  <w:vAlign w:val="center"/>
                </w:tcPr>
                <w:p w14:paraId="27F99240">
                  <w:pPr>
                    <w:pStyle w:val="4"/>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41.5</w:t>
                  </w:r>
                </w:p>
              </w:tc>
              <w:tc>
                <w:tcPr>
                  <w:tcW w:w="1000" w:type="pct"/>
                  <w:tcBorders>
                    <w:tl2br w:val="nil"/>
                    <w:tr2bl w:val="nil"/>
                  </w:tcBorders>
                  <w:vAlign w:val="center"/>
                </w:tcPr>
                <w:p w14:paraId="75B672ED">
                  <w:pPr>
                    <w:pStyle w:val="4"/>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57.1</w:t>
                  </w:r>
                </w:p>
              </w:tc>
              <w:tc>
                <w:tcPr>
                  <w:tcW w:w="1000" w:type="pct"/>
                  <w:tcBorders>
                    <w:tl2br w:val="nil"/>
                    <w:tr2bl w:val="nil"/>
                  </w:tcBorders>
                  <w:vAlign w:val="center"/>
                </w:tcPr>
                <w:p w14:paraId="3530A37B">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0</w:t>
                  </w:r>
                </w:p>
              </w:tc>
            </w:tr>
            <w:tr w14:paraId="113CE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5894B610">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西厂界</w:t>
                  </w:r>
                </w:p>
              </w:tc>
              <w:tc>
                <w:tcPr>
                  <w:tcW w:w="1000" w:type="pct"/>
                  <w:tcBorders>
                    <w:tl2br w:val="nil"/>
                    <w:tr2bl w:val="nil"/>
                  </w:tcBorders>
                  <w:vAlign w:val="center"/>
                </w:tcPr>
                <w:p w14:paraId="0174A9ED">
                  <w:pPr>
                    <w:spacing w:line="30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54</w:t>
                  </w:r>
                </w:p>
              </w:tc>
              <w:tc>
                <w:tcPr>
                  <w:tcW w:w="1000" w:type="pct"/>
                  <w:tcBorders>
                    <w:tl2br w:val="nil"/>
                    <w:tr2bl w:val="nil"/>
                  </w:tcBorders>
                  <w:vAlign w:val="center"/>
                </w:tcPr>
                <w:p w14:paraId="4E6B1F5C">
                  <w:pPr>
                    <w:pStyle w:val="4"/>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44.1</w:t>
                  </w:r>
                </w:p>
              </w:tc>
              <w:tc>
                <w:tcPr>
                  <w:tcW w:w="1000" w:type="pct"/>
                  <w:tcBorders>
                    <w:tl2br w:val="nil"/>
                    <w:tr2bl w:val="nil"/>
                  </w:tcBorders>
                  <w:vAlign w:val="center"/>
                </w:tcPr>
                <w:p w14:paraId="23CFC58B">
                  <w:pPr>
                    <w:pStyle w:val="4"/>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54.2</w:t>
                  </w:r>
                </w:p>
              </w:tc>
              <w:tc>
                <w:tcPr>
                  <w:tcW w:w="1000" w:type="pct"/>
                  <w:tcBorders>
                    <w:tl2br w:val="nil"/>
                    <w:tr2bl w:val="nil"/>
                  </w:tcBorders>
                  <w:vAlign w:val="center"/>
                </w:tcPr>
                <w:p w14:paraId="78C3AD42">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0</w:t>
                  </w:r>
                </w:p>
              </w:tc>
            </w:tr>
            <w:tr w14:paraId="2F6E6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12F3BF4D">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北厂界</w:t>
                  </w:r>
                </w:p>
              </w:tc>
              <w:tc>
                <w:tcPr>
                  <w:tcW w:w="1000" w:type="pct"/>
                  <w:tcBorders>
                    <w:tl2br w:val="nil"/>
                    <w:tr2bl w:val="nil"/>
                  </w:tcBorders>
                  <w:vAlign w:val="center"/>
                </w:tcPr>
                <w:p w14:paraId="6A02F641">
                  <w:pPr>
                    <w:spacing w:line="30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w:t>
                  </w:r>
                </w:p>
              </w:tc>
              <w:tc>
                <w:tcPr>
                  <w:tcW w:w="1000" w:type="pct"/>
                  <w:tcBorders>
                    <w:tl2br w:val="nil"/>
                    <w:tr2bl w:val="nil"/>
                  </w:tcBorders>
                  <w:vAlign w:val="center"/>
                </w:tcPr>
                <w:p w14:paraId="1FE7B02F">
                  <w:pPr>
                    <w:pStyle w:val="4"/>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53.4</w:t>
                  </w:r>
                </w:p>
              </w:tc>
              <w:tc>
                <w:tcPr>
                  <w:tcW w:w="1000" w:type="pct"/>
                  <w:tcBorders>
                    <w:tl2br w:val="nil"/>
                    <w:tr2bl w:val="nil"/>
                  </w:tcBorders>
                  <w:vAlign w:val="center"/>
                </w:tcPr>
                <w:p w14:paraId="0907A7DF">
                  <w:pPr>
                    <w:pStyle w:val="4"/>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54.9</w:t>
                  </w:r>
                </w:p>
              </w:tc>
              <w:tc>
                <w:tcPr>
                  <w:tcW w:w="1000" w:type="pct"/>
                  <w:tcBorders>
                    <w:tl2br w:val="nil"/>
                    <w:tr2bl w:val="nil"/>
                  </w:tcBorders>
                  <w:vAlign w:val="center"/>
                </w:tcPr>
                <w:p w14:paraId="607A5C4E">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0</w:t>
                  </w:r>
                </w:p>
              </w:tc>
            </w:tr>
            <w:tr w14:paraId="44CCC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0AB58E6">
                  <w:pPr>
                    <w:spacing w:line="30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 w:val="21"/>
                      <w:szCs w:val="21"/>
                      <w:lang w:val="en-US" w:eastAsia="zh-CN"/>
                    </w:rPr>
                    <w:t>唐王村</w:t>
                  </w:r>
                </w:p>
              </w:tc>
              <w:tc>
                <w:tcPr>
                  <w:tcW w:w="1000" w:type="pct"/>
                  <w:tcBorders>
                    <w:tl2br w:val="nil"/>
                    <w:tr2bl w:val="nil"/>
                  </w:tcBorders>
                  <w:vAlign w:val="center"/>
                </w:tcPr>
                <w:p w14:paraId="0DDD28B8">
                  <w:pPr>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000" w:type="pct"/>
                  <w:tcBorders>
                    <w:tl2br w:val="nil"/>
                    <w:tr2bl w:val="nil"/>
                  </w:tcBorders>
                  <w:vAlign w:val="center"/>
                </w:tcPr>
                <w:p w14:paraId="5650C540">
                  <w:pPr>
                    <w:pStyle w:val="4"/>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50.9</w:t>
                  </w:r>
                </w:p>
              </w:tc>
              <w:tc>
                <w:tcPr>
                  <w:tcW w:w="1000" w:type="pct"/>
                  <w:tcBorders>
                    <w:tl2br w:val="nil"/>
                    <w:tr2bl w:val="nil"/>
                  </w:tcBorders>
                  <w:vAlign w:val="center"/>
                </w:tcPr>
                <w:p w14:paraId="12741E12">
                  <w:pPr>
                    <w:pStyle w:val="4"/>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53.5</w:t>
                  </w:r>
                </w:p>
              </w:tc>
              <w:tc>
                <w:tcPr>
                  <w:tcW w:w="1000" w:type="pct"/>
                  <w:tcBorders>
                    <w:tl2br w:val="nil"/>
                    <w:tr2bl w:val="nil"/>
                  </w:tcBorders>
                  <w:vAlign w:val="center"/>
                </w:tcPr>
                <w:p w14:paraId="16EA745A">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r>
                    <w:rPr>
                      <w:rFonts w:hint="eastAsia" w:ascii="Times New Roman" w:hAnsi="Times New Roman" w:cs="Times New Roman"/>
                      <w:b w:val="0"/>
                      <w:bCs w:val="0"/>
                      <w:color w:val="auto"/>
                      <w:sz w:val="21"/>
                      <w:szCs w:val="21"/>
                      <w:vertAlign w:val="baseline"/>
                      <w:lang w:val="en-US" w:eastAsia="zh-CN"/>
                    </w:rPr>
                    <w:t>0</w:t>
                  </w:r>
                </w:p>
              </w:tc>
            </w:tr>
          </w:tbl>
          <w:p w14:paraId="1D20011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lang w:val="en-US" w:eastAsia="zh-CN"/>
              </w:rPr>
              <w:t>由上表可知，本项目经过减振、隔音等降噪措施后，东、南、西、北各厂界昼间噪声贡献值均符合《工业企业</w:t>
            </w:r>
            <w:r>
              <w:rPr>
                <w:rFonts w:hint="eastAsia" w:ascii="Times New Roman" w:hAnsi="Times New Roman" w:eastAsia="宋体" w:cs="Times New Roman"/>
                <w:bCs/>
                <w:color w:val="auto"/>
                <w:sz w:val="24"/>
                <w:lang w:val="en-US" w:eastAsia="zh-CN"/>
              </w:rPr>
              <w:t>厂界</w:t>
            </w:r>
            <w:r>
              <w:rPr>
                <w:rFonts w:hint="default" w:ascii="Times New Roman" w:hAnsi="Times New Roman" w:eastAsia="宋体" w:cs="Times New Roman"/>
                <w:bCs/>
                <w:color w:val="auto"/>
                <w:sz w:val="24"/>
                <w:lang w:val="en-US" w:eastAsia="zh-CN"/>
              </w:rPr>
              <w:t>环境噪声排放标准》（GB12348-2008）</w:t>
            </w: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类标准</w:t>
            </w:r>
            <w:r>
              <w:rPr>
                <w:rFonts w:hint="eastAsia" w:ascii="Times New Roman" w:hAnsi="Times New Roman" w:eastAsia="宋体" w:cs="Times New Roman"/>
                <w:bCs/>
                <w:color w:val="auto"/>
                <w:sz w:val="24"/>
                <w:lang w:val="en-US" w:eastAsia="zh-CN"/>
              </w:rPr>
              <w:t>，敏感点</w:t>
            </w:r>
            <w:r>
              <w:rPr>
                <w:rFonts w:hint="default" w:ascii="Times New Roman" w:hAnsi="Times New Roman" w:eastAsia="宋体" w:cs="Times New Roman"/>
                <w:bCs/>
                <w:color w:val="auto"/>
                <w:sz w:val="24"/>
                <w:lang w:val="en-US" w:eastAsia="zh-CN"/>
              </w:rPr>
              <w:t>昼间噪声</w:t>
            </w:r>
            <w:r>
              <w:rPr>
                <w:rFonts w:hint="eastAsia" w:ascii="Times New Roman" w:hAnsi="Times New Roman" w:eastAsia="宋体" w:cs="Times New Roman"/>
                <w:bCs/>
                <w:color w:val="auto"/>
                <w:sz w:val="24"/>
                <w:lang w:val="en-US" w:eastAsia="zh-CN"/>
              </w:rPr>
              <w:t>叠加值</w:t>
            </w:r>
            <w:r>
              <w:rPr>
                <w:rFonts w:hint="default" w:ascii="Times New Roman" w:hAnsi="Times New Roman" w:eastAsia="宋体" w:cs="Times New Roman"/>
                <w:bCs/>
                <w:color w:val="auto"/>
                <w:sz w:val="24"/>
                <w:lang w:val="en-US" w:eastAsia="zh-CN"/>
              </w:rPr>
              <w:t>符合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"https://www.mee.gov.cn/ywgz/fgbz/bz/bzwb/wlhj/shjzlbz/200809/W020111121351590491445.pdf"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声环境质量标准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（GB3096－2008）</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类标准。</w:t>
            </w:r>
          </w:p>
          <w:p w14:paraId="68C857DF">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4、监测要求</w:t>
            </w:r>
          </w:p>
          <w:p w14:paraId="3E5A5AE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监测点位：厂界四周布置4个点位。</w:t>
            </w:r>
          </w:p>
          <w:p w14:paraId="00CF8D8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监测时段：昼间。</w:t>
            </w:r>
          </w:p>
          <w:p w14:paraId="6B789E2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监测频次：每</w:t>
            </w:r>
            <w:r>
              <w:rPr>
                <w:rFonts w:hint="eastAsia" w:ascii="Times New Roman" w:hAnsi="Times New Roman" w:eastAsia="宋体" w:cs="Times New Roman"/>
                <w:color w:val="auto"/>
                <w:sz w:val="24"/>
                <w:lang w:val="en-US" w:eastAsia="zh-CN"/>
              </w:rPr>
              <w:t>年</w:t>
            </w:r>
            <w:r>
              <w:rPr>
                <w:rFonts w:hint="default" w:ascii="Times New Roman" w:hAnsi="Times New Roman" w:eastAsia="宋体" w:cs="Times New Roman"/>
                <w:color w:val="auto"/>
                <w:sz w:val="24"/>
              </w:rPr>
              <w:t>监测一次。</w:t>
            </w:r>
          </w:p>
          <w:p w14:paraId="605B3A9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监测因子：厂界噪声昼间等效连续A声级Leq</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0DA16B0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噪声监测位置、监测因子、频率等详见下表。</w:t>
            </w:r>
          </w:p>
          <w:p w14:paraId="49498827">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-15</w:t>
            </w:r>
            <w:r>
              <w:rPr>
                <w:rFonts w:hint="default" w:ascii="Times New Roman" w:hAnsi="Times New Roman" w:eastAsia="宋体" w:cs="Times New Roman"/>
                <w:b/>
                <w:color w:val="auto"/>
                <w:sz w:val="24"/>
              </w:rPr>
              <w:t xml:space="preserve">  运营期噪声监测计划表</w:t>
            </w:r>
          </w:p>
          <w:tbl>
            <w:tblPr>
              <w:tblStyle w:val="29"/>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29"/>
              <w:gridCol w:w="1329"/>
              <w:gridCol w:w="1208"/>
              <w:gridCol w:w="3110"/>
            </w:tblGrid>
            <w:tr w14:paraId="421E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12" w:space="0"/>
                    <w:left w:val="nil"/>
                    <w:bottom w:val="single" w:color="auto" w:sz="4" w:space="0"/>
                    <w:right w:val="single" w:color="auto" w:sz="4" w:space="0"/>
                  </w:tcBorders>
                  <w:vAlign w:val="center"/>
                </w:tcPr>
                <w:p w14:paraId="614702A9">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800" w:type="pct"/>
                  <w:tcBorders>
                    <w:top w:val="single" w:color="auto" w:sz="12" w:space="0"/>
                    <w:left w:val="nil"/>
                    <w:bottom w:val="single" w:color="auto" w:sz="4" w:space="0"/>
                    <w:right w:val="single" w:color="auto" w:sz="4" w:space="0"/>
                  </w:tcBorders>
                  <w:vAlign w:val="center"/>
                </w:tcPr>
                <w:p w14:paraId="4803B715">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监测时段</w:t>
                  </w:r>
                </w:p>
              </w:tc>
              <w:tc>
                <w:tcPr>
                  <w:tcW w:w="800" w:type="pct"/>
                  <w:tcBorders>
                    <w:top w:val="single" w:color="auto" w:sz="12" w:space="0"/>
                    <w:left w:val="nil"/>
                    <w:bottom w:val="single" w:color="auto" w:sz="4" w:space="0"/>
                    <w:right w:val="single" w:color="auto" w:sz="4" w:space="0"/>
                  </w:tcBorders>
                  <w:vAlign w:val="center"/>
                </w:tcPr>
                <w:p w14:paraId="0D80B1FE">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727" w:type="pct"/>
                  <w:tcBorders>
                    <w:top w:val="single" w:color="auto" w:sz="12" w:space="0"/>
                    <w:left w:val="nil"/>
                    <w:bottom w:val="single" w:color="auto" w:sz="4" w:space="0"/>
                    <w:right w:val="single" w:color="auto" w:sz="4" w:space="0"/>
                  </w:tcBorders>
                  <w:vAlign w:val="center"/>
                </w:tcPr>
                <w:p w14:paraId="35F794B8">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1872" w:type="pct"/>
                  <w:tcBorders>
                    <w:top w:val="single" w:color="auto" w:sz="12" w:space="0"/>
                    <w:left w:val="nil"/>
                    <w:bottom w:val="single" w:color="auto" w:sz="4" w:space="0"/>
                    <w:right w:val="nil"/>
                  </w:tcBorders>
                  <w:vAlign w:val="center"/>
                </w:tcPr>
                <w:p w14:paraId="5EC62520">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执行排放标准</w:t>
                  </w:r>
                </w:p>
              </w:tc>
            </w:tr>
            <w:tr w14:paraId="0F5D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nil"/>
                    <w:bottom w:val="single" w:color="auto" w:sz="4" w:space="0"/>
                    <w:right w:val="single" w:color="auto" w:sz="4" w:space="0"/>
                  </w:tcBorders>
                  <w:vAlign w:val="center"/>
                </w:tcPr>
                <w:p w14:paraId="08644B7F">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800" w:type="pct"/>
                  <w:tcBorders>
                    <w:top w:val="single" w:color="auto" w:sz="4" w:space="0"/>
                    <w:left w:val="nil"/>
                    <w:bottom w:val="single" w:color="auto" w:sz="4" w:space="0"/>
                    <w:right w:val="single" w:color="auto" w:sz="4" w:space="0"/>
                  </w:tcBorders>
                  <w:vAlign w:val="center"/>
                </w:tcPr>
                <w:p w14:paraId="5C7193D1">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800" w:type="pct"/>
                  <w:tcBorders>
                    <w:top w:val="single" w:color="auto" w:sz="4" w:space="0"/>
                    <w:left w:val="nil"/>
                    <w:bottom w:val="single" w:color="auto" w:sz="4" w:space="0"/>
                    <w:right w:val="single" w:color="auto" w:sz="4" w:space="0"/>
                  </w:tcBorders>
                  <w:vAlign w:val="center"/>
                </w:tcPr>
                <w:p w14:paraId="480C4312">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等效连续声级Leq（A）</w:t>
                  </w:r>
                </w:p>
              </w:tc>
              <w:tc>
                <w:tcPr>
                  <w:tcW w:w="727" w:type="pct"/>
                  <w:tcBorders>
                    <w:top w:val="single" w:color="auto" w:sz="4" w:space="0"/>
                    <w:left w:val="nil"/>
                    <w:bottom w:val="single" w:color="auto" w:sz="4" w:space="0"/>
                    <w:right w:val="single" w:color="auto" w:sz="4" w:space="0"/>
                  </w:tcBorders>
                  <w:vAlign w:val="center"/>
                </w:tcPr>
                <w:p w14:paraId="6168D1FC">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w:t>
                  </w:r>
                  <w:r>
                    <w:rPr>
                      <w:rFonts w:hint="eastAsia" w:ascii="Times New Roman" w:eastAsia="宋体" w:cs="Times New Roman"/>
                      <w:color w:val="auto"/>
                      <w:sz w:val="21"/>
                      <w:szCs w:val="21"/>
                      <w:lang w:val="en-US" w:eastAsia="zh-CN"/>
                    </w:rPr>
                    <w:t>年</w:t>
                  </w:r>
                  <w:r>
                    <w:rPr>
                      <w:rFonts w:hint="default" w:ascii="Times New Roman" w:hAnsi="Times New Roman" w:eastAsia="宋体" w:cs="Times New Roman"/>
                      <w:color w:val="auto"/>
                      <w:sz w:val="21"/>
                      <w:szCs w:val="21"/>
                    </w:rPr>
                    <w:t>1次</w:t>
                  </w:r>
                </w:p>
              </w:tc>
              <w:tc>
                <w:tcPr>
                  <w:tcW w:w="1872" w:type="pct"/>
                  <w:tcBorders>
                    <w:left w:val="nil"/>
                    <w:right w:val="nil"/>
                  </w:tcBorders>
                  <w:vAlign w:val="center"/>
                </w:tcPr>
                <w:p w14:paraId="7848079F">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r>
                    <w:rPr>
                      <w:rFonts w:hint="eastAsia" w:asci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14:paraId="39DC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nil"/>
                    <w:bottom w:val="single" w:color="auto" w:sz="12" w:space="0"/>
                    <w:right w:val="single" w:color="auto" w:sz="4" w:space="0"/>
                  </w:tcBorders>
                  <w:shd w:val="clear" w:color="auto" w:fill="auto"/>
                  <w:vAlign w:val="center"/>
                </w:tcPr>
                <w:p w14:paraId="397812B7">
                  <w:pPr>
                    <w:pStyle w:val="50"/>
                    <w:adjustRightInd/>
                    <w:snapToGrid/>
                    <w:spacing w:beforeLines="0" w:afterLines="0" w:line="240" w:lineRule="auto"/>
                    <w:ind w:firstLine="0" w:firstLineChars="0"/>
                    <w:rPr>
                      <w:rFonts w:hint="default" w:ascii="Times New Roman" w:hAnsi="Times New Roman" w:eastAsia="宋体" w:cs="Times New Roman"/>
                      <w:color w:val="auto"/>
                      <w:spacing w:val="-10"/>
                      <w:kern w:val="0"/>
                      <w:sz w:val="21"/>
                      <w:szCs w:val="21"/>
                      <w:lang w:val="en-US" w:eastAsia="zh-CN" w:bidi="ar-SA"/>
                    </w:rPr>
                  </w:pPr>
                  <w:r>
                    <w:rPr>
                      <w:rFonts w:hint="default" w:ascii="Times New Roman" w:hAnsi="Times New Roman" w:eastAsia="宋体" w:cs="Times New Roman"/>
                      <w:color w:val="auto"/>
                      <w:sz w:val="21"/>
                      <w:szCs w:val="21"/>
                      <w:lang w:val="en-US" w:eastAsia="zh-CN"/>
                    </w:rPr>
                    <w:t>唐王村</w:t>
                  </w:r>
                </w:p>
              </w:tc>
              <w:tc>
                <w:tcPr>
                  <w:tcW w:w="800" w:type="pct"/>
                  <w:tcBorders>
                    <w:top w:val="single" w:color="auto" w:sz="4" w:space="0"/>
                    <w:left w:val="nil"/>
                    <w:bottom w:val="single" w:color="auto" w:sz="12" w:space="0"/>
                    <w:right w:val="single" w:color="auto" w:sz="4" w:space="0"/>
                  </w:tcBorders>
                  <w:shd w:val="clear" w:color="auto" w:fill="auto"/>
                  <w:vAlign w:val="center"/>
                </w:tcPr>
                <w:p w14:paraId="2CE67FB6">
                  <w:pPr>
                    <w:pStyle w:val="50"/>
                    <w:adjustRightInd/>
                    <w:snapToGrid/>
                    <w:spacing w:beforeLines="0" w:afterLines="0" w:line="240" w:lineRule="auto"/>
                    <w:ind w:firstLine="0" w:firstLineChars="0"/>
                    <w:rPr>
                      <w:rFonts w:hint="default" w:ascii="Times New Roman" w:hAnsi="Times New Roman" w:eastAsia="宋体" w:cs="Times New Roman"/>
                      <w:color w:val="auto"/>
                      <w:spacing w:val="-10"/>
                      <w:kern w:val="0"/>
                      <w:sz w:val="21"/>
                      <w:szCs w:val="21"/>
                      <w:lang w:val="en-US" w:eastAsia="zh-CN" w:bidi="ar-SA"/>
                    </w:rPr>
                  </w:pPr>
                  <w:r>
                    <w:rPr>
                      <w:rFonts w:hint="default" w:ascii="Times New Roman" w:hAnsi="Times New Roman" w:eastAsia="宋体" w:cs="Times New Roman"/>
                      <w:color w:val="auto"/>
                      <w:sz w:val="21"/>
                      <w:szCs w:val="21"/>
                    </w:rPr>
                    <w:t>昼间</w:t>
                  </w:r>
                </w:p>
              </w:tc>
              <w:tc>
                <w:tcPr>
                  <w:tcW w:w="800" w:type="pct"/>
                  <w:tcBorders>
                    <w:top w:val="single" w:color="auto" w:sz="4" w:space="0"/>
                    <w:left w:val="nil"/>
                    <w:bottom w:val="single" w:color="auto" w:sz="12" w:space="0"/>
                    <w:right w:val="single" w:color="auto" w:sz="4" w:space="0"/>
                  </w:tcBorders>
                  <w:shd w:val="clear" w:color="auto" w:fill="auto"/>
                  <w:vAlign w:val="center"/>
                </w:tcPr>
                <w:p w14:paraId="3CDC9D3C">
                  <w:pPr>
                    <w:pStyle w:val="50"/>
                    <w:adjustRightInd/>
                    <w:snapToGrid/>
                    <w:spacing w:beforeLines="0" w:afterLines="0" w:line="240" w:lineRule="auto"/>
                    <w:ind w:firstLine="0" w:firstLineChars="0"/>
                    <w:rPr>
                      <w:rFonts w:hint="default" w:ascii="Times New Roman" w:hAnsi="Times New Roman" w:eastAsia="宋体" w:cs="Times New Roman"/>
                      <w:color w:val="auto"/>
                      <w:spacing w:val="-10"/>
                      <w:kern w:val="0"/>
                      <w:sz w:val="21"/>
                      <w:szCs w:val="21"/>
                      <w:lang w:val="en-US" w:eastAsia="zh-CN" w:bidi="ar-SA"/>
                    </w:rPr>
                  </w:pPr>
                  <w:r>
                    <w:rPr>
                      <w:rFonts w:hint="default" w:ascii="Times New Roman" w:hAnsi="Times New Roman" w:eastAsia="宋体" w:cs="Times New Roman"/>
                      <w:color w:val="auto"/>
                      <w:sz w:val="21"/>
                      <w:szCs w:val="21"/>
                    </w:rPr>
                    <w:t>等效连续声级Leq（A）</w:t>
                  </w:r>
                </w:p>
              </w:tc>
              <w:tc>
                <w:tcPr>
                  <w:tcW w:w="727" w:type="pct"/>
                  <w:tcBorders>
                    <w:top w:val="single" w:color="auto" w:sz="4" w:space="0"/>
                    <w:left w:val="nil"/>
                    <w:bottom w:val="single" w:color="auto" w:sz="12" w:space="0"/>
                    <w:right w:val="single" w:color="auto" w:sz="4" w:space="0"/>
                  </w:tcBorders>
                  <w:shd w:val="clear" w:color="auto" w:fill="auto"/>
                  <w:vAlign w:val="center"/>
                </w:tcPr>
                <w:p w14:paraId="79977DA4">
                  <w:pPr>
                    <w:pStyle w:val="50"/>
                    <w:adjustRightInd/>
                    <w:snapToGrid/>
                    <w:spacing w:beforeLines="0" w:afterLines="0" w:line="240" w:lineRule="auto"/>
                    <w:ind w:firstLine="0" w:firstLineChars="0"/>
                    <w:rPr>
                      <w:rFonts w:hint="default" w:ascii="Times New Roman" w:hAnsi="Times New Roman" w:eastAsia="宋体" w:cs="Times New Roman"/>
                      <w:color w:val="auto"/>
                      <w:spacing w:val="-10"/>
                      <w:kern w:val="0"/>
                      <w:sz w:val="21"/>
                      <w:szCs w:val="21"/>
                      <w:lang w:val="en-US" w:eastAsia="zh-CN" w:bidi="ar-SA"/>
                    </w:rPr>
                  </w:pPr>
                  <w:r>
                    <w:rPr>
                      <w:rFonts w:hint="default" w:ascii="Times New Roman" w:hAnsi="Times New Roman" w:eastAsia="宋体" w:cs="Times New Roman"/>
                      <w:color w:val="auto"/>
                      <w:sz w:val="21"/>
                      <w:szCs w:val="21"/>
                    </w:rPr>
                    <w:t>每</w:t>
                  </w:r>
                  <w:r>
                    <w:rPr>
                      <w:rFonts w:hint="eastAsia" w:ascii="Times New Roman" w:eastAsia="宋体" w:cs="Times New Roman"/>
                      <w:color w:val="auto"/>
                      <w:sz w:val="21"/>
                      <w:szCs w:val="21"/>
                      <w:lang w:val="en-US" w:eastAsia="zh-CN"/>
                    </w:rPr>
                    <w:t>年</w:t>
                  </w:r>
                  <w:r>
                    <w:rPr>
                      <w:rFonts w:hint="default" w:ascii="Times New Roman" w:hAnsi="Times New Roman" w:eastAsia="宋体" w:cs="Times New Roman"/>
                      <w:color w:val="auto"/>
                      <w:sz w:val="21"/>
                      <w:szCs w:val="21"/>
                    </w:rPr>
                    <w:t>1次</w:t>
                  </w:r>
                </w:p>
              </w:tc>
              <w:tc>
                <w:tcPr>
                  <w:tcW w:w="1872" w:type="pct"/>
                  <w:tcBorders>
                    <w:left w:val="nil"/>
                    <w:bottom w:val="single" w:color="auto" w:sz="12" w:space="0"/>
                    <w:right w:val="nil"/>
                  </w:tcBorders>
                  <w:shd w:val="clear" w:color="auto" w:fill="auto"/>
                  <w:vAlign w:val="center"/>
                </w:tcPr>
                <w:p w14:paraId="7ED2861D">
                  <w:pPr>
                    <w:pStyle w:val="50"/>
                    <w:adjustRightInd/>
                    <w:snapToGrid/>
                    <w:spacing w:beforeLines="0" w:afterLines="0" w:line="240" w:lineRule="auto"/>
                    <w:ind w:firstLine="0" w:firstLineChars="0"/>
                    <w:rPr>
                      <w:rFonts w:hint="default" w:ascii="Times New Roman" w:hAnsi="Times New Roman" w:eastAsia="宋体" w:cs="Times New Roman"/>
                      <w:color w:val="auto"/>
                      <w:spacing w:val="-10"/>
                      <w:kern w:val="0"/>
                      <w:sz w:val="21"/>
                      <w:szCs w:val="21"/>
                      <w:lang w:val="en-US" w:eastAsia="zh-CN" w:bidi="ar-SA"/>
                    </w:rPr>
                  </w:pPr>
                  <w:r>
                    <w:rPr>
                      <w:rFonts w:hint="default" w:ascii="Times New Roman" w:hAnsi="Times New Roman" w:eastAsia="宋体" w:cs="Times New Roman"/>
                      <w:color w:val="auto"/>
                      <w:sz w:val="21"/>
                      <w:szCs w:val="21"/>
                    </w:rPr>
                    <w:t>《声环境质量标准》（GB3096-2008）</w:t>
                  </w:r>
                  <w:r>
                    <w:rPr>
                      <w:rFonts w:hint="eastAsia" w:asci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bl>
          <w:p w14:paraId="04DF4F75">
            <w:pPr>
              <w:spacing w:before="156" w:beforeLines="50"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四、固体废弃物</w:t>
            </w:r>
          </w:p>
          <w:p w14:paraId="3EAD838B">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1、固体废物源强分析</w:t>
            </w:r>
          </w:p>
          <w:p w14:paraId="4A724B1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根据《固体废物鉴别标准 通则》（GB34330-2017），固体废物指是指在生产、生活和其他活动中产生的丧失原有利用价值或者虽未丧失利用价值但被抛弃或者放弃的固态、半固态和置于容器中的气态的物品、物质，以及法律、行政法规规定纳入固体废物管理的物品、物质。本项目营运期间固体废物产生情况如下：</w:t>
            </w:r>
          </w:p>
          <w:p w14:paraId="4E978FBB">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1</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生活垃圾</w:t>
            </w:r>
          </w:p>
          <w:p w14:paraId="282524D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生活垃圾</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本项目有员工</w:t>
            </w:r>
            <w:r>
              <w:rPr>
                <w:rFonts w:hint="eastAsia" w:ascii="Times New Roman" w:hAnsi="Times New Roman" w:eastAsia="宋体" w:cs="Times New Roman"/>
                <w:b w:val="0"/>
                <w:bCs/>
                <w:color w:val="auto"/>
                <w:sz w:val="24"/>
                <w:lang w:val="en-US" w:eastAsia="zh-CN"/>
              </w:rPr>
              <w:t>12</w:t>
            </w:r>
            <w:r>
              <w:rPr>
                <w:rFonts w:hint="default" w:ascii="Times New Roman" w:hAnsi="Times New Roman" w:eastAsia="宋体" w:cs="Times New Roman"/>
                <w:b w:val="0"/>
                <w:bCs/>
                <w:color w:val="auto"/>
                <w:sz w:val="24"/>
              </w:rPr>
              <w:t>人，每人每天垃圾产生量按0.5kg计，则项目年生活垃圾产生量约为</w:t>
            </w:r>
            <w:r>
              <w:rPr>
                <w:rFonts w:hint="eastAsia" w:ascii="Times New Roman" w:hAnsi="Times New Roman" w:eastAsia="宋体" w:cs="Times New Roman"/>
                <w:b w:val="0"/>
                <w:bCs/>
                <w:color w:val="auto"/>
                <w:sz w:val="24"/>
                <w:lang w:val="en-US" w:eastAsia="zh-CN"/>
              </w:rPr>
              <w:t>1.8</w:t>
            </w:r>
            <w:r>
              <w:rPr>
                <w:rFonts w:hint="default" w:ascii="Times New Roman" w:hAnsi="Times New Roman" w:eastAsia="宋体" w:cs="Times New Roman"/>
                <w:b w:val="0"/>
                <w:bCs/>
                <w:color w:val="auto"/>
                <w:sz w:val="24"/>
                <w:lang w:val="en-US" w:eastAsia="zh-CN"/>
              </w:rPr>
              <w:t>t/</w:t>
            </w:r>
            <w:r>
              <w:rPr>
                <w:rFonts w:hint="default" w:ascii="Times New Roman" w:hAnsi="Times New Roman" w:eastAsia="宋体" w:cs="Times New Roman"/>
                <w:b w:val="0"/>
                <w:bCs/>
                <w:color w:val="auto"/>
                <w:sz w:val="24"/>
              </w:rPr>
              <w:t>a。采取集中收集后由环卫部门统一外运处理。</w:t>
            </w:r>
          </w:p>
          <w:p w14:paraId="7701CB72">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一般生产固废</w:t>
            </w:r>
          </w:p>
          <w:p w14:paraId="46ACEEB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项目生产过程中会产生不合格品。</w:t>
            </w:r>
          </w:p>
          <w:p w14:paraId="6B2D1EE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不合格品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生产过程会产生一定量不合格产品，据建设单位提供，不合格品产生量共约为</w:t>
            </w:r>
            <w:r>
              <w:rPr>
                <w:rFonts w:hint="eastAsia" w:ascii="Times New Roman" w:hAnsi="Times New Roman" w:eastAsia="宋体" w:cs="Times New Roman"/>
                <w:b w:val="0"/>
                <w:bCs/>
                <w:color w:val="auto"/>
                <w:sz w:val="24"/>
                <w:lang w:val="en-US" w:eastAsia="zh-CN"/>
              </w:rPr>
              <w:t>1.5</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w:t>
            </w:r>
            <w:r>
              <w:rPr>
                <w:rFonts w:hint="default" w:ascii="Times New Roman" w:hAnsi="Times New Roman" w:eastAsia="宋体" w:cs="Times New Roman"/>
                <w:b w:val="0"/>
                <w:bCs/>
                <w:color w:val="auto"/>
                <w:sz w:val="24"/>
                <w:lang w:val="en-US" w:eastAsia="zh-CN"/>
              </w:rPr>
              <w:t>外售综合利用</w:t>
            </w:r>
            <w:r>
              <w:rPr>
                <w:rFonts w:hint="default" w:ascii="Times New Roman" w:hAnsi="Times New Roman" w:eastAsia="宋体" w:cs="Times New Roman"/>
                <w:b w:val="0"/>
                <w:bCs/>
                <w:color w:val="auto"/>
                <w:sz w:val="24"/>
              </w:rPr>
              <w:t>。</w:t>
            </w:r>
          </w:p>
          <w:p w14:paraId="0ED80F1B">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3</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危险废物</w:t>
            </w:r>
          </w:p>
          <w:p w14:paraId="1CBE9B7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项目生产过程中会产生一定量的废包装</w:t>
            </w:r>
            <w:r>
              <w:rPr>
                <w:rFonts w:hint="eastAsia" w:ascii="Times New Roman" w:hAnsi="Times New Roman" w:eastAsia="宋体" w:cs="Times New Roman"/>
                <w:b w:val="0"/>
                <w:bCs/>
                <w:color w:val="auto"/>
                <w:sz w:val="24"/>
                <w:lang w:val="en-US" w:eastAsia="zh-CN"/>
              </w:rPr>
              <w:t>材料</w:t>
            </w:r>
            <w:r>
              <w:rPr>
                <w:rFonts w:hint="default" w:ascii="Times New Roman" w:hAnsi="Times New Roman" w:eastAsia="宋体" w:cs="Times New Roman"/>
                <w:b w:val="0"/>
                <w:bCs/>
                <w:color w:val="auto"/>
                <w:sz w:val="24"/>
              </w:rPr>
              <w:t>、废</w:t>
            </w:r>
            <w:r>
              <w:rPr>
                <w:rFonts w:hint="eastAsia" w:ascii="Times New Roman" w:hAnsi="Times New Roman" w:eastAsia="宋体" w:cs="Times New Roman"/>
                <w:b w:val="0"/>
                <w:bCs/>
                <w:color w:val="auto"/>
                <w:sz w:val="24"/>
                <w:lang w:val="en-US" w:eastAsia="zh-CN"/>
              </w:rPr>
              <w:t>活性炭、研磨废液、抛光废液、纯碱清洗废液等</w:t>
            </w:r>
            <w:r>
              <w:rPr>
                <w:rFonts w:hint="default" w:ascii="Times New Roman" w:hAnsi="Times New Roman" w:eastAsia="宋体" w:cs="Times New Roman"/>
                <w:b w:val="0"/>
                <w:bCs/>
                <w:color w:val="auto"/>
                <w:sz w:val="24"/>
              </w:rPr>
              <w:t>，属于危险废物</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统一收集后交由有资质的单位回收处理。</w:t>
            </w:r>
          </w:p>
          <w:p w14:paraId="7F6CCB7C">
            <w:pPr>
              <w:spacing w:line="360" w:lineRule="auto"/>
              <w:ind w:firstLine="480" w:firstLineChars="200"/>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A、废</w:t>
            </w:r>
            <w:r>
              <w:rPr>
                <w:rFonts w:hint="eastAsia" w:ascii="Times New Roman" w:hAnsi="Times New Roman" w:eastAsia="宋体" w:cs="Times New Roman"/>
                <w:b w:val="0"/>
                <w:bCs/>
                <w:color w:val="auto"/>
                <w:sz w:val="24"/>
                <w:lang w:val="en-US" w:eastAsia="zh-CN"/>
              </w:rPr>
              <w:t>包装材料</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HW49</w:t>
            </w:r>
            <w:r>
              <w:rPr>
                <w:rFonts w:hint="default" w:ascii="Times New Roman" w:hAnsi="Times New Roman" w:eastAsia="宋体" w:cs="Times New Roman"/>
                <w:b w:val="0"/>
                <w:bCs/>
                <w:color w:val="auto"/>
                <w:sz w:val="24"/>
                <w:lang w:eastAsia="zh-CN"/>
              </w:rPr>
              <w:t>）</w:t>
            </w:r>
          </w:p>
          <w:p w14:paraId="4312020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根据建设单位提供资料，项目</w:t>
            </w:r>
            <w:r>
              <w:rPr>
                <w:rFonts w:hint="eastAsia" w:ascii="Times New Roman" w:hAnsi="Times New Roman" w:eastAsia="宋体" w:cs="Times New Roman"/>
                <w:b w:val="0"/>
                <w:bCs/>
                <w:color w:val="auto"/>
                <w:sz w:val="24"/>
                <w:lang w:val="en-US" w:eastAsia="zh-CN"/>
              </w:rPr>
              <w:t>生产过程会产生废包装材料，主要为</w:t>
            </w:r>
            <w:r>
              <w:rPr>
                <w:rFonts w:hint="default" w:ascii="Times New Roman" w:hAnsi="Times New Roman" w:eastAsia="宋体" w:cs="Times New Roman"/>
                <w:b w:val="0"/>
                <w:bCs/>
                <w:color w:val="auto"/>
                <w:sz w:val="24"/>
              </w:rPr>
              <w:t>盛装</w:t>
            </w:r>
            <w:r>
              <w:rPr>
                <w:rFonts w:hint="eastAsia" w:ascii="Times New Roman" w:hAnsi="Times New Roman" w:eastAsia="宋体" w:cs="Times New Roman"/>
                <w:b w:val="0"/>
                <w:bCs/>
                <w:color w:val="auto"/>
                <w:sz w:val="24"/>
                <w:lang w:val="en-US" w:eastAsia="zh-CN"/>
              </w:rPr>
              <w:t>冷却液、纯碱、热熔胶等</w:t>
            </w:r>
            <w:r>
              <w:rPr>
                <w:rFonts w:hint="default" w:ascii="Times New Roman" w:hAnsi="Times New Roman" w:eastAsia="宋体" w:cs="Times New Roman"/>
                <w:b w:val="0"/>
                <w:bCs/>
                <w:color w:val="auto"/>
                <w:sz w:val="24"/>
              </w:rPr>
              <w:t>产生的废</w:t>
            </w:r>
            <w:r>
              <w:rPr>
                <w:rFonts w:hint="eastAsia" w:ascii="Times New Roman" w:hAnsi="Times New Roman" w:eastAsia="宋体" w:cs="Times New Roman"/>
                <w:b w:val="0"/>
                <w:bCs/>
                <w:color w:val="auto"/>
                <w:sz w:val="24"/>
                <w:lang w:val="en-US" w:eastAsia="zh-CN"/>
              </w:rPr>
              <w:t>包装材料</w:t>
            </w:r>
            <w:r>
              <w:rPr>
                <w:rFonts w:hint="default" w:ascii="Times New Roman" w:hAnsi="Times New Roman" w:eastAsia="宋体" w:cs="Times New Roman"/>
                <w:b w:val="0"/>
                <w:bCs/>
                <w:color w:val="auto"/>
                <w:sz w:val="24"/>
              </w:rPr>
              <w:t>，产生量约</w:t>
            </w:r>
            <w:r>
              <w:rPr>
                <w:rFonts w:hint="eastAsia" w:ascii="Times New Roman" w:hAnsi="Times New Roman" w:eastAsia="宋体" w:cs="Times New Roman"/>
                <w:b w:val="0"/>
                <w:bCs/>
                <w:color w:val="auto"/>
                <w:sz w:val="24"/>
                <w:lang w:val="en-US" w:eastAsia="zh-CN"/>
              </w:rPr>
              <w:t>0.1</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属于HW49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900-041-49</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74F5ABFF">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rPr>
              <w:t>B、</w:t>
            </w:r>
            <w:r>
              <w:rPr>
                <w:rFonts w:hint="default" w:ascii="Times New Roman" w:hAnsi="Times New Roman" w:eastAsia="宋体" w:cs="Times New Roman"/>
                <w:b w:val="0"/>
                <w:bCs/>
                <w:color w:val="auto"/>
                <w:sz w:val="24"/>
                <w:lang w:val="en-US" w:eastAsia="zh-CN"/>
              </w:rPr>
              <w:t>废活性炭</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HW49</w:t>
            </w:r>
            <w:r>
              <w:rPr>
                <w:rFonts w:hint="default" w:ascii="Times New Roman" w:hAnsi="Times New Roman" w:eastAsia="宋体" w:cs="Times New Roman"/>
                <w:b w:val="0"/>
                <w:bCs/>
                <w:color w:val="auto"/>
                <w:sz w:val="24"/>
                <w:lang w:eastAsia="zh-CN"/>
              </w:rPr>
              <w:t>）</w:t>
            </w:r>
          </w:p>
          <w:p w14:paraId="5023D6EB">
            <w:pPr>
              <w:pStyle w:val="63"/>
              <w:spacing w:line="360" w:lineRule="auto"/>
              <w:ind w:firstLine="42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固定工序废气处理设施“二级活性炭吸附装置”废活性炭：</w:t>
            </w:r>
            <w:r>
              <w:rPr>
                <w:rFonts w:hint="default" w:ascii="Times New Roman" w:hAnsi="Times New Roman" w:eastAsia="宋体" w:cs="Times New Roman"/>
                <w:color w:val="auto"/>
                <w:sz w:val="24"/>
              </w:rPr>
              <w:t>根据《江苏省生态环境厅关于将排污单位活性炭使用纳入排污许可管理的通知》（苏环办〔2021〕218号），活性炭更换周期计算如下：</w:t>
            </w:r>
          </w:p>
          <w:p w14:paraId="7D73CE6B">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T=m×s÷（c×10</w:t>
            </w:r>
            <w:r>
              <w:rPr>
                <w:rFonts w:hint="default" w:ascii="Times New Roman" w:hAnsi="Times New Roman" w:eastAsia="宋体" w:cs="Times New Roman"/>
                <w:color w:val="auto"/>
                <w:sz w:val="24"/>
                <w:vertAlign w:val="superscript"/>
              </w:rPr>
              <w:t>-6</w:t>
            </w:r>
            <w:r>
              <w:rPr>
                <w:rFonts w:hint="default" w:ascii="Times New Roman" w:hAnsi="Times New Roman" w:eastAsia="宋体" w:cs="Times New Roman"/>
                <w:color w:val="auto"/>
                <w:sz w:val="24"/>
              </w:rPr>
              <w:t>×Q×t）</w:t>
            </w:r>
          </w:p>
          <w:p w14:paraId="0E118DD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式中：T—更换周期，天；</w:t>
            </w:r>
          </w:p>
          <w:p w14:paraId="1A6B160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m—活性炭的用量，kg；</w:t>
            </w:r>
            <w:r>
              <w:rPr>
                <w:rFonts w:hint="default" w:ascii="Times New Roman" w:hAnsi="Times New Roman" w:eastAsia="宋体" w:cs="Times New Roman"/>
                <w:color w:val="auto"/>
                <w:sz w:val="24"/>
                <w:lang w:val="en-US" w:eastAsia="zh-CN"/>
              </w:rPr>
              <w:t>本项目固定</w:t>
            </w:r>
            <w:r>
              <w:rPr>
                <w:rFonts w:hint="default" w:ascii="Times New Roman" w:hAnsi="Times New Roman" w:eastAsia="宋体" w:cs="Times New Roman"/>
                <w:color w:val="auto"/>
                <w:sz w:val="24"/>
                <w:szCs w:val="24"/>
                <w:lang w:val="en-US" w:eastAsia="zh-CN"/>
              </w:rPr>
              <w:t>工序废气处理设施“二级活性炭吸附装置”</w:t>
            </w:r>
            <w:r>
              <w:rPr>
                <w:rFonts w:hint="default" w:ascii="Times New Roman" w:hAnsi="Times New Roman" w:eastAsia="宋体" w:cs="Times New Roman"/>
                <w:color w:val="auto"/>
                <w:sz w:val="24"/>
              </w:rPr>
              <w:t>中活性炭装填量为</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0kg。</w:t>
            </w:r>
          </w:p>
          <w:p w14:paraId="3279BF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s—动态吸附量，%；（动态吸附量取值</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w:t>
            </w:r>
          </w:p>
          <w:p w14:paraId="37B5AE0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c—活性炭削减的VOCs浓度，mg/m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“二级活性炭吸附装置”</w:t>
            </w:r>
            <w:r>
              <w:rPr>
                <w:rFonts w:hint="default" w:ascii="Times New Roman" w:hAnsi="Times New Roman" w:eastAsia="宋体" w:cs="Times New Roman"/>
                <w:color w:val="auto"/>
                <w:sz w:val="24"/>
              </w:rPr>
              <w:t>削减的VOCs浓度为</w:t>
            </w:r>
            <w:r>
              <w:rPr>
                <w:rFonts w:hint="eastAsia" w:ascii="Times New Roman" w:hAnsi="Times New Roman" w:eastAsia="宋体" w:cs="Times New Roman"/>
                <w:color w:val="auto"/>
                <w:sz w:val="24"/>
                <w:lang w:val="en-US" w:eastAsia="zh-CN"/>
              </w:rPr>
              <w:t>0.027</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6DE9584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Q—风量，单位m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/h；废气处理设施设计风量为</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000m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2B6D58D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t—运行时间，单位h/d。废气处理设施日运行</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h。</w:t>
            </w:r>
          </w:p>
          <w:p w14:paraId="6E4B93B1">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color w:val="auto"/>
                <w:sz w:val="24"/>
              </w:rPr>
              <w:t>根据上述公式及参数计算得废气处理设施活性炭更换周期为</w:t>
            </w:r>
            <w:r>
              <w:rPr>
                <w:rFonts w:hint="eastAsia" w:ascii="Times New Roman" w:hAnsi="Times New Roman" w:eastAsia="宋体" w:cs="Times New Roman"/>
                <w:color w:val="auto"/>
                <w:sz w:val="24"/>
                <w:lang w:val="en-US" w:eastAsia="zh-CN"/>
              </w:rPr>
              <w:t>661</w:t>
            </w:r>
            <w:r>
              <w:rPr>
                <w:rFonts w:hint="default" w:ascii="Times New Roman" w:hAnsi="Times New Roman" w:eastAsia="宋体" w:cs="Times New Roman"/>
                <w:color w:val="auto"/>
                <w:sz w:val="24"/>
              </w:rPr>
              <w:t>d/次。</w:t>
            </w:r>
            <w:r>
              <w:rPr>
                <w:rFonts w:hint="eastAsia" w:ascii="Times New Roman" w:hAnsi="Times New Roman" w:eastAsia="宋体" w:cs="Times New Roman"/>
                <w:color w:val="auto"/>
                <w:sz w:val="24"/>
                <w:lang w:val="en-US" w:eastAsia="zh-CN"/>
              </w:rPr>
              <w:t>根据《省生态环境厅关于深入开展涉VOCs治理重点工作核查的通知》（苏环办【2022】218号）相关要求，活性炭更换周期一般不应超过累计运行500小时或3个月，因此本项目按1年更换4次计。</w:t>
            </w:r>
          </w:p>
          <w:p w14:paraId="1E94205F">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color w:val="auto"/>
                <w:sz w:val="24"/>
              </w:rPr>
              <w:t>根据工程核算，非甲烷总烃吸附量约为</w:t>
            </w:r>
            <w:r>
              <w:rPr>
                <w:rFonts w:hint="eastAsia" w:ascii="Times New Roman" w:hAnsi="Times New Roman" w:eastAsia="宋体" w:cs="Times New Roman"/>
                <w:color w:val="auto"/>
                <w:sz w:val="24"/>
                <w:lang w:val="en-US" w:eastAsia="zh-CN"/>
              </w:rPr>
              <w:t>0.00042</w:t>
            </w:r>
            <w:r>
              <w:rPr>
                <w:rFonts w:hint="default" w:ascii="Times New Roman" w:hAnsi="Times New Roman" w:eastAsia="宋体" w:cs="Times New Roman"/>
                <w:color w:val="auto"/>
                <w:sz w:val="24"/>
              </w:rPr>
              <w:t>t/a，则废活性炭产生量约为</w:t>
            </w:r>
            <w:r>
              <w:rPr>
                <w:rFonts w:hint="eastAsia" w:ascii="Times New Roman" w:hAnsi="Times New Roman" w:eastAsia="宋体" w:cs="Times New Roman"/>
                <w:color w:val="auto"/>
                <w:sz w:val="24"/>
                <w:lang w:val="en-US" w:eastAsia="zh-CN"/>
              </w:rPr>
              <w:t>0.04</w:t>
            </w:r>
            <w:r>
              <w:rPr>
                <w:rFonts w:hint="default" w:ascii="Times New Roman" w:hAnsi="Times New Roman" w:eastAsia="宋体" w:cs="Times New Roman"/>
                <w:color w:val="auto"/>
                <w:sz w:val="24"/>
              </w:rPr>
              <w:t>t/a，</w:t>
            </w:r>
            <w:r>
              <w:rPr>
                <w:rFonts w:hint="default" w:ascii="Times New Roman" w:hAnsi="Times New Roman" w:eastAsia="宋体" w:cs="Times New Roman"/>
                <w:b w:val="0"/>
                <w:bCs/>
                <w:color w:val="auto"/>
                <w:sz w:val="24"/>
              </w:rPr>
              <w:t>属于HW49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900-0</w:t>
            </w:r>
            <w:r>
              <w:rPr>
                <w:rFonts w:hint="eastAsia" w:ascii="Times New Roman" w:hAnsi="Times New Roman" w:eastAsia="宋体" w:cs="Times New Roman"/>
                <w:b w:val="0"/>
                <w:bCs/>
                <w:color w:val="auto"/>
                <w:sz w:val="24"/>
                <w:lang w:val="en-US" w:eastAsia="zh-CN"/>
              </w:rPr>
              <w:t>39</w:t>
            </w:r>
            <w:r>
              <w:rPr>
                <w:rFonts w:hint="default" w:ascii="Times New Roman" w:hAnsi="Times New Roman" w:eastAsia="宋体" w:cs="Times New Roman"/>
                <w:b w:val="0"/>
                <w:bCs/>
                <w:color w:val="auto"/>
                <w:sz w:val="24"/>
              </w:rPr>
              <w:t>-49</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11F88FCD">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C、</w:t>
            </w:r>
            <w:r>
              <w:rPr>
                <w:rFonts w:hint="eastAsia" w:ascii="Times New Roman" w:hAnsi="Times New Roman" w:eastAsia="宋体" w:cs="Times New Roman"/>
                <w:b w:val="0"/>
                <w:bCs/>
                <w:color w:val="auto"/>
                <w:sz w:val="24"/>
                <w:lang w:val="en-US" w:eastAsia="zh-CN"/>
              </w:rPr>
              <w:t>研磨废液</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HW</w:t>
            </w:r>
            <w:r>
              <w:rPr>
                <w:rFonts w:hint="eastAsia" w:ascii="Times New Roman" w:hAnsi="Times New Roman" w:eastAsia="宋体" w:cs="Times New Roman"/>
                <w:b w:val="0"/>
                <w:bCs/>
                <w:color w:val="auto"/>
                <w:sz w:val="24"/>
                <w:lang w:val="en-US" w:eastAsia="zh-CN"/>
              </w:rPr>
              <w:t>09</w:t>
            </w:r>
            <w:r>
              <w:rPr>
                <w:rFonts w:hint="default" w:ascii="Times New Roman" w:hAnsi="Times New Roman" w:eastAsia="宋体" w:cs="Times New Roman"/>
                <w:b w:val="0"/>
                <w:bCs/>
                <w:color w:val="auto"/>
                <w:sz w:val="24"/>
                <w:lang w:eastAsia="zh-CN"/>
              </w:rPr>
              <w:t>）</w:t>
            </w:r>
          </w:p>
          <w:p w14:paraId="634ED542">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研磨工序产生研磨废液，包括废液和研磨产生的废渣，产生量约为3.08t/a（废液2.08t，废渣1t）</w:t>
            </w:r>
            <w:r>
              <w:rPr>
                <w:rFonts w:hint="default" w:ascii="Times New Roman" w:hAnsi="Times New Roman" w:eastAsia="宋体" w:cs="Times New Roman"/>
                <w:color w:val="auto"/>
                <w:sz w:val="24"/>
              </w:rPr>
              <w:t>，</w:t>
            </w:r>
            <w:r>
              <w:rPr>
                <w:rFonts w:hint="default" w:ascii="Times New Roman" w:hAnsi="Times New Roman" w:eastAsia="宋体" w:cs="Times New Roman"/>
                <w:b w:val="0"/>
                <w:bCs/>
                <w:color w:val="auto"/>
                <w:sz w:val="24"/>
              </w:rPr>
              <w:t>属于HW49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900-0</w:t>
            </w:r>
            <w:r>
              <w:rPr>
                <w:rFonts w:hint="eastAsia" w:ascii="Times New Roman" w:hAnsi="Times New Roman" w:eastAsia="宋体" w:cs="Times New Roman"/>
                <w:b w:val="0"/>
                <w:bCs/>
                <w:color w:val="auto"/>
                <w:sz w:val="24"/>
                <w:lang w:val="en-US" w:eastAsia="zh-CN"/>
              </w:rPr>
              <w:t>41</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rPr>
              <w:t>9</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356635B1">
            <w:pPr>
              <w:spacing w:line="360" w:lineRule="auto"/>
              <w:ind w:firstLine="480" w:firstLineChars="200"/>
              <w:rPr>
                <w:rFonts w:hint="default" w:ascii="Times New Roman" w:hAnsi="Times New Roman" w:eastAsia="宋体" w:cs="Times New Roman"/>
                <w:b w:val="0"/>
                <w:bCs/>
                <w:color w:val="auto"/>
                <w:sz w:val="24"/>
                <w:lang w:val="en-US"/>
              </w:rPr>
            </w:pPr>
            <w:r>
              <w:rPr>
                <w:rFonts w:hint="default" w:ascii="Times New Roman" w:hAnsi="Times New Roman" w:eastAsia="宋体" w:cs="Times New Roman"/>
                <w:b w:val="0"/>
                <w:bCs/>
                <w:color w:val="auto"/>
                <w:sz w:val="24"/>
                <w:lang w:val="en-US" w:eastAsia="zh-CN"/>
              </w:rPr>
              <w:t>D、</w:t>
            </w:r>
            <w:r>
              <w:rPr>
                <w:rFonts w:hint="eastAsia" w:ascii="Times New Roman" w:hAnsi="Times New Roman" w:eastAsia="宋体" w:cs="Times New Roman"/>
                <w:b w:val="0"/>
                <w:bCs/>
                <w:color w:val="auto"/>
                <w:sz w:val="24"/>
                <w:lang w:val="en-US" w:eastAsia="zh-CN"/>
              </w:rPr>
              <w:t>抛光废液</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HW</w:t>
            </w:r>
            <w:r>
              <w:rPr>
                <w:rFonts w:hint="eastAsia" w:ascii="Times New Roman" w:hAnsi="Times New Roman" w:eastAsia="宋体" w:cs="Times New Roman"/>
                <w:b w:val="0"/>
                <w:bCs/>
                <w:color w:val="auto"/>
                <w:sz w:val="24"/>
                <w:lang w:val="en-US" w:eastAsia="zh-CN"/>
              </w:rPr>
              <w:t>09</w:t>
            </w:r>
            <w:r>
              <w:rPr>
                <w:rFonts w:hint="default" w:ascii="Times New Roman" w:hAnsi="Times New Roman" w:eastAsia="宋体" w:cs="Times New Roman"/>
                <w:b w:val="0"/>
                <w:bCs/>
                <w:color w:val="auto"/>
                <w:sz w:val="24"/>
                <w:lang w:eastAsia="zh-CN"/>
              </w:rPr>
              <w:t>）</w:t>
            </w:r>
          </w:p>
          <w:p w14:paraId="135B32FE">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抛光工序产生抛光废液，包括废液和抛光产生的废渣，产生量约为5.16t/a（废液4.16t，废渣1t）</w:t>
            </w:r>
            <w:r>
              <w:rPr>
                <w:rFonts w:hint="default" w:ascii="Times New Roman" w:hAnsi="Times New Roman" w:eastAsia="宋体" w:cs="Times New Roman"/>
                <w:color w:val="auto"/>
                <w:sz w:val="24"/>
              </w:rPr>
              <w:t>，</w:t>
            </w:r>
            <w:r>
              <w:rPr>
                <w:rFonts w:hint="default" w:ascii="Times New Roman" w:hAnsi="Times New Roman" w:eastAsia="宋体" w:cs="Times New Roman"/>
                <w:b w:val="0"/>
                <w:bCs/>
                <w:color w:val="auto"/>
                <w:sz w:val="24"/>
              </w:rPr>
              <w:t>属于HW49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900-0</w:t>
            </w:r>
            <w:r>
              <w:rPr>
                <w:rFonts w:hint="eastAsia" w:ascii="Times New Roman" w:hAnsi="Times New Roman" w:eastAsia="宋体" w:cs="Times New Roman"/>
                <w:b w:val="0"/>
                <w:bCs/>
                <w:color w:val="auto"/>
                <w:sz w:val="24"/>
                <w:lang w:val="en-US" w:eastAsia="zh-CN"/>
              </w:rPr>
              <w:t>41</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rPr>
              <w:t>9</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7E69B899">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E、</w:t>
            </w:r>
            <w:r>
              <w:rPr>
                <w:rFonts w:hint="eastAsia" w:ascii="Times New Roman" w:hAnsi="Times New Roman" w:eastAsia="宋体" w:cs="Times New Roman"/>
                <w:b w:val="0"/>
                <w:bCs/>
                <w:color w:val="auto"/>
                <w:sz w:val="24"/>
                <w:lang w:val="en-US" w:eastAsia="zh-CN"/>
              </w:rPr>
              <w:t>纯碱清洗废液</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HW</w:t>
            </w:r>
            <w:r>
              <w:rPr>
                <w:rFonts w:hint="eastAsia" w:ascii="Times New Roman" w:hAnsi="Times New Roman" w:eastAsia="宋体" w:cs="Times New Roman"/>
                <w:b w:val="0"/>
                <w:bCs/>
                <w:color w:val="auto"/>
                <w:sz w:val="24"/>
                <w:lang w:val="en-US" w:eastAsia="zh-CN"/>
              </w:rPr>
              <w:t>35</w:t>
            </w:r>
            <w:r>
              <w:rPr>
                <w:rFonts w:hint="default" w:ascii="Times New Roman" w:hAnsi="Times New Roman" w:eastAsia="宋体" w:cs="Times New Roman"/>
                <w:b w:val="0"/>
                <w:bCs/>
                <w:color w:val="auto"/>
                <w:sz w:val="24"/>
                <w:lang w:eastAsia="zh-CN"/>
              </w:rPr>
              <w:t>）</w:t>
            </w:r>
          </w:p>
          <w:p w14:paraId="3A9DA435">
            <w:pPr>
              <w:spacing w:line="360" w:lineRule="auto"/>
              <w:ind w:firstLine="480" w:firstLineChars="200"/>
              <w:rPr>
                <w:rFonts w:hint="default" w:ascii="Times New Roman" w:hAnsi="Times New Roman" w:eastAsia="宋体" w:cs="Times New Roman"/>
                <w:b/>
                <w:bCs w:val="0"/>
                <w:color w:val="auto"/>
                <w:sz w:val="24"/>
                <w:lang w:val="en-US" w:eastAsia="zh-CN"/>
              </w:rPr>
            </w:pPr>
            <w:r>
              <w:rPr>
                <w:rFonts w:hint="eastAsia" w:ascii="Times New Roman" w:hAnsi="Times New Roman" w:eastAsia="宋体" w:cs="Times New Roman"/>
                <w:b w:val="0"/>
                <w:bCs/>
                <w:color w:val="auto"/>
                <w:sz w:val="24"/>
                <w:lang w:val="en-US" w:eastAsia="zh-CN"/>
              </w:rPr>
              <w:t>纯碱清洗</w:t>
            </w:r>
            <w:r>
              <w:rPr>
                <w:rFonts w:hint="default" w:ascii="Times New Roman" w:hAnsi="Times New Roman" w:eastAsia="宋体" w:cs="Times New Roman"/>
                <w:b w:val="0"/>
                <w:bCs/>
                <w:color w:val="auto"/>
                <w:sz w:val="24"/>
                <w:lang w:val="en-US" w:eastAsia="zh-CN"/>
              </w:rPr>
              <w:t>过程产生</w:t>
            </w:r>
            <w:r>
              <w:rPr>
                <w:rFonts w:hint="eastAsia" w:ascii="Times New Roman" w:hAnsi="Times New Roman" w:eastAsia="宋体" w:cs="Times New Roman"/>
                <w:b w:val="0"/>
                <w:bCs/>
                <w:color w:val="auto"/>
                <w:sz w:val="24"/>
                <w:lang w:val="en-US" w:eastAsia="zh-CN"/>
              </w:rPr>
              <w:t>清洗废液</w:t>
            </w:r>
            <w:r>
              <w:rPr>
                <w:rFonts w:hint="default" w:ascii="Times New Roman" w:hAnsi="Times New Roman" w:eastAsia="宋体" w:cs="Times New Roman"/>
                <w:b w:val="0"/>
                <w:bCs/>
                <w:color w:val="auto"/>
                <w:sz w:val="24"/>
                <w:lang w:val="en-US" w:eastAsia="zh-CN"/>
              </w:rPr>
              <w:t>，产生量约为</w:t>
            </w:r>
            <w:r>
              <w:rPr>
                <w:rFonts w:hint="eastAsia" w:ascii="Times New Roman" w:hAnsi="Times New Roman" w:eastAsia="宋体" w:cs="Times New Roman"/>
                <w:b w:val="0"/>
                <w:bCs/>
                <w:color w:val="auto"/>
                <w:sz w:val="24"/>
                <w:lang w:val="en-US" w:eastAsia="zh-CN"/>
              </w:rPr>
              <w:t>1.048</w:t>
            </w:r>
            <w:r>
              <w:rPr>
                <w:rFonts w:hint="default" w:ascii="Times New Roman" w:hAnsi="Times New Roman" w:eastAsia="宋体" w:cs="Times New Roman"/>
                <w:b w:val="0"/>
                <w:bCs/>
                <w:color w:val="auto"/>
                <w:sz w:val="24"/>
                <w:lang w:val="en-US" w:eastAsia="zh-CN"/>
              </w:rPr>
              <w:t>t/a，</w:t>
            </w:r>
            <w:r>
              <w:rPr>
                <w:rFonts w:hint="default" w:ascii="Times New Roman" w:hAnsi="Times New Roman" w:eastAsia="宋体" w:cs="Times New Roman"/>
                <w:b w:val="0"/>
                <w:bCs/>
                <w:color w:val="auto"/>
                <w:sz w:val="24"/>
              </w:rPr>
              <w:t>属于HW</w:t>
            </w:r>
            <w:r>
              <w:rPr>
                <w:rFonts w:hint="eastAsia" w:ascii="Times New Roman" w:hAnsi="Times New Roman" w:eastAsia="宋体" w:cs="Times New Roman"/>
                <w:b w:val="0"/>
                <w:bCs/>
                <w:color w:val="auto"/>
                <w:sz w:val="24"/>
                <w:lang w:val="en-US" w:eastAsia="zh-CN"/>
              </w:rPr>
              <w:t>35</w:t>
            </w:r>
            <w:r>
              <w:rPr>
                <w:rFonts w:hint="default" w:ascii="Times New Roman" w:hAnsi="Times New Roman" w:eastAsia="宋体" w:cs="Times New Roman"/>
                <w:b w:val="0"/>
                <w:bCs/>
                <w:color w:val="auto"/>
                <w:sz w:val="24"/>
              </w:rPr>
              <w:t xml:space="preserve">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900-</w:t>
            </w:r>
            <w:r>
              <w:rPr>
                <w:rFonts w:hint="eastAsia" w:ascii="Times New Roman" w:hAnsi="Times New Roman" w:eastAsia="宋体" w:cs="Times New Roman"/>
                <w:b w:val="0"/>
                <w:bCs/>
                <w:color w:val="auto"/>
                <w:sz w:val="24"/>
                <w:lang w:val="en-US" w:eastAsia="zh-CN"/>
              </w:rPr>
              <w:t>352</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35</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2E1C0A12">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2、固体废物属性判定</w:t>
            </w:r>
          </w:p>
          <w:p w14:paraId="1E112314">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中华人民共和国固体废物污染环境防治法》、《固体废物鉴别标准通则》（GB34330-2017）、《建设项目危险废物环境影响评价指南》（公告2017年第43号）和《关于贯彻落实建设项目危险废物环境影响评价指南要求的通知》（苏环办[2018]18号）的规定，判断建设项目生产过程中产生的副产物是否属于固体废物，判定依据及结果见表4-</w:t>
            </w:r>
            <w:r>
              <w:rPr>
                <w:rFonts w:hint="eastAsia" w:ascii="Times New Roman" w:hAnsi="Times New Roman" w:eastAsia="宋体" w:cs="Times New Roman"/>
                <w:b w:val="0"/>
                <w:bCs/>
                <w:color w:val="auto"/>
                <w:sz w:val="24"/>
                <w:lang w:val="en-US" w:eastAsia="zh-CN"/>
              </w:rPr>
              <w:t>16</w:t>
            </w:r>
            <w:r>
              <w:rPr>
                <w:rFonts w:hint="default" w:ascii="Times New Roman" w:hAnsi="Times New Roman" w:eastAsia="宋体" w:cs="Times New Roman"/>
                <w:b w:val="0"/>
                <w:bCs/>
                <w:color w:val="auto"/>
                <w:sz w:val="24"/>
              </w:rPr>
              <w:t>。</w:t>
            </w:r>
          </w:p>
          <w:p w14:paraId="0635E9B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16</w:t>
            </w:r>
            <w:r>
              <w:rPr>
                <w:rFonts w:hint="default" w:ascii="Times New Roman" w:hAnsi="Times New Roman" w:eastAsia="宋体" w:cs="Times New Roman"/>
                <w:b/>
                <w:color w:val="auto"/>
                <w:sz w:val="24"/>
              </w:rPr>
              <w:t xml:space="preserve">  本项目副产物产生情况汇总表</w:t>
            </w:r>
          </w:p>
          <w:tbl>
            <w:tblPr>
              <w:tblStyle w:val="29"/>
              <w:tblW w:w="50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57"/>
              <w:gridCol w:w="956"/>
              <w:gridCol w:w="671"/>
              <w:gridCol w:w="939"/>
              <w:gridCol w:w="963"/>
              <w:gridCol w:w="688"/>
              <w:gridCol w:w="931"/>
              <w:gridCol w:w="1758"/>
            </w:tblGrid>
            <w:tr w14:paraId="42F80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Merge w:val="restart"/>
                  <w:vAlign w:val="center"/>
                </w:tcPr>
                <w:p w14:paraId="0416DC2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81" w:type="pct"/>
                  <w:vMerge w:val="restart"/>
                  <w:vAlign w:val="center"/>
                </w:tcPr>
                <w:p w14:paraId="3AF16E48">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副产物</w:t>
                  </w:r>
                </w:p>
                <w:p w14:paraId="4C075B91">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563" w:type="pct"/>
                  <w:vMerge w:val="restart"/>
                  <w:vAlign w:val="center"/>
                </w:tcPr>
                <w:p w14:paraId="3088F53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w:t>
                  </w:r>
                </w:p>
                <w:p w14:paraId="15998E97">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w:t>
                  </w:r>
                </w:p>
              </w:tc>
              <w:tc>
                <w:tcPr>
                  <w:tcW w:w="395" w:type="pct"/>
                  <w:vMerge w:val="restart"/>
                  <w:vAlign w:val="center"/>
                </w:tcPr>
                <w:p w14:paraId="5E54EC0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553" w:type="pct"/>
                  <w:vMerge w:val="restart"/>
                  <w:vAlign w:val="center"/>
                </w:tcPr>
                <w:p w14:paraId="608338C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w:t>
                  </w:r>
                </w:p>
                <w:p w14:paraId="07BC45B6">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成分</w:t>
                  </w:r>
                </w:p>
              </w:tc>
              <w:tc>
                <w:tcPr>
                  <w:tcW w:w="567" w:type="pct"/>
                  <w:vMerge w:val="restart"/>
                  <w:vAlign w:val="center"/>
                </w:tcPr>
                <w:p w14:paraId="2E47162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预测产生量（t/a）</w:t>
                  </w:r>
                </w:p>
              </w:tc>
              <w:tc>
                <w:tcPr>
                  <w:tcW w:w="1988" w:type="pct"/>
                  <w:gridSpan w:val="3"/>
                  <w:vAlign w:val="center"/>
                </w:tcPr>
                <w:p w14:paraId="60DC091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种类判断*</w:t>
                  </w:r>
                </w:p>
              </w:tc>
            </w:tr>
            <w:tr w14:paraId="76B24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Merge w:val="continue"/>
                  <w:vAlign w:val="center"/>
                </w:tcPr>
                <w:p w14:paraId="502F1572">
                  <w:pPr>
                    <w:adjustRightInd w:val="0"/>
                    <w:snapToGrid w:val="0"/>
                    <w:jc w:val="center"/>
                    <w:rPr>
                      <w:rFonts w:hint="default" w:ascii="Times New Roman" w:hAnsi="Times New Roman" w:eastAsia="宋体" w:cs="Times New Roman"/>
                      <w:b/>
                      <w:color w:val="auto"/>
                      <w:sz w:val="21"/>
                      <w:szCs w:val="21"/>
                    </w:rPr>
                  </w:pPr>
                </w:p>
              </w:tc>
              <w:tc>
                <w:tcPr>
                  <w:tcW w:w="681" w:type="pct"/>
                  <w:vMerge w:val="continue"/>
                  <w:vAlign w:val="center"/>
                </w:tcPr>
                <w:p w14:paraId="5D79E3DC">
                  <w:pPr>
                    <w:adjustRightInd w:val="0"/>
                    <w:snapToGrid w:val="0"/>
                    <w:jc w:val="center"/>
                    <w:rPr>
                      <w:rFonts w:hint="default" w:ascii="Times New Roman" w:hAnsi="Times New Roman" w:eastAsia="宋体" w:cs="Times New Roman"/>
                      <w:b/>
                      <w:color w:val="auto"/>
                      <w:sz w:val="21"/>
                      <w:szCs w:val="21"/>
                    </w:rPr>
                  </w:pPr>
                </w:p>
              </w:tc>
              <w:tc>
                <w:tcPr>
                  <w:tcW w:w="563" w:type="pct"/>
                  <w:vMerge w:val="continue"/>
                  <w:vAlign w:val="center"/>
                </w:tcPr>
                <w:p w14:paraId="2BC6A2C1">
                  <w:pPr>
                    <w:adjustRightInd w:val="0"/>
                    <w:snapToGrid w:val="0"/>
                    <w:jc w:val="center"/>
                    <w:rPr>
                      <w:rFonts w:hint="default" w:ascii="Times New Roman" w:hAnsi="Times New Roman" w:eastAsia="宋体" w:cs="Times New Roman"/>
                      <w:b/>
                      <w:color w:val="auto"/>
                      <w:sz w:val="21"/>
                      <w:szCs w:val="21"/>
                    </w:rPr>
                  </w:pPr>
                </w:p>
              </w:tc>
              <w:tc>
                <w:tcPr>
                  <w:tcW w:w="395" w:type="pct"/>
                  <w:vMerge w:val="continue"/>
                  <w:vAlign w:val="center"/>
                </w:tcPr>
                <w:p w14:paraId="6FCE436C">
                  <w:pPr>
                    <w:adjustRightInd w:val="0"/>
                    <w:snapToGrid w:val="0"/>
                    <w:jc w:val="center"/>
                    <w:rPr>
                      <w:rFonts w:hint="default" w:ascii="Times New Roman" w:hAnsi="Times New Roman" w:eastAsia="宋体" w:cs="Times New Roman"/>
                      <w:b/>
                      <w:color w:val="auto"/>
                      <w:sz w:val="21"/>
                      <w:szCs w:val="21"/>
                    </w:rPr>
                  </w:pPr>
                </w:p>
              </w:tc>
              <w:tc>
                <w:tcPr>
                  <w:tcW w:w="553" w:type="pct"/>
                  <w:vMerge w:val="continue"/>
                  <w:vAlign w:val="center"/>
                </w:tcPr>
                <w:p w14:paraId="387A3883">
                  <w:pPr>
                    <w:adjustRightInd w:val="0"/>
                    <w:snapToGrid w:val="0"/>
                    <w:jc w:val="center"/>
                    <w:rPr>
                      <w:rFonts w:hint="default" w:ascii="Times New Roman" w:hAnsi="Times New Roman" w:eastAsia="宋体" w:cs="Times New Roman"/>
                      <w:b/>
                      <w:color w:val="auto"/>
                      <w:sz w:val="21"/>
                      <w:szCs w:val="21"/>
                    </w:rPr>
                  </w:pPr>
                </w:p>
              </w:tc>
              <w:tc>
                <w:tcPr>
                  <w:tcW w:w="567" w:type="pct"/>
                  <w:vMerge w:val="continue"/>
                  <w:vAlign w:val="center"/>
                </w:tcPr>
                <w:p w14:paraId="5ED2C03A">
                  <w:pPr>
                    <w:adjustRightInd w:val="0"/>
                    <w:snapToGrid w:val="0"/>
                    <w:jc w:val="center"/>
                    <w:rPr>
                      <w:rFonts w:hint="default" w:ascii="Times New Roman" w:hAnsi="Times New Roman" w:eastAsia="宋体" w:cs="Times New Roman"/>
                      <w:b/>
                      <w:color w:val="auto"/>
                      <w:sz w:val="21"/>
                      <w:szCs w:val="21"/>
                    </w:rPr>
                  </w:pPr>
                </w:p>
              </w:tc>
              <w:tc>
                <w:tcPr>
                  <w:tcW w:w="405" w:type="pct"/>
                  <w:vAlign w:val="center"/>
                </w:tcPr>
                <w:p w14:paraId="6259C9F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w:t>
                  </w:r>
                </w:p>
                <w:p w14:paraId="340B63EA">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w:t>
                  </w:r>
                </w:p>
              </w:tc>
              <w:tc>
                <w:tcPr>
                  <w:tcW w:w="548" w:type="pct"/>
                  <w:vAlign w:val="center"/>
                </w:tcPr>
                <w:p w14:paraId="1DA1EE8E">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副产品</w:t>
                  </w:r>
                </w:p>
              </w:tc>
              <w:tc>
                <w:tcPr>
                  <w:tcW w:w="1034" w:type="pct"/>
                  <w:vAlign w:val="center"/>
                </w:tcPr>
                <w:p w14:paraId="76C0E0C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判定依据</w:t>
                  </w:r>
                </w:p>
              </w:tc>
            </w:tr>
            <w:tr w14:paraId="1D2D6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Align w:val="center"/>
                </w:tcPr>
                <w:p w14:paraId="4F49FAF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81" w:type="pct"/>
                  <w:vAlign w:val="center"/>
                </w:tcPr>
                <w:p w14:paraId="185BCA9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563" w:type="pct"/>
                  <w:vAlign w:val="center"/>
                </w:tcPr>
                <w:p w14:paraId="1FB6CE1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办公、生活</w:t>
                  </w:r>
                </w:p>
              </w:tc>
              <w:tc>
                <w:tcPr>
                  <w:tcW w:w="395" w:type="pct"/>
                  <w:vAlign w:val="center"/>
                </w:tcPr>
                <w:p w14:paraId="56EB38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半固态</w:t>
                  </w:r>
                </w:p>
              </w:tc>
              <w:tc>
                <w:tcPr>
                  <w:tcW w:w="553" w:type="pct"/>
                  <w:vAlign w:val="center"/>
                </w:tcPr>
                <w:p w14:paraId="7801152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废塑料、废纸等</w:t>
                  </w:r>
                </w:p>
              </w:tc>
              <w:tc>
                <w:tcPr>
                  <w:tcW w:w="567" w:type="pct"/>
                  <w:vAlign w:val="center"/>
                </w:tcPr>
                <w:p w14:paraId="3503771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405" w:type="pct"/>
                  <w:vAlign w:val="center"/>
                </w:tcPr>
                <w:p w14:paraId="077F119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8" w:type="pct"/>
                  <w:vAlign w:val="center"/>
                </w:tcPr>
                <w:p w14:paraId="72F8FDC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34" w:type="pct"/>
                  <w:vMerge w:val="restart"/>
                  <w:vAlign w:val="center"/>
                </w:tcPr>
                <w:p w14:paraId="1B6F66D9">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《固体废物鉴别标准通则》（GB34330-2017）</w:t>
                  </w:r>
                </w:p>
              </w:tc>
            </w:tr>
            <w:tr w14:paraId="36FDF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Align w:val="center"/>
                </w:tcPr>
                <w:p w14:paraId="5EB2DC3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81" w:type="pct"/>
                  <w:shd w:val="clear" w:color="auto" w:fill="auto"/>
                  <w:vAlign w:val="center"/>
                </w:tcPr>
                <w:p w14:paraId="4CCE464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rPr>
                    <w:t>不合格品</w:t>
                  </w:r>
                </w:p>
              </w:tc>
              <w:tc>
                <w:tcPr>
                  <w:tcW w:w="563" w:type="pct"/>
                  <w:shd w:val="clear" w:color="auto" w:fill="auto"/>
                  <w:vAlign w:val="center"/>
                </w:tcPr>
                <w:p w14:paraId="60DEC58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检验</w:t>
                  </w:r>
                </w:p>
              </w:tc>
              <w:tc>
                <w:tcPr>
                  <w:tcW w:w="395" w:type="pct"/>
                  <w:shd w:val="clear" w:color="auto" w:fill="auto"/>
                  <w:vAlign w:val="center"/>
                </w:tcPr>
                <w:p w14:paraId="67F7A4D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553" w:type="pct"/>
                  <w:shd w:val="clear" w:color="auto" w:fill="auto"/>
                  <w:vAlign w:val="center"/>
                </w:tcPr>
                <w:p w14:paraId="1637C19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玻璃</w:t>
                  </w:r>
                </w:p>
              </w:tc>
              <w:tc>
                <w:tcPr>
                  <w:tcW w:w="567" w:type="pct"/>
                  <w:shd w:val="clear" w:color="auto" w:fill="auto"/>
                  <w:vAlign w:val="center"/>
                </w:tcPr>
                <w:p w14:paraId="50A6653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.5</w:t>
                  </w:r>
                </w:p>
              </w:tc>
              <w:tc>
                <w:tcPr>
                  <w:tcW w:w="405" w:type="pct"/>
                  <w:shd w:val="clear" w:color="auto" w:fill="auto"/>
                  <w:vAlign w:val="center"/>
                </w:tcPr>
                <w:p w14:paraId="233247D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8" w:type="pct"/>
                  <w:shd w:val="clear" w:color="auto" w:fill="auto"/>
                  <w:vAlign w:val="center"/>
                </w:tcPr>
                <w:p w14:paraId="4A41629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34" w:type="pct"/>
                  <w:vMerge w:val="continue"/>
                  <w:vAlign w:val="center"/>
                </w:tcPr>
                <w:p w14:paraId="30AB11A1">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12F0F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Align w:val="center"/>
                </w:tcPr>
                <w:p w14:paraId="212AD01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81" w:type="pct"/>
                  <w:shd w:val="clear" w:color="auto" w:fill="auto"/>
                  <w:vAlign w:val="center"/>
                </w:tcPr>
                <w:p w14:paraId="06F4A3B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563" w:type="pct"/>
                  <w:shd w:val="clear" w:color="auto" w:fill="auto"/>
                  <w:vAlign w:val="center"/>
                </w:tcPr>
                <w:p w14:paraId="5EB56F3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原料使用</w:t>
                  </w:r>
                </w:p>
              </w:tc>
              <w:tc>
                <w:tcPr>
                  <w:tcW w:w="395" w:type="pct"/>
                  <w:shd w:val="clear" w:color="auto" w:fill="auto"/>
                  <w:vAlign w:val="center"/>
                </w:tcPr>
                <w:p w14:paraId="67A344D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vAlign w:val="center"/>
                </w:tcPr>
                <w:p w14:paraId="7AF1ADE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热熔胶</w:t>
                  </w:r>
                  <w:r>
                    <w:rPr>
                      <w:rFonts w:hint="default" w:ascii="Times New Roman" w:hAnsi="Times New Roman" w:eastAsia="宋体" w:cs="Times New Roman"/>
                      <w:color w:val="auto"/>
                      <w:sz w:val="21"/>
                      <w:szCs w:val="21"/>
                      <w:lang w:val="en-US" w:eastAsia="zh-CN"/>
                    </w:rPr>
                    <w:t>等</w:t>
                  </w:r>
                </w:p>
              </w:tc>
              <w:tc>
                <w:tcPr>
                  <w:tcW w:w="567" w:type="pct"/>
                  <w:shd w:val="clear" w:color="auto" w:fill="auto"/>
                  <w:vAlign w:val="center"/>
                </w:tcPr>
                <w:p w14:paraId="2FBD0A6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w:t>
                  </w:r>
                </w:p>
              </w:tc>
              <w:tc>
                <w:tcPr>
                  <w:tcW w:w="405" w:type="pct"/>
                  <w:shd w:val="clear" w:color="auto" w:fill="auto"/>
                  <w:vAlign w:val="center"/>
                </w:tcPr>
                <w:p w14:paraId="001BE38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8" w:type="pct"/>
                  <w:shd w:val="clear" w:color="auto" w:fill="auto"/>
                  <w:vAlign w:val="center"/>
                </w:tcPr>
                <w:p w14:paraId="0F4FCE6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34" w:type="pct"/>
                  <w:vMerge w:val="continue"/>
                  <w:vAlign w:val="center"/>
                </w:tcPr>
                <w:p w14:paraId="382BB95D">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6F33F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Align w:val="center"/>
                </w:tcPr>
                <w:p w14:paraId="60BF1DD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81" w:type="pct"/>
                  <w:shd w:val="clear" w:color="auto" w:fill="auto"/>
                  <w:vAlign w:val="center"/>
                </w:tcPr>
                <w:p w14:paraId="229946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563" w:type="pct"/>
                  <w:shd w:val="clear" w:color="auto" w:fill="auto"/>
                  <w:vAlign w:val="center"/>
                </w:tcPr>
                <w:p w14:paraId="4A44186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395" w:type="pct"/>
                  <w:shd w:val="clear" w:color="auto" w:fill="auto"/>
                  <w:vAlign w:val="center"/>
                </w:tcPr>
                <w:p w14:paraId="02FD312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3" w:type="pct"/>
                  <w:shd w:val="clear" w:color="auto" w:fill="auto"/>
                  <w:vAlign w:val="center"/>
                </w:tcPr>
                <w:p w14:paraId="102D54D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有机物</w:t>
                  </w:r>
                </w:p>
              </w:tc>
              <w:tc>
                <w:tcPr>
                  <w:tcW w:w="567" w:type="pct"/>
                  <w:shd w:val="clear" w:color="auto" w:fill="auto"/>
                  <w:vAlign w:val="center"/>
                </w:tcPr>
                <w:p w14:paraId="0223579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0.04</w:t>
                  </w:r>
                </w:p>
              </w:tc>
              <w:tc>
                <w:tcPr>
                  <w:tcW w:w="405" w:type="pct"/>
                  <w:shd w:val="clear" w:color="auto" w:fill="auto"/>
                  <w:vAlign w:val="center"/>
                </w:tcPr>
                <w:p w14:paraId="10A8606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8" w:type="pct"/>
                  <w:shd w:val="clear" w:color="auto" w:fill="auto"/>
                  <w:vAlign w:val="center"/>
                </w:tcPr>
                <w:p w14:paraId="4DBE36D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34" w:type="pct"/>
                  <w:vMerge w:val="continue"/>
                  <w:vAlign w:val="center"/>
                </w:tcPr>
                <w:p w14:paraId="189E1116">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792CC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Align w:val="center"/>
                </w:tcPr>
                <w:p w14:paraId="0876BD3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81" w:type="pct"/>
                  <w:shd w:val="clear" w:color="auto" w:fill="auto"/>
                  <w:vAlign w:val="center"/>
                </w:tcPr>
                <w:p w14:paraId="5CED76E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研磨废液</w:t>
                  </w:r>
                </w:p>
              </w:tc>
              <w:tc>
                <w:tcPr>
                  <w:tcW w:w="563" w:type="pct"/>
                  <w:shd w:val="clear" w:color="auto" w:fill="auto"/>
                  <w:vAlign w:val="center"/>
                </w:tcPr>
                <w:p w14:paraId="5B6066F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w:t>
                  </w:r>
                </w:p>
              </w:tc>
              <w:tc>
                <w:tcPr>
                  <w:tcW w:w="395" w:type="pct"/>
                  <w:shd w:val="clear" w:color="auto" w:fill="auto"/>
                  <w:vAlign w:val="center"/>
                </w:tcPr>
                <w:p w14:paraId="0F84494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553" w:type="pct"/>
                  <w:shd w:val="clear" w:color="auto" w:fill="auto"/>
                  <w:vAlign w:val="center"/>
                </w:tcPr>
                <w:p w14:paraId="6E00C44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冷却液</w:t>
                  </w:r>
                </w:p>
              </w:tc>
              <w:tc>
                <w:tcPr>
                  <w:tcW w:w="567" w:type="pct"/>
                  <w:shd w:val="clear" w:color="auto" w:fill="auto"/>
                  <w:vAlign w:val="center"/>
                </w:tcPr>
                <w:p w14:paraId="779C86E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.08</w:t>
                  </w:r>
                </w:p>
              </w:tc>
              <w:tc>
                <w:tcPr>
                  <w:tcW w:w="405" w:type="pct"/>
                  <w:shd w:val="clear" w:color="auto" w:fill="auto"/>
                  <w:vAlign w:val="center"/>
                </w:tcPr>
                <w:p w14:paraId="7974A2E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8" w:type="pct"/>
                  <w:shd w:val="clear" w:color="auto" w:fill="auto"/>
                  <w:vAlign w:val="center"/>
                </w:tcPr>
                <w:p w14:paraId="0BD8851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34" w:type="pct"/>
                  <w:vMerge w:val="continue"/>
                  <w:vAlign w:val="center"/>
                </w:tcPr>
                <w:p w14:paraId="666A1548">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2530D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Align w:val="center"/>
                </w:tcPr>
                <w:p w14:paraId="71CE25D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681" w:type="pct"/>
                  <w:shd w:val="clear" w:color="auto" w:fill="auto"/>
                  <w:vAlign w:val="center"/>
                </w:tcPr>
                <w:p w14:paraId="1E4F4BD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抛光废液</w:t>
                  </w:r>
                </w:p>
              </w:tc>
              <w:tc>
                <w:tcPr>
                  <w:tcW w:w="563" w:type="pct"/>
                  <w:shd w:val="clear" w:color="auto" w:fill="auto"/>
                  <w:vAlign w:val="center"/>
                </w:tcPr>
                <w:p w14:paraId="5C35C2C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w:t>
                  </w:r>
                </w:p>
              </w:tc>
              <w:tc>
                <w:tcPr>
                  <w:tcW w:w="395" w:type="pct"/>
                  <w:shd w:val="clear" w:color="auto" w:fill="auto"/>
                  <w:vAlign w:val="center"/>
                </w:tcPr>
                <w:p w14:paraId="3A05D89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553" w:type="pct"/>
                  <w:shd w:val="clear" w:color="auto" w:fill="auto"/>
                  <w:vAlign w:val="center"/>
                </w:tcPr>
                <w:p w14:paraId="4838B1C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抛光粉</w:t>
                  </w:r>
                </w:p>
              </w:tc>
              <w:tc>
                <w:tcPr>
                  <w:tcW w:w="567" w:type="pct"/>
                  <w:shd w:val="clear" w:color="auto" w:fill="auto"/>
                  <w:vAlign w:val="center"/>
                </w:tcPr>
                <w:p w14:paraId="1781BF7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5.16</w:t>
                  </w:r>
                </w:p>
              </w:tc>
              <w:tc>
                <w:tcPr>
                  <w:tcW w:w="405" w:type="pct"/>
                  <w:shd w:val="clear" w:color="auto" w:fill="auto"/>
                  <w:vAlign w:val="center"/>
                </w:tcPr>
                <w:p w14:paraId="154617F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8" w:type="pct"/>
                  <w:shd w:val="clear" w:color="auto" w:fill="auto"/>
                  <w:vAlign w:val="center"/>
                </w:tcPr>
                <w:p w14:paraId="54A9919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34" w:type="pct"/>
                  <w:vMerge w:val="continue"/>
                  <w:vAlign w:val="center"/>
                </w:tcPr>
                <w:p w14:paraId="4687837D">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16209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2" w:type="pct"/>
                  <w:vAlign w:val="center"/>
                </w:tcPr>
                <w:p w14:paraId="56D0F41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681" w:type="pct"/>
                  <w:shd w:val="clear" w:color="auto" w:fill="auto"/>
                  <w:vAlign w:val="center"/>
                </w:tcPr>
                <w:p w14:paraId="14BC425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r>
                    <w:rPr>
                      <w:rFonts w:hint="default" w:ascii="Times New Roman" w:hAnsi="Times New Roman" w:eastAsia="宋体" w:cs="Times New Roman"/>
                      <w:color w:val="auto"/>
                      <w:sz w:val="21"/>
                      <w:szCs w:val="21"/>
                      <w:lang w:val="en-US" w:eastAsia="zh-CN"/>
                    </w:rPr>
                    <w:t>清洗废液</w:t>
                  </w:r>
                </w:p>
              </w:tc>
              <w:tc>
                <w:tcPr>
                  <w:tcW w:w="563" w:type="pct"/>
                  <w:shd w:val="clear" w:color="auto" w:fill="auto"/>
                  <w:vAlign w:val="center"/>
                </w:tcPr>
                <w:p w14:paraId="19101B6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r>
                    <w:rPr>
                      <w:rFonts w:hint="default" w:ascii="Times New Roman" w:hAnsi="Times New Roman" w:eastAsia="宋体" w:cs="Times New Roman"/>
                      <w:color w:val="auto"/>
                      <w:sz w:val="21"/>
                      <w:szCs w:val="21"/>
                      <w:lang w:val="en-US" w:eastAsia="zh-CN"/>
                    </w:rPr>
                    <w:t>清洗</w:t>
                  </w:r>
                </w:p>
              </w:tc>
              <w:tc>
                <w:tcPr>
                  <w:tcW w:w="395" w:type="pct"/>
                  <w:shd w:val="clear" w:color="auto" w:fill="auto"/>
                  <w:vAlign w:val="center"/>
                </w:tcPr>
                <w:p w14:paraId="1C4F767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553" w:type="pct"/>
                  <w:shd w:val="clear" w:color="auto" w:fill="auto"/>
                  <w:vAlign w:val="center"/>
                </w:tcPr>
                <w:p w14:paraId="4551653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p>
              </w:tc>
              <w:tc>
                <w:tcPr>
                  <w:tcW w:w="567" w:type="pct"/>
                  <w:shd w:val="clear" w:color="auto" w:fill="auto"/>
                  <w:vAlign w:val="center"/>
                </w:tcPr>
                <w:p w14:paraId="6244E32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1.048</w:t>
                  </w:r>
                </w:p>
              </w:tc>
              <w:tc>
                <w:tcPr>
                  <w:tcW w:w="405" w:type="pct"/>
                  <w:shd w:val="clear" w:color="auto" w:fill="auto"/>
                  <w:vAlign w:val="center"/>
                </w:tcPr>
                <w:p w14:paraId="0AA2666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8" w:type="pct"/>
                  <w:shd w:val="clear" w:color="auto" w:fill="auto"/>
                  <w:vAlign w:val="center"/>
                </w:tcPr>
                <w:p w14:paraId="2A141E3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34" w:type="pct"/>
                  <w:vMerge w:val="continue"/>
                  <w:vAlign w:val="center"/>
                </w:tcPr>
                <w:p w14:paraId="49A03737">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bl>
          <w:p w14:paraId="08F9D82B">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3、固体废物产生情况汇总</w:t>
            </w:r>
          </w:p>
          <w:p w14:paraId="7259852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根据《国家危险废物名录》（202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年版），判定建设项目固体废物是否属于危险固废。本项目固体废物产生情况汇总见表4-</w:t>
            </w:r>
            <w:r>
              <w:rPr>
                <w:rFonts w:hint="eastAsia" w:ascii="Times New Roman" w:hAnsi="Times New Roman" w:eastAsia="宋体" w:cs="Times New Roman"/>
                <w:color w:val="auto"/>
                <w:sz w:val="24"/>
                <w:lang w:val="en-US" w:eastAsia="zh-CN"/>
              </w:rPr>
              <w:t>17</w:t>
            </w:r>
            <w:r>
              <w:rPr>
                <w:rFonts w:hint="default" w:ascii="Times New Roman" w:hAnsi="Times New Roman" w:eastAsia="宋体" w:cs="Times New Roman"/>
                <w:color w:val="auto"/>
                <w:sz w:val="24"/>
              </w:rPr>
              <w:t>。</w:t>
            </w:r>
          </w:p>
          <w:p w14:paraId="37502B2D">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17</w:t>
            </w:r>
            <w:r>
              <w:rPr>
                <w:rFonts w:hint="default" w:ascii="Times New Roman" w:hAnsi="Times New Roman" w:eastAsia="宋体" w:cs="Times New Roman"/>
                <w:b/>
                <w:color w:val="auto"/>
                <w:sz w:val="24"/>
              </w:rPr>
              <w:t xml:space="preserve">  固体废物类别判定表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126"/>
              <w:gridCol w:w="573"/>
              <w:gridCol w:w="775"/>
              <w:gridCol w:w="501"/>
              <w:gridCol w:w="1029"/>
              <w:gridCol w:w="901"/>
              <w:gridCol w:w="799"/>
              <w:gridCol w:w="1315"/>
              <w:gridCol w:w="902"/>
            </w:tblGrid>
            <w:tr w14:paraId="2AF4B3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24341D0A">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4" w:type="pct"/>
                  <w:vAlign w:val="center"/>
                </w:tcPr>
                <w:p w14:paraId="7AFDE73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343" w:type="pct"/>
                  <w:vAlign w:val="center"/>
                </w:tcPr>
                <w:p w14:paraId="1E3400B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464" w:type="pct"/>
                  <w:vAlign w:val="center"/>
                </w:tcPr>
                <w:p w14:paraId="647337B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300" w:type="pct"/>
                  <w:vAlign w:val="center"/>
                </w:tcPr>
                <w:p w14:paraId="07A2588E">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616" w:type="pct"/>
                  <w:vAlign w:val="center"/>
                </w:tcPr>
                <w:p w14:paraId="19BBCF1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539" w:type="pct"/>
                  <w:vAlign w:val="center"/>
                </w:tcPr>
                <w:p w14:paraId="78D3F9B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危险特性</w:t>
                  </w:r>
                </w:p>
              </w:tc>
              <w:tc>
                <w:tcPr>
                  <w:tcW w:w="478" w:type="pct"/>
                  <w:vAlign w:val="center"/>
                </w:tcPr>
                <w:p w14:paraId="4115058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废物类别</w:t>
                  </w:r>
                </w:p>
              </w:tc>
              <w:tc>
                <w:tcPr>
                  <w:tcW w:w="787" w:type="pct"/>
                  <w:vAlign w:val="center"/>
                </w:tcPr>
                <w:p w14:paraId="385FAD7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废物代码</w:t>
                  </w:r>
                </w:p>
              </w:tc>
              <w:tc>
                <w:tcPr>
                  <w:tcW w:w="539" w:type="pct"/>
                  <w:vAlign w:val="center"/>
                </w:tcPr>
                <w:p w14:paraId="07DF1FD3">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估算产生量（t/a）</w:t>
                  </w:r>
                </w:p>
              </w:tc>
            </w:tr>
            <w:tr w14:paraId="199E8E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68B007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74" w:type="pct"/>
                  <w:shd w:val="clear" w:color="auto" w:fill="auto"/>
                  <w:vAlign w:val="center"/>
                </w:tcPr>
                <w:p w14:paraId="425F06F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343" w:type="pct"/>
                  <w:vMerge w:val="restart"/>
                  <w:vAlign w:val="center"/>
                </w:tcPr>
                <w:p w14:paraId="5E33C4E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危险废物</w:t>
                  </w:r>
                </w:p>
              </w:tc>
              <w:tc>
                <w:tcPr>
                  <w:tcW w:w="464" w:type="pct"/>
                  <w:shd w:val="clear" w:color="auto" w:fill="auto"/>
                  <w:vAlign w:val="center"/>
                </w:tcPr>
                <w:p w14:paraId="7B28F93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原料使用</w:t>
                  </w:r>
                </w:p>
              </w:tc>
              <w:tc>
                <w:tcPr>
                  <w:tcW w:w="300" w:type="pct"/>
                  <w:shd w:val="clear" w:color="auto" w:fill="auto"/>
                  <w:vAlign w:val="center"/>
                </w:tcPr>
                <w:p w14:paraId="216D464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16" w:type="pct"/>
                  <w:shd w:val="clear" w:color="auto" w:fill="auto"/>
                  <w:vAlign w:val="center"/>
                </w:tcPr>
                <w:p w14:paraId="2B51000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热熔胶</w:t>
                  </w:r>
                  <w:r>
                    <w:rPr>
                      <w:rFonts w:hint="default" w:ascii="Times New Roman" w:hAnsi="Times New Roman" w:eastAsia="宋体" w:cs="Times New Roman"/>
                      <w:color w:val="auto"/>
                      <w:sz w:val="21"/>
                      <w:szCs w:val="21"/>
                      <w:lang w:val="en-US" w:eastAsia="zh-CN"/>
                    </w:rPr>
                    <w:t>等</w:t>
                  </w:r>
                </w:p>
              </w:tc>
              <w:tc>
                <w:tcPr>
                  <w:tcW w:w="539" w:type="pct"/>
                  <w:shd w:val="clear" w:color="auto" w:fill="auto"/>
                  <w:vAlign w:val="center"/>
                </w:tcPr>
                <w:p w14:paraId="4DD9E75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T/In</w:t>
                  </w:r>
                </w:p>
              </w:tc>
              <w:tc>
                <w:tcPr>
                  <w:tcW w:w="478" w:type="pct"/>
                  <w:shd w:val="clear" w:color="auto" w:fill="auto"/>
                  <w:vAlign w:val="center"/>
                </w:tcPr>
                <w:p w14:paraId="220963E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787" w:type="pct"/>
                  <w:shd w:val="clear" w:color="auto" w:fill="auto"/>
                  <w:vAlign w:val="center"/>
                </w:tcPr>
                <w:p w14:paraId="5CA1F1C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900-041-49</w:t>
                  </w:r>
                </w:p>
              </w:tc>
              <w:tc>
                <w:tcPr>
                  <w:tcW w:w="539" w:type="pct"/>
                  <w:shd w:val="clear" w:color="auto" w:fill="auto"/>
                  <w:vAlign w:val="center"/>
                </w:tcPr>
                <w:p w14:paraId="0EA43C0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w:t>
                  </w:r>
                </w:p>
              </w:tc>
            </w:tr>
            <w:tr w14:paraId="47038C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7534746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74" w:type="pct"/>
                  <w:shd w:val="clear" w:color="auto" w:fill="auto"/>
                  <w:vAlign w:val="center"/>
                </w:tcPr>
                <w:p w14:paraId="0422886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343" w:type="pct"/>
                  <w:vMerge w:val="continue"/>
                  <w:vAlign w:val="center"/>
                </w:tcPr>
                <w:p w14:paraId="68969EE0">
                  <w:pPr>
                    <w:jc w:val="center"/>
                    <w:rPr>
                      <w:rFonts w:hint="default" w:ascii="Times New Roman" w:hAnsi="Times New Roman" w:eastAsia="宋体" w:cs="Times New Roman"/>
                      <w:color w:val="auto"/>
                      <w:kern w:val="2"/>
                      <w:sz w:val="21"/>
                      <w:szCs w:val="21"/>
                      <w:lang w:val="en-US" w:eastAsia="zh-CN" w:bidi="ar-SA"/>
                    </w:rPr>
                  </w:pPr>
                </w:p>
              </w:tc>
              <w:tc>
                <w:tcPr>
                  <w:tcW w:w="464" w:type="pct"/>
                  <w:shd w:val="clear" w:color="auto" w:fill="auto"/>
                  <w:vAlign w:val="center"/>
                </w:tcPr>
                <w:p w14:paraId="7231973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300" w:type="pct"/>
                  <w:shd w:val="clear" w:color="auto" w:fill="auto"/>
                  <w:vAlign w:val="center"/>
                </w:tcPr>
                <w:p w14:paraId="44EC8FC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16" w:type="pct"/>
                  <w:shd w:val="clear" w:color="auto" w:fill="auto"/>
                  <w:vAlign w:val="center"/>
                </w:tcPr>
                <w:p w14:paraId="2CBDC84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有机物</w:t>
                  </w:r>
                </w:p>
              </w:tc>
              <w:tc>
                <w:tcPr>
                  <w:tcW w:w="539" w:type="pct"/>
                  <w:shd w:val="clear" w:color="auto" w:fill="auto"/>
                  <w:vAlign w:val="center"/>
                </w:tcPr>
                <w:p w14:paraId="1C41882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p>
              </w:tc>
              <w:tc>
                <w:tcPr>
                  <w:tcW w:w="478" w:type="pct"/>
                  <w:shd w:val="clear" w:color="auto" w:fill="auto"/>
                  <w:vAlign w:val="center"/>
                </w:tcPr>
                <w:p w14:paraId="34F0C81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787" w:type="pct"/>
                  <w:shd w:val="clear" w:color="auto" w:fill="auto"/>
                  <w:vAlign w:val="center"/>
                </w:tcPr>
                <w:p w14:paraId="54043EE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default"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539" w:type="pct"/>
                  <w:shd w:val="clear" w:color="auto" w:fill="auto"/>
                  <w:vAlign w:val="center"/>
                </w:tcPr>
                <w:p w14:paraId="47B18C3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0.04</w:t>
                  </w:r>
                </w:p>
              </w:tc>
            </w:tr>
            <w:tr w14:paraId="484568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11E8E8D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674" w:type="pct"/>
                  <w:shd w:val="clear" w:color="auto" w:fill="auto"/>
                  <w:vAlign w:val="center"/>
                </w:tcPr>
                <w:p w14:paraId="07C6464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研磨废液</w:t>
                  </w:r>
                </w:p>
              </w:tc>
              <w:tc>
                <w:tcPr>
                  <w:tcW w:w="343" w:type="pct"/>
                  <w:vMerge w:val="continue"/>
                  <w:vAlign w:val="center"/>
                </w:tcPr>
                <w:p w14:paraId="1A1AF301">
                  <w:pPr>
                    <w:jc w:val="center"/>
                    <w:rPr>
                      <w:rFonts w:hint="default" w:ascii="Times New Roman" w:hAnsi="Times New Roman" w:eastAsia="宋体" w:cs="Times New Roman"/>
                      <w:color w:val="auto"/>
                      <w:kern w:val="2"/>
                      <w:sz w:val="21"/>
                      <w:szCs w:val="21"/>
                      <w:lang w:val="en-US" w:eastAsia="zh-CN" w:bidi="ar-SA"/>
                    </w:rPr>
                  </w:pPr>
                </w:p>
              </w:tc>
              <w:tc>
                <w:tcPr>
                  <w:tcW w:w="464" w:type="pct"/>
                  <w:shd w:val="clear" w:color="auto" w:fill="auto"/>
                  <w:vAlign w:val="center"/>
                </w:tcPr>
                <w:p w14:paraId="428671A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w:t>
                  </w:r>
                </w:p>
              </w:tc>
              <w:tc>
                <w:tcPr>
                  <w:tcW w:w="300" w:type="pct"/>
                  <w:shd w:val="clear" w:color="auto" w:fill="auto"/>
                  <w:vAlign w:val="center"/>
                </w:tcPr>
                <w:p w14:paraId="2AB353F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616" w:type="pct"/>
                  <w:shd w:val="clear" w:color="auto" w:fill="auto"/>
                  <w:vAlign w:val="center"/>
                </w:tcPr>
                <w:p w14:paraId="4D174D8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冷却液</w:t>
                  </w:r>
                </w:p>
              </w:tc>
              <w:tc>
                <w:tcPr>
                  <w:tcW w:w="539" w:type="pct"/>
                  <w:vAlign w:val="center"/>
                </w:tcPr>
                <w:p w14:paraId="10E6EE6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p>
              </w:tc>
              <w:tc>
                <w:tcPr>
                  <w:tcW w:w="478" w:type="pct"/>
                  <w:vAlign w:val="center"/>
                </w:tcPr>
                <w:p w14:paraId="2C7ACB1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9</w:t>
                  </w:r>
                </w:p>
              </w:tc>
              <w:tc>
                <w:tcPr>
                  <w:tcW w:w="787" w:type="pct"/>
                  <w:vAlign w:val="center"/>
                </w:tcPr>
                <w:p w14:paraId="5A0889A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41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9</w:t>
                  </w:r>
                </w:p>
              </w:tc>
              <w:tc>
                <w:tcPr>
                  <w:tcW w:w="539" w:type="pct"/>
                  <w:shd w:val="clear" w:color="auto" w:fill="auto"/>
                  <w:vAlign w:val="center"/>
                </w:tcPr>
                <w:p w14:paraId="4473B10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.08</w:t>
                  </w:r>
                </w:p>
              </w:tc>
            </w:tr>
            <w:tr w14:paraId="6F5AC8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1ABD4E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674" w:type="pct"/>
                  <w:shd w:val="clear" w:color="auto" w:fill="auto"/>
                  <w:vAlign w:val="center"/>
                </w:tcPr>
                <w:p w14:paraId="20F64C9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抛光废液</w:t>
                  </w:r>
                </w:p>
              </w:tc>
              <w:tc>
                <w:tcPr>
                  <w:tcW w:w="343" w:type="pct"/>
                  <w:vMerge w:val="continue"/>
                  <w:vAlign w:val="center"/>
                </w:tcPr>
                <w:p w14:paraId="3C6CF3CF">
                  <w:pPr>
                    <w:jc w:val="center"/>
                    <w:rPr>
                      <w:rFonts w:hint="default" w:ascii="Times New Roman" w:hAnsi="Times New Roman" w:eastAsia="宋体" w:cs="Times New Roman"/>
                      <w:color w:val="auto"/>
                      <w:kern w:val="2"/>
                      <w:sz w:val="21"/>
                      <w:szCs w:val="21"/>
                      <w:lang w:val="en-US" w:eastAsia="zh-CN" w:bidi="ar-SA"/>
                    </w:rPr>
                  </w:pPr>
                </w:p>
              </w:tc>
              <w:tc>
                <w:tcPr>
                  <w:tcW w:w="464" w:type="pct"/>
                  <w:shd w:val="clear" w:color="auto" w:fill="auto"/>
                  <w:vAlign w:val="center"/>
                </w:tcPr>
                <w:p w14:paraId="1B0E30B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w:t>
                  </w:r>
                </w:p>
              </w:tc>
              <w:tc>
                <w:tcPr>
                  <w:tcW w:w="300" w:type="pct"/>
                  <w:shd w:val="clear" w:color="auto" w:fill="auto"/>
                  <w:vAlign w:val="center"/>
                </w:tcPr>
                <w:p w14:paraId="27B43DD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616" w:type="pct"/>
                  <w:shd w:val="clear" w:color="auto" w:fill="auto"/>
                  <w:vAlign w:val="center"/>
                </w:tcPr>
                <w:p w14:paraId="6D05D3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抛光粉</w:t>
                  </w:r>
                </w:p>
              </w:tc>
              <w:tc>
                <w:tcPr>
                  <w:tcW w:w="539" w:type="pct"/>
                  <w:shd w:val="clear" w:color="auto" w:fill="auto"/>
                  <w:vAlign w:val="center"/>
                </w:tcPr>
                <w:p w14:paraId="3FC9937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p>
              </w:tc>
              <w:tc>
                <w:tcPr>
                  <w:tcW w:w="478" w:type="pct"/>
                  <w:shd w:val="clear" w:color="auto" w:fill="auto"/>
                  <w:vAlign w:val="center"/>
                </w:tcPr>
                <w:p w14:paraId="3735A25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9</w:t>
                  </w:r>
                </w:p>
              </w:tc>
              <w:tc>
                <w:tcPr>
                  <w:tcW w:w="787" w:type="pct"/>
                  <w:shd w:val="clear" w:color="auto" w:fill="auto"/>
                  <w:vAlign w:val="center"/>
                </w:tcPr>
                <w:p w14:paraId="24EBD02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41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9</w:t>
                  </w:r>
                </w:p>
              </w:tc>
              <w:tc>
                <w:tcPr>
                  <w:tcW w:w="539" w:type="pct"/>
                  <w:shd w:val="clear" w:color="auto" w:fill="auto"/>
                  <w:vAlign w:val="center"/>
                </w:tcPr>
                <w:p w14:paraId="682B4AE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5.16</w:t>
                  </w:r>
                </w:p>
              </w:tc>
            </w:tr>
            <w:tr w14:paraId="68B5F8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078728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674" w:type="pct"/>
                  <w:shd w:val="clear" w:color="auto" w:fill="auto"/>
                  <w:vAlign w:val="center"/>
                </w:tcPr>
                <w:p w14:paraId="5631374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r>
                    <w:rPr>
                      <w:rFonts w:hint="default" w:ascii="Times New Roman" w:hAnsi="Times New Roman" w:eastAsia="宋体" w:cs="Times New Roman"/>
                      <w:color w:val="auto"/>
                      <w:sz w:val="21"/>
                      <w:szCs w:val="21"/>
                      <w:lang w:val="en-US" w:eastAsia="zh-CN"/>
                    </w:rPr>
                    <w:t>清洗废液</w:t>
                  </w:r>
                </w:p>
              </w:tc>
              <w:tc>
                <w:tcPr>
                  <w:tcW w:w="343" w:type="pct"/>
                  <w:vMerge w:val="continue"/>
                  <w:vAlign w:val="center"/>
                </w:tcPr>
                <w:p w14:paraId="317ED450">
                  <w:pPr>
                    <w:jc w:val="center"/>
                    <w:rPr>
                      <w:rFonts w:hint="default" w:ascii="Times New Roman" w:hAnsi="Times New Roman" w:eastAsia="宋体" w:cs="Times New Roman"/>
                      <w:color w:val="auto"/>
                      <w:kern w:val="2"/>
                      <w:sz w:val="21"/>
                      <w:szCs w:val="21"/>
                      <w:lang w:val="en-US" w:eastAsia="zh-CN" w:bidi="ar-SA"/>
                    </w:rPr>
                  </w:pPr>
                </w:p>
              </w:tc>
              <w:tc>
                <w:tcPr>
                  <w:tcW w:w="464" w:type="pct"/>
                  <w:shd w:val="clear" w:color="auto" w:fill="auto"/>
                  <w:vAlign w:val="center"/>
                </w:tcPr>
                <w:p w14:paraId="4815BEB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r>
                    <w:rPr>
                      <w:rFonts w:hint="default" w:ascii="Times New Roman" w:hAnsi="Times New Roman" w:eastAsia="宋体" w:cs="Times New Roman"/>
                      <w:color w:val="auto"/>
                      <w:sz w:val="21"/>
                      <w:szCs w:val="21"/>
                      <w:lang w:val="en-US" w:eastAsia="zh-CN"/>
                    </w:rPr>
                    <w:t>清洗</w:t>
                  </w:r>
                </w:p>
              </w:tc>
              <w:tc>
                <w:tcPr>
                  <w:tcW w:w="300" w:type="pct"/>
                  <w:shd w:val="clear" w:color="auto" w:fill="auto"/>
                  <w:vAlign w:val="center"/>
                </w:tcPr>
                <w:p w14:paraId="3BC03E2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616" w:type="pct"/>
                  <w:shd w:val="clear" w:color="auto" w:fill="auto"/>
                  <w:vAlign w:val="center"/>
                </w:tcPr>
                <w:p w14:paraId="0460F56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p>
              </w:tc>
              <w:tc>
                <w:tcPr>
                  <w:tcW w:w="539" w:type="pct"/>
                  <w:vAlign w:val="center"/>
                </w:tcPr>
                <w:p w14:paraId="63CAF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rPr>
                    <w:t>T</w:t>
                  </w:r>
                </w:p>
              </w:tc>
              <w:tc>
                <w:tcPr>
                  <w:tcW w:w="478" w:type="pct"/>
                  <w:vAlign w:val="center"/>
                </w:tcPr>
                <w:p w14:paraId="19584370">
                  <w:pPr>
                    <w:topLinePun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ascii="Times New Roman" w:hAnsi="Times New Roman" w:eastAsia="宋体" w:cs="Times New Roman"/>
                      <w:color w:val="auto"/>
                      <w:sz w:val="21"/>
                      <w:szCs w:val="21"/>
                      <w:lang w:val="en-US" w:eastAsia="zh-CN"/>
                    </w:rPr>
                    <w:t>35</w:t>
                  </w:r>
                </w:p>
              </w:tc>
              <w:tc>
                <w:tcPr>
                  <w:tcW w:w="787" w:type="pct"/>
                  <w:vAlign w:val="center"/>
                </w:tcPr>
                <w:p w14:paraId="3AC76A28">
                  <w:pPr>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900-352-35</w:t>
                  </w:r>
                </w:p>
              </w:tc>
              <w:tc>
                <w:tcPr>
                  <w:tcW w:w="539" w:type="pct"/>
                  <w:shd w:val="clear" w:color="auto" w:fill="auto"/>
                  <w:vAlign w:val="center"/>
                </w:tcPr>
                <w:p w14:paraId="4B7E2B5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1.048</w:t>
                  </w:r>
                </w:p>
              </w:tc>
            </w:tr>
            <w:tr w14:paraId="65F6E3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7D6A8ED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674" w:type="pct"/>
                  <w:vAlign w:val="center"/>
                </w:tcPr>
                <w:p w14:paraId="1A95AFE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sz w:val="21"/>
                      <w:szCs w:val="21"/>
                    </w:rPr>
                    <w:t>不合格品</w:t>
                  </w:r>
                </w:p>
              </w:tc>
              <w:tc>
                <w:tcPr>
                  <w:tcW w:w="343" w:type="pct"/>
                  <w:vAlign w:val="center"/>
                </w:tcPr>
                <w:p w14:paraId="6958E8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464" w:type="pct"/>
                  <w:vAlign w:val="center"/>
                </w:tcPr>
                <w:p w14:paraId="22C0F66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检验</w:t>
                  </w:r>
                </w:p>
              </w:tc>
              <w:tc>
                <w:tcPr>
                  <w:tcW w:w="300" w:type="pct"/>
                  <w:vAlign w:val="center"/>
                </w:tcPr>
                <w:p w14:paraId="68F5F9B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616" w:type="pct"/>
                  <w:vAlign w:val="center"/>
                </w:tcPr>
                <w:p w14:paraId="5B4B2B8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塑料</w:t>
                  </w:r>
                </w:p>
              </w:tc>
              <w:tc>
                <w:tcPr>
                  <w:tcW w:w="539" w:type="pct"/>
                  <w:vAlign w:val="center"/>
                </w:tcPr>
                <w:p w14:paraId="460F15A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8" w:type="pct"/>
                  <w:shd w:val="clear" w:color="auto" w:fill="auto"/>
                  <w:vAlign w:val="center"/>
                </w:tcPr>
                <w:p w14:paraId="24D1E05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SW17</w:t>
                  </w:r>
                </w:p>
              </w:tc>
              <w:tc>
                <w:tcPr>
                  <w:tcW w:w="787" w:type="pct"/>
                  <w:shd w:val="clear" w:color="auto" w:fill="auto"/>
                  <w:vAlign w:val="center"/>
                </w:tcPr>
                <w:p w14:paraId="46CBE0A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277-001-S17</w:t>
                  </w:r>
                </w:p>
              </w:tc>
              <w:tc>
                <w:tcPr>
                  <w:tcW w:w="539" w:type="pct"/>
                  <w:shd w:val="clear" w:color="auto" w:fill="auto"/>
                  <w:vAlign w:val="center"/>
                </w:tcPr>
                <w:p w14:paraId="2087650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r>
            <w:tr w14:paraId="1DA9B7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7032294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674" w:type="pct"/>
                  <w:vAlign w:val="center"/>
                </w:tcPr>
                <w:p w14:paraId="39DA8D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43" w:type="pct"/>
                  <w:vAlign w:val="center"/>
                </w:tcPr>
                <w:p w14:paraId="1806651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4" w:type="pct"/>
                  <w:vAlign w:val="center"/>
                </w:tcPr>
                <w:p w14:paraId="1D449A2B">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员工生活、办公</w:t>
                  </w:r>
                </w:p>
              </w:tc>
              <w:tc>
                <w:tcPr>
                  <w:tcW w:w="300" w:type="pct"/>
                  <w:vAlign w:val="center"/>
                </w:tcPr>
                <w:p w14:paraId="7E2DCD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616" w:type="pct"/>
                  <w:vAlign w:val="center"/>
                </w:tcPr>
                <w:p w14:paraId="767755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办公及生活废物</w:t>
                  </w:r>
                </w:p>
              </w:tc>
              <w:tc>
                <w:tcPr>
                  <w:tcW w:w="539" w:type="pct"/>
                  <w:vAlign w:val="center"/>
                </w:tcPr>
                <w:p w14:paraId="599813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78" w:type="pct"/>
                  <w:vAlign w:val="center"/>
                </w:tcPr>
                <w:p w14:paraId="7B6283C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SW</w:t>
                  </w:r>
                  <w:r>
                    <w:rPr>
                      <w:rFonts w:hint="default" w:ascii="Times New Roman" w:hAnsi="Times New Roman" w:eastAsia="宋体" w:cs="Times New Roman"/>
                      <w:color w:val="auto"/>
                      <w:sz w:val="21"/>
                      <w:szCs w:val="21"/>
                      <w:lang w:val="en-US" w:eastAsia="zh-CN"/>
                    </w:rPr>
                    <w:t>59</w:t>
                  </w:r>
                </w:p>
              </w:tc>
              <w:tc>
                <w:tcPr>
                  <w:tcW w:w="787" w:type="pct"/>
                  <w:vAlign w:val="center"/>
                </w:tcPr>
                <w:p w14:paraId="7140A26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539" w:type="pct"/>
                  <w:shd w:val="clear" w:color="auto" w:fill="auto"/>
                  <w:vAlign w:val="center"/>
                </w:tcPr>
                <w:p w14:paraId="523F635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r>
          </w:tbl>
          <w:p w14:paraId="79EAC100">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、固体废物贮存和处置方式</w:t>
            </w:r>
          </w:p>
          <w:p w14:paraId="029E970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生产的固体废物应分类收集、分类贮存、并张贴标签贮存在专门的场所内，危险固废、一般固废和生活垃圾分开，不得混放。本项目产生的危险废物纳入“江苏省危险废物全生命周期监控系统”管理，在项目营运期间按照相关要求进行管理计划申报，在危废产生后进行产废申报与贮存申报。本项目产生的固废经安全收集，都得到妥善处理，不会对周围环境产生二次污染。本项目危废库房建筑面积为</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，设置合理。实施危险废物转移时，应执行危险废物转移联单制度，并加强对运输单位及处置单位的跟踪检查，确保符合环保要求。</w:t>
            </w:r>
          </w:p>
          <w:p w14:paraId="493ED8A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本项目危险废物贮存场所基本情况详见下表：</w:t>
            </w:r>
          </w:p>
          <w:p w14:paraId="35AFD2FD">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18</w:t>
            </w:r>
            <w:r>
              <w:rPr>
                <w:rFonts w:hint="default" w:ascii="Times New Roman" w:hAnsi="Times New Roman" w:eastAsia="宋体" w:cs="Times New Roman"/>
                <w:b/>
                <w:color w:val="auto"/>
                <w:sz w:val="24"/>
              </w:rPr>
              <w:t xml:space="preserve">  企业危险废物贮存场所（设施）基本情况表</w:t>
            </w:r>
          </w:p>
          <w:tbl>
            <w:tblPr>
              <w:tblStyle w:val="30"/>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911"/>
              <w:gridCol w:w="1036"/>
              <w:gridCol w:w="1196"/>
              <w:gridCol w:w="532"/>
              <w:gridCol w:w="881"/>
              <w:gridCol w:w="881"/>
              <w:gridCol w:w="849"/>
              <w:gridCol w:w="782"/>
              <w:gridCol w:w="845"/>
            </w:tblGrid>
            <w:tr w14:paraId="6CDB9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132CE4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序号</w:t>
                  </w:r>
                </w:p>
              </w:tc>
              <w:tc>
                <w:tcPr>
                  <w:tcW w:w="559" w:type="pct"/>
                  <w:vAlign w:val="center"/>
                </w:tcPr>
                <w:p w14:paraId="2D19FE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贮存场所（设施）名称</w:t>
                  </w:r>
                </w:p>
              </w:tc>
              <w:tc>
                <w:tcPr>
                  <w:tcW w:w="634" w:type="pct"/>
                  <w:vAlign w:val="center"/>
                </w:tcPr>
                <w:p w14:paraId="089B1B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危险废物</w:t>
                  </w:r>
                </w:p>
                <w:p w14:paraId="2B9BB3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名称</w:t>
                  </w:r>
                </w:p>
              </w:tc>
              <w:tc>
                <w:tcPr>
                  <w:tcW w:w="717" w:type="pct"/>
                  <w:vAlign w:val="center"/>
                </w:tcPr>
                <w:p w14:paraId="042928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危废代码</w:t>
                  </w:r>
                </w:p>
              </w:tc>
              <w:tc>
                <w:tcPr>
                  <w:tcW w:w="344" w:type="pct"/>
                  <w:vAlign w:val="center"/>
                </w:tcPr>
                <w:p w14:paraId="516BA7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位置</w:t>
                  </w:r>
                </w:p>
              </w:tc>
              <w:tc>
                <w:tcPr>
                  <w:tcW w:w="528" w:type="pct"/>
                  <w:shd w:val="clear" w:color="auto" w:fill="auto"/>
                  <w:vAlign w:val="center"/>
                </w:tcPr>
                <w:p w14:paraId="187063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占地</w:t>
                  </w:r>
                </w:p>
                <w:p w14:paraId="4CBEDB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rPr>
                    <w:t>面积</w:t>
                  </w:r>
                  <w:r>
                    <w:rPr>
                      <w:rFonts w:hint="default" w:ascii="Times New Roman" w:hAnsi="Times New Roman" w:eastAsia="宋体" w:cs="Times New Roman"/>
                      <w:b/>
                      <w:color w:val="auto"/>
                      <w:lang w:eastAsia="zh-CN"/>
                    </w:rPr>
                    <w:t>（</w:t>
                  </w:r>
                  <w:r>
                    <w:rPr>
                      <w:rFonts w:hint="default" w:ascii="Times New Roman" w:hAnsi="Times New Roman" w:eastAsia="宋体" w:cs="Times New Roman"/>
                      <w:b/>
                      <w:color w:val="auto"/>
                    </w:rPr>
                    <w:t>m</w:t>
                  </w:r>
                  <w:r>
                    <w:rPr>
                      <w:rFonts w:hint="default" w:ascii="Times New Roman" w:hAnsi="Times New Roman" w:eastAsia="宋体" w:cs="Times New Roman"/>
                      <w:b/>
                      <w:color w:val="auto"/>
                      <w:vertAlign w:val="superscript"/>
                    </w:rPr>
                    <w:t>2</w:t>
                  </w:r>
                  <w:r>
                    <w:rPr>
                      <w:rFonts w:hint="default" w:ascii="Times New Roman" w:hAnsi="Times New Roman" w:eastAsia="宋体" w:cs="Times New Roman"/>
                      <w:b/>
                      <w:color w:val="auto"/>
                      <w:lang w:eastAsia="zh-CN"/>
                    </w:rPr>
                    <w:t>）</w:t>
                  </w:r>
                </w:p>
              </w:tc>
              <w:tc>
                <w:tcPr>
                  <w:tcW w:w="435" w:type="pct"/>
                  <w:shd w:val="clear" w:color="auto" w:fill="auto"/>
                  <w:vAlign w:val="center"/>
                </w:tcPr>
                <w:p w14:paraId="6B97D2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汇总面积</w:t>
                  </w:r>
                  <w:r>
                    <w:rPr>
                      <w:rFonts w:hint="default" w:ascii="Times New Roman" w:hAnsi="Times New Roman" w:eastAsia="宋体" w:cs="Times New Roman"/>
                      <w:b/>
                      <w:color w:val="auto"/>
                      <w:lang w:eastAsia="zh-CN"/>
                    </w:rPr>
                    <w:t>（</w:t>
                  </w:r>
                  <w:r>
                    <w:rPr>
                      <w:rFonts w:hint="default" w:ascii="Times New Roman" w:hAnsi="Times New Roman" w:eastAsia="宋体" w:cs="Times New Roman"/>
                      <w:b/>
                      <w:color w:val="auto"/>
                    </w:rPr>
                    <w:t>m</w:t>
                  </w:r>
                  <w:r>
                    <w:rPr>
                      <w:rFonts w:hint="default" w:ascii="Times New Roman" w:hAnsi="Times New Roman" w:eastAsia="宋体" w:cs="Times New Roman"/>
                      <w:b/>
                      <w:color w:val="auto"/>
                      <w:vertAlign w:val="superscript"/>
                    </w:rPr>
                    <w:t>2</w:t>
                  </w:r>
                  <w:r>
                    <w:rPr>
                      <w:rFonts w:hint="default" w:ascii="Times New Roman" w:hAnsi="Times New Roman" w:eastAsia="宋体" w:cs="Times New Roman"/>
                      <w:b/>
                      <w:color w:val="auto"/>
                      <w:lang w:eastAsia="zh-CN"/>
                    </w:rPr>
                    <w:t>）</w:t>
                  </w:r>
                </w:p>
              </w:tc>
              <w:tc>
                <w:tcPr>
                  <w:tcW w:w="508" w:type="pct"/>
                  <w:shd w:val="clear" w:color="auto" w:fill="auto"/>
                  <w:vAlign w:val="center"/>
                </w:tcPr>
                <w:p w14:paraId="05B1DC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贮存能力</w:t>
                  </w:r>
                </w:p>
                <w:p w14:paraId="59A47A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w:t>
                  </w:r>
                  <w:r>
                    <w:rPr>
                      <w:rFonts w:hint="default" w:ascii="Times New Roman" w:hAnsi="Times New Roman" w:eastAsia="宋体" w:cs="Times New Roman"/>
                      <w:b/>
                      <w:color w:val="auto"/>
                    </w:rPr>
                    <w:t>吨</w:t>
                  </w:r>
                  <w:r>
                    <w:rPr>
                      <w:rFonts w:hint="default" w:ascii="Times New Roman" w:hAnsi="Times New Roman" w:eastAsia="宋体" w:cs="Times New Roman"/>
                      <w:b/>
                      <w:color w:val="auto"/>
                      <w:lang w:eastAsia="zh-CN"/>
                    </w:rPr>
                    <w:t>）</w:t>
                  </w:r>
                </w:p>
              </w:tc>
              <w:tc>
                <w:tcPr>
                  <w:tcW w:w="494" w:type="pct"/>
                  <w:vAlign w:val="center"/>
                </w:tcPr>
                <w:p w14:paraId="5122E5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包装方式</w:t>
                  </w:r>
                </w:p>
              </w:tc>
              <w:tc>
                <w:tcPr>
                  <w:tcW w:w="519" w:type="pct"/>
                  <w:vAlign w:val="center"/>
                </w:tcPr>
                <w:p w14:paraId="345DA7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w:t>
                  </w:r>
                </w:p>
                <w:p w14:paraId="1247D0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周期</w:t>
                  </w:r>
                </w:p>
              </w:tc>
            </w:tr>
            <w:tr w14:paraId="20A87F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415DA5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59" w:type="pct"/>
                  <w:vMerge w:val="restart"/>
                  <w:vAlign w:val="center"/>
                </w:tcPr>
                <w:p w14:paraId="4EBD80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危废仓库</w:t>
                  </w:r>
                </w:p>
              </w:tc>
              <w:tc>
                <w:tcPr>
                  <w:tcW w:w="634" w:type="pct"/>
                  <w:shd w:val="clear" w:color="auto" w:fill="auto"/>
                  <w:vAlign w:val="center"/>
                </w:tcPr>
                <w:p w14:paraId="1833234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717" w:type="pct"/>
                  <w:vAlign w:val="center"/>
                </w:tcPr>
                <w:p w14:paraId="15409C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1D7FBA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900-041-49</w:t>
                  </w:r>
                </w:p>
              </w:tc>
              <w:tc>
                <w:tcPr>
                  <w:tcW w:w="344" w:type="pct"/>
                  <w:vMerge w:val="restart"/>
                  <w:vAlign w:val="center"/>
                </w:tcPr>
                <w:p w14:paraId="0E752E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本项目生产车间内</w:t>
                  </w:r>
                </w:p>
              </w:tc>
              <w:tc>
                <w:tcPr>
                  <w:tcW w:w="528" w:type="pct"/>
                  <w:shd w:val="clear" w:color="auto" w:fill="auto"/>
                  <w:vAlign w:val="center"/>
                </w:tcPr>
                <w:p w14:paraId="40CA48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0.5</w:t>
                  </w:r>
                </w:p>
              </w:tc>
              <w:tc>
                <w:tcPr>
                  <w:tcW w:w="435" w:type="pct"/>
                  <w:vMerge w:val="restart"/>
                  <w:shd w:val="clear" w:color="auto" w:fill="auto"/>
                  <w:vAlign w:val="center"/>
                </w:tcPr>
                <w:p w14:paraId="7385AC8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508" w:type="pct"/>
                  <w:shd w:val="clear" w:color="auto" w:fill="auto"/>
                  <w:vAlign w:val="center"/>
                </w:tcPr>
                <w:p w14:paraId="6345AE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0.</w:t>
                  </w:r>
                  <w:r>
                    <w:rPr>
                      <w:rFonts w:hint="default" w:ascii="Times New Roman" w:hAnsi="Times New Roman" w:eastAsia="宋体" w:cs="Times New Roman"/>
                      <w:color w:val="auto"/>
                      <w:lang w:val="en-US" w:eastAsia="zh-CN"/>
                    </w:rPr>
                    <w:t>1</w:t>
                  </w:r>
                </w:p>
              </w:tc>
              <w:tc>
                <w:tcPr>
                  <w:tcW w:w="494" w:type="pct"/>
                  <w:vAlign w:val="center"/>
                </w:tcPr>
                <w:p w14:paraId="5A7A93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袋装</w:t>
                  </w:r>
                </w:p>
              </w:tc>
              <w:tc>
                <w:tcPr>
                  <w:tcW w:w="519" w:type="pct"/>
                  <w:vAlign w:val="center"/>
                </w:tcPr>
                <w:p w14:paraId="2C6865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3个月</w:t>
                  </w:r>
                </w:p>
              </w:tc>
            </w:tr>
            <w:tr w14:paraId="1E6100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4528EC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559" w:type="pct"/>
                  <w:vMerge w:val="continue"/>
                  <w:vAlign w:val="center"/>
                </w:tcPr>
                <w:p w14:paraId="323937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634" w:type="pct"/>
                  <w:shd w:val="clear" w:color="auto" w:fill="auto"/>
                  <w:vAlign w:val="center"/>
                </w:tcPr>
                <w:p w14:paraId="1D23529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717" w:type="pct"/>
                  <w:vAlign w:val="center"/>
                </w:tcPr>
                <w:p w14:paraId="601B9A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1FACF2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900-0</w:t>
                  </w:r>
                  <w:r>
                    <w:rPr>
                      <w:rFonts w:hint="eastAsia" w:ascii="Times New Roman" w:hAnsi="Times New Roman" w:eastAsia="宋体" w:cs="Times New Roman"/>
                      <w:color w:val="auto"/>
                      <w:szCs w:val="21"/>
                      <w:lang w:val="en-US" w:eastAsia="zh-CN"/>
                    </w:rPr>
                    <w:t>39</w:t>
                  </w:r>
                  <w:r>
                    <w:rPr>
                      <w:rFonts w:hint="default" w:ascii="Times New Roman" w:hAnsi="Times New Roman" w:eastAsia="宋体" w:cs="Times New Roman"/>
                      <w:color w:val="auto"/>
                      <w:szCs w:val="21"/>
                    </w:rPr>
                    <w:t>-49</w:t>
                  </w:r>
                </w:p>
              </w:tc>
              <w:tc>
                <w:tcPr>
                  <w:tcW w:w="344" w:type="pct"/>
                  <w:vMerge w:val="continue"/>
                  <w:vAlign w:val="center"/>
                </w:tcPr>
                <w:p w14:paraId="0BF67E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8" w:type="pct"/>
                  <w:shd w:val="clear" w:color="auto" w:fill="auto"/>
                  <w:vAlign w:val="center"/>
                </w:tcPr>
                <w:p w14:paraId="3CFE88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0</w:t>
                  </w:r>
                  <w:r>
                    <w:rPr>
                      <w:rFonts w:hint="default" w:ascii="Times New Roman" w:hAnsi="Times New Roman" w:eastAsia="宋体" w:cs="Times New Roman"/>
                      <w:color w:val="auto"/>
                    </w:rPr>
                    <w:t>.5</w:t>
                  </w:r>
                </w:p>
              </w:tc>
              <w:tc>
                <w:tcPr>
                  <w:tcW w:w="435" w:type="pct"/>
                  <w:vMerge w:val="continue"/>
                  <w:shd w:val="clear" w:color="auto" w:fill="auto"/>
                  <w:vAlign w:val="center"/>
                </w:tcPr>
                <w:p w14:paraId="0A9A87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p>
              </w:tc>
              <w:tc>
                <w:tcPr>
                  <w:tcW w:w="508" w:type="pct"/>
                  <w:shd w:val="clear" w:color="auto" w:fill="auto"/>
                  <w:vAlign w:val="center"/>
                </w:tcPr>
                <w:p w14:paraId="214C601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2</w:t>
                  </w:r>
                </w:p>
              </w:tc>
              <w:tc>
                <w:tcPr>
                  <w:tcW w:w="494" w:type="pct"/>
                  <w:vAlign w:val="center"/>
                </w:tcPr>
                <w:p w14:paraId="148126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桶</w:t>
                  </w:r>
                  <w:r>
                    <w:rPr>
                      <w:rFonts w:hint="eastAsia" w:ascii="Times New Roman" w:hAnsi="Times New Roman" w:eastAsia="宋体" w:cs="Times New Roman"/>
                      <w:color w:val="auto"/>
                      <w:lang w:val="en-US" w:eastAsia="zh-CN"/>
                    </w:rPr>
                    <w:t>装</w:t>
                  </w:r>
                </w:p>
              </w:tc>
              <w:tc>
                <w:tcPr>
                  <w:tcW w:w="519" w:type="pct"/>
                  <w:vAlign w:val="center"/>
                </w:tcPr>
                <w:p w14:paraId="096BE7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3个月</w:t>
                  </w:r>
                </w:p>
              </w:tc>
            </w:tr>
            <w:tr w14:paraId="14BEFD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16F5C5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559" w:type="pct"/>
                  <w:vMerge w:val="continue"/>
                  <w:vAlign w:val="center"/>
                </w:tcPr>
                <w:p w14:paraId="61EB98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634" w:type="pct"/>
                  <w:shd w:val="clear" w:color="auto" w:fill="auto"/>
                  <w:vAlign w:val="center"/>
                </w:tcPr>
                <w:p w14:paraId="66793CC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研磨废液</w:t>
                  </w:r>
                </w:p>
              </w:tc>
              <w:tc>
                <w:tcPr>
                  <w:tcW w:w="717" w:type="pct"/>
                  <w:vAlign w:val="center"/>
                </w:tcPr>
                <w:p w14:paraId="53ABA6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9</w:t>
                  </w:r>
                </w:p>
                <w:p w14:paraId="0C460C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900-0</w:t>
                  </w:r>
                  <w:r>
                    <w:rPr>
                      <w:rFonts w:hint="eastAsia" w:ascii="Times New Roman" w:hAnsi="Times New Roman" w:eastAsia="宋体" w:cs="Times New Roman"/>
                      <w:color w:val="auto"/>
                      <w:szCs w:val="21"/>
                      <w:lang w:val="en-US" w:eastAsia="zh-CN"/>
                    </w:rPr>
                    <w:t>07</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9</w:t>
                  </w:r>
                </w:p>
              </w:tc>
              <w:tc>
                <w:tcPr>
                  <w:tcW w:w="344" w:type="pct"/>
                  <w:vMerge w:val="continue"/>
                  <w:vAlign w:val="center"/>
                </w:tcPr>
                <w:p w14:paraId="5A49E1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8" w:type="pct"/>
                  <w:shd w:val="clear" w:color="auto" w:fill="auto"/>
                  <w:vAlign w:val="center"/>
                </w:tcPr>
                <w:p w14:paraId="3BB6EF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.5</w:t>
                  </w:r>
                </w:p>
              </w:tc>
              <w:tc>
                <w:tcPr>
                  <w:tcW w:w="435" w:type="pct"/>
                  <w:vMerge w:val="continue"/>
                  <w:shd w:val="clear" w:color="auto" w:fill="auto"/>
                  <w:vAlign w:val="center"/>
                </w:tcPr>
                <w:p w14:paraId="1E980F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p>
              </w:tc>
              <w:tc>
                <w:tcPr>
                  <w:tcW w:w="508" w:type="pct"/>
                  <w:shd w:val="clear" w:color="auto" w:fill="auto"/>
                  <w:vAlign w:val="center"/>
                </w:tcPr>
                <w:p w14:paraId="10C5EA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w:t>
                  </w:r>
                </w:p>
              </w:tc>
              <w:tc>
                <w:tcPr>
                  <w:tcW w:w="494" w:type="pct"/>
                  <w:vAlign w:val="center"/>
                </w:tcPr>
                <w:p w14:paraId="5FF48C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桶</w:t>
                  </w:r>
                  <w:r>
                    <w:rPr>
                      <w:rFonts w:hint="eastAsia" w:ascii="Times New Roman" w:hAnsi="Times New Roman" w:eastAsia="宋体" w:cs="Times New Roman"/>
                      <w:color w:val="auto"/>
                      <w:lang w:val="en-US" w:eastAsia="zh-CN"/>
                    </w:rPr>
                    <w:t>装</w:t>
                  </w:r>
                </w:p>
              </w:tc>
              <w:tc>
                <w:tcPr>
                  <w:tcW w:w="519" w:type="pct"/>
                  <w:vAlign w:val="center"/>
                </w:tcPr>
                <w:p w14:paraId="52BC8B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3个月</w:t>
                  </w:r>
                </w:p>
              </w:tc>
            </w:tr>
            <w:tr w14:paraId="22B333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369364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4</w:t>
                  </w:r>
                </w:p>
              </w:tc>
              <w:tc>
                <w:tcPr>
                  <w:tcW w:w="559" w:type="pct"/>
                  <w:vMerge w:val="continue"/>
                  <w:vAlign w:val="center"/>
                </w:tcPr>
                <w:p w14:paraId="26E05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634" w:type="pct"/>
                  <w:shd w:val="clear" w:color="auto" w:fill="auto"/>
                  <w:vAlign w:val="center"/>
                </w:tcPr>
                <w:p w14:paraId="176B5DA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抛光废液</w:t>
                  </w:r>
                </w:p>
              </w:tc>
              <w:tc>
                <w:tcPr>
                  <w:tcW w:w="717" w:type="pct"/>
                  <w:vAlign w:val="center"/>
                </w:tcPr>
                <w:p w14:paraId="36CEB5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9</w:t>
                  </w:r>
                </w:p>
                <w:p w14:paraId="384A83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900-0</w:t>
                  </w:r>
                  <w:r>
                    <w:rPr>
                      <w:rFonts w:hint="eastAsia" w:ascii="Times New Roman" w:hAnsi="Times New Roman" w:eastAsia="宋体" w:cs="Times New Roman"/>
                      <w:color w:val="auto"/>
                      <w:szCs w:val="21"/>
                      <w:lang w:val="en-US" w:eastAsia="zh-CN"/>
                    </w:rPr>
                    <w:t>07</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9</w:t>
                  </w:r>
                </w:p>
              </w:tc>
              <w:tc>
                <w:tcPr>
                  <w:tcW w:w="344" w:type="pct"/>
                  <w:vMerge w:val="continue"/>
                  <w:vAlign w:val="center"/>
                </w:tcPr>
                <w:p w14:paraId="6C109B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8" w:type="pct"/>
                  <w:shd w:val="clear" w:color="auto" w:fill="auto"/>
                  <w:vAlign w:val="center"/>
                </w:tcPr>
                <w:p w14:paraId="6DB674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.5</w:t>
                  </w:r>
                </w:p>
              </w:tc>
              <w:tc>
                <w:tcPr>
                  <w:tcW w:w="435" w:type="pct"/>
                  <w:vMerge w:val="continue"/>
                  <w:shd w:val="clear" w:color="auto" w:fill="auto"/>
                  <w:vAlign w:val="center"/>
                </w:tcPr>
                <w:p w14:paraId="4E107C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p>
              </w:tc>
              <w:tc>
                <w:tcPr>
                  <w:tcW w:w="508" w:type="pct"/>
                  <w:shd w:val="clear" w:color="auto" w:fill="auto"/>
                  <w:vAlign w:val="center"/>
                </w:tcPr>
                <w:p w14:paraId="66F132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0.4</w:t>
                  </w:r>
                </w:p>
              </w:tc>
              <w:tc>
                <w:tcPr>
                  <w:tcW w:w="494" w:type="pct"/>
                  <w:vAlign w:val="center"/>
                </w:tcPr>
                <w:p w14:paraId="354E5F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桶</w:t>
                  </w:r>
                  <w:r>
                    <w:rPr>
                      <w:rFonts w:hint="eastAsia" w:ascii="Times New Roman" w:hAnsi="Times New Roman" w:eastAsia="宋体" w:cs="Times New Roman"/>
                      <w:color w:val="auto"/>
                      <w:lang w:val="en-US" w:eastAsia="zh-CN"/>
                    </w:rPr>
                    <w:t>装</w:t>
                  </w:r>
                </w:p>
              </w:tc>
              <w:tc>
                <w:tcPr>
                  <w:tcW w:w="519" w:type="pct"/>
                  <w:vAlign w:val="center"/>
                </w:tcPr>
                <w:p w14:paraId="473619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3个月</w:t>
                  </w:r>
                </w:p>
              </w:tc>
            </w:tr>
            <w:tr w14:paraId="546989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67FDF2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559" w:type="pct"/>
                  <w:vMerge w:val="continue"/>
                  <w:vAlign w:val="center"/>
                </w:tcPr>
                <w:p w14:paraId="4BDE12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634" w:type="pct"/>
                  <w:shd w:val="clear" w:color="auto" w:fill="auto"/>
                  <w:vAlign w:val="center"/>
                </w:tcPr>
                <w:p w14:paraId="03CF087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r>
                    <w:rPr>
                      <w:rFonts w:hint="default" w:ascii="Times New Roman" w:hAnsi="Times New Roman" w:eastAsia="宋体" w:cs="Times New Roman"/>
                      <w:color w:val="auto"/>
                      <w:sz w:val="21"/>
                      <w:szCs w:val="21"/>
                      <w:lang w:val="en-US" w:eastAsia="zh-CN"/>
                    </w:rPr>
                    <w:t>清洗废液</w:t>
                  </w:r>
                </w:p>
              </w:tc>
              <w:tc>
                <w:tcPr>
                  <w:tcW w:w="717" w:type="pct"/>
                  <w:vAlign w:val="center"/>
                </w:tcPr>
                <w:p w14:paraId="73688B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HW</w:t>
                  </w:r>
                  <w:r>
                    <w:rPr>
                      <w:rFonts w:hint="eastAsia" w:ascii="Times New Roman" w:hAnsi="Times New Roman" w:eastAsia="宋体" w:cs="Times New Roman"/>
                      <w:color w:val="auto"/>
                      <w:szCs w:val="21"/>
                      <w:lang w:val="en-US" w:eastAsia="zh-CN"/>
                    </w:rPr>
                    <w:t>35</w:t>
                  </w:r>
                </w:p>
                <w:p w14:paraId="15BBC1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900-352-35</w:t>
                  </w:r>
                </w:p>
              </w:tc>
              <w:tc>
                <w:tcPr>
                  <w:tcW w:w="344" w:type="pct"/>
                  <w:vMerge w:val="continue"/>
                  <w:vAlign w:val="center"/>
                </w:tcPr>
                <w:p w14:paraId="4538F4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8" w:type="pct"/>
                  <w:shd w:val="clear" w:color="auto" w:fill="auto"/>
                  <w:vAlign w:val="center"/>
                </w:tcPr>
                <w:p w14:paraId="5C171CB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2</w:t>
                  </w:r>
                </w:p>
              </w:tc>
              <w:tc>
                <w:tcPr>
                  <w:tcW w:w="435" w:type="pct"/>
                  <w:vMerge w:val="continue"/>
                  <w:shd w:val="clear" w:color="auto" w:fill="auto"/>
                  <w:vAlign w:val="center"/>
                </w:tcPr>
                <w:p w14:paraId="6B6FB98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p>
              </w:tc>
              <w:tc>
                <w:tcPr>
                  <w:tcW w:w="508" w:type="pct"/>
                  <w:shd w:val="clear" w:color="auto" w:fill="auto"/>
                  <w:vAlign w:val="center"/>
                </w:tcPr>
                <w:p w14:paraId="30F275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sz w:val="24"/>
                      <w:szCs w:val="24"/>
                      <w:lang w:val="en-US" w:eastAsia="zh-CN"/>
                    </w:rPr>
                    <w:t>0.6</w:t>
                  </w:r>
                </w:p>
              </w:tc>
              <w:tc>
                <w:tcPr>
                  <w:tcW w:w="494" w:type="pct"/>
                  <w:vAlign w:val="center"/>
                </w:tcPr>
                <w:p w14:paraId="4E0AEC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桶</w:t>
                  </w:r>
                  <w:r>
                    <w:rPr>
                      <w:rFonts w:hint="eastAsia" w:ascii="Times New Roman" w:hAnsi="Times New Roman" w:eastAsia="宋体" w:cs="Times New Roman"/>
                      <w:color w:val="auto"/>
                      <w:lang w:val="en-US" w:eastAsia="zh-CN"/>
                    </w:rPr>
                    <w:t>装</w:t>
                  </w:r>
                </w:p>
              </w:tc>
              <w:tc>
                <w:tcPr>
                  <w:tcW w:w="519" w:type="pct"/>
                  <w:vAlign w:val="center"/>
                </w:tcPr>
                <w:p w14:paraId="5B9488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3个月</w:t>
                  </w:r>
                </w:p>
              </w:tc>
            </w:tr>
          </w:tbl>
          <w:p w14:paraId="63B442D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本项目设</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的</w:t>
            </w:r>
            <w:r>
              <w:rPr>
                <w:rFonts w:hint="default" w:ascii="Times New Roman" w:hAnsi="Times New Roman" w:eastAsia="宋体" w:cs="Times New Roman"/>
                <w:color w:val="auto"/>
                <w:sz w:val="24"/>
                <w:lang w:val="en-US" w:eastAsia="zh-CN"/>
              </w:rPr>
              <w:t>危废暂存间</w:t>
            </w:r>
            <w:r>
              <w:rPr>
                <w:rFonts w:hint="default" w:ascii="Times New Roman" w:hAnsi="Times New Roman" w:eastAsia="宋体" w:cs="Times New Roman"/>
                <w:color w:val="auto"/>
                <w:sz w:val="24"/>
              </w:rPr>
              <w:t>，最多可容纳约</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t危险废物，项目全厂一个贮存周期的危险废物的产生量约为</w:t>
            </w:r>
            <w:r>
              <w:rPr>
                <w:rFonts w:hint="eastAsia" w:ascii="Times New Roman" w:hAnsi="Times New Roman" w:eastAsia="宋体" w:cs="Times New Roman"/>
                <w:color w:val="auto"/>
                <w:sz w:val="24"/>
                <w:lang w:val="en-US" w:eastAsia="zh-CN"/>
              </w:rPr>
              <w:t>2.357</w:t>
            </w:r>
            <w:r>
              <w:rPr>
                <w:rFonts w:hint="default" w:ascii="Times New Roman" w:hAnsi="Times New Roman" w:eastAsia="宋体" w:cs="Times New Roman"/>
                <w:color w:val="auto"/>
                <w:sz w:val="24"/>
              </w:rPr>
              <w:t>t，因此企业危废暂存场所可以满足项目产生的危废暂存需求。</w:t>
            </w:r>
          </w:p>
          <w:p w14:paraId="18651D37">
            <w:pPr>
              <w:jc w:val="center"/>
              <w:rPr>
                <w:rFonts w:hint="default" w:ascii="Times New Roman" w:hAnsi="Times New Roman" w:eastAsia="宋体" w:cs="Times New Roman"/>
                <w:b/>
                <w:color w:val="auto"/>
                <w:sz w:val="24"/>
              </w:rPr>
            </w:pPr>
          </w:p>
          <w:p w14:paraId="1667CE40">
            <w:pPr>
              <w:jc w:val="center"/>
              <w:rPr>
                <w:rFonts w:hint="default" w:ascii="Times New Roman" w:hAnsi="Times New Roman" w:eastAsia="宋体" w:cs="Times New Roman"/>
                <w:b/>
                <w:color w:val="auto"/>
                <w:sz w:val="24"/>
              </w:rPr>
            </w:pPr>
          </w:p>
          <w:p w14:paraId="6F461133">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19</w:t>
            </w:r>
            <w:r>
              <w:rPr>
                <w:rFonts w:hint="default" w:ascii="Times New Roman" w:hAnsi="Times New Roman" w:eastAsia="宋体" w:cs="Times New Roman"/>
                <w:b/>
                <w:color w:val="auto"/>
                <w:sz w:val="24"/>
              </w:rPr>
              <w:t xml:space="preserve">  本项目固体废物利用处置方式评价表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0"/>
              <w:gridCol w:w="1664"/>
              <w:gridCol w:w="1109"/>
              <w:gridCol w:w="1109"/>
              <w:gridCol w:w="1423"/>
              <w:gridCol w:w="949"/>
              <w:gridCol w:w="1544"/>
            </w:tblGrid>
            <w:tr w14:paraId="6617B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6EA3F684">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996" w:type="pct"/>
                  <w:vAlign w:val="center"/>
                </w:tcPr>
                <w:p w14:paraId="67FEB82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664" w:type="pct"/>
                  <w:vAlign w:val="center"/>
                </w:tcPr>
                <w:p w14:paraId="19197A8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664" w:type="pct"/>
                  <w:vAlign w:val="center"/>
                </w:tcPr>
                <w:p w14:paraId="38C09B1E">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852" w:type="pct"/>
                  <w:vAlign w:val="center"/>
                </w:tcPr>
                <w:p w14:paraId="3F14FF8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危废代码</w:t>
                  </w:r>
                </w:p>
              </w:tc>
              <w:tc>
                <w:tcPr>
                  <w:tcW w:w="568" w:type="pct"/>
                  <w:vAlign w:val="center"/>
                </w:tcPr>
                <w:p w14:paraId="3E14BFC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产生量（t/a）</w:t>
                  </w:r>
                </w:p>
              </w:tc>
              <w:tc>
                <w:tcPr>
                  <w:tcW w:w="924" w:type="pct"/>
                  <w:vAlign w:val="center"/>
                </w:tcPr>
                <w:p w14:paraId="2E9B1A4A">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利用处置方式</w:t>
                  </w:r>
                </w:p>
              </w:tc>
            </w:tr>
            <w:tr w14:paraId="66C9A7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5C4EF9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96" w:type="pct"/>
                  <w:shd w:val="clear" w:color="auto" w:fill="auto"/>
                  <w:vAlign w:val="center"/>
                </w:tcPr>
                <w:p w14:paraId="7603243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664" w:type="pct"/>
                  <w:shd w:val="clear" w:color="auto" w:fill="auto"/>
                  <w:vAlign w:val="center"/>
                </w:tcPr>
                <w:p w14:paraId="1BBAE2B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原料使用</w:t>
                  </w:r>
                </w:p>
              </w:tc>
              <w:tc>
                <w:tcPr>
                  <w:tcW w:w="664" w:type="pct"/>
                  <w:vMerge w:val="restart"/>
                  <w:vAlign w:val="center"/>
                </w:tcPr>
                <w:p w14:paraId="486933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852" w:type="pct"/>
                  <w:shd w:val="clear" w:color="auto" w:fill="auto"/>
                  <w:vAlign w:val="center"/>
                </w:tcPr>
                <w:p w14:paraId="7E30D3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4154A1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900-041-49</w:t>
                  </w:r>
                </w:p>
              </w:tc>
              <w:tc>
                <w:tcPr>
                  <w:tcW w:w="568" w:type="pct"/>
                  <w:shd w:val="clear" w:color="auto" w:fill="auto"/>
                  <w:vAlign w:val="center"/>
                </w:tcPr>
                <w:p w14:paraId="3D8FE8C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w:t>
                  </w:r>
                </w:p>
              </w:tc>
              <w:tc>
                <w:tcPr>
                  <w:tcW w:w="924" w:type="pct"/>
                  <w:vAlign w:val="center"/>
                </w:tcPr>
                <w:p w14:paraId="421310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1310E3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7CE945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96" w:type="pct"/>
                  <w:shd w:val="clear" w:color="auto" w:fill="auto"/>
                  <w:vAlign w:val="center"/>
                </w:tcPr>
                <w:p w14:paraId="6B44847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664" w:type="pct"/>
                  <w:shd w:val="clear" w:color="auto" w:fill="auto"/>
                  <w:vAlign w:val="center"/>
                </w:tcPr>
                <w:p w14:paraId="1E52E8D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664" w:type="pct"/>
                  <w:vMerge w:val="continue"/>
                  <w:vAlign w:val="center"/>
                </w:tcPr>
                <w:p w14:paraId="198A2F8D">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18B107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735837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w:t>
                  </w:r>
                  <w:r>
                    <w:rPr>
                      <w:rFonts w:hint="eastAsia" w:ascii="Times New Roman" w:hAnsi="Times New Roman" w:eastAsia="宋体" w:cs="Times New Roman"/>
                      <w:color w:val="auto"/>
                      <w:szCs w:val="21"/>
                      <w:lang w:val="en-US" w:eastAsia="zh-CN"/>
                    </w:rPr>
                    <w:t>39</w:t>
                  </w:r>
                  <w:r>
                    <w:rPr>
                      <w:rFonts w:hint="default" w:ascii="Times New Roman" w:hAnsi="Times New Roman" w:eastAsia="宋体" w:cs="Times New Roman"/>
                      <w:color w:val="auto"/>
                      <w:szCs w:val="21"/>
                    </w:rPr>
                    <w:t>-49</w:t>
                  </w:r>
                </w:p>
              </w:tc>
              <w:tc>
                <w:tcPr>
                  <w:tcW w:w="568" w:type="pct"/>
                  <w:shd w:val="clear" w:color="auto" w:fill="auto"/>
                  <w:vAlign w:val="center"/>
                </w:tcPr>
                <w:p w14:paraId="40E1FCE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0.04</w:t>
                  </w:r>
                </w:p>
              </w:tc>
              <w:tc>
                <w:tcPr>
                  <w:tcW w:w="924" w:type="pct"/>
                  <w:vAlign w:val="center"/>
                </w:tcPr>
                <w:p w14:paraId="20D550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518F7D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02C30A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96" w:type="pct"/>
                  <w:shd w:val="clear" w:color="auto" w:fill="auto"/>
                  <w:vAlign w:val="center"/>
                </w:tcPr>
                <w:p w14:paraId="6490DB6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研磨废液</w:t>
                  </w:r>
                </w:p>
              </w:tc>
              <w:tc>
                <w:tcPr>
                  <w:tcW w:w="664" w:type="pct"/>
                  <w:shd w:val="clear" w:color="auto" w:fill="auto"/>
                  <w:vAlign w:val="center"/>
                </w:tcPr>
                <w:p w14:paraId="47BC07B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w:t>
                  </w:r>
                </w:p>
              </w:tc>
              <w:tc>
                <w:tcPr>
                  <w:tcW w:w="664" w:type="pct"/>
                  <w:vMerge w:val="continue"/>
                  <w:vAlign w:val="center"/>
                </w:tcPr>
                <w:p w14:paraId="38D64BB9">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5A65B7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9</w:t>
                  </w:r>
                </w:p>
                <w:p w14:paraId="596FF1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w:t>
                  </w:r>
                  <w:r>
                    <w:rPr>
                      <w:rFonts w:hint="eastAsia" w:ascii="Times New Roman" w:hAnsi="Times New Roman" w:eastAsia="宋体" w:cs="Times New Roman"/>
                      <w:color w:val="auto"/>
                      <w:szCs w:val="21"/>
                      <w:lang w:val="en-US" w:eastAsia="zh-CN"/>
                    </w:rPr>
                    <w:t>41</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9</w:t>
                  </w:r>
                </w:p>
              </w:tc>
              <w:tc>
                <w:tcPr>
                  <w:tcW w:w="568" w:type="pct"/>
                  <w:shd w:val="clear" w:color="auto" w:fill="auto"/>
                  <w:vAlign w:val="center"/>
                </w:tcPr>
                <w:p w14:paraId="21BD8E6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.08</w:t>
                  </w:r>
                </w:p>
              </w:tc>
              <w:tc>
                <w:tcPr>
                  <w:tcW w:w="924" w:type="pct"/>
                  <w:vAlign w:val="center"/>
                </w:tcPr>
                <w:p w14:paraId="0AE1C0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728509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5809ABE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996" w:type="pct"/>
                  <w:shd w:val="clear" w:color="auto" w:fill="auto"/>
                  <w:vAlign w:val="center"/>
                </w:tcPr>
                <w:p w14:paraId="03EFF75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抛光废液</w:t>
                  </w:r>
                </w:p>
              </w:tc>
              <w:tc>
                <w:tcPr>
                  <w:tcW w:w="664" w:type="pct"/>
                  <w:shd w:val="clear" w:color="auto" w:fill="auto"/>
                  <w:vAlign w:val="center"/>
                </w:tcPr>
                <w:p w14:paraId="10C5302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w:t>
                  </w:r>
                </w:p>
              </w:tc>
              <w:tc>
                <w:tcPr>
                  <w:tcW w:w="664" w:type="pct"/>
                  <w:vMerge w:val="continue"/>
                  <w:vAlign w:val="center"/>
                </w:tcPr>
                <w:p w14:paraId="6FF7C06D">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02A849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9</w:t>
                  </w:r>
                </w:p>
                <w:p w14:paraId="60CA4F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w:t>
                  </w:r>
                  <w:r>
                    <w:rPr>
                      <w:rFonts w:hint="eastAsia" w:ascii="Times New Roman" w:hAnsi="Times New Roman" w:eastAsia="宋体" w:cs="Times New Roman"/>
                      <w:color w:val="auto"/>
                      <w:szCs w:val="21"/>
                      <w:lang w:val="en-US" w:eastAsia="zh-CN"/>
                    </w:rPr>
                    <w:t>41</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9</w:t>
                  </w:r>
                </w:p>
              </w:tc>
              <w:tc>
                <w:tcPr>
                  <w:tcW w:w="568" w:type="pct"/>
                  <w:shd w:val="clear" w:color="auto" w:fill="auto"/>
                  <w:vAlign w:val="center"/>
                </w:tcPr>
                <w:p w14:paraId="71DC6CB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5.16</w:t>
                  </w:r>
                </w:p>
              </w:tc>
              <w:tc>
                <w:tcPr>
                  <w:tcW w:w="924" w:type="pct"/>
                  <w:vAlign w:val="center"/>
                </w:tcPr>
                <w:p w14:paraId="56490B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406147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062C4E2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996" w:type="pct"/>
                  <w:shd w:val="clear" w:color="auto" w:fill="auto"/>
                  <w:vAlign w:val="center"/>
                </w:tcPr>
                <w:p w14:paraId="0DBACF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r>
                    <w:rPr>
                      <w:rFonts w:hint="default" w:ascii="Times New Roman" w:hAnsi="Times New Roman" w:eastAsia="宋体" w:cs="Times New Roman"/>
                      <w:color w:val="auto"/>
                      <w:sz w:val="21"/>
                      <w:szCs w:val="21"/>
                      <w:lang w:val="en-US" w:eastAsia="zh-CN"/>
                    </w:rPr>
                    <w:t>清洗废液</w:t>
                  </w:r>
                </w:p>
              </w:tc>
              <w:tc>
                <w:tcPr>
                  <w:tcW w:w="664" w:type="pct"/>
                  <w:shd w:val="clear" w:color="auto" w:fill="auto"/>
                  <w:vAlign w:val="center"/>
                </w:tcPr>
                <w:p w14:paraId="05B1F4C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r>
                    <w:rPr>
                      <w:rFonts w:hint="default" w:ascii="Times New Roman" w:hAnsi="Times New Roman" w:eastAsia="宋体" w:cs="Times New Roman"/>
                      <w:color w:val="auto"/>
                      <w:sz w:val="21"/>
                      <w:szCs w:val="21"/>
                      <w:lang w:val="en-US" w:eastAsia="zh-CN"/>
                    </w:rPr>
                    <w:t>清洗</w:t>
                  </w:r>
                </w:p>
              </w:tc>
              <w:tc>
                <w:tcPr>
                  <w:tcW w:w="664" w:type="pct"/>
                  <w:vMerge w:val="continue"/>
                  <w:vAlign w:val="center"/>
                </w:tcPr>
                <w:p w14:paraId="7BA2ABEA">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6CCD77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HW</w:t>
                  </w:r>
                  <w:r>
                    <w:rPr>
                      <w:rFonts w:hint="eastAsia" w:ascii="Times New Roman" w:hAnsi="Times New Roman" w:eastAsia="宋体" w:cs="Times New Roman"/>
                      <w:color w:val="auto"/>
                      <w:szCs w:val="21"/>
                      <w:lang w:val="en-US" w:eastAsia="zh-CN"/>
                    </w:rPr>
                    <w:t>35</w:t>
                  </w:r>
                </w:p>
                <w:p w14:paraId="5DBC4C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900-352-35</w:t>
                  </w:r>
                </w:p>
              </w:tc>
              <w:tc>
                <w:tcPr>
                  <w:tcW w:w="568" w:type="pct"/>
                  <w:shd w:val="clear" w:color="auto" w:fill="auto"/>
                  <w:vAlign w:val="center"/>
                </w:tcPr>
                <w:p w14:paraId="0013F0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1.048</w:t>
                  </w:r>
                </w:p>
              </w:tc>
              <w:tc>
                <w:tcPr>
                  <w:tcW w:w="924" w:type="pct"/>
                  <w:vAlign w:val="center"/>
                </w:tcPr>
                <w:p w14:paraId="5AF01C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1B46AC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7F5FF4C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996" w:type="pct"/>
                  <w:shd w:val="clear" w:color="auto" w:fill="auto"/>
                  <w:vAlign w:val="center"/>
                </w:tcPr>
                <w:p w14:paraId="0B877AD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rPr>
                    <w:t>不合格品</w:t>
                  </w:r>
                </w:p>
              </w:tc>
              <w:tc>
                <w:tcPr>
                  <w:tcW w:w="664" w:type="pct"/>
                  <w:shd w:val="clear" w:color="auto" w:fill="auto"/>
                  <w:vAlign w:val="center"/>
                </w:tcPr>
                <w:p w14:paraId="40D6DEC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检验</w:t>
                  </w:r>
                </w:p>
              </w:tc>
              <w:tc>
                <w:tcPr>
                  <w:tcW w:w="664" w:type="pct"/>
                  <w:vAlign w:val="center"/>
                </w:tcPr>
                <w:p w14:paraId="2FE912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852" w:type="pct"/>
                  <w:shd w:val="clear" w:color="auto" w:fill="auto"/>
                  <w:vAlign w:val="center"/>
                </w:tcPr>
                <w:p w14:paraId="3F335BE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SW17</w:t>
                  </w:r>
                </w:p>
                <w:p w14:paraId="65A487C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277-001-S17</w:t>
                  </w:r>
                </w:p>
              </w:tc>
              <w:tc>
                <w:tcPr>
                  <w:tcW w:w="568" w:type="pct"/>
                  <w:shd w:val="clear" w:color="auto" w:fill="auto"/>
                  <w:vAlign w:val="center"/>
                </w:tcPr>
                <w:p w14:paraId="4D34280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.5</w:t>
                  </w:r>
                </w:p>
              </w:tc>
              <w:tc>
                <w:tcPr>
                  <w:tcW w:w="924" w:type="pct"/>
                  <w:vAlign w:val="center"/>
                </w:tcPr>
                <w:p w14:paraId="26FEF7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0B4CE6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3D8AC3F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996" w:type="pct"/>
                  <w:shd w:val="clear" w:color="auto" w:fill="auto"/>
                  <w:vAlign w:val="center"/>
                </w:tcPr>
                <w:p w14:paraId="073380E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664" w:type="pct"/>
                  <w:shd w:val="clear" w:color="auto" w:fill="auto"/>
                  <w:vAlign w:val="center"/>
                </w:tcPr>
                <w:p w14:paraId="654E9D4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员工生活、办公</w:t>
                  </w:r>
                </w:p>
              </w:tc>
              <w:tc>
                <w:tcPr>
                  <w:tcW w:w="664" w:type="pct"/>
                  <w:vAlign w:val="center"/>
                </w:tcPr>
                <w:p w14:paraId="0D2960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852" w:type="pct"/>
                  <w:shd w:val="clear" w:color="auto" w:fill="auto"/>
                  <w:vAlign w:val="center"/>
                </w:tcPr>
                <w:p w14:paraId="349C26A9">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SW59</w:t>
                  </w:r>
                </w:p>
                <w:p w14:paraId="6A9150A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900-099-S59</w:t>
                  </w:r>
                </w:p>
              </w:tc>
              <w:tc>
                <w:tcPr>
                  <w:tcW w:w="568" w:type="pct"/>
                  <w:shd w:val="clear" w:color="auto" w:fill="auto"/>
                  <w:vAlign w:val="center"/>
                </w:tcPr>
                <w:p w14:paraId="7E65F26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8</w:t>
                  </w:r>
                </w:p>
              </w:tc>
              <w:tc>
                <w:tcPr>
                  <w:tcW w:w="924" w:type="pct"/>
                  <w:vAlign w:val="center"/>
                </w:tcPr>
                <w:p w14:paraId="188A1B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环卫部门统一清运</w:t>
                  </w:r>
                </w:p>
              </w:tc>
            </w:tr>
          </w:tbl>
          <w:p w14:paraId="6C13CE7D">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5、固体废物污染防治措施</w:t>
            </w:r>
          </w:p>
          <w:p w14:paraId="53DC264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（1）危险固体废物</w:t>
            </w:r>
          </w:p>
          <w:p w14:paraId="4698E1D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1）危险废物处置方式</w:t>
            </w:r>
          </w:p>
          <w:p w14:paraId="6E0C2F3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根据《国家危险废物名录》（202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年版）以及危险废物鉴别标准，本项目危险废物为</w:t>
            </w:r>
            <w:r>
              <w:rPr>
                <w:rFonts w:hint="default" w:ascii="Times New Roman" w:hAnsi="Times New Roman" w:eastAsia="宋体" w:cs="Times New Roman"/>
                <w:color w:val="auto"/>
                <w:sz w:val="24"/>
                <w:lang w:val="en-US" w:eastAsia="zh-CN"/>
              </w:rPr>
              <w:t>废</w:t>
            </w:r>
            <w:r>
              <w:rPr>
                <w:rFonts w:hint="eastAsia" w:ascii="Times New Roman" w:hAnsi="Times New Roman" w:eastAsia="宋体" w:cs="Times New Roman"/>
                <w:color w:val="auto"/>
                <w:sz w:val="24"/>
                <w:lang w:val="en-US" w:eastAsia="zh-CN"/>
              </w:rPr>
              <w:t>包装材料</w:t>
            </w:r>
            <w:r>
              <w:rPr>
                <w:rFonts w:hint="default" w:ascii="Times New Roman" w:hAnsi="Times New Roman" w:eastAsia="宋体" w:cs="Times New Roman"/>
                <w:color w:val="auto"/>
                <w:sz w:val="24"/>
              </w:rPr>
              <w:t>（HW49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900-041-49）</w:t>
            </w:r>
            <w:r>
              <w:rPr>
                <w:rFonts w:hint="default"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val="en-US" w:eastAsia="zh-CN"/>
              </w:rPr>
              <w:t>废活性炭</w:t>
            </w:r>
            <w:r>
              <w:rPr>
                <w:rFonts w:hint="default" w:ascii="Times New Roman" w:hAnsi="Times New Roman" w:eastAsia="宋体" w:cs="Times New Roman"/>
                <w:color w:val="auto"/>
                <w:sz w:val="24"/>
                <w:lang w:eastAsia="zh-CN"/>
              </w:rPr>
              <w:t>（HW49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eastAsia="zh-CN"/>
              </w:rPr>
              <w:t>900-0</w:t>
            </w:r>
            <w:r>
              <w:rPr>
                <w:rFonts w:hint="eastAsia" w:ascii="Times New Roman" w:hAnsi="Times New Roman" w:eastAsia="宋体" w:cs="Times New Roman"/>
                <w:color w:val="auto"/>
                <w:sz w:val="24"/>
                <w:lang w:val="en-US" w:eastAsia="zh-CN"/>
              </w:rPr>
              <w:t>39</w:t>
            </w:r>
            <w:r>
              <w:rPr>
                <w:rFonts w:hint="default" w:ascii="Times New Roman" w:hAnsi="Times New Roman" w:eastAsia="宋体" w:cs="Times New Roman"/>
                <w:color w:val="auto"/>
                <w:sz w:val="24"/>
                <w:lang w:eastAsia="zh-CN"/>
              </w:rPr>
              <w:t>-49）</w:t>
            </w:r>
            <w:r>
              <w:rPr>
                <w:rFonts w:hint="default" w:ascii="Times New Roman" w:hAnsi="Times New Roman" w:eastAsia="宋体" w:cs="Times New Roman"/>
                <w:color w:val="auto"/>
                <w:sz w:val="24"/>
                <w:lang w:val="en-US" w:eastAsia="zh-CN"/>
              </w:rPr>
              <w:t>0.04</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b w:val="0"/>
                <w:bCs/>
                <w:color w:val="auto"/>
                <w:sz w:val="24"/>
                <w:lang w:val="en-US" w:eastAsia="zh-CN"/>
              </w:rPr>
              <w:t>研磨废液</w:t>
            </w:r>
            <w:r>
              <w:rPr>
                <w:rFonts w:hint="default" w:ascii="Times New Roman" w:hAnsi="Times New Roman" w:eastAsia="宋体" w:cs="Times New Roman"/>
                <w:color w:val="auto"/>
                <w:sz w:val="24"/>
              </w:rPr>
              <w:t>（HW</w:t>
            </w:r>
            <w:r>
              <w:rPr>
                <w:rFonts w:hint="eastAsia" w:ascii="Times New Roman" w:hAnsi="Times New Roman" w:eastAsia="宋体" w:cs="Times New Roman"/>
                <w:color w:val="auto"/>
                <w:sz w:val="24"/>
                <w:lang w:val="en-US" w:eastAsia="zh-CN"/>
              </w:rPr>
              <w:t>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b w:val="0"/>
                <w:bCs/>
                <w:color w:val="auto"/>
                <w:sz w:val="24"/>
              </w:rPr>
              <w:t>900-0</w:t>
            </w:r>
            <w:r>
              <w:rPr>
                <w:rFonts w:hint="eastAsia" w:ascii="Times New Roman" w:hAnsi="Times New Roman" w:eastAsia="宋体" w:cs="Times New Roman"/>
                <w:b w:val="0"/>
                <w:bCs/>
                <w:color w:val="auto"/>
                <w:sz w:val="24"/>
                <w:lang w:val="en-US" w:eastAsia="zh-CN"/>
              </w:rPr>
              <w:t>41</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rPr>
              <w:t>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3.08</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val="en-US" w:eastAsia="zh-CN"/>
              </w:rPr>
              <w:t>抛光</w:t>
            </w:r>
            <w:r>
              <w:rPr>
                <w:rFonts w:hint="eastAsia" w:ascii="Times New Roman" w:hAnsi="Times New Roman" w:eastAsia="宋体" w:cs="Times New Roman"/>
                <w:b w:val="0"/>
                <w:bCs/>
                <w:color w:val="auto"/>
                <w:sz w:val="24"/>
                <w:lang w:val="en-US" w:eastAsia="zh-CN"/>
              </w:rPr>
              <w:t>废液</w:t>
            </w:r>
            <w:r>
              <w:rPr>
                <w:rFonts w:hint="default" w:ascii="Times New Roman" w:hAnsi="Times New Roman" w:eastAsia="宋体" w:cs="Times New Roman"/>
                <w:color w:val="auto"/>
                <w:sz w:val="24"/>
              </w:rPr>
              <w:t>（HW</w:t>
            </w:r>
            <w:r>
              <w:rPr>
                <w:rFonts w:hint="eastAsia" w:ascii="Times New Roman" w:hAnsi="Times New Roman" w:eastAsia="宋体" w:cs="Times New Roman"/>
                <w:color w:val="auto"/>
                <w:sz w:val="24"/>
                <w:lang w:val="en-US" w:eastAsia="zh-CN"/>
              </w:rPr>
              <w:t>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b w:val="0"/>
                <w:bCs/>
                <w:color w:val="auto"/>
                <w:sz w:val="24"/>
              </w:rPr>
              <w:t>900-0</w:t>
            </w:r>
            <w:r>
              <w:rPr>
                <w:rFonts w:hint="eastAsia" w:ascii="Times New Roman" w:hAnsi="Times New Roman" w:eastAsia="宋体" w:cs="Times New Roman"/>
                <w:b w:val="0"/>
                <w:bCs/>
                <w:color w:val="auto"/>
                <w:sz w:val="24"/>
                <w:lang w:val="en-US" w:eastAsia="zh-CN"/>
              </w:rPr>
              <w:t>41</w:t>
            </w:r>
            <w:r>
              <w:rPr>
                <w:rFonts w:hint="default"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rPr>
              <w:t>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5.16</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val="en-US" w:eastAsia="zh-CN"/>
              </w:rPr>
              <w:t>纯碱</w:t>
            </w:r>
            <w:r>
              <w:rPr>
                <w:rFonts w:hint="default" w:ascii="Times New Roman" w:hAnsi="Times New Roman" w:eastAsia="宋体" w:cs="Times New Roman"/>
                <w:color w:val="auto"/>
                <w:sz w:val="24"/>
                <w:lang w:val="en-US" w:eastAsia="zh-CN"/>
              </w:rPr>
              <w:t>清洗</w:t>
            </w:r>
            <w:r>
              <w:rPr>
                <w:rFonts w:hint="eastAsia" w:ascii="Times New Roman" w:hAnsi="Times New Roman" w:eastAsia="宋体" w:cs="Times New Roman"/>
                <w:color w:val="auto"/>
                <w:sz w:val="24"/>
                <w:lang w:val="en-US" w:eastAsia="zh-CN"/>
              </w:rPr>
              <w:t>废液</w:t>
            </w:r>
            <w:r>
              <w:rPr>
                <w:rFonts w:hint="default" w:ascii="Times New Roman" w:hAnsi="Times New Roman" w:eastAsia="宋体" w:cs="Times New Roman"/>
                <w:color w:val="auto"/>
                <w:sz w:val="24"/>
              </w:rPr>
              <w:t>（HW</w:t>
            </w:r>
            <w:r>
              <w:rPr>
                <w:rFonts w:hint="default" w:ascii="Times New Roman" w:hAnsi="Times New Roman" w:eastAsia="宋体" w:cs="Times New Roman"/>
                <w:color w:val="auto"/>
                <w:sz w:val="24"/>
                <w:lang w:val="en-US" w:eastAsia="zh-CN"/>
              </w:rPr>
              <w:t>35</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900-352-35</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1.048</w:t>
            </w:r>
            <w:r>
              <w:rPr>
                <w:rFonts w:hint="default" w:ascii="Times New Roman" w:hAnsi="Times New Roman" w:eastAsia="宋体" w:cs="Times New Roman"/>
                <w:color w:val="auto"/>
                <w:sz w:val="24"/>
              </w:rPr>
              <w:t>t/a，须委托具备处置资质和处置能力的单位进行无害化处置，并在本项目正式投产前落实危险废物处置途径，签订危废处置协议。</w:t>
            </w:r>
          </w:p>
          <w:p w14:paraId="052F399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2）贮存场所（设施）污染防治措施</w:t>
            </w:r>
          </w:p>
          <w:p w14:paraId="5EBB06B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本项目拟在</w:t>
            </w:r>
            <w:r>
              <w:rPr>
                <w:rFonts w:hint="eastAsia" w:ascii="Times New Roman" w:hAnsi="Times New Roman" w:eastAsia="宋体" w:cs="Times New Roman"/>
                <w:color w:val="auto"/>
                <w:sz w:val="24"/>
                <w:lang w:val="en-US" w:eastAsia="zh-CN"/>
              </w:rPr>
              <w:t>仓库东南</w:t>
            </w:r>
            <w:r>
              <w:rPr>
                <w:rFonts w:hint="default" w:ascii="Times New Roman" w:hAnsi="Times New Roman" w:eastAsia="宋体" w:cs="Times New Roman"/>
                <w:color w:val="auto"/>
                <w:sz w:val="24"/>
                <w:lang w:val="en-US" w:eastAsia="zh-CN"/>
              </w:rPr>
              <w:t>侧</w:t>
            </w:r>
            <w:r>
              <w:rPr>
                <w:rFonts w:hint="default" w:ascii="Times New Roman" w:hAnsi="Times New Roman" w:eastAsia="宋体" w:cs="Times New Roman"/>
                <w:color w:val="auto"/>
                <w:sz w:val="24"/>
              </w:rPr>
              <w:t>设置一个占地面积</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危废</w:t>
            </w:r>
            <w:r>
              <w:rPr>
                <w:rFonts w:hint="default" w:ascii="Times New Roman" w:hAnsi="Times New Roman" w:eastAsia="宋体" w:cs="Times New Roman"/>
                <w:color w:val="auto"/>
                <w:sz w:val="24"/>
                <w:lang w:val="en-US" w:eastAsia="zh-CN"/>
              </w:rPr>
              <w:t>仓库</w:t>
            </w:r>
            <w:r>
              <w:rPr>
                <w:rFonts w:hint="default" w:ascii="Times New Roman" w:hAnsi="Times New Roman" w:eastAsia="宋体" w:cs="Times New Roman"/>
                <w:color w:val="auto"/>
                <w:sz w:val="24"/>
              </w:rPr>
              <w:t>对各类危险废物进行安全暂存。危废仓库应按《危险废物贮存污染控制标准》（GB18597-2023）、《危险废物识别标志设置技术规范》（HJ1276-2022）、省生态环境厅关于印发《江苏省固体废物全过程环境监管工作意见》的通知&gt;（苏环办[2024]16号）等要求进行设置</w:t>
            </w:r>
            <w:r>
              <w:rPr>
                <w:rFonts w:hint="default" w:ascii="Times New Roman" w:hAnsi="Times New Roman" w:eastAsia="宋体" w:cs="Times New Roman"/>
                <w:color w:val="auto"/>
                <w:sz w:val="24"/>
                <w:lang w:eastAsia="zh-CN"/>
              </w:rPr>
              <w:t>：</w:t>
            </w:r>
          </w:p>
          <w:p w14:paraId="0FBD0D8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①按照《环境保护图形标志—固体废物贮存（处置）场》（GB15562.2-1995）（2023年修订）和《危险废物识别标志设置技术规范》（HJ1276-2022）设置标志，并配备通讯设备、照明设施和消防设施。</w:t>
            </w:r>
          </w:p>
          <w:p w14:paraId="2600F13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②贮存设施应根据危险废物的形态、物理化学性质、包装形式和污染物迁移途径，采取必要的防风、防晒、防雨、防漏、防渗、防腐以及其他环境污染防治措施，不应露天堆放危险废物。</w:t>
            </w:r>
          </w:p>
          <w:p w14:paraId="3C6673F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③贮存设施应根据危险废物的类别、数量、形态、物理化学性质和污染防治等要求设置必要的贮存分区，避免不相容的危险废物接触、混合。</w:t>
            </w:r>
          </w:p>
          <w:p w14:paraId="520CD0C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④贮存设施或贮存分区内地面、墙面裙脚、堵截泄漏的围堰、接触危险废物的隔板和墙体等应采用坚固的材料建造，表面无裂缝。</w:t>
            </w:r>
          </w:p>
          <w:p w14:paraId="625A9D1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渗透系数不大于10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，或至少2mm厚高密度聚乙烯膜等人工防渗材料</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渗透系数不大于10</w:t>
            </w:r>
            <w:r>
              <w:rPr>
                <w:rFonts w:hint="default" w:ascii="Times New Roman" w:hAnsi="Times New Roman" w:eastAsia="宋体" w:cs="Times New Roman"/>
                <w:color w:val="auto"/>
                <w:sz w:val="24"/>
                <w:vertAlign w:val="superscript"/>
              </w:rPr>
              <w:t>-10</w:t>
            </w:r>
            <w:r>
              <w:rPr>
                <w:rFonts w:hint="default" w:ascii="Times New Roman" w:hAnsi="Times New Roman" w:eastAsia="宋体" w:cs="Times New Roman"/>
                <w:color w:val="auto"/>
                <w:sz w:val="24"/>
              </w:rPr>
              <w:t>cm/s），或其他防渗性能等效的材料。</w:t>
            </w:r>
          </w:p>
          <w:p w14:paraId="2CBE610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⑥同一贮存设施宜采用相同的防渗、防腐工艺（包括防渗、防腐结构或材料），防渗、防腐材料应覆盖所有可能与废物及其渗滤液、渗漏液等接触的构筑物表面；采用不同防渗、防腐工艺应分别建设贮存分区。</w:t>
            </w:r>
          </w:p>
          <w:p w14:paraId="0D1081A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⑦贮存设施应采取技术和管理措施防止无关人员进入。</w:t>
            </w:r>
          </w:p>
          <w:p w14:paraId="017B88B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⑧贮存库内不同贮存分区之间应采取隔离措施。隔离措施可根据危险废物特性采用过道、隔板或隔墙等方式。</w:t>
            </w:r>
          </w:p>
          <w:p w14:paraId="3165DAC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⑨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41B47B6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⑩贮存易产生粉尘、VOCs、酸雾、有毒有害大气污染物和刺激性气味气体的危险废物贮存库，应设置气体收集装置和气体净化设施；气体净化设施的排气筒高度应符合GB 16297要求。</w:t>
            </w:r>
          </w:p>
          <w:p w14:paraId="6907FB3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⑪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3CE27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rPr>
            </w:pPr>
          </w:p>
          <w:p w14:paraId="0B1F4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20</w:t>
            </w:r>
            <w:r>
              <w:rPr>
                <w:rFonts w:hint="default" w:ascii="Times New Roman" w:hAnsi="Times New Roman" w:eastAsia="宋体" w:cs="Times New Roman"/>
                <w:b/>
                <w:bCs/>
                <w:color w:val="auto"/>
                <w:sz w:val="24"/>
              </w:rPr>
              <w:t xml:space="preserve">  危险废物贮存场所基本情况表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8"/>
              <w:gridCol w:w="1340"/>
              <w:gridCol w:w="1303"/>
              <w:gridCol w:w="1306"/>
              <w:gridCol w:w="789"/>
              <w:gridCol w:w="760"/>
              <w:gridCol w:w="1118"/>
              <w:gridCol w:w="984"/>
            </w:tblGrid>
            <w:tr w14:paraId="32C6D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48" w:type="pct"/>
                  <w:vAlign w:val="center"/>
                </w:tcPr>
                <w:p w14:paraId="0C87E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贮存场所名称</w:t>
                  </w:r>
                </w:p>
              </w:tc>
              <w:tc>
                <w:tcPr>
                  <w:tcW w:w="802" w:type="pct"/>
                  <w:vAlign w:val="center"/>
                </w:tcPr>
                <w:p w14:paraId="437925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780" w:type="pct"/>
                  <w:vAlign w:val="center"/>
                </w:tcPr>
                <w:p w14:paraId="34C8D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废物类别</w:t>
                  </w:r>
                </w:p>
              </w:tc>
              <w:tc>
                <w:tcPr>
                  <w:tcW w:w="782" w:type="pct"/>
                  <w:vAlign w:val="center"/>
                </w:tcPr>
                <w:p w14:paraId="6814C3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废物代码</w:t>
                  </w:r>
                </w:p>
              </w:tc>
              <w:tc>
                <w:tcPr>
                  <w:tcW w:w="472" w:type="pct"/>
                  <w:vAlign w:val="center"/>
                </w:tcPr>
                <w:p w14:paraId="4352B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位置</w:t>
                  </w:r>
                </w:p>
              </w:tc>
              <w:tc>
                <w:tcPr>
                  <w:tcW w:w="455" w:type="pct"/>
                  <w:vAlign w:val="center"/>
                </w:tcPr>
                <w:p w14:paraId="7BAD8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占地面积</w:t>
                  </w:r>
                </w:p>
                <w:p w14:paraId="226C3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669" w:type="pct"/>
                  <w:vAlign w:val="center"/>
                </w:tcPr>
                <w:p w14:paraId="12D18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贮存方式</w:t>
                  </w:r>
                </w:p>
              </w:tc>
              <w:tc>
                <w:tcPr>
                  <w:tcW w:w="589" w:type="pct"/>
                  <w:vAlign w:val="center"/>
                </w:tcPr>
                <w:p w14:paraId="5DDB6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贮存周期</w:t>
                  </w:r>
                </w:p>
              </w:tc>
            </w:tr>
            <w:tr w14:paraId="1CF2B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48" w:type="pct"/>
                  <w:vMerge w:val="restart"/>
                  <w:vAlign w:val="center"/>
                </w:tcPr>
                <w:p w14:paraId="392B58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危险固废暂存场</w:t>
                  </w:r>
                </w:p>
              </w:tc>
              <w:tc>
                <w:tcPr>
                  <w:tcW w:w="802" w:type="pct"/>
                  <w:shd w:val="clear" w:color="auto" w:fill="auto"/>
                  <w:vAlign w:val="center"/>
                </w:tcPr>
                <w:p w14:paraId="1B8AB0A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废包装材料</w:t>
                  </w:r>
                </w:p>
              </w:tc>
              <w:tc>
                <w:tcPr>
                  <w:tcW w:w="780" w:type="pct"/>
                  <w:shd w:val="clear" w:color="auto" w:fill="auto"/>
                  <w:vAlign w:val="center"/>
                </w:tcPr>
                <w:p w14:paraId="691D553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782" w:type="pct"/>
                  <w:shd w:val="clear" w:color="auto" w:fill="auto"/>
                  <w:vAlign w:val="center"/>
                </w:tcPr>
                <w:p w14:paraId="3ECEC28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900-041-49</w:t>
                  </w:r>
                </w:p>
              </w:tc>
              <w:tc>
                <w:tcPr>
                  <w:tcW w:w="472" w:type="pct"/>
                  <w:vMerge w:val="restart"/>
                  <w:vAlign w:val="center"/>
                </w:tcPr>
                <w:p w14:paraId="1E2893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仓库东南侧</w:t>
                  </w:r>
                </w:p>
              </w:tc>
              <w:tc>
                <w:tcPr>
                  <w:tcW w:w="455" w:type="pct"/>
                  <w:vMerge w:val="restart"/>
                  <w:vAlign w:val="center"/>
                </w:tcPr>
                <w:p w14:paraId="4A518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69" w:type="pct"/>
                  <w:vAlign w:val="center"/>
                </w:tcPr>
                <w:p w14:paraId="0F06B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堆放</w:t>
                  </w:r>
                  <w:r>
                    <w:rPr>
                      <w:rFonts w:hint="default" w:ascii="Times New Roman" w:hAnsi="Times New Roman" w:eastAsia="宋体" w:cs="Times New Roman"/>
                      <w:color w:val="auto"/>
                      <w:sz w:val="21"/>
                      <w:szCs w:val="21"/>
                    </w:rPr>
                    <w:t>，分区放置</w:t>
                  </w:r>
                </w:p>
              </w:tc>
              <w:tc>
                <w:tcPr>
                  <w:tcW w:w="589" w:type="pct"/>
                  <w:vMerge w:val="restart"/>
                  <w:vAlign w:val="center"/>
                </w:tcPr>
                <w:p w14:paraId="40973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3个月</w:t>
                  </w:r>
                </w:p>
              </w:tc>
            </w:tr>
            <w:tr w14:paraId="07E97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195DA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02" w:type="pct"/>
                  <w:shd w:val="clear" w:color="auto" w:fill="auto"/>
                  <w:vAlign w:val="center"/>
                </w:tcPr>
                <w:p w14:paraId="5DB40D1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780" w:type="pct"/>
                  <w:shd w:val="clear" w:color="auto" w:fill="auto"/>
                  <w:vAlign w:val="center"/>
                </w:tcPr>
                <w:p w14:paraId="2E2E111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782" w:type="pct"/>
                  <w:shd w:val="clear" w:color="auto" w:fill="auto"/>
                  <w:vAlign w:val="center"/>
                </w:tcPr>
                <w:p w14:paraId="049670F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default"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472" w:type="pct"/>
                  <w:vMerge w:val="continue"/>
                  <w:vAlign w:val="center"/>
                </w:tcPr>
                <w:p w14:paraId="029032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1A8DC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39B489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袋装密封，分区放置</w:t>
                  </w:r>
                </w:p>
              </w:tc>
              <w:tc>
                <w:tcPr>
                  <w:tcW w:w="589" w:type="pct"/>
                  <w:vMerge w:val="continue"/>
                  <w:vAlign w:val="center"/>
                </w:tcPr>
                <w:p w14:paraId="2AAD5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013E9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4D18E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02" w:type="pct"/>
                  <w:shd w:val="clear" w:color="auto" w:fill="auto"/>
                  <w:vAlign w:val="center"/>
                </w:tcPr>
                <w:p w14:paraId="4AB9418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研磨废液</w:t>
                  </w:r>
                </w:p>
              </w:tc>
              <w:tc>
                <w:tcPr>
                  <w:tcW w:w="780" w:type="pct"/>
                  <w:shd w:val="clear" w:color="auto" w:fill="auto"/>
                  <w:vAlign w:val="center"/>
                </w:tcPr>
                <w:p w14:paraId="2A96508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9</w:t>
                  </w:r>
                </w:p>
              </w:tc>
              <w:tc>
                <w:tcPr>
                  <w:tcW w:w="782" w:type="pct"/>
                  <w:shd w:val="clear" w:color="auto" w:fill="auto"/>
                  <w:vAlign w:val="center"/>
                </w:tcPr>
                <w:p w14:paraId="700293D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41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9</w:t>
                  </w:r>
                </w:p>
              </w:tc>
              <w:tc>
                <w:tcPr>
                  <w:tcW w:w="472" w:type="pct"/>
                  <w:vMerge w:val="continue"/>
                  <w:vAlign w:val="center"/>
                </w:tcPr>
                <w:p w14:paraId="09276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0A1DA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6BA98C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0CDF40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22063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76362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802" w:type="pct"/>
                  <w:shd w:val="clear" w:color="auto" w:fill="auto"/>
                  <w:vAlign w:val="center"/>
                </w:tcPr>
                <w:p w14:paraId="03A41BF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抛光废液</w:t>
                  </w:r>
                </w:p>
              </w:tc>
              <w:tc>
                <w:tcPr>
                  <w:tcW w:w="780" w:type="pct"/>
                  <w:shd w:val="clear" w:color="auto" w:fill="auto"/>
                  <w:vAlign w:val="center"/>
                </w:tcPr>
                <w:p w14:paraId="280EDE0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9</w:t>
                  </w:r>
                </w:p>
              </w:tc>
              <w:tc>
                <w:tcPr>
                  <w:tcW w:w="782" w:type="pct"/>
                  <w:shd w:val="clear" w:color="auto" w:fill="auto"/>
                  <w:vAlign w:val="center"/>
                </w:tcPr>
                <w:p w14:paraId="1AA0C2E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41</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9</w:t>
                  </w:r>
                </w:p>
              </w:tc>
              <w:tc>
                <w:tcPr>
                  <w:tcW w:w="472" w:type="pct"/>
                  <w:vMerge w:val="continue"/>
                  <w:vAlign w:val="center"/>
                </w:tcPr>
                <w:p w14:paraId="009D6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3CEED8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7B753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66A5CF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301A0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36A4A7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802" w:type="pct"/>
                  <w:shd w:val="clear" w:color="auto" w:fill="auto"/>
                  <w:vAlign w:val="center"/>
                </w:tcPr>
                <w:p w14:paraId="0160268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纯碱</w:t>
                  </w:r>
                  <w:r>
                    <w:rPr>
                      <w:rFonts w:hint="default" w:ascii="Times New Roman" w:hAnsi="Times New Roman" w:eastAsia="宋体" w:cs="Times New Roman"/>
                      <w:color w:val="auto"/>
                      <w:sz w:val="21"/>
                      <w:szCs w:val="21"/>
                      <w:lang w:val="en-US" w:eastAsia="zh-CN"/>
                    </w:rPr>
                    <w:t>清洗废液</w:t>
                  </w:r>
                </w:p>
              </w:tc>
              <w:tc>
                <w:tcPr>
                  <w:tcW w:w="780" w:type="pct"/>
                  <w:shd w:val="clear" w:color="auto" w:fill="auto"/>
                  <w:vAlign w:val="center"/>
                </w:tcPr>
                <w:p w14:paraId="597D9C4A">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w:t>
                  </w:r>
                  <w:r>
                    <w:rPr>
                      <w:rFonts w:hint="eastAsia" w:ascii="Times New Roman" w:hAnsi="Times New Roman" w:eastAsia="宋体" w:cs="Times New Roman"/>
                      <w:color w:val="auto"/>
                      <w:sz w:val="21"/>
                      <w:szCs w:val="21"/>
                      <w:lang w:val="en-US" w:eastAsia="zh-CN"/>
                    </w:rPr>
                    <w:t>35</w:t>
                  </w:r>
                </w:p>
              </w:tc>
              <w:tc>
                <w:tcPr>
                  <w:tcW w:w="782" w:type="pct"/>
                  <w:shd w:val="clear" w:color="auto" w:fill="auto"/>
                  <w:vAlign w:val="center"/>
                </w:tcPr>
                <w:p w14:paraId="4710BF84">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900-352-35</w:t>
                  </w:r>
                </w:p>
              </w:tc>
              <w:tc>
                <w:tcPr>
                  <w:tcW w:w="472" w:type="pct"/>
                  <w:vMerge w:val="continue"/>
                  <w:vAlign w:val="center"/>
                </w:tcPr>
                <w:p w14:paraId="169FCC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432708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5DD613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2EF26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bl>
          <w:p w14:paraId="1F745BC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贮存安全可行性分析：</w:t>
            </w:r>
          </w:p>
          <w:p w14:paraId="69E881E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本项目产生并贮存于危废仓库的危险废物主要为</w:t>
            </w:r>
            <w:r>
              <w:rPr>
                <w:rFonts w:hint="default" w:ascii="Times New Roman" w:hAnsi="Times New Roman" w:eastAsia="宋体" w:cs="Times New Roman"/>
                <w:color w:val="auto"/>
                <w:sz w:val="24"/>
                <w:lang w:val="en-US" w:eastAsia="zh-CN"/>
              </w:rPr>
              <w:t>废</w:t>
            </w:r>
            <w:r>
              <w:rPr>
                <w:rFonts w:hint="eastAsia" w:ascii="Times New Roman" w:hAnsi="Times New Roman" w:eastAsia="宋体" w:cs="Times New Roman"/>
                <w:color w:val="auto"/>
                <w:sz w:val="24"/>
                <w:lang w:val="en-US" w:eastAsia="zh-CN"/>
              </w:rPr>
              <w:t>包装材料</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废活性炭</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，企业根据各危险废物的形态和危险特性，用专用编织袋</w:t>
            </w:r>
            <w:r>
              <w:rPr>
                <w:rFonts w:hint="default" w:ascii="Times New Roman" w:hAnsi="Times New Roman" w:eastAsia="宋体" w:cs="Times New Roman"/>
                <w:color w:val="auto"/>
                <w:sz w:val="24"/>
                <w:lang w:val="en-US" w:eastAsia="zh-CN"/>
              </w:rPr>
              <w:t>和密封吨桶</w:t>
            </w:r>
            <w:r>
              <w:rPr>
                <w:rFonts w:hint="default" w:ascii="Times New Roman" w:hAnsi="Times New Roman" w:eastAsia="宋体" w:cs="Times New Roman"/>
                <w:color w:val="auto"/>
                <w:sz w:val="24"/>
              </w:rPr>
              <w:t>等包装容器盛装，并在盛装容器上粘贴标签，分开存放。贮存场所内设有隔离间隔断，并设置危险废物识别标志，且应满足“四防”。综上所述，本项目危废按上述要求贮存于该危废仓库可行。</w:t>
            </w:r>
          </w:p>
          <w:p w14:paraId="2A0E795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3）容器和包装物污染控制要求</w:t>
            </w:r>
          </w:p>
          <w:p w14:paraId="7C5A598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根据《危险废物贮存污染控制标准》（GB 18597-2023），危险废物容器和包装物污染控制要求如下：</w:t>
            </w:r>
          </w:p>
          <w:p w14:paraId="155F6D5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①容器和包装物材质、内衬应与盛装的危险废物相容。</w:t>
            </w:r>
          </w:p>
          <w:p w14:paraId="0E1225E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②针对不同类别、形态、物理化学性质的危险废物，其容器和包装物应满足相应的防渗、防漏、防腐和强度等要求。</w:t>
            </w:r>
          </w:p>
          <w:p w14:paraId="738DF0C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③硬质容器和包装物及其支护结构堆叠码放时不应有明显变形，无破损泄漏。</w:t>
            </w:r>
          </w:p>
          <w:p w14:paraId="31DCBDD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④柔性容器和包装物堆叠码放时应封口严密，无破损泄漏。</w:t>
            </w:r>
          </w:p>
          <w:p w14:paraId="1E0F153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⑤使用容器盛装液态、半固态危险废物时，容器内部应留有适当的空间，以适应因温度变化等可能引发的收缩和膨胀，防止其导致容器渗漏或永久变形。</w:t>
            </w:r>
          </w:p>
          <w:p w14:paraId="598AA26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⑥容器和包装物外表面应保持清洁。</w:t>
            </w:r>
          </w:p>
          <w:p w14:paraId="65997D5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4）贮存过程要求</w:t>
            </w:r>
          </w:p>
          <w:p w14:paraId="71A283E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根据《危险废物贮存污染控制标准》（GB 18597-2023），危险废物贮存过程污染控制要求如下：</w:t>
            </w:r>
          </w:p>
          <w:p w14:paraId="0E76C08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①在常温常压下不易水解、不易挥发的固态危险废物可分类堆放贮存，其他固态危险废物应装入容器或包装物内贮存。</w:t>
            </w:r>
          </w:p>
          <w:p w14:paraId="182AB39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②液态危险废物应装入容器内贮存，或直接采用贮存池、贮存罐区贮存。</w:t>
            </w:r>
          </w:p>
          <w:p w14:paraId="20FBCC4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③半固态危险废物应装入容器或包装袋内贮存，或者采用贮存池贮存。</w:t>
            </w:r>
          </w:p>
          <w:p w14:paraId="65A1DAF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④具有热塑性的危险废物应装入容器或包装袋内进行贮存。</w:t>
            </w:r>
          </w:p>
          <w:p w14:paraId="28E669C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rPr>
              <w:t>危险废物贮存过程中易产生粉尘等无组织排放的，应采取抑尘等有效措施。</w:t>
            </w:r>
          </w:p>
          <w:p w14:paraId="71B21B7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5）运输过程的污染防治措施</w:t>
            </w:r>
          </w:p>
          <w:p w14:paraId="0B73012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危险废物运输必须按照《危险废物收集 贮存 运输技术规范》（HJ2025-2012）的要求并做到以下几点：</w:t>
            </w:r>
          </w:p>
          <w:p w14:paraId="6286CAF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①危险废物运输应由持有危险废物经营许可证的单位按照其许可证的经营范围组织实施，承担危险废物运输的单位应获得交通运输部门颁发的危险货物运输资质。</w:t>
            </w:r>
          </w:p>
          <w:p w14:paraId="0A77196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②危险废物公路运输应按照《道路危险货物运输管理规定》（交通部令[2015年]第9号）、JT617以及JT618执行。</w:t>
            </w:r>
          </w:p>
          <w:p w14:paraId="66739C6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③运输单位在承运危险废物时，应在危险废物包装上按照GB18597附录A设置标志。</w:t>
            </w:r>
          </w:p>
          <w:p w14:paraId="7E7C268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④危险废物公路运输时，运输车辆按GB13392设置车辆标志。铁路运输和水路运输危险废物时应在集装箱外按GB190规定悬挂标志。</w:t>
            </w:r>
          </w:p>
          <w:p w14:paraId="645796B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⑤危险废物运输时的中转、装卸过程应遵守如下技术要求：</w:t>
            </w:r>
          </w:p>
          <w:p w14:paraId="06D8C3C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装卸区的工作人员应熟悉废物的危险特性，并配备适当的个人防护装备，装卸剧毒废物应配备特殊的防护装备；</w:t>
            </w:r>
          </w:p>
          <w:p w14:paraId="3DC4A59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装卸区应配备必要的消防设备和设施，并设置明显的指示标志；</w:t>
            </w:r>
          </w:p>
          <w:p w14:paraId="3C8F7DC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危险废物装卸区应设置隔离设施，液态废物装卸区应设置收集槽和缓冲罐。</w:t>
            </w:r>
          </w:p>
          <w:p w14:paraId="4C4A62F1">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（2）一般工业固体废物</w:t>
            </w:r>
          </w:p>
          <w:p w14:paraId="17F001B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本项目一般工业固废主要为</w:t>
            </w:r>
            <w:r>
              <w:rPr>
                <w:rFonts w:hint="default" w:ascii="Times New Roman" w:hAnsi="Times New Roman" w:eastAsia="宋体" w:cs="Times New Roman"/>
                <w:color w:val="auto"/>
                <w:sz w:val="24"/>
                <w:lang w:val="en-US" w:eastAsia="zh-CN"/>
              </w:rPr>
              <w:t>不合格品</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t/a，均定期外卖综合利用。一般固废仓库应</w:t>
            </w:r>
            <w:r>
              <w:rPr>
                <w:rFonts w:hint="eastAsia" w:ascii="Times New Roman" w:hAnsi="Times New Roman" w:eastAsia="宋体" w:cs="Times New Roman"/>
                <w:color w:val="auto"/>
                <w:sz w:val="24"/>
                <w:lang w:val="en-US" w:eastAsia="zh-CN"/>
              </w:rPr>
              <w:t>参照</w:t>
            </w:r>
            <w:r>
              <w:rPr>
                <w:rFonts w:hint="default" w:ascii="Times New Roman" w:hAnsi="Times New Roman" w:eastAsia="宋体" w:cs="Times New Roman"/>
                <w:color w:val="auto"/>
                <w:sz w:val="24"/>
              </w:rPr>
              <w:t>《一般工业固体废物贮存和填埋污染控制标准》（GB18599-2020）、《省生态环境厅关于进一步完善一般工业固体废物环境管理的通知》（苏环办[2023]327号）要求建设，具体技术要求如下：</w:t>
            </w:r>
          </w:p>
          <w:p w14:paraId="1449A54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①根据建设、运行、封场等污染控制技术要求不同，贮存场、填埋场分为I类场和</w:t>
            </w:r>
            <w:r>
              <w:rPr>
                <w:rFonts w:hint="default" w:ascii="Times New Roman" w:hAnsi="Times New Roman" w:eastAsia="宋体" w:cs="Times New Roman"/>
                <w:color w:val="auto"/>
                <w:sz w:val="24"/>
                <w:lang w:eastAsia="zh-CN"/>
              </w:rPr>
              <w:t>Ⅱ类</w:t>
            </w:r>
            <w:r>
              <w:rPr>
                <w:rFonts w:hint="default" w:ascii="Times New Roman" w:hAnsi="Times New Roman" w:eastAsia="宋体" w:cs="Times New Roman"/>
                <w:color w:val="auto"/>
                <w:sz w:val="24"/>
              </w:rPr>
              <w:t>场。</w:t>
            </w:r>
          </w:p>
          <w:p w14:paraId="5D0049D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②贮存场、填埋场的防洪标准应按重现期不小于50年一遇的洪水位设计，国家已有标准提出更高要求的除外。</w:t>
            </w:r>
          </w:p>
          <w:p w14:paraId="5688B9D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③贮存场和填埋场一般应包括以下单元：</w:t>
            </w:r>
          </w:p>
          <w:p w14:paraId="6BFEABE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防渗系统、渗滤液收集和导排系统； </w:t>
            </w:r>
          </w:p>
          <w:p w14:paraId="4440095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雨污分流系统； </w:t>
            </w:r>
          </w:p>
          <w:p w14:paraId="26D1482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分析化验与环境监测系统； </w:t>
            </w:r>
          </w:p>
          <w:p w14:paraId="510787E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公用工程和配套设施； </w:t>
            </w:r>
          </w:p>
          <w:p w14:paraId="5275FBE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e</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地下水导排系统和废水处理系统（根据具体情况选择设置）。</w:t>
            </w:r>
          </w:p>
          <w:p w14:paraId="45355D1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④贮存场及填埋场施工方案中应包括施工质量保证和施工质量控制内容，明确环保条款和责任，作为项目竣工环境保护验收的依据，同时可作为建设环境监理的主要内容。</w:t>
            </w:r>
          </w:p>
          <w:p w14:paraId="29A4E8E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贮存场及填埋场在施工完毕后应保存施工报告、全套竣工图、所有材料的现场及实验室检测报告。采用高密度聚乙烯膜作为人工合成材料衬层的贮存场及填埋场还应提交人工防渗衬层完整性检测报告。上述材料连同施工质量保证书作为竣工环境保护验收的依据。</w:t>
            </w:r>
          </w:p>
          <w:p w14:paraId="4584F50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⑥贮存场及填埋场渗滤液收集池的防渗要求应不低于对应贮存场、填埋场的防渗要求。</w:t>
            </w:r>
          </w:p>
          <w:p w14:paraId="51C218A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⑦贮存场除应符合标准规定污染控制技术要求之外，其设计、施工、运行、封场等还应符合相关行政法规规定、国家及行业标准要求。</w:t>
            </w:r>
          </w:p>
          <w:p w14:paraId="3220181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⑧食品制造业、纺织服装和服饰业、造纸和纸制品业、农副食品加工业等为日常生活提供服务的活动中产生的与生活垃圾性质相近的一般工业固体废物，以及有机质含量超过5%的一般工业固体废物（煤矸石除外），其直接贮存、填埋处置应符合GB16889要求。</w:t>
            </w:r>
          </w:p>
          <w:p w14:paraId="15BEE2C3">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（3）生活垃圾</w:t>
            </w:r>
          </w:p>
          <w:p w14:paraId="1C2E509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职工生活垃圾</w:t>
            </w:r>
            <w:r>
              <w:rPr>
                <w:rFonts w:hint="eastAsia"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rPr>
              <w:t>t/a，由环卫部门定期清运，可得到有效处置。</w:t>
            </w:r>
          </w:p>
          <w:p w14:paraId="686951A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综上，本项目产生的各类固废均可得到有效处置，固废污染防治措施可行，对周围环境影响较小。</w:t>
            </w:r>
          </w:p>
          <w:p w14:paraId="32DBF19F">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五、地下水、土壤</w:t>
            </w:r>
          </w:p>
          <w:p w14:paraId="70B04055">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1、污染源、污染类型、污染途径</w:t>
            </w:r>
          </w:p>
          <w:p w14:paraId="305C2C5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本项目土壤和地下水污染源主要为液态辅料（</w:t>
            </w:r>
            <w:r>
              <w:rPr>
                <w:rFonts w:hint="eastAsia" w:ascii="Times New Roman" w:hAnsi="Times New Roman" w:eastAsia="宋体" w:cs="Times New Roman"/>
                <w:color w:val="auto"/>
                <w:sz w:val="24"/>
                <w:lang w:val="en-US" w:eastAsia="zh-CN"/>
              </w:rPr>
              <w:t>冷却液等</w:t>
            </w:r>
            <w:r>
              <w:rPr>
                <w:rFonts w:hint="default" w:ascii="Times New Roman" w:hAnsi="Times New Roman" w:eastAsia="宋体" w:cs="Times New Roman"/>
                <w:color w:val="auto"/>
                <w:sz w:val="24"/>
              </w:rPr>
              <w:t>）、液态危险废物（</w:t>
            </w:r>
            <w:r>
              <w:rPr>
                <w:rFonts w:hint="eastAsia" w:ascii="Times New Roman" w:hAnsi="Times New Roman" w:eastAsia="宋体" w:cs="Times New Roman"/>
                <w:color w:val="auto"/>
                <w:sz w:val="24"/>
                <w:lang w:val="en-US" w:eastAsia="zh-CN"/>
              </w:rPr>
              <w:t>研磨废液、纯碱清洗废液等</w:t>
            </w:r>
            <w:r>
              <w:rPr>
                <w:rFonts w:hint="default" w:ascii="Times New Roman" w:hAnsi="Times New Roman" w:eastAsia="宋体" w:cs="Times New Roman"/>
                <w:color w:val="auto"/>
                <w:sz w:val="24"/>
              </w:rPr>
              <w:t>）；可能产生土壤和地下水污染的设施、设备主要为</w:t>
            </w:r>
            <w:r>
              <w:rPr>
                <w:rFonts w:hint="default" w:ascii="Times New Roman" w:hAnsi="Times New Roman" w:eastAsia="宋体" w:cs="Times New Roman"/>
                <w:color w:val="auto"/>
                <w:sz w:val="24"/>
                <w:lang w:val="en-US" w:eastAsia="zh-CN"/>
              </w:rPr>
              <w:t>胶水</w:t>
            </w:r>
            <w:r>
              <w:rPr>
                <w:rFonts w:hint="default" w:ascii="Times New Roman" w:hAnsi="Times New Roman" w:eastAsia="宋体" w:cs="Times New Roman"/>
                <w:color w:val="auto"/>
                <w:sz w:val="24"/>
              </w:rPr>
              <w:t>仓库和危废仓库。</w:t>
            </w:r>
          </w:p>
          <w:p w14:paraId="3CFBA28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本项目废水主要为生活污水，污染物浓度较低</w:t>
            </w:r>
            <w:r>
              <w:rPr>
                <w:rFonts w:hint="default" w:ascii="Times New Roman" w:hAnsi="Times New Roman" w:eastAsia="宋体" w:cs="Times New Roman"/>
                <w:color w:val="auto"/>
                <w:sz w:val="24"/>
              </w:rPr>
              <w:t>，不会对土壤和地下水造成不利影响。</w:t>
            </w:r>
          </w:p>
          <w:p w14:paraId="6261DB4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本项目运营期间可能出现的土壤和地下水污染情况分析：</w:t>
            </w:r>
          </w:p>
          <w:p w14:paraId="2C0D35E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①本项目</w:t>
            </w:r>
            <w:r>
              <w:rPr>
                <w:rFonts w:hint="eastAsia" w:ascii="Times New Roman" w:hAnsi="Times New Roman" w:eastAsia="宋体" w:cs="Times New Roman"/>
                <w:color w:val="auto"/>
                <w:sz w:val="24"/>
                <w:lang w:val="en-US" w:eastAsia="zh-CN"/>
              </w:rPr>
              <w:t>冷却液等原料</w:t>
            </w:r>
            <w:r>
              <w:rPr>
                <w:rFonts w:hint="default" w:ascii="Times New Roman" w:hAnsi="Times New Roman" w:eastAsia="宋体" w:cs="Times New Roman"/>
                <w:color w:val="auto"/>
                <w:sz w:val="24"/>
              </w:rPr>
              <w:t>的单桶包装规格均较小，全厂地面均设置防腐水泥、防渗漏涂层等措施；液体物料一旦发生泄漏均可控制在厂界范围内，不存在可能造成土壤和地下水污染的途径。</w:t>
            </w:r>
          </w:p>
          <w:p w14:paraId="3C82278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②厂内若发生火灾、爆炸事故，事故状态下事故废水外溢，通过地表漫流途径及地下水渗流途径导致项目周边土壤和地下水的污染。</w:t>
            </w:r>
          </w:p>
          <w:p w14:paraId="3BC0D24D">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2、土壤、地下水环境保护污染防控措施</w:t>
            </w:r>
          </w:p>
          <w:p w14:paraId="5D19999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下水及土壤保护以预防为主，减少污染物进入地下水含水层几率和途径，一旦发现地下水遭受污染，应及时采取补救措施。针对本项目可能发生的地下水污染，地下水污染防治措施按照“源头控制、分区防护、污染监控、应急响应”相结合的原则，从污染物的产生、入渗、扩散、应急响应全方位进行控制。</w:t>
            </w:r>
          </w:p>
          <w:p w14:paraId="25F8B4B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①源头控制</w:t>
            </w:r>
          </w:p>
          <w:p w14:paraId="344CC43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采取低挥发的原料，保证各废气处理措施运行良好，可有效降低挥发性有机物对环境的排放，降低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48A4931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②过程控制措施</w:t>
            </w:r>
          </w:p>
          <w:p w14:paraId="1B81102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地上设施，在事故情况和降雨情况下产生的废水会发生地面漫流，进一步污染土壤。企业按照要求在各阀门、溢流井等调控控制事故废水。全面防控事故废水和可能受污染的雨水发生地面漫流，进入土壤。正常工况下，由于车间及厂区地面均由水泥硬化，危废库等区域均采取了防渗措施，一般情况下不会发生液态物料</w:t>
            </w:r>
            <w:r>
              <w:rPr>
                <w:rFonts w:hint="eastAsia" w:ascii="Times New Roman" w:hAnsi="Times New Roman" w:eastAsia="宋体" w:cs="Times New Roman"/>
                <w:color w:val="auto"/>
                <w:sz w:val="24"/>
                <w:lang w:eastAsia="zh-CN"/>
              </w:rPr>
              <w:t>泄漏</w:t>
            </w:r>
            <w:r>
              <w:rPr>
                <w:rFonts w:hint="default" w:ascii="Times New Roman" w:hAnsi="Times New Roman" w:eastAsia="宋体" w:cs="Times New Roman"/>
                <w:color w:val="auto"/>
                <w:sz w:val="24"/>
              </w:rPr>
              <w:t>污染土壤及地下水的情况。涉及地面漫流途径须设置防渗、地面硬化等措施。对于项目事故状态的废水，必须保证在未经处理满足要求的前提下不得流出厂界。项目须贯彻“围、追、堵、截”的原则，采取多级防护措施，确保事故废水未经处理不得出厂界。</w:t>
            </w:r>
          </w:p>
          <w:p w14:paraId="6E84924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③分区防控</w:t>
            </w:r>
          </w:p>
          <w:p w14:paraId="57CFE47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根据防渗参照的标准和规范，结合目前施工过程中的可操作性和技术水平，针对不同的防渗区域采用典型防渗措施，在具体设计中将根据实际情况在满足防渗标准的前提下做必要的调整。</w:t>
            </w:r>
          </w:p>
          <w:p w14:paraId="65194D2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本项目针对污染特点设置土壤、地下水一般污染防渗区和重点防渗区，防渗分区情况下表。</w:t>
            </w:r>
          </w:p>
          <w:p w14:paraId="4F7ACE3B">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-21</w:t>
            </w:r>
            <w:r>
              <w:rPr>
                <w:rFonts w:hint="default" w:ascii="Times New Roman" w:hAnsi="Times New Roman" w:eastAsia="宋体" w:cs="Times New Roman"/>
                <w:b/>
                <w:color w:val="auto"/>
                <w:sz w:val="24"/>
              </w:rPr>
              <w:t xml:space="preserve">  本项目污染防渗区划分</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9"/>
              <w:gridCol w:w="952"/>
              <w:gridCol w:w="1987"/>
              <w:gridCol w:w="2554"/>
              <w:gridCol w:w="2293"/>
            </w:tblGrid>
            <w:tr w14:paraId="668F52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05" w:type="pct"/>
                  <w:gridSpan w:val="2"/>
                  <w:vAlign w:val="center"/>
                </w:tcPr>
                <w:p w14:paraId="7C90B7F7">
                  <w:pPr>
                    <w:pStyle w:val="2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分区</w:t>
                  </w:r>
                </w:p>
              </w:tc>
              <w:tc>
                <w:tcPr>
                  <w:tcW w:w="1190" w:type="pct"/>
                  <w:vAlign w:val="center"/>
                </w:tcPr>
                <w:p w14:paraId="6E075903">
                  <w:pPr>
                    <w:pStyle w:val="2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定义</w:t>
                  </w:r>
                </w:p>
              </w:tc>
              <w:tc>
                <w:tcPr>
                  <w:tcW w:w="1530" w:type="pct"/>
                  <w:vAlign w:val="center"/>
                </w:tcPr>
                <w:p w14:paraId="2533B0BA">
                  <w:pPr>
                    <w:pStyle w:val="2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厂内分区</w:t>
                  </w:r>
                </w:p>
              </w:tc>
              <w:tc>
                <w:tcPr>
                  <w:tcW w:w="1373" w:type="pct"/>
                  <w:vAlign w:val="center"/>
                </w:tcPr>
                <w:p w14:paraId="119392D4">
                  <w:pPr>
                    <w:pStyle w:val="26"/>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防渗等级</w:t>
                  </w:r>
                </w:p>
              </w:tc>
            </w:tr>
            <w:tr w14:paraId="04AA08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5" w:type="pct"/>
                  <w:vMerge w:val="restart"/>
                  <w:vAlign w:val="center"/>
                </w:tcPr>
                <w:p w14:paraId="4A2B771B">
                  <w:pPr>
                    <w:pStyle w:val="26"/>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污染区</w:t>
                  </w:r>
                </w:p>
              </w:tc>
              <w:tc>
                <w:tcPr>
                  <w:tcW w:w="569" w:type="pct"/>
                  <w:vAlign w:val="center"/>
                </w:tcPr>
                <w:p w14:paraId="62DFBC58">
                  <w:pPr>
                    <w:pStyle w:val="26"/>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重点防渗区</w:t>
                  </w:r>
                </w:p>
              </w:tc>
              <w:tc>
                <w:tcPr>
                  <w:tcW w:w="1190" w:type="pct"/>
                  <w:vAlign w:val="center"/>
                </w:tcPr>
                <w:p w14:paraId="3A225A8E">
                  <w:pPr>
                    <w:pStyle w:val="26"/>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危害性大，污染物较大的生产装置区，污染控制难度较难</w:t>
                  </w:r>
                </w:p>
              </w:tc>
              <w:tc>
                <w:tcPr>
                  <w:tcW w:w="1530" w:type="pct"/>
                  <w:vAlign w:val="center"/>
                </w:tcPr>
                <w:p w14:paraId="7918B608">
                  <w:pPr>
                    <w:pStyle w:val="26"/>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cs="Times New Roman"/>
                      <w:b w:val="0"/>
                      <w:color w:val="auto"/>
                      <w:sz w:val="21"/>
                      <w:szCs w:val="21"/>
                      <w:lang w:val="en-US" w:eastAsia="zh-CN"/>
                    </w:rPr>
                    <w:t>生产车间、仓库</w:t>
                  </w:r>
                  <w:r>
                    <w:rPr>
                      <w:rFonts w:hint="default" w:ascii="Times New Roman" w:hAnsi="Times New Roman" w:cs="Times New Roman"/>
                      <w:b w:val="0"/>
                      <w:color w:val="auto"/>
                      <w:sz w:val="21"/>
                      <w:szCs w:val="21"/>
                    </w:rPr>
                    <w:t>、危废仓库</w:t>
                  </w:r>
                </w:p>
              </w:tc>
              <w:tc>
                <w:tcPr>
                  <w:tcW w:w="1373" w:type="pct"/>
                  <w:vAlign w:val="center"/>
                </w:tcPr>
                <w:p w14:paraId="7783F8CB">
                  <w:pPr>
                    <w:pStyle w:val="26"/>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设计渗透系数≤1.0</w:t>
                  </w:r>
                  <w:r>
                    <w:rPr>
                      <w:rFonts w:hint="default" w:ascii="Times New Roman" w:hAnsi="Times New Roman" w:cs="Times New Roman"/>
                      <w:b w:val="0"/>
                      <w:color w:val="auto"/>
                      <w:lang w:eastAsia="zh-CN"/>
                    </w:rPr>
                    <w:t>（</w:t>
                  </w:r>
                  <w:r>
                    <w:rPr>
                      <w:rFonts w:hint="default" w:ascii="Times New Roman" w:hAnsi="Times New Roman" w:cs="Times New Roman"/>
                      <w:b w:val="0"/>
                      <w:color w:val="auto"/>
                      <w:sz w:val="21"/>
                      <w:szCs w:val="21"/>
                    </w:rPr>
                    <w:t>10</w:t>
                  </w:r>
                  <w:r>
                    <w:rPr>
                      <w:rFonts w:hint="default" w:ascii="Times New Roman" w:hAnsi="Times New Roman" w:cs="Times New Roman"/>
                      <w:b w:val="0"/>
                      <w:color w:val="auto"/>
                      <w:sz w:val="21"/>
                      <w:szCs w:val="21"/>
                      <w:vertAlign w:val="superscript"/>
                    </w:rPr>
                    <w:t>-10</w:t>
                  </w:r>
                  <w:r>
                    <w:rPr>
                      <w:rFonts w:hint="default" w:ascii="Times New Roman" w:hAnsi="Times New Roman" w:cs="Times New Roman"/>
                      <w:b w:val="0"/>
                      <w:color w:val="auto"/>
                      <w:sz w:val="21"/>
                      <w:szCs w:val="21"/>
                    </w:rPr>
                    <w:t>cm/s，等效黏土防渗层Mb≥6.0m</w:t>
                  </w:r>
                </w:p>
              </w:tc>
            </w:tr>
            <w:tr w14:paraId="2BE368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5" w:type="pct"/>
                  <w:vMerge w:val="continue"/>
                  <w:vAlign w:val="center"/>
                </w:tcPr>
                <w:p w14:paraId="1062C9E9">
                  <w:pPr>
                    <w:pStyle w:val="26"/>
                    <w:jc w:val="center"/>
                    <w:rPr>
                      <w:rFonts w:hint="default" w:ascii="Times New Roman" w:hAnsi="Times New Roman" w:cs="Times New Roman"/>
                      <w:b w:val="0"/>
                      <w:color w:val="auto"/>
                      <w:sz w:val="21"/>
                      <w:szCs w:val="21"/>
                    </w:rPr>
                  </w:pPr>
                </w:p>
              </w:tc>
              <w:tc>
                <w:tcPr>
                  <w:tcW w:w="569" w:type="pct"/>
                  <w:vAlign w:val="center"/>
                </w:tcPr>
                <w:p w14:paraId="765F63B5">
                  <w:pPr>
                    <w:pStyle w:val="26"/>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一般防渗区</w:t>
                  </w:r>
                </w:p>
              </w:tc>
              <w:tc>
                <w:tcPr>
                  <w:tcW w:w="1190" w:type="pct"/>
                  <w:vAlign w:val="center"/>
                </w:tcPr>
                <w:p w14:paraId="3622DD91">
                  <w:pPr>
                    <w:pStyle w:val="26"/>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无毒性或毒性小的生产装置区、装置区外管廊区，污染控制难度较易</w:t>
                  </w:r>
                </w:p>
              </w:tc>
              <w:tc>
                <w:tcPr>
                  <w:tcW w:w="1530" w:type="pct"/>
                  <w:vAlign w:val="center"/>
                </w:tcPr>
                <w:p w14:paraId="4D1BC281">
                  <w:pPr>
                    <w:pStyle w:val="26"/>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除重点防渗区以外</w:t>
                  </w:r>
                </w:p>
              </w:tc>
              <w:tc>
                <w:tcPr>
                  <w:tcW w:w="1373" w:type="pct"/>
                  <w:vAlign w:val="center"/>
                </w:tcPr>
                <w:p w14:paraId="570897DF">
                  <w:pPr>
                    <w:pStyle w:val="26"/>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设计渗透系数＜1.0</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rPr>
                    <w:t>10</w:t>
                  </w:r>
                  <w:r>
                    <w:rPr>
                      <w:rFonts w:hint="default" w:ascii="Times New Roman" w:hAnsi="Times New Roman" w:cs="Times New Roman"/>
                      <w:b w:val="0"/>
                      <w:color w:val="auto"/>
                      <w:sz w:val="21"/>
                      <w:szCs w:val="21"/>
                      <w:vertAlign w:val="superscript"/>
                    </w:rPr>
                    <w:t>-7</w:t>
                  </w:r>
                  <w:r>
                    <w:rPr>
                      <w:rFonts w:hint="default" w:ascii="Times New Roman" w:hAnsi="Times New Roman" w:cs="Times New Roman"/>
                      <w:b w:val="0"/>
                      <w:color w:val="auto"/>
                      <w:sz w:val="21"/>
                      <w:szCs w:val="21"/>
                    </w:rPr>
                    <w:t>cm/s，等效黏土防渗层Mb≥1.5m</w:t>
                  </w:r>
                </w:p>
              </w:tc>
            </w:tr>
          </w:tbl>
          <w:p w14:paraId="549402E9">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防渗区自上而下采用人工大理石或水泥防渗结构，车间地面全部进行粘土夯实、混凝硬化。如采取粘土铺底，再在上层铺10~15cm的水泥进行硬化。重点污染区的防渗设计参照《危险废物填埋污染控制标准》要求，采取三层叠加防渗层的防渗措施。具体为：底层铺设10cm~50cm厚成品水泥混凝土，中层铺设1cm~5cm厚的成品普通防腐水泥，上层铺设≥0.1mm~0.2mm厚的环氧树脂涂层。防渗剖面见图4</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279A616B">
            <w:pPr>
              <w:spacing w:line="360" w:lineRule="auto"/>
              <w:jc w:val="center"/>
              <w:rPr>
                <w:rFonts w:hint="default" w:ascii="Times New Roman" w:hAnsi="Times New Roman" w:eastAsia="宋体" w:cs="Times New Roman"/>
                <w:color w:val="auto"/>
                <w:sz w:val="24"/>
              </w:rPr>
            </w:pPr>
            <w:r>
              <w:rPr>
                <w:rFonts w:hint="default" w:ascii="Times New Roman" w:hAnsi="Times New Roman" w:cs="Times New Roman"/>
                <w:color w:val="auto"/>
              </w:rPr>
              <w:drawing>
                <wp:inline distT="0" distB="0" distL="0" distR="0">
                  <wp:extent cx="5170805" cy="18853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171429" cy="1885714"/>
                          </a:xfrm>
                          <a:prstGeom prst="rect">
                            <a:avLst/>
                          </a:prstGeom>
                        </pic:spPr>
                      </pic:pic>
                    </a:graphicData>
                  </a:graphic>
                </wp:inline>
              </w:drawing>
            </w:r>
          </w:p>
          <w:p w14:paraId="0AC1DE90">
            <w:pPr>
              <w:spacing w:line="36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图4-</w:t>
            </w:r>
            <w:r>
              <w:rPr>
                <w:rFonts w:hint="eastAsia" w:ascii="Times New Roman" w:hAnsi="Times New Roman" w:eastAsia="宋体" w:cs="Times New Roman"/>
                <w:b/>
                <w:color w:val="auto"/>
                <w:sz w:val="24"/>
                <w:lang w:val="en-US" w:eastAsia="zh-CN"/>
              </w:rPr>
              <w:t xml:space="preserve">3 </w:t>
            </w:r>
            <w:r>
              <w:rPr>
                <w:rFonts w:hint="default" w:ascii="Times New Roman" w:hAnsi="Times New Roman" w:eastAsia="宋体" w:cs="Times New Roman"/>
                <w:b/>
                <w:color w:val="auto"/>
                <w:sz w:val="24"/>
              </w:rPr>
              <w:t xml:space="preserve"> 重点区域防渗层剖面图</w:t>
            </w:r>
          </w:p>
          <w:p w14:paraId="4FC9580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④应急响应措施</w:t>
            </w:r>
          </w:p>
          <w:p w14:paraId="0A5BAD5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一旦发生泄漏、火灾或爆炸等突发环境事件，应立即启动突发环境事件应急预案，采取切断污染源、防止污染物扩散、减少和消除污染物等一系列应急措施，同时应密切关注地下水水质变化情况。对突发环境事件现场进行调查、监测、处理，对突发环境事件发生后果进行评估，并制定防止类似事件发生的措施。</w:t>
            </w:r>
          </w:p>
          <w:p w14:paraId="7D673705">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六、环境风险</w:t>
            </w:r>
          </w:p>
          <w:p w14:paraId="430D8EDA">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1、建设项目风险源调查</w:t>
            </w:r>
          </w:p>
          <w:p w14:paraId="63222A8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参照《建设项目环境风险评价技术导则》（HJ169-2018）及其附录B，本项目所涉及的危险物质主要为原辅料中的</w:t>
            </w:r>
            <w:r>
              <w:rPr>
                <w:rFonts w:hint="eastAsia" w:ascii="Times New Roman" w:hAnsi="Times New Roman" w:eastAsia="宋体" w:cs="Times New Roman"/>
                <w:color w:val="auto"/>
                <w:sz w:val="24"/>
                <w:lang w:val="en-US" w:eastAsia="zh-CN"/>
              </w:rPr>
              <w:t>冷却液、热熔胶等以及危险废物</w:t>
            </w:r>
            <w:r>
              <w:rPr>
                <w:rFonts w:hint="default" w:ascii="Times New Roman" w:hAnsi="Times New Roman" w:eastAsia="宋体" w:cs="Times New Roman"/>
                <w:color w:val="auto"/>
                <w:sz w:val="24"/>
              </w:rPr>
              <w:t>。危险物质危险性识别见下表。</w:t>
            </w:r>
          </w:p>
          <w:p w14:paraId="6E99B7D3">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-22</w:t>
            </w:r>
            <w:r>
              <w:rPr>
                <w:rFonts w:hint="default" w:ascii="Times New Roman" w:hAnsi="Times New Roman" w:eastAsia="宋体" w:cs="Times New Roman"/>
                <w:b/>
                <w:color w:val="auto"/>
                <w:sz w:val="24"/>
              </w:rPr>
              <w:t xml:space="preserve">  危险物质危险性识别表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4"/>
              <w:gridCol w:w="1971"/>
              <w:gridCol w:w="3103"/>
              <w:gridCol w:w="2020"/>
            </w:tblGrid>
            <w:tr w14:paraId="0A22C1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754B0A0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物质类别</w:t>
                  </w:r>
                </w:p>
              </w:tc>
              <w:tc>
                <w:tcPr>
                  <w:tcW w:w="1180" w:type="pct"/>
                  <w:vAlign w:val="center"/>
                </w:tcPr>
                <w:p w14:paraId="33D6CF7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物质名称</w:t>
                  </w:r>
                </w:p>
              </w:tc>
              <w:tc>
                <w:tcPr>
                  <w:tcW w:w="1858" w:type="pct"/>
                  <w:vAlign w:val="center"/>
                </w:tcPr>
                <w:p w14:paraId="146ED9F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毒理性质</w:t>
                  </w:r>
                </w:p>
              </w:tc>
              <w:tc>
                <w:tcPr>
                  <w:tcW w:w="1209" w:type="pct"/>
                  <w:vAlign w:val="center"/>
                </w:tcPr>
                <w:p w14:paraId="3F1CBB4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燃爆性质</w:t>
                  </w:r>
                </w:p>
              </w:tc>
            </w:tr>
            <w:tr w14:paraId="296112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restart"/>
                  <w:vAlign w:val="center"/>
                </w:tcPr>
                <w:p w14:paraId="28B5EEC3">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原辅材料</w:t>
                  </w:r>
                </w:p>
              </w:tc>
              <w:tc>
                <w:tcPr>
                  <w:tcW w:w="1180" w:type="pct"/>
                  <w:vAlign w:val="center"/>
                </w:tcPr>
                <w:p w14:paraId="2966D5A3">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冷却液</w:t>
                  </w:r>
                </w:p>
              </w:tc>
              <w:tc>
                <w:tcPr>
                  <w:tcW w:w="1858" w:type="pct"/>
                  <w:vAlign w:val="center"/>
                </w:tcPr>
                <w:p w14:paraId="27E6D4B8">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1209" w:type="pct"/>
                  <w:vAlign w:val="center"/>
                </w:tcPr>
                <w:p w14:paraId="49B20942">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可燃</w:t>
                  </w:r>
                </w:p>
              </w:tc>
            </w:tr>
            <w:tr w14:paraId="3AFE8E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174300DD">
                  <w:pPr>
                    <w:jc w:val="center"/>
                    <w:rPr>
                      <w:rFonts w:hint="default" w:ascii="Times New Roman" w:hAnsi="Times New Roman" w:eastAsia="宋体" w:cs="Times New Roman"/>
                      <w:bCs/>
                      <w:color w:val="auto"/>
                      <w:sz w:val="21"/>
                      <w:szCs w:val="21"/>
                    </w:rPr>
                  </w:pPr>
                </w:p>
              </w:tc>
              <w:tc>
                <w:tcPr>
                  <w:tcW w:w="1180" w:type="pct"/>
                  <w:vAlign w:val="center"/>
                </w:tcPr>
                <w:p w14:paraId="2B8455A4">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kern w:val="1"/>
                      <w:sz w:val="21"/>
                      <w:szCs w:val="21"/>
                      <w:lang w:val="en-US" w:eastAsia="zh-CN"/>
                    </w:rPr>
                    <w:t>热熔胶</w:t>
                  </w:r>
                </w:p>
              </w:tc>
              <w:tc>
                <w:tcPr>
                  <w:tcW w:w="1858" w:type="pct"/>
                  <w:vAlign w:val="center"/>
                </w:tcPr>
                <w:p w14:paraId="11657058">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1209" w:type="pct"/>
                  <w:vAlign w:val="center"/>
                </w:tcPr>
                <w:p w14:paraId="2DFDB87A">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可燃</w:t>
                  </w:r>
                </w:p>
              </w:tc>
            </w:tr>
            <w:tr w14:paraId="417838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722226DE">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危险废物</w:t>
                  </w:r>
                </w:p>
              </w:tc>
              <w:tc>
                <w:tcPr>
                  <w:tcW w:w="1180" w:type="pct"/>
                  <w:vAlign w:val="center"/>
                </w:tcPr>
                <w:p w14:paraId="7B0D303B">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58" w:type="pct"/>
                  <w:vAlign w:val="center"/>
                </w:tcPr>
                <w:p w14:paraId="592D5B6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09" w:type="pct"/>
                  <w:shd w:val="clear" w:color="auto" w:fill="auto"/>
                  <w:vAlign w:val="center"/>
                </w:tcPr>
                <w:p w14:paraId="0D28C221">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易燃</w:t>
                  </w:r>
                </w:p>
              </w:tc>
            </w:tr>
          </w:tbl>
          <w:p w14:paraId="6AA6CB7A">
            <w:pPr>
              <w:spacing w:before="156" w:beforeLines="50"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2、危险物质数量与临界量比值</w:t>
            </w:r>
          </w:p>
          <w:p w14:paraId="078EA6B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参照《建设项目环境风险评价技术导则》（HJ169-2018）附录C，计算所涉及的每种危险物质在厂界内的最大存在总量与其在附录B中对应临界量的比值Q。</w:t>
            </w:r>
          </w:p>
          <w:p w14:paraId="464EEBB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当存在多种危险物质时，使用以下公式计算物质总量与临界量的比值Q：</w:t>
            </w:r>
          </w:p>
          <w:p w14:paraId="5946FB23">
            <w:pPr>
              <w:spacing w:line="360" w:lineRule="auto"/>
              <w:jc w:val="center"/>
              <w:rPr>
                <w:rFonts w:hint="default" w:ascii="Times New Roman" w:hAnsi="Times New Roman" w:eastAsia="宋体" w:cs="Times New Roman"/>
                <w:color w:val="auto"/>
                <w:sz w:val="24"/>
              </w:rPr>
            </w:pPr>
            <w:r>
              <w:rPr>
                <w:rFonts w:hint="default" w:ascii="Times New Roman" w:hAnsi="Times New Roman" w:cs="Times New Roman"/>
                <w:color w:val="auto"/>
              </w:rPr>
              <w:drawing>
                <wp:inline distT="0" distB="0" distL="0" distR="0">
                  <wp:extent cx="1657350" cy="428625"/>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19"/>
                          <a:srcRect/>
                          <a:stretch>
                            <a:fillRect/>
                          </a:stretch>
                        </pic:blipFill>
                        <pic:spPr>
                          <a:xfrm>
                            <a:off x="0" y="0"/>
                            <a:ext cx="1657350" cy="428625"/>
                          </a:xfrm>
                          <a:prstGeom prst="rect">
                            <a:avLst/>
                          </a:prstGeom>
                          <a:noFill/>
                          <a:ln w="9525" cmpd="sng">
                            <a:noFill/>
                            <a:miter lim="800000"/>
                            <a:headEnd/>
                            <a:tailEnd/>
                          </a:ln>
                        </pic:spPr>
                      </pic:pic>
                    </a:graphicData>
                  </a:graphic>
                </wp:inline>
              </w:drawing>
            </w:r>
          </w:p>
          <w:p w14:paraId="617B3F85">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w:t>
            </w:r>
          </w:p>
          <w:p w14:paraId="5AF9D4FB">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——每种危险物质的最大存在总量，t；</w:t>
            </w:r>
          </w:p>
          <w:p w14:paraId="67423971">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——每种危险物质的临界量，t。</w:t>
            </w:r>
          </w:p>
          <w:p w14:paraId="24718466">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当Q＜1时，该项目环境风险潜势为Ⅰ。</w:t>
            </w:r>
          </w:p>
          <w:p w14:paraId="3E32BFC2">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当Q≥1时，将Q值划分为：（1）1≤Q＜10；（2）10≤Q＜100；（3）Q≥100。</w:t>
            </w:r>
          </w:p>
          <w:p w14:paraId="7248F9AA">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本项目Q值计算结果见下表。</w:t>
            </w:r>
          </w:p>
          <w:p w14:paraId="039B6A45">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-23</w:t>
            </w:r>
            <w:r>
              <w:rPr>
                <w:rFonts w:hint="default" w:ascii="Times New Roman" w:hAnsi="Times New Roman" w:eastAsia="宋体" w:cs="Times New Roman"/>
                <w:b/>
                <w:bCs/>
                <w:color w:val="auto"/>
                <w:sz w:val="24"/>
              </w:rPr>
              <w:t xml:space="preserve">  危险物质数量与临界量比值结果表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70"/>
              <w:gridCol w:w="1543"/>
              <w:gridCol w:w="1416"/>
              <w:gridCol w:w="2702"/>
              <w:gridCol w:w="1017"/>
            </w:tblGrid>
            <w:tr w14:paraId="4FC0C6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2E78B623">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危险物质名称</w:t>
                  </w:r>
                </w:p>
              </w:tc>
              <w:tc>
                <w:tcPr>
                  <w:tcW w:w="924" w:type="pct"/>
                  <w:vAlign w:val="center"/>
                </w:tcPr>
                <w:p w14:paraId="7056F904">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最大储存量 t</w:t>
                  </w:r>
                </w:p>
              </w:tc>
              <w:tc>
                <w:tcPr>
                  <w:tcW w:w="848" w:type="pct"/>
                  <w:vAlign w:val="center"/>
                </w:tcPr>
                <w:p w14:paraId="4B91DA2F">
                  <w:pPr>
                    <w:jc w:val="center"/>
                    <w:rPr>
                      <w:rFonts w:hint="default" w:ascii="Times New Roman" w:hAnsi="Times New Roman" w:eastAsia="宋体" w:cs="Times New Roman"/>
                      <w:bCs/>
                      <w:color w:val="auto"/>
                    </w:rPr>
                  </w:pPr>
                  <w:r>
                    <w:rPr>
                      <w:rFonts w:hint="default" w:ascii="Times New Roman" w:hAnsi="Times New Roman" w:eastAsia="宋体" w:cs="Times New Roman"/>
                      <w:b/>
                      <w:bCs/>
                      <w:color w:val="auto"/>
                    </w:rPr>
                    <w:t>临界量 t</w:t>
                  </w:r>
                </w:p>
              </w:tc>
              <w:tc>
                <w:tcPr>
                  <w:tcW w:w="1618" w:type="pct"/>
                  <w:vAlign w:val="center"/>
                </w:tcPr>
                <w:p w14:paraId="1850E89B">
                  <w:pPr>
                    <w:jc w:val="center"/>
                    <w:rPr>
                      <w:rFonts w:hint="default" w:ascii="Times New Roman" w:hAnsi="Times New Roman" w:eastAsia="宋体" w:cs="Times New Roman"/>
                      <w:bCs/>
                      <w:color w:val="auto"/>
                    </w:rPr>
                  </w:pPr>
                  <w:r>
                    <w:rPr>
                      <w:rFonts w:hint="default" w:ascii="Times New Roman" w:hAnsi="Times New Roman" w:eastAsia="宋体" w:cs="Times New Roman"/>
                      <w:b/>
                      <w:bCs/>
                      <w:color w:val="auto"/>
                    </w:rPr>
                    <w:t>临界量依据</w:t>
                  </w:r>
                </w:p>
              </w:tc>
              <w:tc>
                <w:tcPr>
                  <w:tcW w:w="609" w:type="pct"/>
                  <w:vAlign w:val="center"/>
                </w:tcPr>
                <w:p w14:paraId="6E54372E">
                  <w:pPr>
                    <w:jc w:val="center"/>
                    <w:rPr>
                      <w:rFonts w:hint="default" w:ascii="Times New Roman" w:hAnsi="Times New Roman" w:eastAsia="宋体" w:cs="Times New Roman"/>
                      <w:bCs/>
                      <w:color w:val="auto"/>
                    </w:rPr>
                  </w:pPr>
                  <w:r>
                    <w:rPr>
                      <w:rFonts w:hint="default" w:ascii="Times New Roman" w:hAnsi="Times New Roman" w:eastAsia="宋体" w:cs="Times New Roman"/>
                      <w:b/>
                      <w:bCs/>
                      <w:color w:val="auto"/>
                    </w:rPr>
                    <w:t>q/Q</w:t>
                  </w:r>
                </w:p>
              </w:tc>
            </w:tr>
            <w:tr w14:paraId="6C45B0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1ABD75CC">
                  <w:pPr>
                    <w:jc w:val="center"/>
                    <w:rPr>
                      <w:rFonts w:hint="default" w:ascii="Times New Roman" w:hAnsi="Times New Roman" w:eastAsia="宋体" w:cs="Times New Roman"/>
                      <w:bCs/>
                      <w:color w:val="auto"/>
                      <w:kern w:val="2"/>
                      <w:sz w:val="21"/>
                      <w:szCs w:val="22"/>
                      <w:lang w:val="en-US" w:eastAsia="zh-CN" w:bidi="ar-SA"/>
                    </w:rPr>
                  </w:pPr>
                  <w:r>
                    <w:rPr>
                      <w:rFonts w:hint="eastAsia" w:ascii="Times New Roman" w:hAnsi="Times New Roman" w:eastAsia="宋体" w:cs="Times New Roman"/>
                      <w:bCs/>
                      <w:color w:val="auto"/>
                      <w:sz w:val="21"/>
                      <w:szCs w:val="21"/>
                      <w:lang w:val="en-US" w:eastAsia="zh-CN"/>
                    </w:rPr>
                    <w:t>冷却液</w:t>
                  </w:r>
                </w:p>
              </w:tc>
              <w:tc>
                <w:tcPr>
                  <w:tcW w:w="924" w:type="pct"/>
                  <w:vAlign w:val="center"/>
                </w:tcPr>
                <w:p w14:paraId="37F1A643">
                  <w:pPr>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0.02</w:t>
                  </w:r>
                </w:p>
              </w:tc>
              <w:tc>
                <w:tcPr>
                  <w:tcW w:w="848" w:type="pct"/>
                  <w:vAlign w:val="center"/>
                </w:tcPr>
                <w:p w14:paraId="5D64DC82">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50</w:t>
                  </w:r>
                </w:p>
              </w:tc>
              <w:tc>
                <w:tcPr>
                  <w:tcW w:w="1618" w:type="pct"/>
                  <w:vMerge w:val="restart"/>
                  <w:vAlign w:val="center"/>
                </w:tcPr>
                <w:p w14:paraId="36080C7D">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《建设项目环境风险评价技术导则》（HJ 169-2018）</w:t>
                  </w:r>
                  <w:r>
                    <w:rPr>
                      <w:rFonts w:hint="eastAsia" w:ascii="Times New Roman" w:hAnsi="Times New Roman" w:eastAsia="宋体" w:cs="Times New Roman"/>
                      <w:bCs/>
                      <w:color w:val="auto"/>
                      <w:lang w:val="en-US" w:eastAsia="zh-CN"/>
                    </w:rPr>
                    <w:t>中</w:t>
                  </w:r>
                  <w:r>
                    <w:rPr>
                      <w:rFonts w:hint="default" w:ascii="Times New Roman" w:hAnsi="Times New Roman" w:eastAsia="宋体" w:cs="Times New Roman"/>
                      <w:bCs/>
                      <w:color w:val="auto"/>
                    </w:rPr>
                    <w:t>附录B.2健康危险急性毒性物质（类别2，类别3）</w:t>
                  </w:r>
                </w:p>
              </w:tc>
              <w:tc>
                <w:tcPr>
                  <w:tcW w:w="609" w:type="pct"/>
                  <w:tcBorders>
                    <w:top w:val="nil"/>
                    <w:left w:val="nil"/>
                    <w:bottom w:val="single" w:color="auto" w:sz="8" w:space="0"/>
                    <w:right w:val="nil"/>
                  </w:tcBorders>
                  <w:shd w:val="clear" w:color="auto" w:fill="auto"/>
                  <w:vAlign w:val="center"/>
                </w:tcPr>
                <w:p w14:paraId="2D6EBE6C">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eastAsia="等线" w:cs="Times New Roman"/>
                      <w:color w:val="auto"/>
                      <w:szCs w:val="21"/>
                      <w:lang w:val="en-US" w:eastAsia="zh-CN"/>
                    </w:rPr>
                    <w:t>0.0004</w:t>
                  </w:r>
                </w:p>
              </w:tc>
            </w:tr>
            <w:tr w14:paraId="2775A1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1000" w:type="pct"/>
                  <w:vAlign w:val="center"/>
                </w:tcPr>
                <w:p w14:paraId="2A3351F9">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热熔胶</w:t>
                  </w:r>
                </w:p>
              </w:tc>
              <w:tc>
                <w:tcPr>
                  <w:tcW w:w="924" w:type="pct"/>
                  <w:vAlign w:val="center"/>
                </w:tcPr>
                <w:p w14:paraId="51E1358E">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0.04</w:t>
                  </w:r>
                </w:p>
              </w:tc>
              <w:tc>
                <w:tcPr>
                  <w:tcW w:w="848" w:type="pct"/>
                  <w:vAlign w:val="center"/>
                </w:tcPr>
                <w:p w14:paraId="3EA7B830">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50</w:t>
                  </w:r>
                </w:p>
              </w:tc>
              <w:tc>
                <w:tcPr>
                  <w:tcW w:w="1618" w:type="pct"/>
                  <w:vMerge w:val="continue"/>
                  <w:vAlign w:val="center"/>
                </w:tcPr>
                <w:p w14:paraId="0BB52F89">
                  <w:pPr>
                    <w:jc w:val="center"/>
                    <w:rPr>
                      <w:rFonts w:hint="default" w:ascii="Times New Roman" w:hAnsi="Times New Roman" w:eastAsia="宋体" w:cs="Times New Roman"/>
                      <w:bCs/>
                      <w:color w:val="auto"/>
                    </w:rPr>
                  </w:pPr>
                </w:p>
              </w:tc>
              <w:tc>
                <w:tcPr>
                  <w:tcW w:w="609" w:type="pct"/>
                  <w:tcBorders>
                    <w:top w:val="nil"/>
                    <w:left w:val="nil"/>
                    <w:bottom w:val="single" w:color="auto" w:sz="8" w:space="0"/>
                    <w:right w:val="nil"/>
                  </w:tcBorders>
                  <w:shd w:val="clear" w:color="auto" w:fill="auto"/>
                  <w:vAlign w:val="center"/>
                </w:tcPr>
                <w:p w14:paraId="238B90AC">
                  <w:pPr>
                    <w:widowControl/>
                    <w:jc w:val="center"/>
                    <w:rPr>
                      <w:rFonts w:hint="eastAsia" w:ascii="Times New Roman" w:hAnsi="Times New Roman" w:eastAsia="等线" w:cs="Times New Roman"/>
                      <w:color w:val="auto"/>
                      <w:szCs w:val="21"/>
                      <w:lang w:val="en-US" w:eastAsia="zh-CN"/>
                    </w:rPr>
                  </w:pPr>
                  <w:r>
                    <w:rPr>
                      <w:rFonts w:hint="eastAsia" w:ascii="Times New Roman" w:hAnsi="Times New Roman" w:eastAsia="等线" w:cs="Times New Roman"/>
                      <w:color w:val="auto"/>
                      <w:szCs w:val="21"/>
                      <w:lang w:val="en-US" w:eastAsia="zh-CN"/>
                    </w:rPr>
                    <w:t>0.0008</w:t>
                  </w:r>
                </w:p>
              </w:tc>
            </w:tr>
            <w:tr w14:paraId="706B58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6E75D24C">
                  <w:pPr>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危险废物</w:t>
                  </w:r>
                </w:p>
              </w:tc>
              <w:tc>
                <w:tcPr>
                  <w:tcW w:w="924" w:type="pct"/>
                  <w:vAlign w:val="center"/>
                </w:tcPr>
                <w:p w14:paraId="698D0F8B">
                  <w:pPr>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2.357</w:t>
                  </w:r>
                </w:p>
              </w:tc>
              <w:tc>
                <w:tcPr>
                  <w:tcW w:w="848" w:type="pct"/>
                  <w:shd w:val="clear" w:color="auto" w:fill="auto"/>
                  <w:vAlign w:val="center"/>
                </w:tcPr>
                <w:p w14:paraId="774A2848">
                  <w:pPr>
                    <w:jc w:val="center"/>
                    <w:rPr>
                      <w:rFonts w:hint="default" w:ascii="Times New Roman" w:hAnsi="Times New Roman" w:eastAsia="宋体" w:cs="Times New Roman"/>
                      <w:bCs/>
                      <w:color w:val="auto"/>
                      <w:kern w:val="2"/>
                      <w:sz w:val="21"/>
                      <w:szCs w:val="22"/>
                      <w:lang w:val="en-US" w:eastAsia="zh-CN" w:bidi="ar-SA"/>
                    </w:rPr>
                  </w:pPr>
                  <w:r>
                    <w:rPr>
                      <w:rFonts w:hint="default" w:ascii="Times New Roman" w:hAnsi="Times New Roman" w:eastAsia="宋体" w:cs="Times New Roman"/>
                      <w:bCs/>
                      <w:color w:val="auto"/>
                    </w:rPr>
                    <w:t>50</w:t>
                  </w:r>
                </w:p>
              </w:tc>
              <w:tc>
                <w:tcPr>
                  <w:tcW w:w="1618" w:type="pct"/>
                  <w:vMerge w:val="continue"/>
                  <w:shd w:val="clear" w:color="auto" w:fill="auto"/>
                  <w:vAlign w:val="center"/>
                </w:tcPr>
                <w:p w14:paraId="088DE098">
                  <w:pPr>
                    <w:jc w:val="center"/>
                    <w:rPr>
                      <w:rFonts w:hint="default" w:ascii="Times New Roman" w:hAnsi="Times New Roman" w:eastAsia="宋体" w:cs="Times New Roman"/>
                      <w:bCs/>
                      <w:color w:val="auto"/>
                      <w:kern w:val="2"/>
                      <w:sz w:val="21"/>
                      <w:szCs w:val="22"/>
                      <w:lang w:val="en-US" w:eastAsia="zh-CN" w:bidi="ar-SA"/>
                    </w:rPr>
                  </w:pPr>
                </w:p>
              </w:tc>
              <w:tc>
                <w:tcPr>
                  <w:tcW w:w="609" w:type="pct"/>
                  <w:tcBorders>
                    <w:top w:val="nil"/>
                    <w:left w:val="nil"/>
                    <w:bottom w:val="single" w:color="auto" w:sz="8" w:space="0"/>
                    <w:right w:val="nil"/>
                  </w:tcBorders>
                  <w:shd w:val="clear" w:color="auto" w:fill="auto"/>
                  <w:vAlign w:val="center"/>
                </w:tcPr>
                <w:p w14:paraId="1E612BC5">
                  <w:pPr>
                    <w:jc w:val="center"/>
                    <w:rPr>
                      <w:rFonts w:hint="default" w:ascii="Times New Roman" w:hAnsi="Times New Roman" w:eastAsia="等线" w:cs="Times New Roman"/>
                      <w:color w:val="auto"/>
                      <w:szCs w:val="21"/>
                      <w:lang w:val="en-US" w:eastAsia="zh-CN"/>
                    </w:rPr>
                  </w:pPr>
                  <w:r>
                    <w:rPr>
                      <w:rFonts w:hint="eastAsia" w:ascii="Times New Roman" w:hAnsi="Times New Roman" w:eastAsia="等线" w:cs="Times New Roman"/>
                      <w:color w:val="auto"/>
                      <w:szCs w:val="21"/>
                      <w:lang w:val="en-US" w:eastAsia="zh-CN"/>
                    </w:rPr>
                    <w:t>0.04714</w:t>
                  </w:r>
                </w:p>
              </w:tc>
            </w:tr>
            <w:tr w14:paraId="0F0360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90" w:type="pct"/>
                  <w:gridSpan w:val="4"/>
                  <w:vAlign w:val="center"/>
                </w:tcPr>
                <w:p w14:paraId="295D65B6">
                  <w:pPr>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合计</w:t>
                  </w:r>
                </w:p>
              </w:tc>
              <w:tc>
                <w:tcPr>
                  <w:tcW w:w="609" w:type="pct"/>
                  <w:shd w:val="clear" w:color="auto" w:fill="auto"/>
                  <w:vAlign w:val="center"/>
                </w:tcPr>
                <w:p w14:paraId="276AE024">
                  <w:pPr>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0.04834</w:t>
                  </w:r>
                </w:p>
              </w:tc>
            </w:tr>
          </w:tbl>
          <w:p w14:paraId="31A0F34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由上表可知，本项目Q=</w:t>
            </w:r>
            <w:r>
              <w:rPr>
                <w:rFonts w:hint="default"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lang w:val="en-US" w:eastAsia="zh-CN"/>
              </w:rPr>
              <w:t>04834</w:t>
            </w:r>
            <w:r>
              <w:rPr>
                <w:rFonts w:hint="default" w:ascii="Times New Roman" w:hAnsi="Times New Roman" w:eastAsia="宋体" w:cs="Times New Roman"/>
                <w:color w:val="auto"/>
                <w:sz w:val="24"/>
              </w:rPr>
              <w:t>＜1，故不设置风险专项。</w:t>
            </w:r>
          </w:p>
          <w:p w14:paraId="1C9ED0F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3、风险源分布情况分析</w:t>
            </w:r>
          </w:p>
          <w:p w14:paraId="7581146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本项目风险源识别结果见下表。</w:t>
            </w:r>
          </w:p>
          <w:p w14:paraId="5F5DF4CF">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-24</w:t>
            </w:r>
            <w:r>
              <w:rPr>
                <w:rFonts w:hint="default" w:ascii="Times New Roman" w:hAnsi="Times New Roman" w:eastAsia="宋体" w:cs="Times New Roman"/>
                <w:b/>
                <w:color w:val="auto"/>
                <w:sz w:val="24"/>
              </w:rPr>
              <w:t xml:space="preserve">  环境风险源识别结果及影响途径汇总表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8"/>
              <w:gridCol w:w="1135"/>
              <w:gridCol w:w="1559"/>
              <w:gridCol w:w="1848"/>
              <w:gridCol w:w="1574"/>
              <w:gridCol w:w="1574"/>
            </w:tblGrid>
            <w:tr w14:paraId="529FD6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1EE61D8D">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679" w:type="pct"/>
                  <w:vAlign w:val="center"/>
                </w:tcPr>
                <w:p w14:paraId="4D6D0DF3">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位置</w:t>
                  </w:r>
                </w:p>
              </w:tc>
              <w:tc>
                <w:tcPr>
                  <w:tcW w:w="933" w:type="pct"/>
                  <w:vAlign w:val="center"/>
                </w:tcPr>
                <w:p w14:paraId="15A57B70">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风险源</w:t>
                  </w:r>
                </w:p>
              </w:tc>
              <w:tc>
                <w:tcPr>
                  <w:tcW w:w="1106" w:type="pct"/>
                  <w:vAlign w:val="center"/>
                </w:tcPr>
                <w:p w14:paraId="5E1CC5C7">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主要危险物质</w:t>
                  </w:r>
                </w:p>
              </w:tc>
              <w:tc>
                <w:tcPr>
                  <w:tcW w:w="942" w:type="pct"/>
                  <w:vAlign w:val="center"/>
                </w:tcPr>
                <w:p w14:paraId="41FB153C">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环境风险类型</w:t>
                  </w:r>
                </w:p>
              </w:tc>
              <w:tc>
                <w:tcPr>
                  <w:tcW w:w="942" w:type="pct"/>
                  <w:vAlign w:val="center"/>
                </w:tcPr>
                <w:p w14:paraId="5D160E8E">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环境影响途径</w:t>
                  </w:r>
                </w:p>
              </w:tc>
            </w:tr>
            <w:tr w14:paraId="0E3D82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2333A475">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679" w:type="pct"/>
                  <w:vAlign w:val="center"/>
                </w:tcPr>
                <w:p w14:paraId="709BA5F4">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仓库</w:t>
                  </w:r>
                </w:p>
              </w:tc>
              <w:tc>
                <w:tcPr>
                  <w:tcW w:w="933" w:type="pct"/>
                  <w:vAlign w:val="center"/>
                </w:tcPr>
                <w:p w14:paraId="0270691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原料暂存区</w:t>
                  </w:r>
                </w:p>
              </w:tc>
              <w:tc>
                <w:tcPr>
                  <w:tcW w:w="1106" w:type="pct"/>
                  <w:vAlign w:val="center"/>
                </w:tcPr>
                <w:p w14:paraId="7879DEEB">
                  <w:pPr>
                    <w:jc w:val="center"/>
                    <w:rPr>
                      <w:rFonts w:hint="default" w:ascii="Times New Roman" w:hAnsi="Times New Roman" w:eastAsia="宋体" w:cs="Times New Roman"/>
                      <w:bCs/>
                      <w:color w:val="auto"/>
                      <w:szCs w:val="21"/>
                      <w:lang w:val="en-US"/>
                    </w:rPr>
                  </w:pPr>
                  <w:r>
                    <w:rPr>
                      <w:rFonts w:hint="default" w:ascii="Times New Roman" w:hAnsi="Times New Roman" w:eastAsia="宋体" w:cs="Times New Roman"/>
                      <w:bCs/>
                      <w:color w:val="auto"/>
                      <w:szCs w:val="21"/>
                      <w:lang w:val="en-US" w:eastAsia="zh-CN"/>
                    </w:rPr>
                    <w:t>冷却液、热熔胶等</w:t>
                  </w:r>
                </w:p>
              </w:tc>
              <w:tc>
                <w:tcPr>
                  <w:tcW w:w="942" w:type="pct"/>
                  <w:vAlign w:val="center"/>
                </w:tcPr>
                <w:p w14:paraId="01EEBC7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泄漏、火灾、爆炸、中毒</w:t>
                  </w:r>
                </w:p>
              </w:tc>
              <w:tc>
                <w:tcPr>
                  <w:tcW w:w="942" w:type="pct"/>
                  <w:vAlign w:val="center"/>
                </w:tcPr>
                <w:p w14:paraId="21106EF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大气、地表水、地下水、土壤</w:t>
                  </w:r>
                </w:p>
              </w:tc>
            </w:tr>
            <w:tr w14:paraId="23CDBB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27808316">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c>
                <w:tcPr>
                  <w:tcW w:w="679" w:type="pct"/>
                  <w:vAlign w:val="center"/>
                </w:tcPr>
                <w:p w14:paraId="23B5FE5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生产车间</w:t>
                  </w:r>
                </w:p>
              </w:tc>
              <w:tc>
                <w:tcPr>
                  <w:tcW w:w="933" w:type="pct"/>
                  <w:vAlign w:val="center"/>
                </w:tcPr>
                <w:p w14:paraId="2D46280B">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原料使用</w:t>
                  </w:r>
                </w:p>
              </w:tc>
              <w:tc>
                <w:tcPr>
                  <w:tcW w:w="1106" w:type="pct"/>
                  <w:vAlign w:val="center"/>
                </w:tcPr>
                <w:p w14:paraId="3A5C4639">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冷却液、热熔胶等</w:t>
                  </w:r>
                </w:p>
              </w:tc>
              <w:tc>
                <w:tcPr>
                  <w:tcW w:w="942" w:type="pct"/>
                  <w:vAlign w:val="center"/>
                </w:tcPr>
                <w:p w14:paraId="0774C905">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泄漏、火灾、爆炸、中毒</w:t>
                  </w:r>
                </w:p>
              </w:tc>
              <w:tc>
                <w:tcPr>
                  <w:tcW w:w="942" w:type="pct"/>
                  <w:vAlign w:val="center"/>
                </w:tcPr>
                <w:p w14:paraId="5A00842D">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大气、地表水、地下水、土壤</w:t>
                  </w:r>
                </w:p>
              </w:tc>
            </w:tr>
            <w:tr w14:paraId="37F4D4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086F618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679" w:type="pct"/>
                  <w:vAlign w:val="center"/>
                </w:tcPr>
                <w:p w14:paraId="4276D59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危废库</w:t>
                  </w:r>
                </w:p>
              </w:tc>
              <w:tc>
                <w:tcPr>
                  <w:tcW w:w="933" w:type="pct"/>
                  <w:vAlign w:val="center"/>
                </w:tcPr>
                <w:p w14:paraId="103EF9CB">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危险废物</w:t>
                  </w:r>
                </w:p>
              </w:tc>
              <w:tc>
                <w:tcPr>
                  <w:tcW w:w="1106" w:type="pct"/>
                  <w:vAlign w:val="center"/>
                </w:tcPr>
                <w:p w14:paraId="04A5763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研磨废液、废活性炭等</w:t>
                  </w:r>
                </w:p>
              </w:tc>
              <w:tc>
                <w:tcPr>
                  <w:tcW w:w="942" w:type="pct"/>
                  <w:vAlign w:val="center"/>
                </w:tcPr>
                <w:p w14:paraId="5BB884E4">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泄漏、火灾、爆炸</w:t>
                  </w:r>
                </w:p>
              </w:tc>
              <w:tc>
                <w:tcPr>
                  <w:tcW w:w="942" w:type="pct"/>
                  <w:vAlign w:val="center"/>
                </w:tcPr>
                <w:p w14:paraId="1A767C4B">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大气、地表水、地下水、土壤</w:t>
                  </w:r>
                </w:p>
              </w:tc>
            </w:tr>
          </w:tbl>
          <w:p w14:paraId="5EAEA516">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4、风险事故影响途径分析</w:t>
            </w:r>
          </w:p>
          <w:p w14:paraId="3AF540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①火灾</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爆炸</w:t>
            </w:r>
            <w:r>
              <w:rPr>
                <w:rFonts w:hint="default" w:ascii="Times New Roman" w:hAnsi="Times New Roman" w:eastAsia="宋体" w:cs="Times New Roman"/>
                <w:color w:val="auto"/>
                <w:kern w:val="0"/>
                <w:sz w:val="24"/>
                <w:szCs w:val="24"/>
              </w:rPr>
              <w:t>影响</w:t>
            </w:r>
          </w:p>
          <w:p w14:paraId="42D3CD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本项目部分原辅材料是易燃易爆物质</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14:paraId="3950DB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②</w:t>
            </w:r>
            <w:r>
              <w:rPr>
                <w:rFonts w:hint="default" w:ascii="Times New Roman" w:hAnsi="Times New Roman" w:eastAsia="宋体" w:cs="Times New Roman"/>
                <w:color w:val="auto"/>
                <w:kern w:val="0"/>
                <w:sz w:val="24"/>
                <w:szCs w:val="24"/>
                <w:lang w:eastAsia="zh-CN"/>
              </w:rPr>
              <w:t>泄露影响</w:t>
            </w:r>
          </w:p>
          <w:p w14:paraId="711557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本项目使用</w:t>
            </w:r>
            <w:r>
              <w:rPr>
                <w:rFonts w:hint="default" w:ascii="Times New Roman" w:hAnsi="Times New Roman" w:eastAsia="宋体" w:cs="Times New Roman"/>
                <w:color w:val="auto"/>
                <w:kern w:val="0"/>
                <w:sz w:val="24"/>
                <w:szCs w:val="24"/>
                <w:lang w:val="en-US" w:eastAsia="zh-CN"/>
              </w:rPr>
              <w:t>各类</w:t>
            </w:r>
            <w:r>
              <w:rPr>
                <w:rFonts w:hint="default" w:ascii="Times New Roman" w:hAnsi="Times New Roman" w:eastAsia="宋体" w:cs="Times New Roman"/>
                <w:color w:val="auto"/>
                <w:kern w:val="0"/>
                <w:sz w:val="24"/>
                <w:szCs w:val="24"/>
                <w:lang w:eastAsia="zh-CN"/>
              </w:rPr>
              <w:t>原料</w:t>
            </w:r>
            <w:r>
              <w:rPr>
                <w:rFonts w:hint="default" w:ascii="Times New Roman" w:hAnsi="Times New Roman" w:eastAsia="宋体" w:cs="Times New Roman"/>
                <w:color w:val="auto"/>
                <w:kern w:val="0"/>
                <w:sz w:val="24"/>
                <w:szCs w:val="24"/>
                <w:lang w:val="en-US" w:eastAsia="zh-CN"/>
              </w:rPr>
              <w:t>存放</w:t>
            </w:r>
            <w:r>
              <w:rPr>
                <w:rFonts w:hint="default" w:ascii="Times New Roman" w:hAnsi="Times New Roman" w:eastAsia="宋体" w:cs="Times New Roman"/>
                <w:color w:val="auto"/>
                <w:kern w:val="0"/>
                <w:sz w:val="24"/>
                <w:szCs w:val="24"/>
              </w:rPr>
              <w:t>于</w:t>
            </w:r>
            <w:r>
              <w:rPr>
                <w:rFonts w:hint="default" w:ascii="Times New Roman" w:hAnsi="Times New Roman" w:eastAsia="宋体" w:cs="Times New Roman"/>
                <w:color w:val="auto"/>
                <w:kern w:val="0"/>
                <w:sz w:val="24"/>
                <w:szCs w:val="24"/>
                <w:lang w:eastAsia="zh-CN"/>
              </w:rPr>
              <w:t>原料</w:t>
            </w:r>
            <w:r>
              <w:rPr>
                <w:rFonts w:hint="default" w:ascii="Times New Roman" w:hAnsi="Times New Roman" w:eastAsia="宋体" w:cs="Times New Roman"/>
                <w:color w:val="auto"/>
                <w:kern w:val="0"/>
                <w:sz w:val="24"/>
                <w:szCs w:val="24"/>
                <w:lang w:val="en-US" w:eastAsia="zh-CN"/>
              </w:rPr>
              <w:t>仓库</w:t>
            </w:r>
            <w:r>
              <w:rPr>
                <w:rFonts w:hint="default" w:ascii="Times New Roman" w:hAnsi="Times New Roman" w:eastAsia="宋体" w:cs="Times New Roman"/>
                <w:color w:val="auto"/>
                <w:kern w:val="0"/>
                <w:sz w:val="24"/>
                <w:szCs w:val="24"/>
                <w:lang w:eastAsia="zh-CN"/>
              </w:rPr>
              <w:t>，危废存放于危废仓库</w:t>
            </w:r>
            <w:r>
              <w:rPr>
                <w:rFonts w:hint="default" w:ascii="Times New Roman" w:hAnsi="Times New Roman" w:eastAsia="宋体" w:cs="Times New Roman"/>
                <w:color w:val="auto"/>
                <w:kern w:val="0"/>
                <w:sz w:val="24"/>
                <w:szCs w:val="24"/>
              </w:rPr>
              <w:t>，包装桶破损易导致各类液体原料或危废</w:t>
            </w:r>
            <w:r>
              <w:rPr>
                <w:rFonts w:hint="eastAsia" w:ascii="Times New Roman" w:hAnsi="Times New Roman" w:eastAsia="宋体" w:cs="Times New Roman"/>
                <w:color w:val="auto"/>
                <w:kern w:val="0"/>
                <w:sz w:val="24"/>
                <w:szCs w:val="24"/>
                <w:lang w:eastAsia="zh-CN"/>
              </w:rPr>
              <w:t>泄漏</w:t>
            </w:r>
            <w:r>
              <w:rPr>
                <w:rFonts w:hint="default" w:ascii="Times New Roman" w:hAnsi="Times New Roman" w:eastAsia="宋体" w:cs="Times New Roman"/>
                <w:color w:val="auto"/>
                <w:kern w:val="0"/>
                <w:sz w:val="24"/>
                <w:szCs w:val="24"/>
              </w:rPr>
              <w:t>，通过地表径流，影响地表水、地下水以及土壤影响环境</w:t>
            </w:r>
            <w:r>
              <w:rPr>
                <w:rFonts w:hint="default" w:ascii="Times New Roman" w:hAnsi="Times New Roman" w:eastAsia="宋体" w:cs="Times New Roman"/>
                <w:color w:val="auto"/>
                <w:kern w:val="0"/>
                <w:sz w:val="24"/>
                <w:szCs w:val="24"/>
                <w:lang w:eastAsia="zh-CN"/>
              </w:rPr>
              <w:t>。</w:t>
            </w:r>
          </w:p>
          <w:p w14:paraId="66B8CA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③火灾爆炸事故次生/伴生影响分析</w:t>
            </w:r>
          </w:p>
          <w:p w14:paraId="7C5175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发生火灾、爆炸也必须具备如下三个条件：一是爆炸性气体、液体蒸汽和空气混合后达到爆炸极限范围；二是场所内有足以激发混合物爆炸的能量；三是要有足够的助燃物。</w:t>
            </w:r>
          </w:p>
          <w:p w14:paraId="71A091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火灾爆炸事故发生有如下几种类型：</w:t>
            </w:r>
          </w:p>
          <w:p w14:paraId="771F87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立即起火：如果泄漏点处存在引火源，易燃气体从容器中往外泄出时即被点燃，发生扩散燃烧，产生喷射性火焰或形成火球，它能迅速地危及泄漏现场，但很少会影响到厂区的外部。</w:t>
            </w:r>
          </w:p>
          <w:p w14:paraId="0760B1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滞后起火：如果泄漏点处无引火源，易燃气体泄出后与空气混合形成可燃蒸气云团，并随风飘移，遇火源发生爆炸或爆轰，能引起较大范围的破坏。</w:t>
            </w:r>
          </w:p>
          <w:p w14:paraId="77BB27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常温常压下液体泄漏后聚集在防护堤内或地势低洼处形成液池，液体由于池表面风的对流而缓慢蒸发，若遇引火源就会发生池火灾。</w:t>
            </w:r>
          </w:p>
          <w:p w14:paraId="744014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本项目中有可能存在的点火源为：</w:t>
            </w:r>
          </w:p>
          <w:p w14:paraId="1B31468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a</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kern w:val="0"/>
                <w:sz w:val="24"/>
                <w:szCs w:val="24"/>
                <w:lang w:val="en-US" w:eastAsia="zh-CN"/>
              </w:rPr>
              <w:t>明火：如违章使用的明火、吸烟、打火机火种等；</w:t>
            </w:r>
          </w:p>
          <w:p w14:paraId="68BBEC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b.电气火花：非防爆型设备、仪表、照明、电气线路、开关、通风设备或其故障产生的火花；电气设备绝缘不良、安装不符合规程要求，发生短路、超负荷，接触电阻过大等产生的电气火花（甚至电气火灾）等；</w:t>
            </w:r>
          </w:p>
          <w:p w14:paraId="41A4F4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c.静电火花；</w:t>
            </w:r>
          </w:p>
          <w:p w14:paraId="67C0BF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d.车辆火花：由于机动车辆未安装防火罩产生的火花；</w:t>
            </w:r>
          </w:p>
          <w:p w14:paraId="526742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e.工具火花：工具为易产生火花型，由于敲击而产生的火花；</w:t>
            </w:r>
          </w:p>
          <w:p w14:paraId="6092B0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f.雷击；</w:t>
            </w:r>
          </w:p>
          <w:p w14:paraId="442692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g.外部散发进入的火种（如烟花爆竹、锅炉飞灰火星等）;</w:t>
            </w:r>
          </w:p>
          <w:p w14:paraId="2B1D381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55CA3F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本项目火灾事故主要为①电气设备操作不当引起的；②原辅料存储不当引起的。</w:t>
            </w:r>
          </w:p>
          <w:p w14:paraId="14DCA3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本项目有潜在易燃易爆物料（如冷却液等）泄漏的可能，如果点火源与物料泄漏同时存在，就势必会发生火灾爆炸事故的发生，因此，本项目必须采取各种管理、技术、安全防范措施，禁止一切火种产生，防止生产过程中易燃易爆物料的泄漏，以防止火灾爆炸发生必要条件的产生。</w:t>
            </w:r>
          </w:p>
          <w:p w14:paraId="51BF6E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生产车间或</w:t>
            </w:r>
            <w:r>
              <w:rPr>
                <w:rFonts w:hint="default" w:ascii="Times New Roman" w:hAnsi="Times New Roman" w:eastAsia="宋体" w:cs="Times New Roman"/>
                <w:color w:val="auto"/>
                <w:kern w:val="0"/>
                <w:sz w:val="24"/>
                <w:szCs w:val="24"/>
                <w:lang w:val="en-US" w:eastAsia="zh-CN"/>
              </w:rPr>
              <w:t>仓库</w:t>
            </w:r>
            <w:r>
              <w:rPr>
                <w:rFonts w:hint="default" w:ascii="Times New Roman" w:hAnsi="Times New Roman" w:eastAsia="宋体" w:cs="Times New Roman"/>
                <w:color w:val="auto"/>
                <w:kern w:val="0"/>
                <w:sz w:val="24"/>
                <w:szCs w:val="24"/>
                <w:lang w:eastAsia="zh-CN"/>
              </w:rPr>
              <w:t>中的易燃物料若发生火灾事故，燃烧烟气中的一氧化碳</w:t>
            </w:r>
            <w:r>
              <w:rPr>
                <w:rFonts w:hint="default" w:ascii="Times New Roman" w:hAnsi="Times New Roman" w:eastAsia="宋体" w:cs="Times New Roman"/>
                <w:color w:val="auto"/>
                <w:kern w:val="0"/>
                <w:sz w:val="24"/>
                <w:szCs w:val="24"/>
                <w:lang w:val="en-US" w:eastAsia="zh-CN"/>
              </w:rPr>
              <w:t>等次生污染物</w:t>
            </w:r>
            <w:r>
              <w:rPr>
                <w:rFonts w:hint="default" w:ascii="Times New Roman" w:hAnsi="Times New Roman" w:eastAsia="宋体" w:cs="Times New Roman"/>
                <w:color w:val="auto"/>
                <w:kern w:val="0"/>
                <w:sz w:val="24"/>
                <w:szCs w:val="24"/>
                <w:lang w:eastAsia="zh-CN"/>
              </w:rPr>
              <w:t>有可能会对周围大气环境造成一定的污染。考虑到项目易燃物料的日常储存量较小，企业运营经验丰富，其火灾爆炸事故发生的几率较小，一是防雷击防火等防范可靠性强，二是即使发生雷击火灾，车间配置有完善的灭火系统，燃烧形成的烟气量较小，经扩散稀释后对周围大气环境的影响较小。</w:t>
            </w:r>
          </w:p>
          <w:p w14:paraId="468EE28A">
            <w:pPr>
              <w:pStyle w:val="1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bCs/>
                <w:color w:val="auto"/>
                <w:kern w:val="0"/>
                <w:sz w:val="24"/>
                <w:szCs w:val="24"/>
              </w:rPr>
              <w:t>环境风险防范措施及应急要求</w:t>
            </w:r>
          </w:p>
          <w:p w14:paraId="51C409FD">
            <w:pPr>
              <w:pStyle w:val="12"/>
              <w:keepNext w:val="0"/>
              <w:keepLines w:val="0"/>
              <w:pageBreakBefore w:val="0"/>
              <w:kinsoku/>
              <w:wordWrap/>
              <w:overflowPunct/>
              <w:topLinePunct w:val="0"/>
              <w:bidi w:val="0"/>
              <w:adjustRightInd/>
              <w:snapToGrid/>
              <w:spacing w:after="0" w:line="360" w:lineRule="auto"/>
              <w:ind w:left="0" w:leftChars="0" w:right="0" w:rightChars="0" w:firstLine="482" w:firstLineChars="200"/>
              <w:jc w:val="left"/>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fldChar w:fldCharType="begin"/>
            </w:r>
            <w:r>
              <w:rPr>
                <w:rFonts w:hint="default" w:ascii="Times New Roman" w:hAnsi="Times New Roman" w:eastAsia="宋体" w:cs="Times New Roman"/>
                <w:b/>
                <w:bCs/>
                <w:color w:val="auto"/>
                <w:kern w:val="0"/>
                <w:sz w:val="24"/>
                <w:szCs w:val="24"/>
              </w:rPr>
              <w:instrText xml:space="preserve"> = 1 \* GB3 \* MERGEFORMAT </w:instrText>
            </w:r>
            <w:r>
              <w:rPr>
                <w:rFonts w:hint="default" w:ascii="Times New Roman" w:hAnsi="Times New Roman" w:eastAsia="宋体" w:cs="Times New Roman"/>
                <w:b/>
                <w:bCs/>
                <w:color w:val="auto"/>
                <w:kern w:val="0"/>
                <w:sz w:val="24"/>
                <w:szCs w:val="24"/>
              </w:rPr>
              <w:fldChar w:fldCharType="separate"/>
            </w:r>
            <w:r>
              <w:rPr>
                <w:rFonts w:hint="default" w:ascii="Times New Roman" w:hAnsi="Times New Roman" w:eastAsia="宋体" w:cs="Times New Roman"/>
                <w:b/>
                <w:bCs/>
                <w:color w:val="auto"/>
                <w:kern w:val="0"/>
                <w:sz w:val="24"/>
                <w:szCs w:val="24"/>
              </w:rPr>
              <w:t>①</w:t>
            </w:r>
            <w:r>
              <w:rPr>
                <w:rFonts w:hint="default" w:ascii="Times New Roman" w:hAnsi="Times New Roman" w:eastAsia="宋体" w:cs="Times New Roman"/>
                <w:b/>
                <w:bCs/>
                <w:color w:val="auto"/>
                <w:kern w:val="0"/>
                <w:sz w:val="24"/>
                <w:szCs w:val="24"/>
              </w:rPr>
              <w:fldChar w:fldCharType="end"/>
            </w:r>
            <w:r>
              <w:rPr>
                <w:rFonts w:hint="default" w:ascii="Times New Roman" w:hAnsi="Times New Roman" w:eastAsia="宋体" w:cs="Times New Roman"/>
                <w:b/>
                <w:bCs/>
                <w:color w:val="auto"/>
                <w:kern w:val="0"/>
                <w:sz w:val="24"/>
                <w:szCs w:val="24"/>
              </w:rPr>
              <w:t>环境风险防范措施</w:t>
            </w:r>
          </w:p>
          <w:p w14:paraId="39DED202">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1）泄漏事故风险防范措施</w:t>
            </w:r>
          </w:p>
          <w:p w14:paraId="27DC03DD">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sz w:val="24"/>
                <w:lang w:val="en-US" w:eastAsia="zh-CN"/>
              </w:rPr>
              <w:t>冷却液、热熔胶等</w:t>
            </w:r>
            <w:r>
              <w:rPr>
                <w:rFonts w:hint="default" w:ascii="Times New Roman" w:hAnsi="Times New Roman" w:eastAsia="宋体" w:cs="Times New Roman"/>
                <w:color w:val="auto"/>
                <w:sz w:val="24"/>
                <w:lang w:val="en-US" w:eastAsia="zh-CN"/>
              </w:rPr>
              <w:t>等原料</w:t>
            </w:r>
            <w:r>
              <w:rPr>
                <w:rFonts w:hint="default" w:ascii="Times New Roman" w:hAnsi="Times New Roman" w:eastAsia="宋体" w:cs="Times New Roman"/>
                <w:color w:val="auto"/>
                <w:kern w:val="0"/>
                <w:sz w:val="24"/>
                <w:szCs w:val="24"/>
              </w:rPr>
              <w:t>暂存于车间原料仓库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桶底部设有托盘，桶底部设有托盘，且仓库地面作防渗处理，同时加强车间巡检，关注各包装桶破损泄漏情况，及时更换破损包装桶，减少泄漏事故的发生。</w:t>
            </w:r>
          </w:p>
          <w:p w14:paraId="67390364">
            <w:pPr>
              <w:keepNext w:val="0"/>
              <w:keepLines w:val="0"/>
              <w:pageBreakBefore w:val="0"/>
              <w:widowControl/>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2）火灾爆炸事故风险防范措施</w:t>
            </w:r>
          </w:p>
          <w:p w14:paraId="4B01248D">
            <w:pPr>
              <w:pStyle w:val="10"/>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lang w:val="en-US" w:eastAsia="zh-CN"/>
              </w:rPr>
              <w:t>冷却液、热熔胶</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szCs w:val="24"/>
              </w:rPr>
              <w:t>具备可燃性。因此建设单位应当做好防范措施。为减少事故的发生和影响建设单位应采取以下措施。</w:t>
            </w:r>
          </w:p>
          <w:p w14:paraId="2CAA5B8F">
            <w:pPr>
              <w:pStyle w:val="10"/>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建设单位需建立健全安全操作规程及值勤制度，设置通讯、报警装置，并确保其处于完好状态；厂区配置合格的消防器材，并确保其处于完好状态。</w:t>
            </w:r>
          </w:p>
          <w:p w14:paraId="4BB9A2E8">
            <w:pPr>
              <w:pStyle w:val="10"/>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加强火源的管理，严禁烟火带入，对设备需进行维修焊接，应经安全部门确认、准许，并有记录。机动车在厂内行驶，须安装阻火器，必要设备安装防火、防爆装置。</w:t>
            </w:r>
          </w:p>
          <w:p w14:paraId="6A482640">
            <w:pPr>
              <w:pStyle w:val="10"/>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设备的安全管理：定期对设备进行安全检测，检测内容、时间、人员应有记录保存。安全检测应根据设备的安全性、危险性设定检测频次。</w:t>
            </w:r>
          </w:p>
          <w:p w14:paraId="77137614">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3）危废仓库风险防范措施</w:t>
            </w:r>
          </w:p>
          <w:p w14:paraId="0B36812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危废暂存场地必须按《危险废物贮存污染控制标准》（GB18597-2023）的要求进行设置。危险废物分类存放到危废仓库，做好进出库管理，及时登记，账物相符，并做好贮存场所和危废包装的标识工作。危废堆场要采取必要的防风、防晒、防雨、防漏、防渗、防腐以及其他环境污染防治措施；地面与裙脚要用坚固、防渗的材料建造，建筑材料必须与危险废物相容。通道、出入口和通向消防设施的道路保持畅通，同时配置合格的消防器材，并确保其处于完好状态。</w:t>
            </w:r>
          </w:p>
          <w:p w14:paraId="58D6879D">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4）废气处理装置设备事故风险防范措施</w:t>
            </w:r>
          </w:p>
          <w:p w14:paraId="606815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活性炭吸附装置设有事故自动报警装置，并符合安全生产、事故防范的相关规定。治理系统与主体生产装置之间的管道系统应安装阻火器（防火阀），阻火器性能应符合GB 13347的规定。风机、电机和置于现场的电气仪表等应不低于现场防爆等级。当吸附剂采用降压解吸方式再生且解吸后的高浓度有机气体采用液体吸收工艺进行回收时，风机、真空解吸泵和电气系统均应采用符合GB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3836.4要求的本安型防爆器件。治理设备应具备短路保护和接地保护，接地电阻应小于4Ω。室外治理设备应安装符合GB 50057规定的避雷装置。</w:t>
            </w:r>
          </w:p>
          <w:p w14:paraId="5357B8FD">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为减少事故的发生和影响建设单位应采取以下措施。</w:t>
            </w:r>
          </w:p>
          <w:p w14:paraId="1C1C120B">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A、建立严格的操作规程，实行目标责任制，保证环境保护设施的正常运行。</w:t>
            </w:r>
          </w:p>
          <w:p w14:paraId="218580E1">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B、对废气处理系统进行定期的监测和检修，如发生腐蚀、设备运行不稳定的情况，需对设备进行更换和修理，确保废气处理装置的正常运行。</w:t>
            </w:r>
          </w:p>
          <w:p w14:paraId="278A45F6">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C、二级活性炭吸附装置对废气进行处理后，应定期对二级活性炭进行更换，以便于废气的有效处理。</w:t>
            </w:r>
          </w:p>
          <w:p w14:paraId="1E601D26">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D、废气处理装置一旦出现故障，应立即关闭生产设备，避免废气未经处理进入大气环境。</w:t>
            </w:r>
          </w:p>
          <w:p w14:paraId="271D2FD1">
            <w:pPr>
              <w:pStyle w:val="7"/>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E、二级活性炭吸附装置产生的废活性炭应妥善保存，避免过滤介质、二级活性炭接触明火和高温设备而引发的火灾及其次伴生环境风险事故。</w:t>
            </w:r>
          </w:p>
          <w:p w14:paraId="6D3DCD6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color w:val="auto"/>
                <w:kern w:val="0"/>
                <w:sz w:val="24"/>
                <w:szCs w:val="24"/>
              </w:rPr>
              <w:t>F、</w:t>
            </w:r>
            <w:r>
              <w:rPr>
                <w:rFonts w:hint="default" w:ascii="Times New Roman" w:hAnsi="Times New Roman" w:eastAsia="宋体" w:cs="Times New Roman"/>
                <w:bCs/>
                <w:color w:val="auto"/>
                <w:kern w:val="0"/>
                <w:sz w:val="24"/>
                <w:szCs w:val="24"/>
              </w:rPr>
              <w:t>每年定期组织一次污染治理设施意外事故的应急措施落实情况和应急设备（备用设备）完好情况的检查。</w:t>
            </w:r>
          </w:p>
          <w:p w14:paraId="7A4BEE9C">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2 \* GB3 \* MERGEFORMAT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②</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环境风险应急措施</w:t>
            </w:r>
          </w:p>
          <w:p w14:paraId="4F982627">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1）火灾和爆炸事故应急措施</w:t>
            </w:r>
          </w:p>
          <w:p w14:paraId="0446F2F8">
            <w:pPr>
              <w:pStyle w:val="10"/>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48038FA2">
            <w:pPr>
              <w:pStyle w:val="10"/>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火灾爆炸衍生的消防尾水：</w:t>
            </w:r>
          </w:p>
          <w:p w14:paraId="3768B1D6">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本次评估依据《事故状态下水体污染的预防与控制规范》（Q/SY08190-2019）计算事故排水量，包括事故时最大泄漏量、消防水量、生产废水量。事故水池容积确定拟参照Q/SY08190-2019确定，计算公式如下：</w:t>
            </w:r>
          </w:p>
          <w:p w14:paraId="74F196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440" w:firstLineChars="600"/>
              <w:jc w:val="left"/>
              <w:textAlignment w:val="auto"/>
              <w:rPr>
                <w:rFonts w:hint="default" w:ascii="Times New Roman" w:hAnsi="Times New Roman" w:eastAsia="宋体" w:cs="Times New Roman"/>
                <w:color w:val="auto"/>
                <w:kern w:val="0"/>
                <w:sz w:val="24"/>
                <w:szCs w:val="24"/>
                <w:vertAlign w:val="subscript"/>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总</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1</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vertAlign w:val="subscript"/>
              </w:rPr>
              <w:t>max</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4</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5</w:t>
            </w:r>
          </w:p>
          <w:p w14:paraId="43B889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440" w:firstLineChars="600"/>
              <w:jc w:val="left"/>
              <w:textAlignment w:val="auto"/>
              <w:rPr>
                <w:rFonts w:hint="default" w:ascii="Times New Roman" w:hAnsi="Times New Roman" w:eastAsia="宋体" w:cs="Times New Roman"/>
                <w:color w:val="auto"/>
                <w:kern w:val="0"/>
                <w:sz w:val="24"/>
                <w:szCs w:val="24"/>
                <w:vertAlign w:val="subscript"/>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消</w:t>
            </w:r>
            <w:r>
              <w:rPr>
                <w:rFonts w:hint="default" w:ascii="Times New Roman" w:hAnsi="Times New Roman" w:eastAsia="宋体" w:cs="Times New Roman"/>
                <w:color w:val="auto"/>
                <w:kern w:val="0"/>
                <w:sz w:val="24"/>
                <w:szCs w:val="24"/>
              </w:rPr>
              <w:t>×t</w:t>
            </w:r>
            <w:r>
              <w:rPr>
                <w:rFonts w:hint="default" w:ascii="Times New Roman" w:hAnsi="Times New Roman" w:eastAsia="宋体" w:cs="Times New Roman"/>
                <w:color w:val="auto"/>
                <w:kern w:val="0"/>
                <w:sz w:val="24"/>
                <w:szCs w:val="24"/>
                <w:vertAlign w:val="subscript"/>
              </w:rPr>
              <w:t>消</w:t>
            </w:r>
          </w:p>
          <w:p w14:paraId="479DC48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440" w:firstLineChars="6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5</w:t>
            </w:r>
            <w:r>
              <w:rPr>
                <w:rFonts w:hint="default" w:ascii="Times New Roman" w:hAnsi="Times New Roman" w:eastAsia="宋体" w:cs="Times New Roman"/>
                <w:color w:val="auto"/>
                <w:kern w:val="0"/>
                <w:sz w:val="24"/>
                <w:szCs w:val="24"/>
              </w:rPr>
              <w:t>=10qf</w:t>
            </w:r>
          </w:p>
          <w:p w14:paraId="54EFF87C">
            <w:pPr>
              <w:pStyle w:val="6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440" w:firstLineChars="6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q=q</w:t>
            </w:r>
            <w:r>
              <w:rPr>
                <w:rFonts w:hint="default" w:ascii="Times New Roman" w:hAnsi="Times New Roman" w:eastAsia="宋体" w:cs="Times New Roman"/>
                <w:color w:val="auto"/>
                <w:kern w:val="0"/>
                <w:sz w:val="24"/>
                <w:szCs w:val="24"/>
                <w:vertAlign w:val="subscript"/>
              </w:rPr>
              <w:t>a</w:t>
            </w:r>
            <w:r>
              <w:rPr>
                <w:rFonts w:hint="default" w:ascii="Times New Roman" w:hAnsi="Times New Roman" w:eastAsia="宋体" w:cs="Times New Roman"/>
                <w:color w:val="auto"/>
                <w:kern w:val="0"/>
                <w:sz w:val="24"/>
                <w:szCs w:val="24"/>
              </w:rPr>
              <w:t>/n</w:t>
            </w:r>
          </w:p>
          <w:p w14:paraId="0DE3D1CE">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式中V</w:t>
            </w:r>
            <w:r>
              <w:rPr>
                <w:rFonts w:hint="default" w:ascii="Times New Roman" w:hAnsi="Times New Roman" w:eastAsia="宋体" w:cs="Times New Roman"/>
                <w:color w:val="auto"/>
                <w:kern w:val="0"/>
                <w:sz w:val="24"/>
                <w:szCs w:val="24"/>
                <w:vertAlign w:val="subscript"/>
              </w:rPr>
              <w:t>总</w:t>
            </w:r>
            <w:r>
              <w:rPr>
                <w:rFonts w:hint="default" w:ascii="Times New Roman" w:hAnsi="Times New Roman" w:eastAsia="宋体" w:cs="Times New Roman"/>
                <w:color w:val="auto"/>
                <w:kern w:val="0"/>
                <w:sz w:val="24"/>
                <w:szCs w:val="24"/>
              </w:rPr>
              <w:t>—事故缓冲设施总有效容积，单位为立方米（m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53A6C281">
            <w:pPr>
              <w:pStyle w:val="70"/>
              <w:keepNext w:val="0"/>
              <w:keepLines w:val="0"/>
              <w:pageBreakBefore w:val="0"/>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Style w:val="71"/>
                <w:rFonts w:hint="default" w:ascii="Times New Roman" w:hAnsi="Times New Roman" w:eastAsia="宋体" w:cs="Times New Roman"/>
                <w:b w:val="0"/>
                <w:color w:val="auto"/>
                <w:kern w:val="0"/>
                <w:sz w:val="24"/>
                <w:szCs w:val="24"/>
              </w:rPr>
              <w:t>V</w:t>
            </w:r>
            <w:r>
              <w:rPr>
                <w:rStyle w:val="71"/>
                <w:rFonts w:hint="default" w:ascii="Times New Roman" w:hAnsi="Times New Roman" w:eastAsia="宋体" w:cs="Times New Roman"/>
                <w:b w:val="0"/>
                <w:color w:val="auto"/>
                <w:kern w:val="0"/>
                <w:sz w:val="24"/>
                <w:szCs w:val="24"/>
                <w:vertAlign w:val="subscript"/>
              </w:rPr>
              <w:t>1</w:t>
            </w:r>
            <w:r>
              <w:rPr>
                <w:rStyle w:val="71"/>
                <w:rFonts w:hint="default" w:ascii="Times New Roman" w:hAnsi="Times New Roman" w:eastAsia="宋体" w:cs="Times New Roman"/>
                <w:b w:val="0"/>
                <w:color w:val="auto"/>
                <w:kern w:val="0"/>
                <w:sz w:val="24"/>
                <w:szCs w:val="24"/>
              </w:rPr>
              <w:t>—收集系统范围内发生事故的一个罐组或一套装置的物料量，项目</w:t>
            </w:r>
            <w:r>
              <w:rPr>
                <w:rStyle w:val="71"/>
                <w:rFonts w:hint="eastAsia" w:ascii="Times New Roman" w:hAnsi="Times New Roman" w:eastAsia="宋体" w:cs="Times New Roman"/>
                <w:b w:val="0"/>
                <w:color w:val="auto"/>
                <w:kern w:val="0"/>
                <w:sz w:val="24"/>
                <w:szCs w:val="24"/>
                <w:lang w:val="en-US" w:eastAsia="zh-CN"/>
              </w:rPr>
              <w:t>设置清洗机2套，单个容积约为0.05m</w:t>
            </w:r>
            <w:r>
              <w:rPr>
                <w:rStyle w:val="71"/>
                <w:rFonts w:hint="eastAsia" w:ascii="Times New Roman" w:hAnsi="Times New Roman" w:eastAsia="宋体" w:cs="Times New Roman"/>
                <w:b w:val="0"/>
                <w:color w:val="auto"/>
                <w:kern w:val="0"/>
                <w:sz w:val="24"/>
                <w:szCs w:val="24"/>
                <w:vertAlign w:val="superscript"/>
                <w:lang w:val="en-US" w:eastAsia="zh-CN"/>
              </w:rPr>
              <w:t>3</w:t>
            </w:r>
            <w:r>
              <w:rPr>
                <w:rStyle w:val="71"/>
                <w:rFonts w:hint="default" w:ascii="Times New Roman" w:hAnsi="Times New Roman" w:eastAsia="宋体" w:cs="Times New Roman"/>
                <w:b w:val="0"/>
                <w:color w:val="auto"/>
                <w:kern w:val="0"/>
                <w:sz w:val="24"/>
                <w:szCs w:val="24"/>
              </w:rPr>
              <w:t>，</w:t>
            </w:r>
            <w:r>
              <w:rPr>
                <w:rFonts w:hint="default" w:ascii="Times New Roman" w:hAnsi="Times New Roman" w:eastAsia="宋体" w:cs="Times New Roman"/>
                <w:b w:val="0"/>
                <w:bCs/>
                <w:color w:val="auto"/>
                <w:kern w:val="0"/>
                <w:sz w:val="24"/>
                <w:szCs w:val="24"/>
              </w:rPr>
              <w:t>因此</w:t>
            </w:r>
            <w:r>
              <w:rPr>
                <w:rFonts w:hint="default" w:ascii="Times New Roman" w:hAnsi="Times New Roman" w:eastAsia="宋体" w:cs="Times New Roman"/>
                <w:bCs/>
                <w:color w:val="auto"/>
                <w:kern w:val="0"/>
                <w:sz w:val="24"/>
                <w:szCs w:val="24"/>
              </w:rPr>
              <w:t>V</w:t>
            </w:r>
            <w:r>
              <w:rPr>
                <w:rFonts w:hint="default" w:ascii="Times New Roman" w:hAnsi="Times New Roman" w:eastAsia="宋体" w:cs="Times New Roman"/>
                <w:bCs/>
                <w:color w:val="auto"/>
                <w:kern w:val="0"/>
                <w:sz w:val="24"/>
                <w:szCs w:val="24"/>
                <w:vertAlign w:val="subscript"/>
              </w:rPr>
              <w:t>1</w:t>
            </w:r>
            <w:r>
              <w:rPr>
                <w:rFonts w:hint="default"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lang w:val="en-US" w:eastAsia="zh-CN"/>
              </w:rPr>
              <w:t>0.1</w:t>
            </w:r>
            <w:r>
              <w:rPr>
                <w:rFonts w:hint="default" w:ascii="Times New Roman" w:hAnsi="Times New Roman" w:eastAsia="宋体" w:cs="Times New Roman"/>
                <w:bCs/>
                <w:color w:val="auto"/>
                <w:kern w:val="0"/>
                <w:sz w:val="24"/>
                <w:szCs w:val="24"/>
              </w:rPr>
              <w:t>m</w:t>
            </w:r>
            <w:r>
              <w:rPr>
                <w:rFonts w:hint="default" w:ascii="Times New Roman" w:hAnsi="Times New Roman" w:eastAsia="宋体" w:cs="Times New Roman"/>
                <w:bCs/>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343342BC">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—发生事故的储罐、装置或铁路、汽车装卸区的消防水量，单位为立方米（m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49B50566">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消</w:t>
            </w:r>
            <w:r>
              <w:rPr>
                <w:rFonts w:hint="default" w:ascii="Times New Roman" w:hAnsi="Times New Roman" w:eastAsia="宋体" w:cs="Times New Roman"/>
                <w:color w:val="auto"/>
                <w:kern w:val="0"/>
                <w:sz w:val="24"/>
                <w:szCs w:val="24"/>
              </w:rPr>
              <w:t>—发生事故的储罐、装置或铁路、汽车装卸区同时使用的消防设施给水流量，单位为立方米每小时（m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w:t>
            </w:r>
          </w:p>
          <w:p w14:paraId="5A78E08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t</w:t>
            </w:r>
            <w:r>
              <w:rPr>
                <w:rFonts w:hint="default" w:ascii="Times New Roman" w:hAnsi="Times New Roman" w:eastAsia="宋体" w:cs="Times New Roman"/>
                <w:color w:val="auto"/>
                <w:kern w:val="0"/>
                <w:sz w:val="24"/>
                <w:szCs w:val="24"/>
                <w:vertAlign w:val="subscript"/>
              </w:rPr>
              <w:t>消</w:t>
            </w:r>
            <w:r>
              <w:rPr>
                <w:rFonts w:hint="default" w:ascii="Times New Roman" w:hAnsi="Times New Roman" w:eastAsia="宋体" w:cs="Times New Roman"/>
                <w:color w:val="auto"/>
                <w:kern w:val="0"/>
                <w:sz w:val="24"/>
                <w:szCs w:val="24"/>
              </w:rPr>
              <w:t>—消防设施对应的设计消防历时，单位为小时（h）；</w:t>
            </w:r>
          </w:p>
          <w:p w14:paraId="4E4C890F">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企业消防水量按</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0L/s考虑，根据规范要求，消防尾水池储水量要满足延续</w:t>
            </w:r>
            <w:r>
              <w:rPr>
                <w:rFonts w:hint="eastAsia" w:ascii="Times New Roman" w:hAnsi="Times New Roman" w:eastAsia="宋体" w:cs="Times New Roman"/>
                <w:color w:val="auto"/>
                <w:kern w:val="0"/>
                <w:sz w:val="24"/>
                <w:szCs w:val="24"/>
                <w:lang w:val="en-US" w:eastAsia="zh-CN"/>
              </w:rPr>
              <w:t>2h</w:t>
            </w:r>
            <w:r>
              <w:rPr>
                <w:rFonts w:hint="default" w:ascii="Times New Roman" w:hAnsi="Times New Roman" w:eastAsia="宋体" w:cs="Times New Roman"/>
                <w:color w:val="auto"/>
                <w:kern w:val="0"/>
                <w:sz w:val="24"/>
                <w:szCs w:val="24"/>
              </w:rPr>
              <w:t>的用水需要，则最大消防用水量为</w:t>
            </w:r>
            <w:r>
              <w:rPr>
                <w:rFonts w:hint="eastAsia" w:ascii="Times New Roman" w:hAnsi="Times New Roman" w:eastAsia="宋体" w:cs="Times New Roman"/>
                <w:color w:val="auto"/>
                <w:kern w:val="0"/>
                <w:sz w:val="24"/>
                <w:szCs w:val="24"/>
                <w:lang w:val="en-US" w:eastAsia="zh-CN"/>
              </w:rPr>
              <w:t>72</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，因此</w:t>
            </w:r>
            <w:r>
              <w:rPr>
                <w:rFonts w:hint="default" w:ascii="Times New Roman" w:hAnsi="Times New Roman" w:eastAsia="宋体" w:cs="Times New Roman"/>
                <w:b/>
                <w:bCs/>
                <w:color w:val="auto"/>
                <w:kern w:val="0"/>
                <w:sz w:val="24"/>
                <w:szCs w:val="24"/>
              </w:rPr>
              <w:t>V</w:t>
            </w:r>
            <w:r>
              <w:rPr>
                <w:rFonts w:hint="default" w:ascii="Times New Roman" w:hAnsi="Times New Roman" w:eastAsia="宋体" w:cs="Times New Roman"/>
                <w:b/>
                <w:bCs/>
                <w:color w:val="auto"/>
                <w:kern w:val="0"/>
                <w:sz w:val="24"/>
                <w:szCs w:val="24"/>
                <w:vertAlign w:val="subscript"/>
              </w:rPr>
              <w:t>2</w:t>
            </w:r>
            <w:r>
              <w:rPr>
                <w:rFonts w:hint="default"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72</w:t>
            </w:r>
            <w:r>
              <w:rPr>
                <w:rFonts w:hint="default" w:ascii="Times New Roman" w:hAnsi="Times New Roman" w:eastAsia="宋体" w:cs="Times New Roman"/>
                <w:b/>
                <w:bCs/>
                <w:color w:val="auto"/>
                <w:kern w:val="0"/>
                <w:sz w:val="24"/>
                <w:szCs w:val="24"/>
              </w:rPr>
              <w:t>m</w:t>
            </w:r>
            <w:r>
              <w:rPr>
                <w:rFonts w:hint="default" w:ascii="Times New Roman" w:hAnsi="Times New Roman" w:eastAsia="宋体" w:cs="Times New Roman"/>
                <w:b/>
                <w:bCs/>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15AA69C7">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—发生事故时可以转输到其他储存或处理设施的物料量，单位为立方米（m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34671A41">
            <w:pPr>
              <w:pStyle w:val="70"/>
              <w:keepNext w:val="0"/>
              <w:keepLines w:val="0"/>
              <w:pageBreakBefore w:val="0"/>
              <w:kinsoku/>
              <w:wordWrap/>
              <w:overflowPunct/>
              <w:topLinePunct w:val="0"/>
              <w:bidi w:val="0"/>
              <w:adjustRightInd/>
              <w:snapToGrid/>
              <w:spacing w:line="360" w:lineRule="auto"/>
              <w:ind w:left="0" w:leftChars="0" w:right="0" w:rightChars="0" w:firstLine="480" w:firstLineChars="200"/>
              <w:rPr>
                <w:rStyle w:val="71"/>
                <w:rFonts w:hint="default" w:ascii="Times New Roman" w:hAnsi="Times New Roman" w:eastAsia="宋体" w:cs="Times New Roman"/>
                <w:b w:val="0"/>
                <w:color w:val="auto"/>
                <w:kern w:val="0"/>
                <w:sz w:val="24"/>
                <w:szCs w:val="24"/>
              </w:rPr>
            </w:pPr>
            <w:r>
              <w:rPr>
                <w:rStyle w:val="71"/>
                <w:rFonts w:hint="default" w:ascii="Times New Roman" w:hAnsi="Times New Roman" w:eastAsia="宋体" w:cs="Times New Roman"/>
                <w:b w:val="0"/>
                <w:color w:val="auto"/>
                <w:kern w:val="0"/>
                <w:sz w:val="24"/>
                <w:szCs w:val="24"/>
              </w:rPr>
              <w:t>企业</w:t>
            </w:r>
            <w:r>
              <w:rPr>
                <w:rStyle w:val="71"/>
                <w:rFonts w:hint="eastAsia" w:ascii="Times New Roman" w:hAnsi="Times New Roman" w:eastAsia="宋体" w:cs="Times New Roman"/>
                <w:b w:val="0"/>
                <w:color w:val="auto"/>
                <w:kern w:val="0"/>
                <w:sz w:val="24"/>
                <w:szCs w:val="24"/>
                <w:lang w:val="en-US" w:eastAsia="zh-CN"/>
              </w:rPr>
              <w:t>厂内设置雨水管网（未发生过泄露事故，可以暂存事故废水），长度约200m，截面积约0.25m</w:t>
            </w:r>
            <w:r>
              <w:rPr>
                <w:rStyle w:val="71"/>
                <w:rFonts w:hint="eastAsia" w:ascii="Times New Roman" w:hAnsi="Times New Roman" w:eastAsia="宋体" w:cs="Times New Roman"/>
                <w:b w:val="0"/>
                <w:color w:val="auto"/>
                <w:kern w:val="0"/>
                <w:sz w:val="24"/>
                <w:szCs w:val="24"/>
                <w:vertAlign w:val="superscript"/>
                <w:lang w:val="en-US" w:eastAsia="zh-CN"/>
              </w:rPr>
              <w:t>2</w:t>
            </w:r>
            <w:r>
              <w:rPr>
                <w:rStyle w:val="71"/>
                <w:rFonts w:hint="eastAsia" w:ascii="Times New Roman" w:hAnsi="Times New Roman" w:eastAsia="宋体" w:cs="Times New Roman"/>
                <w:b w:val="0"/>
                <w:color w:val="auto"/>
                <w:kern w:val="0"/>
                <w:sz w:val="24"/>
                <w:szCs w:val="24"/>
                <w:lang w:val="en-US" w:eastAsia="zh-CN"/>
              </w:rPr>
              <w:t>，按雨水管网的80%计算V</w:t>
            </w:r>
            <w:r>
              <w:rPr>
                <w:rStyle w:val="71"/>
                <w:rFonts w:hint="eastAsia" w:ascii="Times New Roman" w:hAnsi="Times New Roman" w:eastAsia="宋体" w:cs="Times New Roman"/>
                <w:b w:val="0"/>
                <w:color w:val="auto"/>
                <w:kern w:val="0"/>
                <w:sz w:val="24"/>
                <w:szCs w:val="24"/>
                <w:vertAlign w:val="subscript"/>
                <w:lang w:val="en-US" w:eastAsia="zh-CN"/>
              </w:rPr>
              <w:t>3</w:t>
            </w:r>
            <w:r>
              <w:rPr>
                <w:rFonts w:hint="default" w:ascii="Times New Roman" w:hAnsi="Times New Roman" w:eastAsia="宋体" w:cs="Times New Roman"/>
                <w:b w:val="0"/>
                <w:bCs/>
                <w:color w:val="auto"/>
                <w:kern w:val="0"/>
                <w:sz w:val="24"/>
                <w:szCs w:val="24"/>
              </w:rPr>
              <w:t>，</w:t>
            </w:r>
            <w:r>
              <w:rPr>
                <w:rStyle w:val="71"/>
                <w:rFonts w:hint="default" w:ascii="Times New Roman" w:hAnsi="Times New Roman" w:eastAsia="宋体" w:cs="Times New Roman"/>
                <w:b w:val="0"/>
                <w:color w:val="auto"/>
                <w:kern w:val="0"/>
                <w:sz w:val="24"/>
                <w:szCs w:val="24"/>
              </w:rPr>
              <w:t>故</w:t>
            </w:r>
            <w:r>
              <w:rPr>
                <w:rStyle w:val="71"/>
                <w:rFonts w:hint="default" w:ascii="Times New Roman" w:hAnsi="Times New Roman" w:eastAsia="宋体" w:cs="Times New Roman"/>
                <w:bCs/>
                <w:color w:val="auto"/>
                <w:kern w:val="0"/>
                <w:sz w:val="24"/>
                <w:szCs w:val="24"/>
              </w:rPr>
              <w:t>V</w:t>
            </w:r>
            <w:r>
              <w:rPr>
                <w:rStyle w:val="71"/>
                <w:rFonts w:hint="default" w:ascii="Times New Roman" w:hAnsi="Times New Roman" w:eastAsia="宋体" w:cs="Times New Roman"/>
                <w:bCs/>
                <w:color w:val="auto"/>
                <w:kern w:val="0"/>
                <w:sz w:val="24"/>
                <w:szCs w:val="24"/>
                <w:vertAlign w:val="subscript"/>
              </w:rPr>
              <w:t>3</w:t>
            </w:r>
            <w:r>
              <w:rPr>
                <w:rStyle w:val="71"/>
                <w:rFonts w:hint="default" w:ascii="Times New Roman" w:hAnsi="Times New Roman" w:eastAsia="宋体" w:cs="Times New Roman"/>
                <w:bCs/>
                <w:color w:val="auto"/>
                <w:kern w:val="0"/>
                <w:sz w:val="24"/>
                <w:szCs w:val="24"/>
              </w:rPr>
              <w:t>=</w:t>
            </w:r>
            <w:r>
              <w:rPr>
                <w:rStyle w:val="71"/>
                <w:rFonts w:hint="eastAsia" w:ascii="Times New Roman" w:hAnsi="Times New Roman" w:eastAsia="宋体" w:cs="Times New Roman"/>
                <w:bCs/>
                <w:color w:val="auto"/>
                <w:kern w:val="0"/>
                <w:sz w:val="24"/>
                <w:szCs w:val="24"/>
                <w:lang w:val="en-US" w:eastAsia="zh-CN"/>
              </w:rPr>
              <w:t>4</w:t>
            </w:r>
            <w:r>
              <w:rPr>
                <w:rStyle w:val="71"/>
                <w:rFonts w:hint="default" w:ascii="Times New Roman" w:hAnsi="Times New Roman" w:eastAsia="宋体" w:cs="Times New Roman"/>
                <w:bCs/>
                <w:color w:val="auto"/>
                <w:kern w:val="0"/>
                <w:sz w:val="24"/>
                <w:szCs w:val="24"/>
              </w:rPr>
              <w:t>0m</w:t>
            </w:r>
            <w:r>
              <w:rPr>
                <w:rStyle w:val="71"/>
                <w:rFonts w:hint="default" w:ascii="Times New Roman" w:hAnsi="Times New Roman" w:eastAsia="宋体" w:cs="Times New Roman"/>
                <w:bCs/>
                <w:color w:val="auto"/>
                <w:kern w:val="0"/>
                <w:sz w:val="24"/>
                <w:szCs w:val="24"/>
                <w:vertAlign w:val="superscript"/>
              </w:rPr>
              <w:t>3</w:t>
            </w:r>
            <w:r>
              <w:rPr>
                <w:rStyle w:val="71"/>
                <w:rFonts w:hint="default" w:ascii="Times New Roman" w:hAnsi="Times New Roman" w:eastAsia="宋体" w:cs="Times New Roman"/>
                <w:b w:val="0"/>
                <w:color w:val="auto"/>
                <w:kern w:val="0"/>
                <w:sz w:val="24"/>
                <w:szCs w:val="24"/>
              </w:rPr>
              <w:t>。</w:t>
            </w:r>
          </w:p>
          <w:p w14:paraId="1918FCAA">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4</w:t>
            </w:r>
            <w:r>
              <w:rPr>
                <w:rFonts w:hint="default" w:ascii="Times New Roman" w:hAnsi="Times New Roman" w:eastAsia="宋体" w:cs="Times New Roman"/>
                <w:color w:val="auto"/>
                <w:kern w:val="0"/>
                <w:sz w:val="24"/>
                <w:szCs w:val="24"/>
              </w:rPr>
              <w:t>—发生事故时仍必须进入该收集系统的生产废水量，单位为立方（m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00E171FD">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全厂无生产废水外排，</w:t>
            </w:r>
            <w:r>
              <w:rPr>
                <w:rFonts w:hint="default" w:ascii="Times New Roman" w:hAnsi="Times New Roman" w:eastAsia="宋体" w:cs="Times New Roman"/>
                <w:b/>
                <w:bCs/>
                <w:color w:val="auto"/>
                <w:kern w:val="0"/>
                <w:sz w:val="24"/>
                <w:szCs w:val="24"/>
              </w:rPr>
              <w:t>V</w:t>
            </w:r>
            <w:r>
              <w:rPr>
                <w:rFonts w:hint="default" w:ascii="Times New Roman" w:hAnsi="Times New Roman" w:eastAsia="宋体" w:cs="Times New Roman"/>
                <w:b/>
                <w:bCs/>
                <w:color w:val="auto"/>
                <w:kern w:val="0"/>
                <w:sz w:val="24"/>
                <w:szCs w:val="24"/>
                <w:vertAlign w:val="subscript"/>
              </w:rPr>
              <w:t>4</w:t>
            </w:r>
            <w:r>
              <w:rPr>
                <w:rFonts w:hint="default" w:ascii="Times New Roman" w:hAnsi="Times New Roman" w:eastAsia="宋体" w:cs="Times New Roman"/>
                <w:b/>
                <w:bCs/>
                <w:color w:val="auto"/>
                <w:kern w:val="0"/>
                <w:sz w:val="24"/>
                <w:szCs w:val="24"/>
              </w:rPr>
              <w:t>=0m</w:t>
            </w:r>
            <w:r>
              <w:rPr>
                <w:rFonts w:hint="default" w:ascii="Times New Roman" w:hAnsi="Times New Roman" w:eastAsia="宋体" w:cs="Times New Roman"/>
                <w:b/>
                <w:bCs/>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42DCFC5C">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5</w:t>
            </w:r>
            <w:r>
              <w:rPr>
                <w:rFonts w:hint="default" w:ascii="Times New Roman" w:hAnsi="Times New Roman" w:eastAsia="宋体" w:cs="Times New Roman"/>
                <w:color w:val="auto"/>
                <w:kern w:val="0"/>
                <w:sz w:val="24"/>
                <w:szCs w:val="24"/>
              </w:rPr>
              <w:t>—发生事故时可能进入该收集系统的降雨量，单位为立方米（m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00D8296C">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q—降雨强度，按平均日降雨量，单位为毫米（mm）；</w:t>
            </w:r>
          </w:p>
          <w:p w14:paraId="599D5592">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q</w:t>
            </w:r>
            <w:r>
              <w:rPr>
                <w:rFonts w:hint="default" w:ascii="Times New Roman" w:hAnsi="Times New Roman" w:eastAsia="宋体" w:cs="Times New Roman"/>
                <w:color w:val="auto"/>
                <w:kern w:val="0"/>
                <w:sz w:val="24"/>
                <w:szCs w:val="24"/>
                <w:vertAlign w:val="subscript"/>
              </w:rPr>
              <w:t>a</w:t>
            </w:r>
            <w:r>
              <w:rPr>
                <w:rFonts w:hint="default" w:ascii="Times New Roman" w:hAnsi="Times New Roman" w:eastAsia="宋体" w:cs="Times New Roman"/>
                <w:color w:val="auto"/>
                <w:kern w:val="0"/>
                <w:sz w:val="24"/>
                <w:szCs w:val="24"/>
              </w:rPr>
              <w:t>—年平均降雨量，单位为毫米（mm）；</w:t>
            </w:r>
          </w:p>
          <w:p w14:paraId="048F7F8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n—年平均降雨日数，单位为天（d）；</w:t>
            </w:r>
          </w:p>
          <w:p w14:paraId="5801CA0E">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f—必须进入事故废水收集系统的雨水汇水面积，单位为公顷（ha）；</w:t>
            </w:r>
          </w:p>
          <w:p w14:paraId="603673F8">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企业无露天生产装置，无露天储罐，故初期雨水不需要收集进入事故池。</w:t>
            </w:r>
            <w:r>
              <w:rPr>
                <w:rFonts w:hint="default" w:ascii="Times New Roman" w:hAnsi="Times New Roman" w:eastAsia="宋体" w:cs="Times New Roman"/>
                <w:b/>
                <w:bCs/>
                <w:color w:val="auto"/>
                <w:kern w:val="0"/>
                <w:sz w:val="24"/>
                <w:szCs w:val="24"/>
              </w:rPr>
              <w:t>V5=0m</w:t>
            </w:r>
            <w:r>
              <w:rPr>
                <w:rFonts w:hint="default" w:ascii="Times New Roman" w:hAnsi="Times New Roman" w:eastAsia="宋体" w:cs="Times New Roman"/>
                <w:b/>
                <w:bCs/>
                <w:color w:val="auto"/>
                <w:kern w:val="0"/>
                <w:sz w:val="24"/>
                <w:szCs w:val="24"/>
                <w:vertAlign w:val="superscript"/>
              </w:rPr>
              <w:t>3</w:t>
            </w:r>
            <w:r>
              <w:rPr>
                <w:rFonts w:hint="default" w:ascii="Times New Roman" w:hAnsi="Times New Roman" w:eastAsia="宋体" w:cs="Times New Roman"/>
                <w:color w:val="auto"/>
                <w:kern w:val="0"/>
                <w:sz w:val="24"/>
                <w:szCs w:val="24"/>
              </w:rPr>
              <w:t>。</w:t>
            </w:r>
          </w:p>
          <w:p w14:paraId="55DB2100">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计算过程：</w:t>
            </w:r>
          </w:p>
          <w:p w14:paraId="61D16182">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总</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1</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vertAlign w:val="subscript"/>
              </w:rPr>
              <w:t>max</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4</w:t>
            </w:r>
            <w:r>
              <w:rPr>
                <w:rFonts w:hint="default" w:ascii="Times New Roman" w:hAnsi="Times New Roman" w:eastAsia="宋体" w:cs="Times New Roman"/>
                <w:color w:val="auto"/>
                <w:kern w:val="0"/>
                <w:sz w:val="24"/>
                <w:szCs w:val="24"/>
              </w:rPr>
              <w:t>+V</w:t>
            </w:r>
            <w:r>
              <w:rPr>
                <w:rFonts w:hint="default" w:ascii="Times New Roman" w:hAnsi="Times New Roman" w:eastAsia="宋体" w:cs="Times New Roman"/>
                <w:color w:val="auto"/>
                <w:kern w:val="0"/>
                <w:sz w:val="24"/>
                <w:szCs w:val="24"/>
                <w:vertAlign w:val="subscript"/>
              </w:rPr>
              <w:t>5</w:t>
            </w:r>
            <w:r>
              <w:rPr>
                <w:rFonts w:hint="default" w:ascii="Times New Roman" w:hAnsi="Times New Roman" w:eastAsia="宋体" w:cs="Times New Roman"/>
                <w:color w:val="auto"/>
                <w:kern w:val="0"/>
                <w:sz w:val="24"/>
                <w:szCs w:val="24"/>
              </w:rPr>
              <w:t>=（0</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72</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40</w:t>
            </w:r>
            <w:r>
              <w:rPr>
                <w:rFonts w:hint="default" w:ascii="Times New Roman" w:hAnsi="Times New Roman" w:eastAsia="宋体" w:cs="Times New Roman"/>
                <w:color w:val="auto"/>
                <w:kern w:val="0"/>
                <w:sz w:val="24"/>
                <w:szCs w:val="24"/>
              </w:rPr>
              <w:t>）＋0＋0=</w:t>
            </w:r>
            <w:r>
              <w:rPr>
                <w:rFonts w:hint="eastAsia" w:ascii="Times New Roman" w:hAnsi="Times New Roman" w:eastAsia="宋体" w:cs="Times New Roman"/>
                <w:color w:val="auto"/>
                <w:kern w:val="0"/>
                <w:sz w:val="24"/>
                <w:szCs w:val="24"/>
                <w:lang w:val="en-US" w:eastAsia="zh-CN"/>
              </w:rPr>
              <w:t>32.1</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p>
          <w:p w14:paraId="7B9B8E3A">
            <w:pPr>
              <w:pStyle w:val="70"/>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val="0"/>
                <w:color w:val="auto"/>
                <w:kern w:val="0"/>
                <w:sz w:val="24"/>
                <w:szCs w:val="24"/>
              </w:rPr>
              <w:t>经计算，企业应急事故废水最大量为</w:t>
            </w:r>
            <w:r>
              <w:rPr>
                <w:rFonts w:hint="eastAsia" w:ascii="Times New Roman" w:hAnsi="Times New Roman" w:eastAsia="宋体" w:cs="Times New Roman"/>
                <w:color w:val="auto"/>
                <w:kern w:val="0"/>
                <w:sz w:val="24"/>
                <w:szCs w:val="24"/>
                <w:lang w:val="en-US" w:eastAsia="zh-CN"/>
              </w:rPr>
              <w:t>32</w:t>
            </w:r>
            <w:r>
              <w:rPr>
                <w:rFonts w:hint="default" w:ascii="Times New Roman" w:hAnsi="Times New Roman" w:eastAsia="宋体" w:cs="Times New Roman"/>
                <w:b w:val="0"/>
                <w:color w:val="auto"/>
                <w:kern w:val="0"/>
                <w:sz w:val="24"/>
                <w:szCs w:val="24"/>
              </w:rPr>
              <w:t>m</w:t>
            </w:r>
            <w:r>
              <w:rPr>
                <w:rFonts w:hint="default" w:ascii="Times New Roman" w:hAnsi="Times New Roman" w:eastAsia="宋体" w:cs="Times New Roman"/>
                <w:b w:val="0"/>
                <w:color w:val="auto"/>
                <w:kern w:val="0"/>
                <w:sz w:val="24"/>
                <w:szCs w:val="24"/>
                <w:vertAlign w:val="superscript"/>
              </w:rPr>
              <w:t>3</w:t>
            </w:r>
            <w:r>
              <w:rPr>
                <w:rFonts w:hint="default" w:ascii="Times New Roman" w:hAnsi="Times New Roman" w:eastAsia="宋体" w:cs="Times New Roman"/>
                <w:b w:val="0"/>
                <w:color w:val="auto"/>
                <w:kern w:val="0"/>
                <w:sz w:val="24"/>
                <w:szCs w:val="24"/>
              </w:rPr>
              <w:t>，企业需设置</w:t>
            </w:r>
            <w:r>
              <w:rPr>
                <w:rFonts w:hint="eastAsia" w:ascii="Times New Roman" w:hAnsi="Times New Roman" w:eastAsia="宋体" w:cs="Times New Roman"/>
                <w:b w:val="0"/>
                <w:color w:val="auto"/>
                <w:kern w:val="0"/>
                <w:sz w:val="24"/>
                <w:szCs w:val="24"/>
                <w:lang w:val="en-US" w:eastAsia="zh-CN"/>
              </w:rPr>
              <w:t>35</w:t>
            </w:r>
            <w:r>
              <w:rPr>
                <w:rFonts w:hint="default" w:ascii="Times New Roman" w:hAnsi="Times New Roman" w:eastAsia="宋体" w:cs="Times New Roman"/>
                <w:b w:val="0"/>
                <w:color w:val="auto"/>
                <w:kern w:val="0"/>
                <w:sz w:val="24"/>
                <w:szCs w:val="24"/>
              </w:rPr>
              <w:t>m</w:t>
            </w:r>
            <w:r>
              <w:rPr>
                <w:rFonts w:hint="default" w:ascii="Times New Roman" w:hAnsi="Times New Roman" w:eastAsia="宋体" w:cs="Times New Roman"/>
                <w:b w:val="0"/>
                <w:color w:val="auto"/>
                <w:kern w:val="0"/>
                <w:sz w:val="24"/>
                <w:szCs w:val="24"/>
                <w:vertAlign w:val="superscript"/>
              </w:rPr>
              <w:t>3</w:t>
            </w:r>
            <w:r>
              <w:rPr>
                <w:rFonts w:hint="default" w:ascii="Times New Roman" w:hAnsi="Times New Roman" w:eastAsia="宋体" w:cs="Times New Roman"/>
                <w:b w:val="0"/>
                <w:color w:val="auto"/>
                <w:kern w:val="0"/>
                <w:sz w:val="24"/>
                <w:szCs w:val="24"/>
              </w:rPr>
              <w:t>事故应急池</w:t>
            </w:r>
            <w:r>
              <w:rPr>
                <w:rFonts w:hint="eastAsia" w:ascii="Times New Roman" w:hAnsi="Times New Roman" w:eastAsia="宋体" w:cs="Times New Roman"/>
                <w:b w:val="0"/>
                <w:color w:val="auto"/>
                <w:kern w:val="0"/>
                <w:sz w:val="24"/>
                <w:szCs w:val="24"/>
                <w:lang w:eastAsia="zh-CN"/>
              </w:rPr>
              <w:t>（</w:t>
            </w:r>
            <w:r>
              <w:rPr>
                <w:rFonts w:hint="eastAsia" w:ascii="Times New Roman" w:hAnsi="Times New Roman" w:eastAsia="宋体" w:cs="Times New Roman"/>
                <w:b w:val="0"/>
                <w:color w:val="auto"/>
                <w:kern w:val="0"/>
                <w:sz w:val="24"/>
                <w:szCs w:val="24"/>
                <w:lang w:val="en-US" w:eastAsia="zh-CN"/>
              </w:rPr>
              <w:t>并设置截止阀）</w:t>
            </w:r>
            <w:r>
              <w:rPr>
                <w:rFonts w:hint="default" w:ascii="Times New Roman" w:hAnsi="Times New Roman" w:eastAsia="宋体" w:cs="Times New Roman"/>
                <w:b w:val="0"/>
                <w:color w:val="auto"/>
                <w:kern w:val="0"/>
                <w:sz w:val="24"/>
                <w:szCs w:val="24"/>
                <w:lang w:val="en-US" w:eastAsia="zh-CN"/>
              </w:rPr>
              <w:t>；因此</w:t>
            </w:r>
            <w:r>
              <w:rPr>
                <w:rFonts w:hint="eastAsia" w:ascii="Times New Roman" w:hAnsi="Times New Roman" w:eastAsia="宋体" w:cs="Times New Roman"/>
                <w:b w:val="0"/>
                <w:color w:val="auto"/>
                <w:kern w:val="0"/>
                <w:sz w:val="24"/>
                <w:szCs w:val="24"/>
                <w:lang w:val="en-US" w:eastAsia="zh-CN"/>
              </w:rPr>
              <w:t>建设单位</w:t>
            </w:r>
            <w:r>
              <w:rPr>
                <w:rFonts w:hint="default" w:ascii="Times New Roman" w:hAnsi="Times New Roman" w:eastAsia="宋体" w:cs="Times New Roman"/>
                <w:b w:val="0"/>
                <w:bCs w:val="0"/>
                <w:color w:val="auto"/>
                <w:sz w:val="24"/>
                <w:szCs w:val="24"/>
                <w:highlight w:val="none"/>
                <w:lang w:val="en-US" w:eastAsia="zh-CN"/>
              </w:rPr>
              <w:t>将按照要求建设</w:t>
            </w:r>
            <w:r>
              <w:rPr>
                <w:rFonts w:hint="eastAsia" w:ascii="Times New Roman" w:hAnsi="Times New Roman" w:eastAsia="宋体" w:cs="Times New Roman"/>
                <w:b w:val="0"/>
                <w:color w:val="auto"/>
                <w:kern w:val="0"/>
                <w:sz w:val="24"/>
                <w:szCs w:val="24"/>
                <w:lang w:val="en-US" w:eastAsia="zh-CN"/>
              </w:rPr>
              <w:t>35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lang w:val="en-US" w:eastAsia="zh-CN"/>
              </w:rPr>
              <w:t>事故应急池和切换阀门</w:t>
            </w:r>
            <w:r>
              <w:rPr>
                <w:rFonts w:hint="default" w:ascii="Times New Roman" w:hAnsi="Times New Roman" w:eastAsia="宋体" w:cs="Times New Roman"/>
                <w:b w:val="0"/>
                <w:color w:val="auto"/>
                <w:sz w:val="24"/>
                <w:szCs w:val="24"/>
                <w:highlight w:val="none"/>
                <w:lang w:val="en-US" w:eastAsia="zh-CN"/>
              </w:rPr>
              <w:t>用于事故状态下事故废水的收集，紧急情况下手动关闭雨水切换阀门，开启通往事故池阀门，将事故废水收集于事故池暂存</w:t>
            </w:r>
            <w:r>
              <w:rPr>
                <w:rFonts w:hint="default" w:ascii="Times New Roman" w:hAnsi="Times New Roman" w:eastAsia="宋体" w:cs="Times New Roman"/>
                <w:b w:val="0"/>
                <w:color w:val="auto"/>
                <w:sz w:val="24"/>
                <w:szCs w:val="24"/>
                <w:highlight w:val="none"/>
              </w:rPr>
              <w:t>。</w:t>
            </w:r>
            <w:r>
              <w:rPr>
                <w:rFonts w:hint="default" w:ascii="Times New Roman" w:hAnsi="Times New Roman" w:eastAsia="宋体" w:cs="Times New Roman"/>
                <w:b w:val="0"/>
                <w:color w:val="auto"/>
                <w:kern w:val="0"/>
                <w:sz w:val="24"/>
                <w:szCs w:val="24"/>
              </w:rPr>
              <w:t>通过完善消防废水收集、处理、排放系统，保证生产车间、仓库以及危废仓库发生火灾事故时，消防废水等能迅速、安全地集中到事故应急池，然后针对水质实际情况进行必要的处理，避免对评价范围内的周围农田和河流造成影响。</w:t>
            </w:r>
          </w:p>
          <w:p w14:paraId="64E7AE8E">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2）泄漏事故应急措施</w:t>
            </w:r>
          </w:p>
          <w:p w14:paraId="30EEBAD6">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sz w:val="24"/>
                <w:lang w:val="en-US" w:eastAsia="zh-CN"/>
              </w:rPr>
              <w:t>冷却液、热熔胶</w:t>
            </w:r>
            <w:r>
              <w:rPr>
                <w:rFonts w:hint="default" w:ascii="Times New Roman" w:hAnsi="Times New Roman" w:eastAsia="宋体" w:cs="Times New Roman"/>
                <w:color w:val="auto"/>
                <w:sz w:val="24"/>
                <w:lang w:val="en-US" w:eastAsia="zh-CN"/>
              </w:rPr>
              <w:t>等原料</w:t>
            </w:r>
            <w:r>
              <w:rPr>
                <w:rFonts w:hint="default" w:ascii="Times New Roman" w:hAnsi="Times New Roman" w:eastAsia="宋体" w:cs="Times New Roman"/>
                <w:color w:val="auto"/>
                <w:kern w:val="0"/>
                <w:sz w:val="24"/>
                <w:szCs w:val="24"/>
              </w:rPr>
              <w:t>暂存于车间原料仓库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桶底部设有托盘，且仓库地面作防渗处理，即便发生泄漏，也可全部收集于托盘中，不会扩散至厂区或厂外环境。</w:t>
            </w:r>
          </w:p>
          <w:p w14:paraId="46DCBB66">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3）废气处理装置事故应急措施</w:t>
            </w:r>
          </w:p>
          <w:p w14:paraId="26555A8C">
            <w:pPr>
              <w:pStyle w:val="10"/>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现场操作人员发现废气处理装置发生故障后，应立即停止生产，相关人员对废气处理装置进行故障排除，待故障解决、装置运行正常后再进行生产。</w:t>
            </w:r>
          </w:p>
          <w:p w14:paraId="2E68C211">
            <w:pPr>
              <w:pStyle w:val="10"/>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③突发事故对策和应急预案</w:t>
            </w:r>
          </w:p>
          <w:p w14:paraId="3BE31BC0">
            <w:pPr>
              <w:pStyle w:val="35"/>
              <w:keepNext w:val="0"/>
              <w:keepLines w:val="0"/>
              <w:pageBreakBefore w:val="0"/>
              <w:kinsoku/>
              <w:wordWrap/>
              <w:overflowPunct/>
              <w:topLinePunct w:val="0"/>
              <w:bidi w:val="0"/>
              <w:adjustRightInd/>
              <w:snapToGrid/>
              <w:spacing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val="0"/>
                <w:bCs/>
                <w:color w:val="auto"/>
                <w:kern w:val="0"/>
                <w:sz w:val="24"/>
                <w:szCs w:val="24"/>
              </w:rPr>
              <w:t>参照《国家突发环境事件应急预案》《突发环境事件信息报告办法》《江苏省突发环境事件应急预案》，根据企业可能发生的突发环境事件的性质、严重程度、可控性、影响范围等因素，公司应根据下表的详细要求制定突发事故对策和应急预案，一旦出现突发事故，必须按事先拟定的方案进行紧急处理。应急对策和预案的内容及要求如下表：</w:t>
            </w:r>
          </w:p>
          <w:p w14:paraId="7066F5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表4-</w:t>
            </w:r>
            <w:r>
              <w:rPr>
                <w:rFonts w:hint="eastAsia" w:ascii="Times New Roman" w:hAnsi="Times New Roman" w:eastAsia="宋体" w:cs="Times New Roman"/>
                <w:b/>
                <w:color w:val="auto"/>
                <w:kern w:val="0"/>
                <w:sz w:val="24"/>
                <w:szCs w:val="24"/>
                <w:lang w:val="en-US" w:eastAsia="zh-CN"/>
              </w:rPr>
              <w:t>25</w:t>
            </w:r>
            <w:r>
              <w:rPr>
                <w:rFonts w:hint="default" w:ascii="Times New Roman" w:hAnsi="Times New Roman" w:eastAsia="宋体" w:cs="Times New Roman"/>
                <w:b/>
                <w:color w:val="auto"/>
                <w:kern w:val="0"/>
                <w:sz w:val="24"/>
                <w:szCs w:val="24"/>
              </w:rPr>
              <w:t xml:space="preserve">   应急预案内容</w:t>
            </w:r>
          </w:p>
          <w:tbl>
            <w:tblPr>
              <w:tblStyle w:val="29"/>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83"/>
              <w:gridCol w:w="2934"/>
              <w:gridCol w:w="4629"/>
            </w:tblGrid>
            <w:tr w14:paraId="7A496E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F4269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757" w:type="pct"/>
                  <w:vAlign w:val="center"/>
                </w:tcPr>
                <w:p w14:paraId="31F55A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w:t>
                  </w:r>
                </w:p>
              </w:tc>
              <w:tc>
                <w:tcPr>
                  <w:tcW w:w="2772" w:type="pct"/>
                  <w:vAlign w:val="center"/>
                </w:tcPr>
                <w:p w14:paraId="1D6CB8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内容及要求</w:t>
                  </w:r>
                </w:p>
              </w:tc>
            </w:tr>
            <w:tr w14:paraId="75AD0B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15D3C5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757" w:type="pct"/>
                  <w:vAlign w:val="center"/>
                </w:tcPr>
                <w:p w14:paraId="04E1FF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应急计划区</w:t>
                  </w:r>
                </w:p>
              </w:tc>
              <w:tc>
                <w:tcPr>
                  <w:tcW w:w="2772" w:type="pct"/>
                  <w:vAlign w:val="center"/>
                </w:tcPr>
                <w:p w14:paraId="313F13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危险目标：危废仓库、环境保护目标等</w:t>
                  </w:r>
                </w:p>
              </w:tc>
            </w:tr>
            <w:tr w14:paraId="65CC7A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68CEF9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757" w:type="pct"/>
                  <w:vAlign w:val="center"/>
                </w:tcPr>
                <w:p w14:paraId="1FE0D2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应急组织机构、人员</w:t>
                  </w:r>
                </w:p>
              </w:tc>
              <w:tc>
                <w:tcPr>
                  <w:tcW w:w="2772" w:type="pct"/>
                  <w:vAlign w:val="center"/>
                </w:tcPr>
                <w:p w14:paraId="68ECFE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工厂、地区应急组织机构、人员</w:t>
                  </w:r>
                </w:p>
              </w:tc>
            </w:tr>
            <w:tr w14:paraId="59CFC8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D262B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757" w:type="pct"/>
                  <w:vAlign w:val="center"/>
                </w:tcPr>
                <w:p w14:paraId="3FC368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预案分级响应条件</w:t>
                  </w:r>
                </w:p>
              </w:tc>
              <w:tc>
                <w:tcPr>
                  <w:tcW w:w="2772" w:type="pct"/>
                  <w:vAlign w:val="center"/>
                </w:tcPr>
                <w:p w14:paraId="303AE9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规定预案的级别及分级响应程序</w:t>
                  </w:r>
                </w:p>
              </w:tc>
            </w:tr>
            <w:tr w14:paraId="6C66BD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125188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757" w:type="pct"/>
                  <w:vAlign w:val="center"/>
                </w:tcPr>
                <w:p w14:paraId="22EDB3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应急救援保障</w:t>
                  </w:r>
                </w:p>
              </w:tc>
              <w:tc>
                <w:tcPr>
                  <w:tcW w:w="2772" w:type="pct"/>
                  <w:vAlign w:val="center"/>
                </w:tcPr>
                <w:p w14:paraId="5921EC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应急设施，设备与器材等</w:t>
                  </w:r>
                </w:p>
              </w:tc>
            </w:tr>
            <w:tr w14:paraId="78E733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00CFFA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1757" w:type="pct"/>
                  <w:vAlign w:val="center"/>
                </w:tcPr>
                <w:p w14:paraId="4034AD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报警、通讯联络方式</w:t>
                  </w:r>
                </w:p>
              </w:tc>
              <w:tc>
                <w:tcPr>
                  <w:tcW w:w="2772" w:type="pct"/>
                  <w:vAlign w:val="center"/>
                </w:tcPr>
                <w:p w14:paraId="13FADC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规定应急状态下的报警通讯方式、通知方式和交通保障、管制</w:t>
                  </w:r>
                </w:p>
              </w:tc>
            </w:tr>
            <w:tr w14:paraId="312D7D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14BA92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1757" w:type="pct"/>
                  <w:vAlign w:val="center"/>
                </w:tcPr>
                <w:p w14:paraId="167BFA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应急检测、防护措施、器材</w:t>
                  </w:r>
                </w:p>
              </w:tc>
              <w:tc>
                <w:tcPr>
                  <w:tcW w:w="2772" w:type="pct"/>
                  <w:vAlign w:val="center"/>
                </w:tcPr>
                <w:p w14:paraId="6E48B93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事故现场、邻近区域、控制防火区域，控制和清除污染措施及相应设备</w:t>
                  </w:r>
                </w:p>
              </w:tc>
            </w:tr>
            <w:tr w14:paraId="5C5005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9E8B7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1757" w:type="pct"/>
                  <w:vAlign w:val="center"/>
                </w:tcPr>
                <w:p w14:paraId="5C56EF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人员紧急撤离、疏散，应急剂量控制、撤离组织计划</w:t>
                  </w:r>
                </w:p>
              </w:tc>
              <w:tc>
                <w:tcPr>
                  <w:tcW w:w="2772" w:type="pct"/>
                  <w:vAlign w:val="center"/>
                </w:tcPr>
                <w:p w14:paraId="1C58DF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事故现场、工厂邻近区、受事故影响的区域人员及公众对毒物应急剂量控制规定，撤离组织计划及救护，医疗救护与公众健康</w:t>
                  </w:r>
                </w:p>
              </w:tc>
            </w:tr>
            <w:tr w14:paraId="7ECD71E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BC4F2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1757" w:type="pct"/>
                  <w:vAlign w:val="center"/>
                </w:tcPr>
                <w:p w14:paraId="5C7775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事故应急救援关闭程序与恢复措施</w:t>
                  </w:r>
                </w:p>
              </w:tc>
              <w:tc>
                <w:tcPr>
                  <w:tcW w:w="2772" w:type="pct"/>
                  <w:vAlign w:val="center"/>
                </w:tcPr>
                <w:p w14:paraId="10E2AA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规定应急状态终止程序</w:t>
                  </w:r>
                </w:p>
                <w:p w14:paraId="1D1CC2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事故现场善后处理，恢复措施</w:t>
                  </w:r>
                </w:p>
                <w:p w14:paraId="20B3BF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邻近区域解除事故警戒及善后恢复措施</w:t>
                  </w:r>
                </w:p>
              </w:tc>
            </w:tr>
            <w:tr w14:paraId="4107B2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15E35D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1757" w:type="pct"/>
                  <w:vAlign w:val="center"/>
                </w:tcPr>
                <w:p w14:paraId="38B887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应急培训计划</w:t>
                  </w:r>
                </w:p>
              </w:tc>
              <w:tc>
                <w:tcPr>
                  <w:tcW w:w="2772" w:type="pct"/>
                  <w:vAlign w:val="center"/>
                </w:tcPr>
                <w:p w14:paraId="1571E3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应急计划制定后，平时安排人员培训与演练</w:t>
                  </w:r>
                </w:p>
              </w:tc>
            </w:tr>
          </w:tbl>
          <w:p w14:paraId="0D465545">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建议建设单位应采用严格的国际通用的安全防范体系，完善现有的管理规程、作业规章和应急计划，预警和应急</w:t>
            </w:r>
            <w:r>
              <w:rPr>
                <w:rFonts w:hint="eastAsia" w:ascii="Times New Roman" w:hAnsi="Times New Roman" w:eastAsia="宋体" w:cs="Times New Roman"/>
                <w:color w:val="auto"/>
                <w:kern w:val="0"/>
                <w:sz w:val="24"/>
                <w:szCs w:val="24"/>
                <w:lang w:eastAsia="zh-CN"/>
              </w:rPr>
              <w:t>装</w:t>
            </w:r>
            <w:r>
              <w:rPr>
                <w:rFonts w:hint="default" w:ascii="Times New Roman" w:hAnsi="Times New Roman" w:eastAsia="宋体" w:cs="Times New Roman"/>
                <w:color w:val="auto"/>
                <w:kern w:val="0"/>
                <w:sz w:val="24"/>
                <w:szCs w:val="24"/>
              </w:rPr>
              <w:t>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207D9499">
            <w:pPr>
              <w:pStyle w:val="73"/>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（3）环境风险结论</w:t>
            </w:r>
          </w:p>
          <w:p w14:paraId="6B1396C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1569DFA4">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七、电磁辐射</w:t>
            </w:r>
          </w:p>
          <w:p w14:paraId="11EC78D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本项目不涉及电磁辐射。</w:t>
            </w:r>
          </w:p>
        </w:tc>
      </w:tr>
    </w:tbl>
    <w:p w14:paraId="300747BD">
      <w:pPr>
        <w:rPr>
          <w:rFonts w:hint="default" w:ascii="Times New Roman" w:hAnsi="Times New Roman" w:eastAsia="宋体" w:cs="Times New Roman"/>
          <w:color w:val="auto"/>
          <w:sz w:val="24"/>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DB37094">
      <w:pPr>
        <w:pStyle w:val="2"/>
        <w:rPr>
          <w:rFonts w:hint="default" w:ascii="Times New Roman" w:hAnsi="Times New Roman" w:cs="Times New Roman"/>
          <w:color w:val="auto"/>
        </w:rPr>
      </w:pPr>
      <w:r>
        <w:rPr>
          <w:rFonts w:hint="default" w:ascii="Times New Roman" w:hAnsi="Times New Roman" w:cs="Times New Roman"/>
          <w:color w:val="auto"/>
        </w:rPr>
        <w:t>五、环境保护措施监督检查清单</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917"/>
        <w:gridCol w:w="1078"/>
        <w:gridCol w:w="1548"/>
        <w:gridCol w:w="1962"/>
        <w:gridCol w:w="1757"/>
      </w:tblGrid>
      <w:tr w14:paraId="73BF1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8" w:space="0"/>
              <w:left w:val="single" w:color="auto" w:sz="4" w:space="0"/>
              <w:bottom w:val="single" w:color="auto" w:sz="4" w:space="0"/>
              <w:tl2br w:val="single" w:color="auto" w:sz="4" w:space="0"/>
            </w:tcBorders>
          </w:tcPr>
          <w:p w14:paraId="1CBD6E3E">
            <w:pPr>
              <w:adjustRightInd w:val="0"/>
              <w:snapToGrid w:val="0"/>
              <w:ind w:firstLine="84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14:paraId="18828A29">
            <w:pPr>
              <w:adjustRightInd w:val="0"/>
              <w:snapToGrid w:val="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995" w:type="dxa"/>
            <w:gridSpan w:val="2"/>
            <w:vAlign w:val="center"/>
          </w:tcPr>
          <w:p w14:paraId="7D0519F3">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编号、</w:t>
            </w:r>
          </w:p>
          <w:p w14:paraId="763AE8FE">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名称</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1548" w:type="dxa"/>
            <w:vAlign w:val="center"/>
          </w:tcPr>
          <w:p w14:paraId="029D662B">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1962" w:type="dxa"/>
            <w:vAlign w:val="center"/>
          </w:tcPr>
          <w:p w14:paraId="0FC30483">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1757" w:type="dxa"/>
            <w:vAlign w:val="center"/>
          </w:tcPr>
          <w:p w14:paraId="58D78B33">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56CCE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4" w:space="0"/>
            </w:tcBorders>
            <w:vAlign w:val="center"/>
          </w:tcPr>
          <w:p w14:paraId="1B7687BD">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917" w:type="dxa"/>
            <w:vMerge w:val="restart"/>
            <w:tcBorders>
              <w:right w:val="single" w:color="auto" w:sz="4" w:space="0"/>
            </w:tcBorders>
            <w:vAlign w:val="center"/>
          </w:tcPr>
          <w:p w14:paraId="03BB1ED6">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无组织</w:t>
            </w:r>
          </w:p>
        </w:tc>
        <w:tc>
          <w:tcPr>
            <w:tcW w:w="1078" w:type="dxa"/>
            <w:tcBorders>
              <w:left w:val="single" w:color="auto" w:sz="4" w:space="0"/>
            </w:tcBorders>
            <w:shd w:val="clear" w:color="auto" w:fill="auto"/>
            <w:vAlign w:val="center"/>
          </w:tcPr>
          <w:p w14:paraId="5A9BF954">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厂界</w:t>
            </w:r>
          </w:p>
        </w:tc>
        <w:tc>
          <w:tcPr>
            <w:tcW w:w="1548" w:type="dxa"/>
            <w:shd w:val="clear" w:color="auto" w:fill="auto"/>
            <w:vAlign w:val="center"/>
          </w:tcPr>
          <w:p w14:paraId="04930B2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非甲烷总烃</w:t>
            </w:r>
          </w:p>
        </w:tc>
        <w:tc>
          <w:tcPr>
            <w:tcW w:w="1962" w:type="dxa"/>
            <w:shd w:val="clear" w:color="auto" w:fill="auto"/>
            <w:vAlign w:val="center"/>
          </w:tcPr>
          <w:p w14:paraId="1D511470">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w:t>
            </w:r>
          </w:p>
        </w:tc>
        <w:tc>
          <w:tcPr>
            <w:tcW w:w="1757" w:type="dxa"/>
            <w:shd w:val="clear" w:color="auto" w:fill="auto"/>
            <w:vAlign w:val="center"/>
          </w:tcPr>
          <w:p w14:paraId="324BA25D">
            <w:pPr>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lang w:val="en-US" w:eastAsia="zh-CN"/>
              </w:rPr>
              <w:t>江苏省地标《大气污染物综合排放标准》（DB32/4041-2021）</w:t>
            </w:r>
            <w:r>
              <w:rPr>
                <w:rFonts w:hint="eastAsia" w:ascii="Times New Roman" w:hAnsi="Times New Roman" w:eastAsia="宋体" w:cs="Times New Roman"/>
                <w:color w:val="auto"/>
                <w:sz w:val="24"/>
                <w:szCs w:val="24"/>
                <w:lang w:val="en-US" w:eastAsia="zh-CN"/>
              </w:rPr>
              <w:t>表3中标准限值</w:t>
            </w:r>
          </w:p>
        </w:tc>
      </w:tr>
      <w:tr w14:paraId="13060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8" w:type="dxa"/>
            <w:vMerge w:val="continue"/>
            <w:tcBorders>
              <w:left w:val="single" w:color="auto" w:sz="4" w:space="0"/>
            </w:tcBorders>
            <w:vAlign w:val="center"/>
          </w:tcPr>
          <w:p w14:paraId="6B3A11F2">
            <w:pPr>
              <w:adjustRightInd w:val="0"/>
              <w:snapToGrid w:val="0"/>
              <w:jc w:val="center"/>
              <w:rPr>
                <w:rFonts w:hint="default" w:ascii="Times New Roman" w:hAnsi="Times New Roman" w:eastAsia="宋体" w:cs="Times New Roman"/>
                <w:color w:val="auto"/>
                <w:sz w:val="24"/>
                <w:szCs w:val="24"/>
              </w:rPr>
            </w:pPr>
          </w:p>
        </w:tc>
        <w:tc>
          <w:tcPr>
            <w:tcW w:w="917" w:type="dxa"/>
            <w:vMerge w:val="continue"/>
            <w:tcBorders>
              <w:right w:val="single" w:color="auto" w:sz="4" w:space="0"/>
            </w:tcBorders>
            <w:vAlign w:val="center"/>
          </w:tcPr>
          <w:p w14:paraId="4FDB7359">
            <w:pPr>
              <w:adjustRightInd w:val="0"/>
              <w:snapToGrid w:val="0"/>
              <w:jc w:val="center"/>
              <w:rPr>
                <w:rFonts w:hint="default" w:ascii="Times New Roman" w:hAnsi="Times New Roman" w:eastAsia="宋体" w:cs="Times New Roman"/>
                <w:color w:val="auto"/>
                <w:sz w:val="24"/>
                <w:szCs w:val="24"/>
              </w:rPr>
            </w:pPr>
          </w:p>
        </w:tc>
        <w:tc>
          <w:tcPr>
            <w:tcW w:w="1078" w:type="dxa"/>
            <w:tcBorders>
              <w:left w:val="single" w:color="auto" w:sz="4" w:space="0"/>
            </w:tcBorders>
            <w:vAlign w:val="center"/>
          </w:tcPr>
          <w:p w14:paraId="46C2AE0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厂区内</w:t>
            </w:r>
          </w:p>
        </w:tc>
        <w:tc>
          <w:tcPr>
            <w:tcW w:w="1548" w:type="dxa"/>
            <w:vAlign w:val="center"/>
          </w:tcPr>
          <w:p w14:paraId="2C240DF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非甲烷总烃</w:t>
            </w:r>
          </w:p>
        </w:tc>
        <w:tc>
          <w:tcPr>
            <w:tcW w:w="1962" w:type="dxa"/>
            <w:vAlign w:val="center"/>
          </w:tcPr>
          <w:p w14:paraId="35A71A2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Align w:val="center"/>
          </w:tcPr>
          <w:p w14:paraId="4C65A64C">
            <w:pPr>
              <w:snapToGrid w:val="0"/>
              <w:jc w:val="center"/>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《大气污染物综合排放标准》（DB32/4041-2021）表2浓度限值</w:t>
            </w:r>
          </w:p>
        </w:tc>
      </w:tr>
      <w:tr w14:paraId="75A09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tcBorders>
            <w:vAlign w:val="center"/>
          </w:tcPr>
          <w:p w14:paraId="7590BC7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995" w:type="dxa"/>
            <w:gridSpan w:val="2"/>
            <w:vAlign w:val="center"/>
          </w:tcPr>
          <w:p w14:paraId="62106CBD">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生活污水</w:t>
            </w:r>
          </w:p>
        </w:tc>
        <w:tc>
          <w:tcPr>
            <w:tcW w:w="1548" w:type="dxa"/>
            <w:vAlign w:val="center"/>
          </w:tcPr>
          <w:p w14:paraId="1BE9DA7C">
            <w:pPr>
              <w:adjustRightInd w:val="0"/>
              <w:snapToGrid w:val="0"/>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auto"/>
                <w:sz w:val="24"/>
                <w:szCs w:val="24"/>
              </w:rPr>
              <w:t>pH、COD、SS、氨氮、总磷、总氮</w:t>
            </w:r>
          </w:p>
        </w:tc>
        <w:tc>
          <w:tcPr>
            <w:tcW w:w="1962" w:type="dxa"/>
            <w:vAlign w:val="center"/>
          </w:tcPr>
          <w:p w14:paraId="7F39940E">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接管至唐王村农村生活污水处理站</w:t>
            </w:r>
          </w:p>
        </w:tc>
        <w:tc>
          <w:tcPr>
            <w:tcW w:w="1757" w:type="dxa"/>
            <w:vAlign w:val="center"/>
          </w:tcPr>
          <w:p w14:paraId="0D14F758">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《污水排入城镇下水道水质标准》（GB/T31962-2015）中B级标准和唐王村农村生活污水处理站的接管标准</w:t>
            </w:r>
          </w:p>
        </w:tc>
      </w:tr>
      <w:tr w14:paraId="38504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restart"/>
            <w:tcBorders>
              <w:top w:val="single" w:color="auto" w:sz="4" w:space="0"/>
              <w:left w:val="single" w:color="auto" w:sz="4" w:space="0"/>
            </w:tcBorders>
            <w:vAlign w:val="center"/>
          </w:tcPr>
          <w:p w14:paraId="5360A057">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995" w:type="dxa"/>
            <w:gridSpan w:val="2"/>
            <w:vAlign w:val="center"/>
          </w:tcPr>
          <w:p w14:paraId="086B2828">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检验</w:t>
            </w:r>
          </w:p>
        </w:tc>
        <w:tc>
          <w:tcPr>
            <w:tcW w:w="1548" w:type="dxa"/>
            <w:tcBorders>
              <w:bottom w:val="single" w:color="auto" w:sz="4" w:space="0"/>
            </w:tcBorders>
            <w:vAlign w:val="center"/>
          </w:tcPr>
          <w:p w14:paraId="28C3DEA6">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color w:val="auto"/>
                <w:sz w:val="24"/>
                <w:szCs w:val="24"/>
              </w:rPr>
              <w:t>不合格品</w:t>
            </w:r>
          </w:p>
        </w:tc>
        <w:tc>
          <w:tcPr>
            <w:tcW w:w="1962" w:type="dxa"/>
            <w:vAlign w:val="center"/>
          </w:tcPr>
          <w:p w14:paraId="55682A9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外售综合利用</w:t>
            </w:r>
          </w:p>
        </w:tc>
        <w:tc>
          <w:tcPr>
            <w:tcW w:w="1757" w:type="dxa"/>
            <w:vMerge w:val="restart"/>
            <w:vAlign w:val="center"/>
          </w:tcPr>
          <w:p w14:paraId="3EEE0E5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有效处置</w:t>
            </w:r>
          </w:p>
        </w:tc>
      </w:tr>
      <w:tr w14:paraId="4E261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72528272">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27004866">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原料使用</w:t>
            </w:r>
          </w:p>
        </w:tc>
        <w:tc>
          <w:tcPr>
            <w:tcW w:w="1548" w:type="dxa"/>
            <w:tcBorders>
              <w:bottom w:val="single" w:color="auto" w:sz="4" w:space="0"/>
            </w:tcBorders>
            <w:shd w:val="clear" w:color="auto" w:fill="auto"/>
            <w:vAlign w:val="center"/>
          </w:tcPr>
          <w:p w14:paraId="193883A7">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废包装材料</w:t>
            </w:r>
          </w:p>
        </w:tc>
        <w:tc>
          <w:tcPr>
            <w:tcW w:w="1962" w:type="dxa"/>
            <w:vMerge w:val="restart"/>
            <w:vAlign w:val="center"/>
          </w:tcPr>
          <w:p w14:paraId="697C817E">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委托有资质单位处置</w:t>
            </w:r>
          </w:p>
        </w:tc>
        <w:tc>
          <w:tcPr>
            <w:tcW w:w="1757" w:type="dxa"/>
            <w:vMerge w:val="continue"/>
            <w:vAlign w:val="center"/>
          </w:tcPr>
          <w:p w14:paraId="256123E7">
            <w:pPr>
              <w:adjustRightInd w:val="0"/>
              <w:snapToGrid w:val="0"/>
              <w:jc w:val="center"/>
              <w:rPr>
                <w:rFonts w:hint="default" w:ascii="Times New Roman" w:hAnsi="Times New Roman" w:eastAsia="宋体" w:cs="Times New Roman"/>
                <w:color w:val="auto"/>
                <w:sz w:val="24"/>
                <w:szCs w:val="24"/>
              </w:rPr>
            </w:pPr>
          </w:p>
        </w:tc>
      </w:tr>
      <w:tr w14:paraId="2BBFA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494B5DD1">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35C2BBFE">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废气处理</w:t>
            </w:r>
          </w:p>
        </w:tc>
        <w:tc>
          <w:tcPr>
            <w:tcW w:w="1548" w:type="dxa"/>
            <w:tcBorders>
              <w:bottom w:val="single" w:color="auto" w:sz="4" w:space="0"/>
            </w:tcBorders>
            <w:shd w:val="clear" w:color="auto" w:fill="auto"/>
            <w:vAlign w:val="center"/>
          </w:tcPr>
          <w:p w14:paraId="29402B5E">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废活性炭</w:t>
            </w:r>
          </w:p>
        </w:tc>
        <w:tc>
          <w:tcPr>
            <w:tcW w:w="1962" w:type="dxa"/>
            <w:vMerge w:val="continue"/>
            <w:vAlign w:val="center"/>
          </w:tcPr>
          <w:p w14:paraId="420F85CE">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01117AF0">
            <w:pPr>
              <w:adjustRightInd w:val="0"/>
              <w:snapToGrid w:val="0"/>
              <w:jc w:val="center"/>
              <w:rPr>
                <w:rFonts w:hint="default" w:ascii="Times New Roman" w:hAnsi="Times New Roman" w:eastAsia="宋体" w:cs="Times New Roman"/>
                <w:color w:val="auto"/>
                <w:sz w:val="24"/>
                <w:szCs w:val="24"/>
              </w:rPr>
            </w:pPr>
          </w:p>
        </w:tc>
      </w:tr>
      <w:tr w14:paraId="3DCDD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339C6F67">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6B86577B">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研磨</w:t>
            </w:r>
          </w:p>
        </w:tc>
        <w:tc>
          <w:tcPr>
            <w:tcW w:w="1548" w:type="dxa"/>
            <w:tcBorders>
              <w:bottom w:val="single" w:color="auto" w:sz="4" w:space="0"/>
            </w:tcBorders>
            <w:shd w:val="clear" w:color="auto" w:fill="auto"/>
            <w:vAlign w:val="center"/>
          </w:tcPr>
          <w:p w14:paraId="6679D4E8">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研磨废液</w:t>
            </w:r>
          </w:p>
        </w:tc>
        <w:tc>
          <w:tcPr>
            <w:tcW w:w="1962" w:type="dxa"/>
            <w:vMerge w:val="continue"/>
            <w:vAlign w:val="center"/>
          </w:tcPr>
          <w:p w14:paraId="461587B1">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4C0ADB6D">
            <w:pPr>
              <w:adjustRightInd w:val="0"/>
              <w:snapToGrid w:val="0"/>
              <w:jc w:val="center"/>
              <w:rPr>
                <w:rFonts w:hint="default" w:ascii="Times New Roman" w:hAnsi="Times New Roman" w:eastAsia="宋体" w:cs="Times New Roman"/>
                <w:color w:val="auto"/>
                <w:sz w:val="24"/>
                <w:szCs w:val="24"/>
              </w:rPr>
            </w:pPr>
          </w:p>
        </w:tc>
      </w:tr>
      <w:tr w14:paraId="01429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709D68DF">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6160F5CD">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抛光</w:t>
            </w:r>
          </w:p>
        </w:tc>
        <w:tc>
          <w:tcPr>
            <w:tcW w:w="1548" w:type="dxa"/>
            <w:tcBorders>
              <w:bottom w:val="single" w:color="auto" w:sz="4" w:space="0"/>
            </w:tcBorders>
            <w:shd w:val="clear" w:color="auto" w:fill="auto"/>
            <w:vAlign w:val="center"/>
          </w:tcPr>
          <w:p w14:paraId="2A211B7A">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抛光废液</w:t>
            </w:r>
          </w:p>
        </w:tc>
        <w:tc>
          <w:tcPr>
            <w:tcW w:w="1962" w:type="dxa"/>
            <w:vMerge w:val="continue"/>
            <w:vAlign w:val="center"/>
          </w:tcPr>
          <w:p w14:paraId="7EF18D3E">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73614A0A">
            <w:pPr>
              <w:adjustRightInd w:val="0"/>
              <w:snapToGrid w:val="0"/>
              <w:jc w:val="center"/>
              <w:rPr>
                <w:rFonts w:hint="default" w:ascii="Times New Roman" w:hAnsi="Times New Roman" w:eastAsia="宋体" w:cs="Times New Roman"/>
                <w:color w:val="auto"/>
                <w:sz w:val="24"/>
                <w:szCs w:val="24"/>
              </w:rPr>
            </w:pPr>
          </w:p>
        </w:tc>
      </w:tr>
      <w:tr w14:paraId="2B141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7A84A493">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2B8AF6B5">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清洗</w:t>
            </w:r>
          </w:p>
        </w:tc>
        <w:tc>
          <w:tcPr>
            <w:tcW w:w="1548" w:type="dxa"/>
            <w:tcBorders>
              <w:bottom w:val="single" w:color="auto" w:sz="4" w:space="0"/>
            </w:tcBorders>
            <w:shd w:val="clear" w:color="auto" w:fill="auto"/>
            <w:vAlign w:val="center"/>
          </w:tcPr>
          <w:p w14:paraId="492B41A8">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纯碱</w:t>
            </w:r>
            <w:r>
              <w:rPr>
                <w:rFonts w:hint="default" w:ascii="Times New Roman" w:hAnsi="Times New Roman" w:eastAsia="宋体" w:cs="Times New Roman"/>
                <w:color w:val="auto"/>
                <w:sz w:val="24"/>
                <w:szCs w:val="24"/>
                <w:lang w:val="en-US" w:eastAsia="zh-CN"/>
              </w:rPr>
              <w:t>清洗废液</w:t>
            </w:r>
          </w:p>
        </w:tc>
        <w:tc>
          <w:tcPr>
            <w:tcW w:w="1962" w:type="dxa"/>
            <w:vMerge w:val="continue"/>
            <w:vAlign w:val="center"/>
          </w:tcPr>
          <w:p w14:paraId="44AC9DED">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79186A85">
            <w:pPr>
              <w:adjustRightInd w:val="0"/>
              <w:snapToGrid w:val="0"/>
              <w:jc w:val="center"/>
              <w:rPr>
                <w:rFonts w:hint="default" w:ascii="Times New Roman" w:hAnsi="Times New Roman" w:eastAsia="宋体" w:cs="Times New Roman"/>
                <w:color w:val="auto"/>
                <w:sz w:val="24"/>
                <w:szCs w:val="24"/>
              </w:rPr>
            </w:pPr>
          </w:p>
        </w:tc>
      </w:tr>
      <w:tr w14:paraId="50C36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B0CE52D">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00BC01BD">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办公、生活</w:t>
            </w:r>
          </w:p>
        </w:tc>
        <w:tc>
          <w:tcPr>
            <w:tcW w:w="1548" w:type="dxa"/>
            <w:tcBorders>
              <w:bottom w:val="single" w:color="auto" w:sz="4" w:space="0"/>
            </w:tcBorders>
            <w:shd w:val="clear" w:color="auto" w:fill="auto"/>
            <w:vAlign w:val="center"/>
          </w:tcPr>
          <w:p w14:paraId="10359EC0">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生活垃圾</w:t>
            </w:r>
          </w:p>
        </w:tc>
        <w:tc>
          <w:tcPr>
            <w:tcW w:w="1962" w:type="dxa"/>
            <w:shd w:val="clear" w:color="auto" w:fill="auto"/>
            <w:vAlign w:val="center"/>
          </w:tcPr>
          <w:p w14:paraId="160ED715">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环卫清运</w:t>
            </w:r>
          </w:p>
        </w:tc>
        <w:tc>
          <w:tcPr>
            <w:tcW w:w="1757" w:type="dxa"/>
            <w:vMerge w:val="continue"/>
            <w:vAlign w:val="center"/>
          </w:tcPr>
          <w:p w14:paraId="7A91BDF4">
            <w:pPr>
              <w:adjustRightInd w:val="0"/>
              <w:snapToGrid w:val="0"/>
              <w:jc w:val="center"/>
              <w:rPr>
                <w:rFonts w:hint="default" w:ascii="Times New Roman" w:hAnsi="Times New Roman" w:eastAsia="宋体" w:cs="Times New Roman"/>
                <w:color w:val="auto"/>
                <w:sz w:val="24"/>
                <w:szCs w:val="24"/>
              </w:rPr>
            </w:pPr>
          </w:p>
        </w:tc>
      </w:tr>
      <w:tr w14:paraId="7066C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4" w:space="0"/>
            </w:tcBorders>
            <w:vAlign w:val="center"/>
          </w:tcPr>
          <w:p w14:paraId="5EC5D55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995" w:type="dxa"/>
            <w:gridSpan w:val="2"/>
            <w:vMerge w:val="restart"/>
            <w:vAlign w:val="center"/>
          </w:tcPr>
          <w:p w14:paraId="12D74C52">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生产及公辅设备</w:t>
            </w:r>
          </w:p>
        </w:tc>
        <w:tc>
          <w:tcPr>
            <w:tcW w:w="1548" w:type="dxa"/>
            <w:vAlign w:val="center"/>
          </w:tcPr>
          <w:p w14:paraId="4B49859E">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厂界噪声</w:t>
            </w:r>
          </w:p>
        </w:tc>
        <w:tc>
          <w:tcPr>
            <w:tcW w:w="1962" w:type="dxa"/>
            <w:vMerge w:val="restart"/>
            <w:vAlign w:val="center"/>
          </w:tcPr>
          <w:p w14:paraId="1DDCBAE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厂房隔声、减振措施</w:t>
            </w:r>
          </w:p>
        </w:tc>
        <w:tc>
          <w:tcPr>
            <w:tcW w:w="1757" w:type="dxa"/>
            <w:vAlign w:val="center"/>
          </w:tcPr>
          <w:p w14:paraId="0C75603B">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《工业企业厂界环境噪声排放标准》（GB12348-2008）表1中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类标准限值</w:t>
            </w:r>
          </w:p>
        </w:tc>
      </w:tr>
      <w:tr w14:paraId="1BBC8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left w:val="single" w:color="auto" w:sz="4" w:space="0"/>
            </w:tcBorders>
            <w:vAlign w:val="center"/>
          </w:tcPr>
          <w:p w14:paraId="35735863">
            <w:pPr>
              <w:adjustRightInd w:val="0"/>
              <w:snapToGrid w:val="0"/>
              <w:jc w:val="center"/>
              <w:rPr>
                <w:rFonts w:hint="default" w:ascii="Times New Roman" w:hAnsi="Times New Roman" w:eastAsia="宋体" w:cs="Times New Roman"/>
                <w:color w:val="auto"/>
                <w:sz w:val="24"/>
                <w:szCs w:val="24"/>
              </w:rPr>
            </w:pPr>
          </w:p>
        </w:tc>
        <w:tc>
          <w:tcPr>
            <w:tcW w:w="1995" w:type="dxa"/>
            <w:gridSpan w:val="2"/>
            <w:vMerge w:val="continue"/>
            <w:vAlign w:val="center"/>
          </w:tcPr>
          <w:p w14:paraId="7E8E9238">
            <w:pPr>
              <w:adjustRightInd w:val="0"/>
              <w:snapToGrid w:val="0"/>
              <w:jc w:val="center"/>
              <w:rPr>
                <w:rFonts w:hint="default" w:ascii="Times New Roman" w:hAnsi="Times New Roman" w:eastAsia="宋体" w:cs="Times New Roman"/>
                <w:color w:val="auto"/>
                <w:sz w:val="24"/>
                <w:szCs w:val="24"/>
              </w:rPr>
            </w:pPr>
          </w:p>
        </w:tc>
        <w:tc>
          <w:tcPr>
            <w:tcW w:w="1548" w:type="dxa"/>
            <w:vAlign w:val="center"/>
          </w:tcPr>
          <w:p w14:paraId="5730C240">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唐王村</w:t>
            </w:r>
          </w:p>
        </w:tc>
        <w:tc>
          <w:tcPr>
            <w:tcW w:w="1962" w:type="dxa"/>
            <w:vMerge w:val="continue"/>
            <w:vAlign w:val="center"/>
          </w:tcPr>
          <w:p w14:paraId="5635213B">
            <w:pPr>
              <w:adjustRightInd w:val="0"/>
              <w:snapToGrid w:val="0"/>
              <w:jc w:val="center"/>
              <w:rPr>
                <w:rFonts w:hint="default" w:ascii="Times New Roman" w:hAnsi="Times New Roman" w:eastAsia="宋体" w:cs="Times New Roman"/>
                <w:color w:val="auto"/>
                <w:sz w:val="24"/>
                <w:szCs w:val="24"/>
              </w:rPr>
            </w:pPr>
          </w:p>
        </w:tc>
        <w:tc>
          <w:tcPr>
            <w:tcW w:w="1757" w:type="dxa"/>
            <w:vAlign w:val="center"/>
          </w:tcPr>
          <w:p w14:paraId="3DAE6FCC">
            <w:pPr>
              <w:adjustRightInd w:val="0"/>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fldChar w:fldCharType="begin"/>
            </w:r>
            <w:r>
              <w:rPr>
                <w:rFonts w:hint="eastAsia" w:ascii="Times New Roman" w:hAnsi="Times New Roman" w:eastAsia="宋体" w:cs="Times New Roman"/>
                <w:color w:val="auto"/>
                <w:sz w:val="24"/>
                <w:lang w:val="en-US" w:eastAsia="zh-CN"/>
              </w:rPr>
              <w:instrText xml:space="preserve"> HYPERLINK "https://www.mee.gov.cn/ywgz/fgbz/bz/bzwb/wlhj/shjzlbz/200809/W020111121351590491445.pdf" </w:instrText>
            </w:r>
            <w:r>
              <w:rPr>
                <w:rFonts w:hint="eastAsia" w:ascii="Times New Roman" w:hAnsi="Times New Roman" w:eastAsia="宋体" w:cs="Times New Roman"/>
                <w:color w:val="auto"/>
                <w:sz w:val="24"/>
                <w:lang w:val="en-US" w:eastAsia="zh-CN"/>
              </w:rPr>
              <w:fldChar w:fldCharType="separate"/>
            </w:r>
            <w:r>
              <w:rPr>
                <w:rFonts w:hint="eastAsia" w:ascii="Times New Roman" w:hAnsi="Times New Roman" w:eastAsia="宋体" w:cs="Times New Roman"/>
                <w:color w:val="auto"/>
                <w:sz w:val="24"/>
                <w:lang w:val="en-US" w:eastAsia="zh-CN"/>
              </w:rPr>
              <w:t>声环境质量标准》（GB3096－2008）</w:t>
            </w:r>
            <w:r>
              <w:rPr>
                <w:rFonts w:hint="eastAsia" w:ascii="Times New Roman" w:hAnsi="Times New Roman" w:eastAsia="宋体" w:cs="Times New Roman"/>
                <w:color w:val="auto"/>
                <w:sz w:val="24"/>
                <w:lang w:val="en-US" w:eastAsia="zh-CN"/>
              </w:rPr>
              <w:fldChar w:fldCharType="end"/>
            </w:r>
            <w:r>
              <w:rPr>
                <w:rFonts w:hint="eastAsia" w:ascii="Times New Roman" w:hAnsi="Times New Roman" w:eastAsia="宋体" w:cs="Times New Roman"/>
                <w:color w:val="auto"/>
                <w:sz w:val="24"/>
                <w:lang w:val="en-US" w:eastAsia="zh-CN"/>
              </w:rPr>
              <w:t>2类标准</w:t>
            </w:r>
          </w:p>
        </w:tc>
      </w:tr>
      <w:tr w14:paraId="1E655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6BBD7446">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1995" w:type="dxa"/>
            <w:gridSpan w:val="2"/>
            <w:vAlign w:val="center"/>
          </w:tcPr>
          <w:p w14:paraId="490CF0B4">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548" w:type="dxa"/>
            <w:vAlign w:val="center"/>
          </w:tcPr>
          <w:p w14:paraId="7AE13352">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962" w:type="dxa"/>
            <w:vAlign w:val="center"/>
          </w:tcPr>
          <w:p w14:paraId="59D1266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Align w:val="center"/>
          </w:tcPr>
          <w:p w14:paraId="3170445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6E07B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38" w:type="dxa"/>
            <w:tcBorders>
              <w:top w:val="single" w:color="auto" w:sz="4" w:space="0"/>
              <w:left w:val="single" w:color="auto" w:sz="4" w:space="0"/>
              <w:bottom w:val="single" w:color="auto" w:sz="4" w:space="0"/>
            </w:tcBorders>
            <w:vAlign w:val="center"/>
          </w:tcPr>
          <w:p w14:paraId="2F73EADF">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7262" w:type="dxa"/>
            <w:gridSpan w:val="5"/>
            <w:vAlign w:val="center"/>
          </w:tcPr>
          <w:p w14:paraId="2892DA47">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（1）从设计、管理各种工艺设备和物料运输线路上，防止和减少污染物的跑冒滴漏，合理布局，减少污染物泄漏途径；</w:t>
            </w:r>
          </w:p>
          <w:p w14:paraId="57BA77D4">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（2）根据需要做好车间、仓库的防渗工作；</w:t>
            </w:r>
          </w:p>
          <w:p w14:paraId="63256C0A">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（3）在厂区占地范围内采取绿化措施，以种植具有较强吸附能力的植物为主。</w:t>
            </w:r>
          </w:p>
          <w:p w14:paraId="6EFA881D">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项目采取以上措施后，可有效防止废气沉降或经雨水淋溶渗漏至土壤，避免对其产生污染。</w:t>
            </w:r>
          </w:p>
        </w:tc>
      </w:tr>
      <w:tr w14:paraId="7729E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538" w:type="dxa"/>
            <w:tcBorders>
              <w:top w:val="single" w:color="auto" w:sz="4" w:space="0"/>
              <w:left w:val="single" w:color="auto" w:sz="4" w:space="0"/>
              <w:bottom w:val="single" w:color="auto" w:sz="4" w:space="0"/>
            </w:tcBorders>
            <w:vAlign w:val="center"/>
          </w:tcPr>
          <w:p w14:paraId="306FEF30">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262" w:type="dxa"/>
            <w:gridSpan w:val="5"/>
            <w:vAlign w:val="center"/>
          </w:tcPr>
          <w:p w14:paraId="0A3BCDB6">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14:paraId="6A34F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38" w:type="dxa"/>
            <w:tcBorders>
              <w:top w:val="single" w:color="auto" w:sz="4" w:space="0"/>
              <w:left w:val="single" w:color="auto" w:sz="4" w:space="0"/>
              <w:bottom w:val="single" w:color="auto" w:sz="4" w:space="0"/>
            </w:tcBorders>
            <w:vAlign w:val="center"/>
          </w:tcPr>
          <w:p w14:paraId="4EE10078">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w:t>
            </w:r>
          </w:p>
          <w:p w14:paraId="4F27073E">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防范措施</w:t>
            </w:r>
          </w:p>
        </w:tc>
        <w:tc>
          <w:tcPr>
            <w:tcW w:w="7262" w:type="dxa"/>
            <w:gridSpan w:val="5"/>
            <w:vAlign w:val="center"/>
          </w:tcPr>
          <w:p w14:paraId="24BD7048">
            <w:pPr>
              <w:adjustRightInd w:val="0"/>
              <w:snapToGrid w:val="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做好厂区环境风险管理、风险应急</w:t>
            </w:r>
            <w:r>
              <w:rPr>
                <w:rFonts w:hint="eastAsia" w:ascii="Times New Roman" w:hAnsi="Times New Roman" w:eastAsia="宋体" w:cs="Times New Roman"/>
                <w:color w:val="auto"/>
                <w:sz w:val="24"/>
                <w:szCs w:val="24"/>
                <w:lang w:eastAsia="zh-CN"/>
              </w:rPr>
              <w:t>物资</w:t>
            </w:r>
            <w:r>
              <w:rPr>
                <w:rFonts w:hint="default" w:ascii="Times New Roman" w:hAnsi="Times New Roman" w:eastAsia="宋体" w:cs="Times New Roman"/>
                <w:color w:val="auto"/>
                <w:sz w:val="24"/>
                <w:szCs w:val="24"/>
              </w:rPr>
              <w:t>配备，定期进行应急演练</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项目建成后拟建设</w:t>
            </w:r>
            <w:r>
              <w:rPr>
                <w:rFonts w:hint="eastAsia" w:ascii="Times New Roman" w:hAnsi="Times New Roman" w:eastAsia="宋体" w:cs="Times New Roman"/>
                <w:b w:val="0"/>
                <w:color w:val="auto"/>
                <w:kern w:val="0"/>
                <w:sz w:val="24"/>
                <w:szCs w:val="24"/>
                <w:lang w:val="en-US" w:eastAsia="zh-CN"/>
              </w:rPr>
              <w:t>35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lang w:val="en-US" w:eastAsia="zh-CN"/>
              </w:rPr>
              <w:t>事故应急池</w:t>
            </w:r>
            <w:r>
              <w:rPr>
                <w:rFonts w:hint="eastAsia" w:ascii="Times New Roman" w:hAnsi="Times New Roman" w:eastAsia="宋体" w:cs="Times New Roman"/>
                <w:b w:val="0"/>
                <w:bCs w:val="0"/>
                <w:color w:val="auto"/>
                <w:sz w:val="24"/>
                <w:szCs w:val="24"/>
                <w:highlight w:val="none"/>
                <w:lang w:val="en-US" w:eastAsia="zh-CN"/>
              </w:rPr>
              <w:t>用于收集事故状态下产生的事故废水</w:t>
            </w:r>
            <w:r>
              <w:rPr>
                <w:rFonts w:hint="default" w:ascii="Times New Roman" w:hAnsi="Times New Roman" w:eastAsia="宋体" w:cs="Times New Roman"/>
                <w:color w:val="auto"/>
                <w:sz w:val="24"/>
                <w:szCs w:val="24"/>
              </w:rPr>
              <w:t>。</w:t>
            </w:r>
          </w:p>
        </w:tc>
      </w:tr>
      <w:tr w14:paraId="0546D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tcBorders>
              <w:top w:val="single" w:color="auto" w:sz="4" w:space="0"/>
              <w:left w:val="single" w:color="auto" w:sz="4" w:space="0"/>
              <w:bottom w:val="single" w:color="auto" w:sz="8" w:space="0"/>
            </w:tcBorders>
            <w:vAlign w:val="center"/>
          </w:tcPr>
          <w:p w14:paraId="70B6C65D">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w:t>
            </w:r>
          </w:p>
          <w:p w14:paraId="3D0C7B34">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管理要求</w:t>
            </w:r>
          </w:p>
        </w:tc>
        <w:tc>
          <w:tcPr>
            <w:tcW w:w="7262" w:type="dxa"/>
            <w:gridSpan w:val="5"/>
            <w:vAlign w:val="center"/>
          </w:tcPr>
          <w:p w14:paraId="19BCADDB">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保护设计规定》的要求，拟建工程应在“三同时”的原则下配套建设相应的污染治理设施，一方面为有效保护区域环境提供良好的技术基础，另一方面科学地管理、监督这些环保设施的运行又是保证治理效果的必要手段。因此项目实施后，应组织设立专门的环境保护机构，并设置专职环保人员负责环境管理、环境监测和事故应急处理。具体职责为：</w:t>
            </w:r>
          </w:p>
          <w:p w14:paraId="560D1A23">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根据国家、省、市环保主管部门制定的有关环保法规、政策、条例，结合项目的具体生产情况，制定全厂的环境管理和生产制度章程；</w:t>
            </w:r>
          </w:p>
          <w:p w14:paraId="79D6C21B">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制定生产运行阶段各污染治理设施的处理工艺技术规范和操作规程，按上级主管部门规定的监测任务，开展日常的环境监测工作，统计整理有关环境监测资料并上报地方环保部门；“三废”排放状况的监督检查及不定期总结上报等工作；</w:t>
            </w:r>
          </w:p>
          <w:p w14:paraId="4948113B">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配合上级环保主管部门检查、监督工程配套建设的污水、废气、噪声、固废等治理措施的落实情况；</w:t>
            </w:r>
          </w:p>
          <w:p w14:paraId="4983EC7A">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定期检查各生产设备的运行状况，减少“跑、冒、滴、漏”现象的发生，保证生产的正常运行；检查监督本工程环保设备及自动报警装置等运行、维修和管理情况，并建立各治污设备的运行档案；</w:t>
            </w:r>
          </w:p>
          <w:p w14:paraId="6778F815">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加强环境监测仪器、设备的维护保养，确保监测工作正常运行；</w:t>
            </w:r>
          </w:p>
          <w:p w14:paraId="4E0B913A">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加强宣传教育，不断提高各级管理者和广大企业职工对环境保护的认识水平，定期检查安全消防措施，开展环保安全管理教育和组织培训；</w:t>
            </w:r>
          </w:p>
          <w:p w14:paraId="1E438197">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按照《固定污染源排污许可分类管理名录》（2019年版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，严格落实排污许可制度；</w:t>
            </w:r>
          </w:p>
          <w:p w14:paraId="448BE3E1">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落实应急预案，加强员工应急培训和开展应急演练。</w:t>
            </w:r>
          </w:p>
        </w:tc>
      </w:tr>
    </w:tbl>
    <w:p w14:paraId="77901C09">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0B254976">
      <w:pPr>
        <w:pStyle w:val="2"/>
        <w:rPr>
          <w:rFonts w:hint="default" w:ascii="Times New Roman" w:hAnsi="Times New Roman" w:cs="Times New Roman"/>
          <w:color w:val="auto"/>
        </w:rPr>
      </w:pPr>
      <w:r>
        <w:rPr>
          <w:rFonts w:hint="default" w:ascii="Times New Roman" w:hAnsi="Times New Roman" w:cs="Times New Roman"/>
          <w:color w:val="auto"/>
        </w:rPr>
        <w:t>六、结论</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0E81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7" w:hRule="atLeast"/>
          <w:jc w:val="center"/>
        </w:trPr>
        <w:tc>
          <w:tcPr>
            <w:tcW w:w="5000" w:type="pct"/>
          </w:tcPr>
          <w:p w14:paraId="41C521AF">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符合当前国家产业政策；项目符合区域规划和相关环保规划要求，选址恰当，布局合理；项目符合“三线一单”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43B8286F">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因此，在企业严格落实环保“三同时”措施后，本项目的建设，从环保的角度看是可行的。</w:t>
            </w:r>
          </w:p>
        </w:tc>
      </w:tr>
    </w:tbl>
    <w:p w14:paraId="1FD5F4A1">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F571665">
      <w:pPr>
        <w:pStyle w:val="2"/>
        <w:jc w:val="left"/>
        <w:rPr>
          <w:rFonts w:hint="default" w:ascii="Times New Roman" w:hAnsi="Times New Roman" w:cs="Times New Roman"/>
          <w:color w:val="auto"/>
        </w:rPr>
      </w:pPr>
      <w:r>
        <w:rPr>
          <w:rFonts w:hint="default" w:ascii="Times New Roman" w:hAnsi="Times New Roman" w:cs="Times New Roman"/>
          <w:color w:val="auto"/>
        </w:rPr>
        <w:t>附表</w:t>
      </w:r>
    </w:p>
    <w:p w14:paraId="5C838C4A">
      <w:pPr>
        <w:jc w:val="center"/>
        <w:rPr>
          <w:rFonts w:hint="default" w:ascii="Times New Roman" w:hAnsi="Times New Roman" w:eastAsia="宋体" w:cs="Times New Roman"/>
          <w:b/>
          <w:snapToGrid w:val="0"/>
          <w:color w:val="auto"/>
          <w:sz w:val="32"/>
          <w:szCs w:val="32"/>
        </w:rPr>
      </w:pPr>
      <w:r>
        <w:rPr>
          <w:rFonts w:hint="default" w:ascii="Times New Roman" w:hAnsi="Times New Roman" w:eastAsia="宋体" w:cs="Times New Roman"/>
          <w:b/>
          <w:snapToGrid w:val="0"/>
          <w:color w:val="auto"/>
          <w:sz w:val="32"/>
          <w:szCs w:val="32"/>
        </w:rPr>
        <w:t>建设项目污染物排放量汇总表  单位：t/a</w:t>
      </w:r>
    </w:p>
    <w:tbl>
      <w:tblPr>
        <w:tblStyle w:val="2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959"/>
        <w:gridCol w:w="826"/>
      </w:tblGrid>
      <w:tr w14:paraId="4A565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4" w:type="dxa"/>
            <w:tcBorders>
              <w:tl2br w:val="single" w:color="auto" w:sz="4" w:space="0"/>
            </w:tcBorders>
            <w:tcMar>
              <w:left w:w="28" w:type="dxa"/>
              <w:right w:w="28" w:type="dxa"/>
            </w:tcMar>
            <w:vAlign w:val="center"/>
          </w:tcPr>
          <w:p w14:paraId="5B527D67">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lang w:val="en-US" w:eastAsia="zh-CN"/>
              </w:rPr>
              <w:t xml:space="preserve">       </w:t>
            </w:r>
            <w:r>
              <w:rPr>
                <w:rFonts w:hint="default" w:ascii="Times New Roman" w:hAnsi="Times New Roman" w:eastAsia="宋体" w:cs="Times New Roman"/>
                <w:b/>
                <w:bCs/>
                <w:snapToGrid w:val="0"/>
                <w:color w:val="auto"/>
                <w:spacing w:val="-6"/>
                <w:kern w:val="21"/>
                <w:sz w:val="24"/>
                <w:szCs w:val="24"/>
              </w:rPr>
              <w:t>项目</w:t>
            </w:r>
          </w:p>
          <w:p w14:paraId="744AEF1E">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分类</w:t>
            </w:r>
          </w:p>
        </w:tc>
        <w:tc>
          <w:tcPr>
            <w:tcW w:w="1701" w:type="dxa"/>
            <w:tcMar>
              <w:left w:w="28" w:type="dxa"/>
              <w:right w:w="28" w:type="dxa"/>
            </w:tcMar>
            <w:vAlign w:val="center"/>
          </w:tcPr>
          <w:p w14:paraId="3779EB44">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污染物名称</w:t>
            </w:r>
          </w:p>
        </w:tc>
        <w:tc>
          <w:tcPr>
            <w:tcW w:w="1701" w:type="dxa"/>
            <w:tcMar>
              <w:left w:w="28" w:type="dxa"/>
              <w:right w:w="28" w:type="dxa"/>
            </w:tcMar>
            <w:vAlign w:val="center"/>
          </w:tcPr>
          <w:p w14:paraId="2B372F1B">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现有工程排放量（固体废物产生量）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1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sz w:val="24"/>
                <w:szCs w:val="24"/>
              </w:rPr>
              <w:t>①</w:t>
            </w:r>
            <w:r>
              <w:rPr>
                <w:rFonts w:hint="default" w:ascii="Times New Roman" w:hAnsi="Times New Roman" w:eastAsia="宋体" w:cs="Times New Roman"/>
                <w:b/>
                <w:bCs/>
                <w:snapToGrid w:val="0"/>
                <w:color w:val="auto"/>
                <w:spacing w:val="-6"/>
                <w:kern w:val="21"/>
                <w:sz w:val="24"/>
                <w:szCs w:val="24"/>
              </w:rPr>
              <w:fldChar w:fldCharType="end"/>
            </w:r>
          </w:p>
        </w:tc>
        <w:tc>
          <w:tcPr>
            <w:tcW w:w="1276" w:type="dxa"/>
            <w:tcMar>
              <w:left w:w="28" w:type="dxa"/>
              <w:right w:w="28" w:type="dxa"/>
            </w:tcMar>
            <w:vAlign w:val="center"/>
          </w:tcPr>
          <w:p w14:paraId="63BE5E57">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现有工程许可排放量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2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snapToGrid w:val="0"/>
                <w:color w:val="auto"/>
                <w:spacing w:val="-6"/>
                <w:kern w:val="21"/>
                <w:sz w:val="24"/>
                <w:szCs w:val="24"/>
              </w:rPr>
              <w:t>②</w:t>
            </w:r>
            <w:r>
              <w:rPr>
                <w:rFonts w:hint="default" w:ascii="Times New Roman" w:hAnsi="Times New Roman" w:eastAsia="宋体" w:cs="Times New Roman"/>
                <w:b/>
                <w:bCs/>
                <w:snapToGrid w:val="0"/>
                <w:color w:val="auto"/>
                <w:spacing w:val="-6"/>
                <w:kern w:val="21"/>
                <w:sz w:val="24"/>
                <w:szCs w:val="24"/>
              </w:rPr>
              <w:fldChar w:fldCharType="end"/>
            </w:r>
          </w:p>
        </w:tc>
        <w:tc>
          <w:tcPr>
            <w:tcW w:w="1701" w:type="dxa"/>
            <w:tcMar>
              <w:left w:w="28" w:type="dxa"/>
              <w:right w:w="28" w:type="dxa"/>
            </w:tcMar>
            <w:vAlign w:val="center"/>
          </w:tcPr>
          <w:p w14:paraId="2BAE21E0">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在建工程排放量（固体废物产生量）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3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sz w:val="24"/>
                <w:szCs w:val="24"/>
              </w:rPr>
              <w:t>③</w:t>
            </w:r>
            <w:r>
              <w:rPr>
                <w:rFonts w:hint="default" w:ascii="Times New Roman" w:hAnsi="Times New Roman" w:eastAsia="宋体" w:cs="Times New Roman"/>
                <w:b/>
                <w:bCs/>
                <w:snapToGrid w:val="0"/>
                <w:color w:val="auto"/>
                <w:spacing w:val="-6"/>
                <w:kern w:val="21"/>
                <w:sz w:val="24"/>
                <w:szCs w:val="24"/>
              </w:rPr>
              <w:fldChar w:fldCharType="end"/>
            </w:r>
          </w:p>
        </w:tc>
        <w:tc>
          <w:tcPr>
            <w:tcW w:w="1559" w:type="dxa"/>
            <w:tcMar>
              <w:left w:w="28" w:type="dxa"/>
              <w:right w:w="28" w:type="dxa"/>
            </w:tcMar>
            <w:vAlign w:val="center"/>
          </w:tcPr>
          <w:p w14:paraId="248E5BFC">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本项目排放量（固体废物产生量）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4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sz w:val="24"/>
                <w:szCs w:val="24"/>
              </w:rPr>
              <w:t>④</w:t>
            </w:r>
            <w:r>
              <w:rPr>
                <w:rFonts w:hint="default" w:ascii="Times New Roman" w:hAnsi="Times New Roman" w:eastAsia="宋体" w:cs="Times New Roman"/>
                <w:b/>
                <w:bCs/>
                <w:snapToGrid w:val="0"/>
                <w:color w:val="auto"/>
                <w:spacing w:val="-6"/>
                <w:kern w:val="21"/>
                <w:sz w:val="24"/>
                <w:szCs w:val="24"/>
              </w:rPr>
              <w:fldChar w:fldCharType="end"/>
            </w:r>
          </w:p>
        </w:tc>
        <w:tc>
          <w:tcPr>
            <w:tcW w:w="1761" w:type="dxa"/>
            <w:tcMar>
              <w:left w:w="28" w:type="dxa"/>
              <w:right w:w="28" w:type="dxa"/>
            </w:tcMar>
            <w:vAlign w:val="center"/>
          </w:tcPr>
          <w:p w14:paraId="230B86E8">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以新带老削减量（新建项目不填）</w:t>
            </w:r>
            <w:r>
              <w:rPr>
                <w:rFonts w:hint="default" w:ascii="Times New Roman" w:hAnsi="Times New Roman" w:eastAsia="宋体" w:cs="Times New Roman"/>
                <w:b/>
                <w:bCs/>
                <w:snapToGrid w:val="0"/>
                <w:color w:val="auto"/>
                <w:spacing w:val="-16"/>
                <w:kern w:val="21"/>
                <w:sz w:val="24"/>
                <w:szCs w:val="24"/>
              </w:rPr>
              <w:fldChar w:fldCharType="begin"/>
            </w:r>
            <w:r>
              <w:rPr>
                <w:rFonts w:hint="default" w:ascii="Times New Roman" w:hAnsi="Times New Roman" w:eastAsia="宋体" w:cs="Times New Roman"/>
                <w:b/>
                <w:bCs/>
                <w:snapToGrid w:val="0"/>
                <w:color w:val="auto"/>
                <w:spacing w:val="-16"/>
                <w:kern w:val="21"/>
                <w:sz w:val="24"/>
                <w:szCs w:val="24"/>
              </w:rPr>
              <w:instrText xml:space="preserve"> = 5 \* GB3 \* MERGEFORMAT </w:instrText>
            </w:r>
            <w:r>
              <w:rPr>
                <w:rFonts w:hint="default" w:ascii="Times New Roman" w:hAnsi="Times New Roman" w:eastAsia="宋体" w:cs="Times New Roman"/>
                <w:b/>
                <w:bCs/>
                <w:snapToGrid w:val="0"/>
                <w:color w:val="auto"/>
                <w:spacing w:val="-16"/>
                <w:kern w:val="21"/>
                <w:sz w:val="24"/>
                <w:szCs w:val="24"/>
              </w:rPr>
              <w:fldChar w:fldCharType="separate"/>
            </w:r>
            <w:r>
              <w:rPr>
                <w:rFonts w:hint="default" w:ascii="Times New Roman" w:hAnsi="Times New Roman" w:eastAsia="宋体" w:cs="Times New Roman"/>
                <w:b/>
                <w:bCs/>
                <w:color w:val="auto"/>
                <w:sz w:val="24"/>
                <w:szCs w:val="24"/>
              </w:rPr>
              <w:t>⑤</w:t>
            </w:r>
            <w:r>
              <w:rPr>
                <w:rFonts w:hint="default" w:ascii="Times New Roman" w:hAnsi="Times New Roman" w:eastAsia="宋体" w:cs="Times New Roman"/>
                <w:b/>
                <w:bCs/>
                <w:snapToGrid w:val="0"/>
                <w:color w:val="auto"/>
                <w:spacing w:val="-16"/>
                <w:kern w:val="21"/>
                <w:sz w:val="24"/>
                <w:szCs w:val="24"/>
              </w:rPr>
              <w:fldChar w:fldCharType="end"/>
            </w:r>
          </w:p>
        </w:tc>
        <w:tc>
          <w:tcPr>
            <w:tcW w:w="1959" w:type="dxa"/>
            <w:tcMar>
              <w:left w:w="28" w:type="dxa"/>
              <w:right w:w="28" w:type="dxa"/>
            </w:tcMar>
            <w:vAlign w:val="center"/>
          </w:tcPr>
          <w:p w14:paraId="4E8F64A0">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本项目建成后全厂排放量（固体废物产生量）</w:t>
            </w:r>
            <w:r>
              <w:rPr>
                <w:rFonts w:hint="default" w:ascii="Times New Roman" w:hAnsi="Times New Roman" w:eastAsia="宋体" w:cs="Times New Roman"/>
                <w:b/>
                <w:bCs/>
                <w:snapToGrid w:val="0"/>
                <w:color w:val="auto"/>
                <w:spacing w:val="-16"/>
                <w:kern w:val="21"/>
                <w:sz w:val="24"/>
                <w:szCs w:val="24"/>
              </w:rPr>
              <w:fldChar w:fldCharType="begin"/>
            </w:r>
            <w:r>
              <w:rPr>
                <w:rFonts w:hint="default" w:ascii="Times New Roman" w:hAnsi="Times New Roman" w:eastAsia="宋体" w:cs="Times New Roman"/>
                <w:b/>
                <w:bCs/>
                <w:snapToGrid w:val="0"/>
                <w:color w:val="auto"/>
                <w:spacing w:val="-16"/>
                <w:kern w:val="21"/>
                <w:sz w:val="24"/>
                <w:szCs w:val="24"/>
              </w:rPr>
              <w:instrText xml:space="preserve"> = 6 \* GB3 \* MERGEFORMAT </w:instrText>
            </w:r>
            <w:r>
              <w:rPr>
                <w:rFonts w:hint="default" w:ascii="Times New Roman" w:hAnsi="Times New Roman" w:eastAsia="宋体" w:cs="Times New Roman"/>
                <w:b/>
                <w:bCs/>
                <w:snapToGrid w:val="0"/>
                <w:color w:val="auto"/>
                <w:spacing w:val="-16"/>
                <w:kern w:val="21"/>
                <w:sz w:val="24"/>
                <w:szCs w:val="24"/>
              </w:rPr>
              <w:fldChar w:fldCharType="separate"/>
            </w:r>
            <w:r>
              <w:rPr>
                <w:rFonts w:hint="default" w:ascii="Times New Roman" w:hAnsi="Times New Roman" w:eastAsia="宋体" w:cs="Times New Roman"/>
                <w:b/>
                <w:bCs/>
                <w:color w:val="auto"/>
                <w:sz w:val="24"/>
                <w:szCs w:val="24"/>
              </w:rPr>
              <w:t>⑥</w:t>
            </w:r>
            <w:r>
              <w:rPr>
                <w:rFonts w:hint="default" w:ascii="Times New Roman" w:hAnsi="Times New Roman" w:eastAsia="宋体" w:cs="Times New Roman"/>
                <w:b/>
                <w:bCs/>
                <w:snapToGrid w:val="0"/>
                <w:color w:val="auto"/>
                <w:spacing w:val="-16"/>
                <w:kern w:val="21"/>
                <w:sz w:val="24"/>
                <w:szCs w:val="24"/>
              </w:rPr>
              <w:fldChar w:fldCharType="end"/>
            </w:r>
          </w:p>
        </w:tc>
        <w:tc>
          <w:tcPr>
            <w:tcW w:w="826" w:type="dxa"/>
            <w:tcMar>
              <w:left w:w="28" w:type="dxa"/>
              <w:right w:w="28" w:type="dxa"/>
            </w:tcMar>
            <w:vAlign w:val="center"/>
          </w:tcPr>
          <w:p w14:paraId="42B10875">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变化量</w:t>
            </w:r>
          </w:p>
          <w:p w14:paraId="4E424FB5">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7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sz w:val="24"/>
                <w:szCs w:val="24"/>
              </w:rPr>
              <w:t>⑦</w:t>
            </w:r>
            <w:r>
              <w:rPr>
                <w:rFonts w:hint="default" w:ascii="Times New Roman" w:hAnsi="Times New Roman" w:eastAsia="宋体" w:cs="Times New Roman"/>
                <w:b/>
                <w:bCs/>
                <w:snapToGrid w:val="0"/>
                <w:color w:val="auto"/>
                <w:spacing w:val="-6"/>
                <w:kern w:val="21"/>
                <w:sz w:val="24"/>
                <w:szCs w:val="24"/>
              </w:rPr>
              <w:fldChar w:fldCharType="end"/>
            </w:r>
          </w:p>
        </w:tc>
      </w:tr>
      <w:tr w14:paraId="6F47F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Align w:val="center"/>
          </w:tcPr>
          <w:p w14:paraId="6B1D9C42">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r>
              <w:rPr>
                <w:rFonts w:hint="default" w:ascii="Times New Roman" w:hAnsi="Times New Roman" w:eastAsia="宋体" w:cs="Times New Roman"/>
                <w:snapToGrid w:val="0"/>
                <w:color w:val="auto"/>
                <w:kern w:val="21"/>
                <w:sz w:val="24"/>
                <w:szCs w:val="24"/>
                <w:lang w:eastAsia="zh-CN"/>
              </w:rPr>
              <w:t>（</w:t>
            </w:r>
            <w:r>
              <w:rPr>
                <w:rFonts w:hint="default" w:ascii="Times New Roman" w:hAnsi="Times New Roman" w:eastAsia="宋体" w:cs="Times New Roman"/>
                <w:snapToGrid w:val="0"/>
                <w:color w:val="auto"/>
                <w:kern w:val="21"/>
                <w:sz w:val="24"/>
                <w:szCs w:val="24"/>
                <w:lang w:val="en-US" w:eastAsia="zh-CN"/>
              </w:rPr>
              <w:t>无组织</w:t>
            </w:r>
            <w:r>
              <w:rPr>
                <w:rFonts w:hint="default" w:ascii="Times New Roman" w:hAnsi="Times New Roman" w:eastAsia="宋体" w:cs="Times New Roman"/>
                <w:snapToGrid w:val="0"/>
                <w:color w:val="auto"/>
                <w:kern w:val="21"/>
                <w:sz w:val="24"/>
                <w:szCs w:val="24"/>
                <w:lang w:eastAsia="zh-CN"/>
              </w:rPr>
              <w:t>）</w:t>
            </w:r>
          </w:p>
        </w:tc>
        <w:tc>
          <w:tcPr>
            <w:tcW w:w="1701" w:type="dxa"/>
            <w:vAlign w:val="center"/>
          </w:tcPr>
          <w:p w14:paraId="03887289">
            <w:pPr>
              <w:contextualSpacing/>
              <w:jc w:val="center"/>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sz w:val="24"/>
                <w:szCs w:val="24"/>
              </w:rPr>
              <w:t>非甲烷总烃</w:t>
            </w:r>
          </w:p>
        </w:tc>
        <w:tc>
          <w:tcPr>
            <w:tcW w:w="1701" w:type="dxa"/>
            <w:vAlign w:val="center"/>
          </w:tcPr>
          <w:p w14:paraId="3D6F8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1A29E6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5E48BA18">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vAlign w:val="center"/>
          </w:tcPr>
          <w:p w14:paraId="2264D8D5">
            <w:pPr>
              <w:spacing w:line="276" w:lineRule="auto"/>
              <w:jc w:val="center"/>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0.0001</w:t>
            </w:r>
          </w:p>
        </w:tc>
        <w:tc>
          <w:tcPr>
            <w:tcW w:w="1761" w:type="dxa"/>
            <w:vAlign w:val="center"/>
          </w:tcPr>
          <w:p w14:paraId="65442A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606AE876">
            <w:pPr>
              <w:spacing w:line="276" w:lineRule="auto"/>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0.0001</w:t>
            </w:r>
          </w:p>
        </w:tc>
        <w:tc>
          <w:tcPr>
            <w:tcW w:w="826" w:type="dxa"/>
            <w:shd w:val="clear" w:color="auto" w:fill="auto"/>
            <w:vAlign w:val="center"/>
          </w:tcPr>
          <w:p w14:paraId="0F23D76A">
            <w:pPr>
              <w:spacing w:line="276" w:lineRule="auto"/>
              <w:jc w:val="center"/>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sz w:val="24"/>
                <w:szCs w:val="24"/>
                <w:lang w:val="en-US" w:eastAsia="zh-CN"/>
              </w:rPr>
              <w:t>+0.0001</w:t>
            </w:r>
          </w:p>
        </w:tc>
      </w:tr>
      <w:tr w14:paraId="753FD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6C6C046A">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1701" w:type="dxa"/>
            <w:vAlign w:val="center"/>
          </w:tcPr>
          <w:p w14:paraId="6B0A49FC">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eastAsia" w:ascii="Times New Roman" w:eastAsia="宋体" w:cs="Times New Roman"/>
                <w:snapToGrid w:val="0"/>
                <w:color w:val="auto"/>
                <w:kern w:val="21"/>
                <w:sz w:val="24"/>
                <w:szCs w:val="24"/>
                <w:lang w:val="en-US" w:eastAsia="zh-CN"/>
              </w:rPr>
              <w:t>水量</w:t>
            </w:r>
          </w:p>
        </w:tc>
        <w:tc>
          <w:tcPr>
            <w:tcW w:w="1701" w:type="dxa"/>
            <w:vAlign w:val="center"/>
          </w:tcPr>
          <w:p w14:paraId="38F566D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789E145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7022390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p w14:paraId="249616BF">
            <w:pPr>
              <w:rPr>
                <w:color w:val="auto"/>
              </w:rPr>
            </w:pPr>
          </w:p>
        </w:tc>
        <w:tc>
          <w:tcPr>
            <w:tcW w:w="1559" w:type="dxa"/>
            <w:vAlign w:val="center"/>
          </w:tcPr>
          <w:p w14:paraId="27210D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rPr>
              <w:t>144</w:t>
            </w:r>
          </w:p>
        </w:tc>
        <w:tc>
          <w:tcPr>
            <w:tcW w:w="1761" w:type="dxa"/>
            <w:vAlign w:val="center"/>
          </w:tcPr>
          <w:p w14:paraId="5EABE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39CBF8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0"/>
                <w:sz w:val="24"/>
                <w:szCs w:val="24"/>
                <w:lang w:val="en-US" w:eastAsia="zh-CN"/>
              </w:rPr>
              <w:t>144</w:t>
            </w:r>
          </w:p>
        </w:tc>
        <w:tc>
          <w:tcPr>
            <w:tcW w:w="826" w:type="dxa"/>
            <w:shd w:val="clear" w:color="auto" w:fill="auto"/>
            <w:vAlign w:val="center"/>
          </w:tcPr>
          <w:p w14:paraId="39693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0"/>
                <w:sz w:val="24"/>
                <w:szCs w:val="24"/>
                <w:lang w:val="en-US" w:eastAsia="zh-CN"/>
              </w:rPr>
              <w:t>+144</w:t>
            </w:r>
          </w:p>
        </w:tc>
      </w:tr>
      <w:tr w14:paraId="7FB92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2981E45">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7A0265A7">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COD</w:t>
            </w:r>
          </w:p>
        </w:tc>
        <w:tc>
          <w:tcPr>
            <w:tcW w:w="1701" w:type="dxa"/>
            <w:vAlign w:val="center"/>
          </w:tcPr>
          <w:p w14:paraId="3AD6204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691FDBC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4E44C435">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vAlign w:val="center"/>
          </w:tcPr>
          <w:p w14:paraId="1872E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0.0072</w:t>
            </w:r>
          </w:p>
        </w:tc>
        <w:tc>
          <w:tcPr>
            <w:tcW w:w="1761" w:type="dxa"/>
            <w:vAlign w:val="center"/>
          </w:tcPr>
          <w:p w14:paraId="6D8FC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180D3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0.0072</w:t>
            </w:r>
          </w:p>
        </w:tc>
        <w:tc>
          <w:tcPr>
            <w:tcW w:w="826" w:type="dxa"/>
            <w:shd w:val="clear" w:color="auto" w:fill="auto"/>
            <w:vAlign w:val="center"/>
          </w:tcPr>
          <w:p w14:paraId="17825C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+0.0072</w:t>
            </w:r>
          </w:p>
        </w:tc>
      </w:tr>
      <w:tr w14:paraId="23DF3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1953F08A">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3B014C7D">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氨氮</w:t>
            </w:r>
          </w:p>
        </w:tc>
        <w:tc>
          <w:tcPr>
            <w:tcW w:w="1701" w:type="dxa"/>
            <w:vAlign w:val="center"/>
          </w:tcPr>
          <w:p w14:paraId="3E51D09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072C13A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5616BB5A">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vAlign w:val="center"/>
          </w:tcPr>
          <w:p w14:paraId="3FE31E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0.0007</w:t>
            </w:r>
          </w:p>
        </w:tc>
        <w:tc>
          <w:tcPr>
            <w:tcW w:w="1761" w:type="dxa"/>
            <w:vAlign w:val="center"/>
          </w:tcPr>
          <w:p w14:paraId="5F2F3D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260E83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0.0007</w:t>
            </w:r>
          </w:p>
        </w:tc>
        <w:tc>
          <w:tcPr>
            <w:tcW w:w="826" w:type="dxa"/>
            <w:shd w:val="clear" w:color="auto" w:fill="auto"/>
            <w:vAlign w:val="center"/>
          </w:tcPr>
          <w:p w14:paraId="6219B7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+0.0007</w:t>
            </w:r>
          </w:p>
        </w:tc>
      </w:tr>
      <w:tr w14:paraId="79DB5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226B2EF">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519F27EA">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eastAsia" w:ascii="Times New Roman" w:hAnsi="Times New Roman" w:eastAsia="宋体" w:cs="Times New Roman"/>
                <w:snapToGrid w:val="0"/>
                <w:color w:val="auto"/>
                <w:kern w:val="21"/>
                <w:sz w:val="24"/>
                <w:szCs w:val="24"/>
                <w:lang w:eastAsia="zh-CN"/>
              </w:rPr>
            </w:pPr>
            <w:r>
              <w:rPr>
                <w:rFonts w:hint="eastAsia" w:ascii="Times New Roman" w:eastAsia="宋体" w:cs="Times New Roman"/>
                <w:snapToGrid w:val="0"/>
                <w:color w:val="auto"/>
                <w:kern w:val="21"/>
                <w:sz w:val="24"/>
                <w:szCs w:val="24"/>
                <w:lang w:val="en-US" w:eastAsia="zh-CN"/>
              </w:rPr>
              <w:t>总磷</w:t>
            </w:r>
          </w:p>
        </w:tc>
        <w:tc>
          <w:tcPr>
            <w:tcW w:w="1701" w:type="dxa"/>
            <w:vAlign w:val="center"/>
          </w:tcPr>
          <w:p w14:paraId="6552C7E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7D33CDC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37A652FB">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vAlign w:val="center"/>
          </w:tcPr>
          <w:p w14:paraId="11761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0.0001</w:t>
            </w:r>
          </w:p>
        </w:tc>
        <w:tc>
          <w:tcPr>
            <w:tcW w:w="1761" w:type="dxa"/>
            <w:vAlign w:val="center"/>
          </w:tcPr>
          <w:p w14:paraId="68D90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4247E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0.0001</w:t>
            </w:r>
          </w:p>
        </w:tc>
        <w:tc>
          <w:tcPr>
            <w:tcW w:w="826" w:type="dxa"/>
            <w:shd w:val="clear" w:color="auto" w:fill="auto"/>
            <w:vAlign w:val="center"/>
          </w:tcPr>
          <w:p w14:paraId="1FF29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+0.0001</w:t>
            </w:r>
          </w:p>
        </w:tc>
      </w:tr>
      <w:tr w14:paraId="21071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BAF7661">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vAlign w:val="center"/>
          </w:tcPr>
          <w:p w14:paraId="471B820D">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rPr>
              <w:t>总</w:t>
            </w:r>
            <w:r>
              <w:rPr>
                <w:rFonts w:hint="eastAsia" w:ascii="Times New Roman" w:eastAsia="宋体" w:cs="Times New Roman"/>
                <w:snapToGrid w:val="0"/>
                <w:color w:val="auto"/>
                <w:kern w:val="21"/>
                <w:sz w:val="24"/>
                <w:szCs w:val="24"/>
                <w:lang w:val="en-US" w:eastAsia="zh-CN"/>
              </w:rPr>
              <w:t>氮</w:t>
            </w:r>
          </w:p>
        </w:tc>
        <w:tc>
          <w:tcPr>
            <w:tcW w:w="1701" w:type="dxa"/>
            <w:vAlign w:val="center"/>
          </w:tcPr>
          <w:p w14:paraId="00C2B92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5A6EE0F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45805358">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vAlign w:val="center"/>
          </w:tcPr>
          <w:p w14:paraId="0134A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0.0029</w:t>
            </w:r>
          </w:p>
        </w:tc>
        <w:tc>
          <w:tcPr>
            <w:tcW w:w="1761" w:type="dxa"/>
            <w:vAlign w:val="center"/>
          </w:tcPr>
          <w:p w14:paraId="7E6A6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572EF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0.0029</w:t>
            </w:r>
          </w:p>
        </w:tc>
        <w:tc>
          <w:tcPr>
            <w:tcW w:w="826" w:type="dxa"/>
            <w:shd w:val="clear" w:color="auto" w:fill="auto"/>
            <w:vAlign w:val="center"/>
          </w:tcPr>
          <w:p w14:paraId="443E25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+0.0029</w:t>
            </w:r>
          </w:p>
        </w:tc>
      </w:tr>
      <w:tr w14:paraId="186D9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Align w:val="center"/>
          </w:tcPr>
          <w:p w14:paraId="3576C2AA">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生活垃圾</w:t>
            </w:r>
          </w:p>
        </w:tc>
        <w:tc>
          <w:tcPr>
            <w:tcW w:w="1701" w:type="dxa"/>
            <w:tcBorders>
              <w:bottom w:val="single" w:color="auto" w:sz="4" w:space="0"/>
            </w:tcBorders>
            <w:vAlign w:val="center"/>
          </w:tcPr>
          <w:p w14:paraId="22D33D32">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lang w:val="en-US" w:eastAsia="zh-CN"/>
              </w:rPr>
              <w:t>生活垃圾</w:t>
            </w:r>
          </w:p>
        </w:tc>
        <w:tc>
          <w:tcPr>
            <w:tcW w:w="1701" w:type="dxa"/>
            <w:vAlign w:val="center"/>
          </w:tcPr>
          <w:p w14:paraId="5EFD71A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6C7D9D7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4FFCA43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631D1040">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1.8</w:t>
            </w:r>
          </w:p>
        </w:tc>
        <w:tc>
          <w:tcPr>
            <w:tcW w:w="1761" w:type="dxa"/>
            <w:vAlign w:val="center"/>
          </w:tcPr>
          <w:p w14:paraId="3EA29AE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4F33623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1.8</w:t>
            </w:r>
          </w:p>
        </w:tc>
        <w:tc>
          <w:tcPr>
            <w:tcW w:w="826" w:type="dxa"/>
            <w:shd w:val="clear" w:color="auto" w:fill="auto"/>
            <w:vAlign w:val="center"/>
          </w:tcPr>
          <w:p w14:paraId="334DA4E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+1.8</w:t>
            </w:r>
          </w:p>
        </w:tc>
      </w:tr>
      <w:tr w14:paraId="60854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Align w:val="center"/>
          </w:tcPr>
          <w:p w14:paraId="0CE03A4D">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w:t>
            </w:r>
          </w:p>
          <w:p w14:paraId="59672450">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固体废物</w:t>
            </w:r>
          </w:p>
        </w:tc>
        <w:tc>
          <w:tcPr>
            <w:tcW w:w="1701" w:type="dxa"/>
            <w:tcBorders>
              <w:bottom w:val="single" w:color="auto" w:sz="4" w:space="0"/>
            </w:tcBorders>
            <w:vAlign w:val="center"/>
          </w:tcPr>
          <w:p w14:paraId="135FF77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color w:val="auto"/>
                <w:sz w:val="24"/>
                <w:szCs w:val="24"/>
              </w:rPr>
              <w:t>不合格品</w:t>
            </w:r>
          </w:p>
        </w:tc>
        <w:tc>
          <w:tcPr>
            <w:tcW w:w="1701" w:type="dxa"/>
            <w:vAlign w:val="center"/>
          </w:tcPr>
          <w:p w14:paraId="5C551E3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02C4624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5EFB2DC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052C1317">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1.5</w:t>
            </w:r>
          </w:p>
        </w:tc>
        <w:tc>
          <w:tcPr>
            <w:tcW w:w="1761" w:type="dxa"/>
            <w:vAlign w:val="center"/>
          </w:tcPr>
          <w:p w14:paraId="197E953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63DA2C25">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1.5</w:t>
            </w:r>
          </w:p>
        </w:tc>
        <w:tc>
          <w:tcPr>
            <w:tcW w:w="826" w:type="dxa"/>
            <w:shd w:val="clear" w:color="auto" w:fill="auto"/>
            <w:vAlign w:val="center"/>
          </w:tcPr>
          <w:p w14:paraId="460E7E5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sz w:val="24"/>
                <w:szCs w:val="24"/>
                <w:lang w:val="en-US" w:eastAsia="zh-CN"/>
              </w:rPr>
              <w:t>1.5</w:t>
            </w:r>
          </w:p>
        </w:tc>
      </w:tr>
      <w:tr w14:paraId="7C136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tcBorders>
              <w:top w:val="single" w:color="auto" w:sz="4" w:space="0"/>
            </w:tcBorders>
            <w:vAlign w:val="center"/>
          </w:tcPr>
          <w:p w14:paraId="589A76E8">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1701" w:type="dxa"/>
            <w:tcBorders>
              <w:top w:val="single" w:color="auto" w:sz="4" w:space="0"/>
              <w:bottom w:val="single" w:color="auto" w:sz="4" w:space="0"/>
            </w:tcBorders>
            <w:shd w:val="clear" w:color="auto" w:fill="auto"/>
            <w:vAlign w:val="center"/>
          </w:tcPr>
          <w:p w14:paraId="33DAEDF8">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废包装材料</w:t>
            </w:r>
          </w:p>
        </w:tc>
        <w:tc>
          <w:tcPr>
            <w:tcW w:w="1701" w:type="dxa"/>
            <w:vAlign w:val="center"/>
          </w:tcPr>
          <w:p w14:paraId="7BDE137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78D0C62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144BB26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1B44F0C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w:t>
            </w:r>
          </w:p>
        </w:tc>
        <w:tc>
          <w:tcPr>
            <w:tcW w:w="1761" w:type="dxa"/>
            <w:vAlign w:val="center"/>
          </w:tcPr>
          <w:p w14:paraId="5588B7B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260061EF">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0.1</w:t>
            </w:r>
          </w:p>
        </w:tc>
        <w:tc>
          <w:tcPr>
            <w:tcW w:w="826" w:type="dxa"/>
            <w:shd w:val="clear" w:color="auto" w:fill="auto"/>
            <w:vAlign w:val="center"/>
          </w:tcPr>
          <w:p w14:paraId="5460F297">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sz w:val="24"/>
                <w:szCs w:val="24"/>
                <w:lang w:val="en-US" w:eastAsia="zh-CN"/>
              </w:rPr>
              <w:t>0.1</w:t>
            </w:r>
          </w:p>
        </w:tc>
      </w:tr>
      <w:tr w14:paraId="1294B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6C6FA11">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top w:val="single" w:color="auto" w:sz="4" w:space="0"/>
              <w:bottom w:val="single" w:color="auto" w:sz="4" w:space="0"/>
            </w:tcBorders>
            <w:shd w:val="clear" w:color="auto" w:fill="auto"/>
            <w:vAlign w:val="center"/>
          </w:tcPr>
          <w:p w14:paraId="347932B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废活性炭</w:t>
            </w:r>
          </w:p>
        </w:tc>
        <w:tc>
          <w:tcPr>
            <w:tcW w:w="1701" w:type="dxa"/>
            <w:vAlign w:val="center"/>
          </w:tcPr>
          <w:p w14:paraId="27B9C34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1F4A904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0615DBB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00824896">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0.04</w:t>
            </w:r>
          </w:p>
        </w:tc>
        <w:tc>
          <w:tcPr>
            <w:tcW w:w="1761" w:type="dxa"/>
            <w:vAlign w:val="center"/>
          </w:tcPr>
          <w:p w14:paraId="3FCFC66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3C1FF20E">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0.04</w:t>
            </w:r>
          </w:p>
        </w:tc>
        <w:tc>
          <w:tcPr>
            <w:tcW w:w="826" w:type="dxa"/>
            <w:shd w:val="clear" w:color="auto" w:fill="auto"/>
            <w:vAlign w:val="center"/>
          </w:tcPr>
          <w:p w14:paraId="6A8B40AE">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0.04</w:t>
            </w:r>
          </w:p>
        </w:tc>
      </w:tr>
      <w:tr w14:paraId="1C6DA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181775D">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top w:val="single" w:color="auto" w:sz="4" w:space="0"/>
              <w:bottom w:val="single" w:color="auto" w:sz="4" w:space="0"/>
            </w:tcBorders>
            <w:shd w:val="clear" w:color="auto" w:fill="auto"/>
            <w:vAlign w:val="center"/>
          </w:tcPr>
          <w:p w14:paraId="018E1D99">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研磨废液</w:t>
            </w:r>
          </w:p>
        </w:tc>
        <w:tc>
          <w:tcPr>
            <w:tcW w:w="1701" w:type="dxa"/>
            <w:vAlign w:val="center"/>
          </w:tcPr>
          <w:p w14:paraId="1E24821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1BE2004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4B5E535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692BC796">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3</w:t>
            </w:r>
            <w:r>
              <w:rPr>
                <w:rFonts w:hint="default" w:ascii="Times New Roman" w:hAnsi="Times New Roman" w:eastAsia="宋体" w:cs="Times New Roman"/>
                <w:i w:val="0"/>
                <w:iCs w:val="0"/>
                <w:color w:val="auto"/>
                <w:kern w:val="0"/>
                <w:sz w:val="24"/>
                <w:szCs w:val="24"/>
                <w:u w:val="none"/>
                <w:lang w:val="en-US" w:eastAsia="zh-CN" w:bidi="ar"/>
              </w:rPr>
              <w:t>.08</w:t>
            </w:r>
          </w:p>
        </w:tc>
        <w:tc>
          <w:tcPr>
            <w:tcW w:w="1761" w:type="dxa"/>
            <w:vAlign w:val="center"/>
          </w:tcPr>
          <w:p w14:paraId="33A9079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1AC779E4">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3</w:t>
            </w:r>
            <w:r>
              <w:rPr>
                <w:rFonts w:hint="default" w:ascii="Times New Roman" w:hAnsi="Times New Roman" w:eastAsia="宋体" w:cs="Times New Roman"/>
                <w:i w:val="0"/>
                <w:iCs w:val="0"/>
                <w:color w:val="auto"/>
                <w:kern w:val="0"/>
                <w:sz w:val="24"/>
                <w:szCs w:val="24"/>
                <w:u w:val="none"/>
                <w:lang w:val="en-US" w:eastAsia="zh-CN" w:bidi="ar"/>
              </w:rPr>
              <w:t>.08</w:t>
            </w:r>
          </w:p>
        </w:tc>
        <w:tc>
          <w:tcPr>
            <w:tcW w:w="826" w:type="dxa"/>
            <w:shd w:val="clear" w:color="auto" w:fill="auto"/>
            <w:vAlign w:val="center"/>
          </w:tcPr>
          <w:p w14:paraId="63EBA9BE">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+3</w:t>
            </w:r>
            <w:r>
              <w:rPr>
                <w:rFonts w:hint="default" w:ascii="Times New Roman" w:hAnsi="Times New Roman" w:eastAsia="宋体" w:cs="Times New Roman"/>
                <w:i w:val="0"/>
                <w:iCs w:val="0"/>
                <w:color w:val="auto"/>
                <w:kern w:val="0"/>
                <w:sz w:val="24"/>
                <w:szCs w:val="24"/>
                <w:u w:val="none"/>
                <w:lang w:val="en-US" w:eastAsia="zh-CN" w:bidi="ar"/>
              </w:rPr>
              <w:t>.08</w:t>
            </w:r>
          </w:p>
        </w:tc>
      </w:tr>
      <w:tr w14:paraId="0138B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288AB67">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top w:val="single" w:color="auto" w:sz="4" w:space="0"/>
              <w:bottom w:val="single" w:color="auto" w:sz="4" w:space="0"/>
            </w:tcBorders>
            <w:shd w:val="clear" w:color="auto" w:fill="auto"/>
            <w:vAlign w:val="center"/>
          </w:tcPr>
          <w:p w14:paraId="143D88BC">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抛光废液</w:t>
            </w:r>
          </w:p>
        </w:tc>
        <w:tc>
          <w:tcPr>
            <w:tcW w:w="1701" w:type="dxa"/>
            <w:vAlign w:val="center"/>
          </w:tcPr>
          <w:p w14:paraId="5A03C91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276" w:type="dxa"/>
            <w:vAlign w:val="center"/>
          </w:tcPr>
          <w:p w14:paraId="764F8D3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701" w:type="dxa"/>
            <w:vAlign w:val="center"/>
          </w:tcPr>
          <w:p w14:paraId="4CDA141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0</w:t>
            </w:r>
          </w:p>
        </w:tc>
        <w:tc>
          <w:tcPr>
            <w:tcW w:w="1559" w:type="dxa"/>
            <w:shd w:val="clear" w:color="auto" w:fill="auto"/>
            <w:vAlign w:val="center"/>
          </w:tcPr>
          <w:p w14:paraId="70EAF26A">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5</w:t>
            </w:r>
            <w:r>
              <w:rPr>
                <w:rFonts w:hint="default" w:ascii="Times New Roman" w:hAnsi="Times New Roman" w:eastAsia="宋体" w:cs="Times New Roman"/>
                <w:i w:val="0"/>
                <w:iCs w:val="0"/>
                <w:color w:val="auto"/>
                <w:kern w:val="0"/>
                <w:sz w:val="24"/>
                <w:szCs w:val="24"/>
                <w:u w:val="none"/>
                <w:lang w:val="en-US" w:eastAsia="zh-CN" w:bidi="ar"/>
              </w:rPr>
              <w:t>.16</w:t>
            </w:r>
          </w:p>
        </w:tc>
        <w:tc>
          <w:tcPr>
            <w:tcW w:w="1761" w:type="dxa"/>
            <w:vAlign w:val="center"/>
          </w:tcPr>
          <w:p w14:paraId="058E881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132A3CE7">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5</w:t>
            </w:r>
            <w:r>
              <w:rPr>
                <w:rFonts w:hint="default" w:ascii="Times New Roman" w:hAnsi="Times New Roman" w:eastAsia="宋体" w:cs="Times New Roman"/>
                <w:i w:val="0"/>
                <w:iCs w:val="0"/>
                <w:color w:val="auto"/>
                <w:kern w:val="0"/>
                <w:sz w:val="24"/>
                <w:szCs w:val="24"/>
                <w:u w:val="none"/>
                <w:lang w:val="en-US" w:eastAsia="zh-CN" w:bidi="ar"/>
              </w:rPr>
              <w:t>.16</w:t>
            </w:r>
          </w:p>
        </w:tc>
        <w:tc>
          <w:tcPr>
            <w:tcW w:w="826" w:type="dxa"/>
            <w:shd w:val="clear" w:color="auto" w:fill="auto"/>
            <w:vAlign w:val="center"/>
          </w:tcPr>
          <w:p w14:paraId="4664245A">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+5</w:t>
            </w:r>
            <w:r>
              <w:rPr>
                <w:rFonts w:hint="default" w:ascii="Times New Roman" w:hAnsi="Times New Roman" w:eastAsia="宋体" w:cs="Times New Roman"/>
                <w:i w:val="0"/>
                <w:iCs w:val="0"/>
                <w:color w:val="auto"/>
                <w:kern w:val="0"/>
                <w:sz w:val="24"/>
                <w:szCs w:val="24"/>
                <w:u w:val="none"/>
                <w:lang w:val="en-US" w:eastAsia="zh-CN" w:bidi="ar"/>
              </w:rPr>
              <w:t>.16</w:t>
            </w:r>
          </w:p>
        </w:tc>
      </w:tr>
      <w:tr w14:paraId="1264F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3384077">
            <w:pPr>
              <w:pStyle w:val="50"/>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4"/>
                <w:szCs w:val="24"/>
              </w:rPr>
            </w:pPr>
          </w:p>
        </w:tc>
        <w:tc>
          <w:tcPr>
            <w:tcW w:w="1701" w:type="dxa"/>
            <w:tcBorders>
              <w:top w:val="single" w:color="auto" w:sz="4" w:space="0"/>
              <w:bottom w:val="single" w:color="auto" w:sz="4" w:space="0"/>
            </w:tcBorders>
            <w:shd w:val="clear" w:color="auto" w:fill="auto"/>
            <w:vAlign w:val="center"/>
          </w:tcPr>
          <w:p w14:paraId="6DB95635">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清洗废液</w:t>
            </w:r>
          </w:p>
        </w:tc>
        <w:tc>
          <w:tcPr>
            <w:tcW w:w="1701" w:type="dxa"/>
            <w:vAlign w:val="center"/>
          </w:tcPr>
          <w:p w14:paraId="47668A9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276" w:type="dxa"/>
            <w:vAlign w:val="center"/>
          </w:tcPr>
          <w:p w14:paraId="1DD7D59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701" w:type="dxa"/>
            <w:vAlign w:val="center"/>
          </w:tcPr>
          <w:p w14:paraId="1ECB7C4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0</w:t>
            </w:r>
          </w:p>
        </w:tc>
        <w:tc>
          <w:tcPr>
            <w:tcW w:w="1559" w:type="dxa"/>
            <w:shd w:val="clear" w:color="auto" w:fill="auto"/>
            <w:vAlign w:val="center"/>
          </w:tcPr>
          <w:p w14:paraId="53DACEA1">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1.048</w:t>
            </w:r>
          </w:p>
        </w:tc>
        <w:tc>
          <w:tcPr>
            <w:tcW w:w="1761" w:type="dxa"/>
            <w:vAlign w:val="center"/>
          </w:tcPr>
          <w:p w14:paraId="56BDE2C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0</w:t>
            </w:r>
          </w:p>
        </w:tc>
        <w:tc>
          <w:tcPr>
            <w:tcW w:w="1959" w:type="dxa"/>
            <w:shd w:val="clear" w:color="auto" w:fill="auto"/>
            <w:vAlign w:val="center"/>
          </w:tcPr>
          <w:p w14:paraId="4415C38A">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1.048</w:t>
            </w:r>
          </w:p>
        </w:tc>
        <w:tc>
          <w:tcPr>
            <w:tcW w:w="826" w:type="dxa"/>
            <w:shd w:val="clear" w:color="auto" w:fill="auto"/>
            <w:vAlign w:val="center"/>
          </w:tcPr>
          <w:p w14:paraId="2148F360">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i w:val="0"/>
                <w:iCs w:val="0"/>
                <w:color w:val="auto"/>
                <w:kern w:val="0"/>
                <w:sz w:val="24"/>
                <w:szCs w:val="24"/>
                <w:u w:val="none"/>
                <w:lang w:val="en-US" w:eastAsia="zh-CN" w:bidi="ar"/>
              </w:rPr>
              <w:t>+</w:t>
            </w:r>
            <w:r>
              <w:rPr>
                <w:rFonts w:hint="default" w:ascii="Times New Roman" w:hAnsi="Times New Roman" w:eastAsia="宋体" w:cs="Times New Roman"/>
                <w:color w:val="auto"/>
                <w:kern w:val="2"/>
                <w:sz w:val="24"/>
                <w:szCs w:val="24"/>
                <w:lang w:val="en-US" w:eastAsia="zh-CN" w:bidi="ar-SA"/>
              </w:rPr>
              <w:t>1.048</w:t>
            </w:r>
          </w:p>
        </w:tc>
      </w:tr>
    </w:tbl>
    <w:p w14:paraId="27EE7B76">
      <w:pPr>
        <w:pStyle w:val="50"/>
        <w:spacing w:beforeLines="0" w:afterLines="0" w:line="240" w:lineRule="auto"/>
        <w:jc w:val="left"/>
        <w:rPr>
          <w:rFonts w:hint="default" w:ascii="Times New Roman" w:hAnsi="Times New Roman" w:eastAsia="宋体" w:cs="Times New Roman"/>
          <w:color w:val="auto"/>
        </w:rPr>
      </w:pPr>
      <w:r>
        <w:rPr>
          <w:rFonts w:hint="default" w:ascii="Times New Roman" w:hAnsi="Times New Roman" w:eastAsia="仿宋" w:cs="Times New Roman"/>
          <w:snapToGrid w:val="0"/>
          <w:color w:val="auto"/>
          <w:kern w:val="21"/>
          <w:szCs w:val="21"/>
        </w:rPr>
        <w:t>注：</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3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4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5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7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p>
    <w:p w14:paraId="73B4E03D">
      <w:pPr>
        <w:rPr>
          <w:rFonts w:hint="default" w:ascii="Times New Roman" w:hAnsi="Times New Roman" w:eastAsia="宋体" w:cs="Times New Roman"/>
          <w:color w:val="auto"/>
        </w:rPr>
        <w:sectPr>
          <w:footerReference r:id="rId5" w:type="default"/>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149F36C9">
      <w:pPr>
        <w:widowControl/>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附件</w:t>
      </w:r>
    </w:p>
    <w:p w14:paraId="62982686">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 营业执照</w:t>
      </w:r>
    </w:p>
    <w:p w14:paraId="4A838627">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附件2 法人身份证复印件</w:t>
      </w:r>
    </w:p>
    <w:p w14:paraId="6F7282FE">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附件3 投资项目备案表</w:t>
      </w:r>
    </w:p>
    <w:p w14:paraId="66AC23D2">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附件4 </w:t>
      </w:r>
      <w:r>
        <w:rPr>
          <w:rFonts w:hint="eastAsia" w:ascii="Times New Roman" w:hAnsi="Times New Roman" w:eastAsia="宋体" w:cs="Times New Roman"/>
          <w:color w:val="auto"/>
          <w:kern w:val="0"/>
          <w:sz w:val="24"/>
          <w:szCs w:val="24"/>
          <w:lang w:val="en-US" w:eastAsia="zh-CN"/>
        </w:rPr>
        <w:t>土地证</w:t>
      </w:r>
    </w:p>
    <w:p w14:paraId="1F83AAB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附件5 污水接管意向书</w:t>
      </w:r>
    </w:p>
    <w:p w14:paraId="5283B4F0">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附件6 监测报告</w:t>
      </w:r>
    </w:p>
    <w:p w14:paraId="26B958DD">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附件7 </w:t>
      </w:r>
      <w:r>
        <w:rPr>
          <w:rFonts w:hint="eastAsia" w:ascii="Times New Roman" w:hAnsi="Times New Roman" w:eastAsia="宋体" w:cs="Times New Roman"/>
          <w:color w:val="auto"/>
          <w:kern w:val="0"/>
          <w:sz w:val="24"/>
          <w:szCs w:val="24"/>
          <w:lang w:val="en-US" w:eastAsia="zh-CN"/>
        </w:rPr>
        <w:t>冷却液</w:t>
      </w:r>
      <w:r>
        <w:rPr>
          <w:rFonts w:hint="default" w:ascii="Times New Roman" w:hAnsi="Times New Roman" w:eastAsia="宋体" w:cs="Times New Roman"/>
          <w:color w:val="auto"/>
          <w:kern w:val="0"/>
          <w:sz w:val="24"/>
          <w:szCs w:val="24"/>
          <w:lang w:val="en-US" w:eastAsia="zh-CN"/>
        </w:rPr>
        <w:t>MSDS</w:t>
      </w:r>
    </w:p>
    <w:p w14:paraId="627CDF94">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附件8 委托书</w:t>
      </w:r>
    </w:p>
    <w:p w14:paraId="2BF02352">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附件9 承诺书</w:t>
      </w:r>
    </w:p>
    <w:p w14:paraId="123945D7">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附件10 公示承诺</w:t>
      </w:r>
    </w:p>
    <w:p w14:paraId="0E2FBD1B">
      <w:pPr>
        <w:widowControl/>
        <w:spacing w:line="360" w:lineRule="auto"/>
        <w:ind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附件11 危废处置承诺书</w:t>
      </w:r>
    </w:p>
    <w:p w14:paraId="55A8E35E">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附件12 </w:t>
      </w:r>
      <w:r>
        <w:rPr>
          <w:rFonts w:hint="eastAsia" w:ascii="Times New Roman" w:hAnsi="Times New Roman" w:eastAsia="宋体" w:cs="Times New Roman"/>
          <w:color w:val="auto"/>
          <w:kern w:val="0"/>
          <w:sz w:val="24"/>
          <w:szCs w:val="24"/>
          <w:lang w:val="en-US" w:eastAsia="zh-CN"/>
        </w:rPr>
        <w:t>报批承诺</w:t>
      </w:r>
    </w:p>
    <w:p w14:paraId="146701B6">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en-US" w:eastAsia="zh-CN"/>
        </w:rPr>
        <w:t xml:space="preserve"> 江苏省生态环境分区管控综合查询报告书</w:t>
      </w:r>
    </w:p>
    <w:p w14:paraId="66ED14D9">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 xml:space="preserve"> 工程师现场踏勘照片</w:t>
      </w:r>
    </w:p>
    <w:p w14:paraId="30ADF0F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附件15 热熔胶VOC检测报告</w:t>
      </w:r>
    </w:p>
    <w:p w14:paraId="3F77F0A8">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US" w:eastAsia="zh-CN"/>
        </w:rPr>
        <w:t xml:space="preserve"> 环评合同</w:t>
      </w:r>
    </w:p>
    <w:p w14:paraId="31EC649E">
      <w:pPr>
        <w:widowControl/>
        <w:spacing w:line="360" w:lineRule="auto"/>
        <w:rPr>
          <w:rFonts w:hint="default" w:ascii="Times New Roman" w:hAnsi="Times New Roman" w:eastAsia="宋体" w:cs="Times New Roman"/>
          <w:b/>
          <w:bCs/>
          <w:color w:val="auto"/>
          <w:kern w:val="0"/>
          <w:sz w:val="24"/>
          <w:szCs w:val="24"/>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21FCF0F">
      <w:pPr>
        <w:widowControl/>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附图</w:t>
      </w:r>
    </w:p>
    <w:p w14:paraId="17E0F911">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附图1 地理位置图</w:t>
      </w:r>
    </w:p>
    <w:p w14:paraId="68BB5A96">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附图2 项目周边500m用地现状图</w:t>
      </w:r>
    </w:p>
    <w:p w14:paraId="172FF26C">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附图3 </w:t>
      </w:r>
      <w:r>
        <w:rPr>
          <w:rFonts w:hint="eastAsia" w:ascii="Times New Roman" w:hAnsi="Times New Roman" w:eastAsia="宋体" w:cs="Times New Roman"/>
          <w:color w:val="auto"/>
          <w:kern w:val="0"/>
          <w:sz w:val="24"/>
          <w:szCs w:val="24"/>
          <w:lang w:val="en-US" w:eastAsia="zh-CN"/>
        </w:rPr>
        <w:t>厂区平面布置图</w:t>
      </w:r>
    </w:p>
    <w:p w14:paraId="5963CCA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附图4 生态环境分区管控方案图件</w:t>
      </w:r>
    </w:p>
    <w:p w14:paraId="6FC315E0">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附图5 区域水系图</w:t>
      </w:r>
    </w:p>
    <w:p w14:paraId="35593801">
      <w:pPr>
        <w:widowControl/>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附图6 金坛国土空间总体规划图（三区三线图）</w:t>
      </w:r>
    </w:p>
    <w:p w14:paraId="0A37819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附图7 常州市生态空间保护区域分布图</w:t>
      </w:r>
    </w:p>
    <w:p w14:paraId="0B41BC29">
      <w:pPr>
        <w:rPr>
          <w:rFonts w:hint="default" w:ascii="Times New Roman" w:hAnsi="Times New Roman" w:eastAsia="宋体" w:cs="Times New Roman"/>
          <w:color w:val="auto"/>
          <w:sz w:val="24"/>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4BA0F">
    <w:pPr>
      <w:pStyle w:val="16"/>
      <w:jc w:val="center"/>
    </w:pPr>
  </w:p>
  <w:p w14:paraId="1757259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3076823"/>
      <w:docPartObj>
        <w:docPartGallery w:val="autotext"/>
      </w:docPartObj>
    </w:sdtPr>
    <w:sdtEndPr>
      <w:rPr>
        <w:rFonts w:ascii="Times New Roman" w:hAnsi="Times New Roman" w:cs="Times New Roman"/>
      </w:rPr>
    </w:sdtEndPr>
    <w:sdtContent>
      <w:p w14:paraId="0A9B00EA">
        <w:pPr>
          <w:pStyle w:val="16"/>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C0CFE">
    <w:pPr>
      <w:pStyle w:val="1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32F0A682">
                          <w:pPr>
                            <w:pStyle w:val="16"/>
                          </w:pPr>
                          <w:r>
                            <w:fldChar w:fldCharType="begin"/>
                          </w:r>
                          <w:r>
                            <w:instrText xml:space="preserve"> PAGE  \* MERGEFORMAT </w:instrText>
                          </w:r>
                          <w:r>
                            <w:fldChar w:fldCharType="separate"/>
                          </w:r>
                          <w:r>
                            <w:t>107</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3GF10gAAAAMBAAAPAAAAAAAAAAEAIAAAACIA&#10;AABkcnMvZG93bnJldi54bWxQSwECFAAUAAAACACHTuJAiy7+vNYBAACgAwAADgAAAAAAAAABACAA&#10;AAAhAQAAZHJzL2Uyb0RvYy54bWxQSwUGAAAAAAYABgBZAQAAaQUAAAAA&#10;">
              <v:fill on="f" focussize="0,0"/>
              <v:stroke on="f" weight="0.5pt"/>
              <v:imagedata o:title=""/>
              <o:lock v:ext="edit" aspectratio="f"/>
              <v:textbox inset="0mm,0mm,0mm,0mm" style="mso-fit-shape-to-text:t;">
                <w:txbxContent>
                  <w:p w14:paraId="32F0A682">
                    <w:pPr>
                      <w:pStyle w:val="16"/>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E04E9">
    <w:pPr>
      <w:pStyle w:val="1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76A063">
                          <w:pPr>
                            <w:pStyle w:val="16"/>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6476A063">
                    <w:pPr>
                      <w:pStyle w:val="1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0E127"/>
    <w:multiLevelType w:val="singleLevel"/>
    <w:tmpl w:val="A230E127"/>
    <w:lvl w:ilvl="0" w:tentative="0">
      <w:start w:val="4"/>
      <w:numFmt w:val="chineseCounting"/>
      <w:suff w:val="nothing"/>
      <w:lvlText w:val="%1、"/>
      <w:lvlJc w:val="left"/>
      <w:pPr>
        <w:ind w:left="420"/>
      </w:pPr>
      <w:rPr>
        <w:rFonts w:hint="eastAsia"/>
      </w:rPr>
    </w:lvl>
  </w:abstractNum>
  <w:abstractNum w:abstractNumId="1">
    <w:nsid w:val="B7FB15DB"/>
    <w:multiLevelType w:val="singleLevel"/>
    <w:tmpl w:val="B7FB15DB"/>
    <w:lvl w:ilvl="0" w:tentative="0">
      <w:start w:val="1"/>
      <w:numFmt w:val="chineseCounting"/>
      <w:suff w:val="nothing"/>
      <w:lvlText w:val="（%1）"/>
      <w:lvlJc w:val="left"/>
      <w:rPr>
        <w:rFonts w:hint="eastAsia"/>
      </w:rPr>
    </w:lvl>
  </w:abstractNum>
  <w:abstractNum w:abstractNumId="2">
    <w:nsid w:val="D51EE498"/>
    <w:multiLevelType w:val="singleLevel"/>
    <w:tmpl w:val="D51EE498"/>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3">
    <w:nsid w:val="E6FCC359"/>
    <w:multiLevelType w:val="multilevel"/>
    <w:tmpl w:val="E6FCC359"/>
    <w:lvl w:ilvl="0" w:tentative="0">
      <w:start w:val="1"/>
      <w:numFmt w:val="decimal"/>
      <w:suff w:val="nothing"/>
      <w:lvlText w:val="（%1）"/>
      <w:lvlJc w:val="left"/>
    </w:lvl>
    <w:lvl w:ilvl="1" w:tentative="0">
      <w:start w:val="1"/>
      <w:numFmt w:val="lowerLetter"/>
      <w:lvlText w:val="%2)"/>
      <w:lvlJc w:val="left"/>
      <w:pPr>
        <w:ind w:left="1051" w:hanging="420"/>
      </w:pPr>
      <w:rPr>
        <w:rFonts w:hint="default" w:ascii="宋体" w:hAnsi="宋体"/>
        <w:w w:val="100"/>
      </w:rPr>
    </w:lvl>
    <w:lvl w:ilvl="2" w:tentative="0">
      <w:start w:val="1"/>
      <w:numFmt w:val="lowerRoman"/>
      <w:lvlText w:val="%3."/>
      <w:lvlJc w:val="right"/>
      <w:pPr>
        <w:ind w:left="1471" w:hanging="420"/>
      </w:pPr>
      <w:rPr>
        <w:rFonts w:hint="default" w:ascii="宋体" w:hAnsi="宋体"/>
        <w:w w:val="100"/>
      </w:rPr>
    </w:lvl>
    <w:lvl w:ilvl="3" w:tentative="0">
      <w:start w:val="1"/>
      <w:numFmt w:val="decimal"/>
      <w:lvlText w:val="%4."/>
      <w:lvlJc w:val="left"/>
      <w:pPr>
        <w:ind w:left="1891" w:hanging="420"/>
      </w:pPr>
      <w:rPr>
        <w:rFonts w:hint="default" w:ascii="宋体" w:hAnsi="宋体"/>
        <w:w w:val="100"/>
      </w:rPr>
    </w:lvl>
    <w:lvl w:ilvl="4" w:tentative="0">
      <w:start w:val="1"/>
      <w:numFmt w:val="lowerLetter"/>
      <w:lvlText w:val="%5)"/>
      <w:lvlJc w:val="left"/>
      <w:pPr>
        <w:ind w:left="2311" w:hanging="420"/>
      </w:pPr>
      <w:rPr>
        <w:rFonts w:hint="default" w:ascii="宋体" w:hAnsi="宋体"/>
        <w:w w:val="100"/>
      </w:rPr>
    </w:lvl>
    <w:lvl w:ilvl="5" w:tentative="0">
      <w:start w:val="1"/>
      <w:numFmt w:val="lowerRoman"/>
      <w:lvlText w:val="%6."/>
      <w:lvlJc w:val="right"/>
      <w:pPr>
        <w:ind w:left="2731" w:hanging="420"/>
      </w:pPr>
      <w:rPr>
        <w:rFonts w:hint="default" w:ascii="宋体" w:hAnsi="宋体"/>
        <w:w w:val="100"/>
      </w:rPr>
    </w:lvl>
    <w:lvl w:ilvl="6" w:tentative="0">
      <w:start w:val="1"/>
      <w:numFmt w:val="decimal"/>
      <w:lvlText w:val="%7."/>
      <w:lvlJc w:val="left"/>
      <w:pPr>
        <w:ind w:left="3151" w:hanging="420"/>
      </w:pPr>
      <w:rPr>
        <w:rFonts w:hint="default" w:ascii="宋体" w:hAnsi="宋体"/>
        <w:w w:val="100"/>
      </w:rPr>
    </w:lvl>
    <w:lvl w:ilvl="7" w:tentative="0">
      <w:start w:val="1"/>
      <w:numFmt w:val="lowerLetter"/>
      <w:lvlText w:val="%8)"/>
      <w:lvlJc w:val="left"/>
      <w:pPr>
        <w:ind w:left="3571" w:hanging="420"/>
      </w:pPr>
      <w:rPr>
        <w:rFonts w:hint="default" w:ascii="宋体" w:hAnsi="宋体"/>
        <w:w w:val="100"/>
      </w:rPr>
    </w:lvl>
    <w:lvl w:ilvl="8" w:tentative="0">
      <w:start w:val="1"/>
      <w:numFmt w:val="lowerRoman"/>
      <w:lvlText w:val="%9."/>
      <w:lvlJc w:val="right"/>
      <w:pPr>
        <w:ind w:left="3991" w:hanging="420"/>
      </w:pPr>
      <w:rPr>
        <w:rFonts w:hint="default" w:ascii="宋体" w:hAnsi="宋体"/>
        <w:w w:val="100"/>
      </w:rPr>
    </w:lvl>
  </w:abstractNum>
  <w:abstractNum w:abstractNumId="4">
    <w:nsid w:val="1E43062A"/>
    <w:multiLevelType w:val="singleLevel"/>
    <w:tmpl w:val="1E43062A"/>
    <w:lvl w:ilvl="0" w:tentative="0">
      <w:start w:val="1"/>
      <w:numFmt w:val="decimal"/>
      <w:suff w:val="nothing"/>
      <w:lvlText w:val="（%1）"/>
      <w:lvlJc w:val="left"/>
    </w:lvl>
  </w:abstractNum>
  <w:abstractNum w:abstractNumId="5">
    <w:nsid w:val="204ABAD9"/>
    <w:multiLevelType w:val="singleLevel"/>
    <w:tmpl w:val="204ABAD9"/>
    <w:lvl w:ilvl="0" w:tentative="0">
      <w:start w:val="1"/>
      <w:numFmt w:val="decimal"/>
      <w:suff w:val="nothing"/>
      <w:lvlText w:val="（%1）"/>
      <w:lvlJc w:val="left"/>
    </w:lvl>
  </w:abstractNum>
  <w:abstractNum w:abstractNumId="6">
    <w:nsid w:val="3021BBA9"/>
    <w:multiLevelType w:val="singleLevel"/>
    <w:tmpl w:val="3021BBA9"/>
    <w:lvl w:ilvl="0" w:tentative="0">
      <w:start w:val="1"/>
      <w:numFmt w:val="decimal"/>
      <w:suff w:val="nothing"/>
      <w:lvlText w:val="（%1）"/>
      <w:lvlJc w:val="left"/>
    </w:lvl>
  </w:abstractNum>
  <w:num w:numId="1">
    <w:abstractNumId w:val="2"/>
  </w:num>
  <w:num w:numId="2">
    <w:abstractNumId w:val="5"/>
  </w:num>
  <w:num w:numId="3">
    <w:abstractNumId w:val="4"/>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ZhZWM1YmQwMDUyZTY0YmFmOGM0ZGYzMmVmNTE4NWUifQ=="/>
  </w:docVars>
  <w:rsids>
    <w:rsidRoot w:val="0064669D"/>
    <w:rsid w:val="00000CFF"/>
    <w:rsid w:val="000016D6"/>
    <w:rsid w:val="00006385"/>
    <w:rsid w:val="0000769B"/>
    <w:rsid w:val="000106F0"/>
    <w:rsid w:val="00012B84"/>
    <w:rsid w:val="00013C31"/>
    <w:rsid w:val="000173BD"/>
    <w:rsid w:val="000207B0"/>
    <w:rsid w:val="00026701"/>
    <w:rsid w:val="00026FCE"/>
    <w:rsid w:val="000276C0"/>
    <w:rsid w:val="0002798F"/>
    <w:rsid w:val="000316C0"/>
    <w:rsid w:val="00033945"/>
    <w:rsid w:val="00036CD2"/>
    <w:rsid w:val="00041B55"/>
    <w:rsid w:val="00043E7D"/>
    <w:rsid w:val="0005090B"/>
    <w:rsid w:val="000510AC"/>
    <w:rsid w:val="000513C1"/>
    <w:rsid w:val="00052608"/>
    <w:rsid w:val="000611ED"/>
    <w:rsid w:val="00063E46"/>
    <w:rsid w:val="00065978"/>
    <w:rsid w:val="00065B25"/>
    <w:rsid w:val="00072B8A"/>
    <w:rsid w:val="00076090"/>
    <w:rsid w:val="00077063"/>
    <w:rsid w:val="000801B6"/>
    <w:rsid w:val="00080A63"/>
    <w:rsid w:val="00083E48"/>
    <w:rsid w:val="00083F93"/>
    <w:rsid w:val="00085D60"/>
    <w:rsid w:val="000865C8"/>
    <w:rsid w:val="0008737A"/>
    <w:rsid w:val="00090B1D"/>
    <w:rsid w:val="00092CEC"/>
    <w:rsid w:val="000936D7"/>
    <w:rsid w:val="00094E34"/>
    <w:rsid w:val="000956D3"/>
    <w:rsid w:val="00095CD3"/>
    <w:rsid w:val="000A01D5"/>
    <w:rsid w:val="000A08B0"/>
    <w:rsid w:val="000A0CED"/>
    <w:rsid w:val="000A27EC"/>
    <w:rsid w:val="000A3B58"/>
    <w:rsid w:val="000A5B74"/>
    <w:rsid w:val="000A6A5E"/>
    <w:rsid w:val="000B27BA"/>
    <w:rsid w:val="000B2B7C"/>
    <w:rsid w:val="000B6D0F"/>
    <w:rsid w:val="000B739B"/>
    <w:rsid w:val="000C0AE6"/>
    <w:rsid w:val="000C1BAF"/>
    <w:rsid w:val="000C2673"/>
    <w:rsid w:val="000C3080"/>
    <w:rsid w:val="000C4CF3"/>
    <w:rsid w:val="000D0D08"/>
    <w:rsid w:val="000D0DCE"/>
    <w:rsid w:val="000D28E9"/>
    <w:rsid w:val="000D4598"/>
    <w:rsid w:val="000D4D8C"/>
    <w:rsid w:val="000D5FEA"/>
    <w:rsid w:val="000E0E45"/>
    <w:rsid w:val="000E1D1D"/>
    <w:rsid w:val="000E32F8"/>
    <w:rsid w:val="000E590D"/>
    <w:rsid w:val="000E6BE2"/>
    <w:rsid w:val="000F3205"/>
    <w:rsid w:val="00102A0A"/>
    <w:rsid w:val="00103556"/>
    <w:rsid w:val="00104DC3"/>
    <w:rsid w:val="001051F3"/>
    <w:rsid w:val="00105B36"/>
    <w:rsid w:val="00106A31"/>
    <w:rsid w:val="00106D5D"/>
    <w:rsid w:val="00112D95"/>
    <w:rsid w:val="00112E3C"/>
    <w:rsid w:val="00115B3B"/>
    <w:rsid w:val="00121603"/>
    <w:rsid w:val="0012198A"/>
    <w:rsid w:val="00127264"/>
    <w:rsid w:val="00127EA8"/>
    <w:rsid w:val="00127F51"/>
    <w:rsid w:val="00130925"/>
    <w:rsid w:val="00130D2C"/>
    <w:rsid w:val="00131BA7"/>
    <w:rsid w:val="00132BFC"/>
    <w:rsid w:val="00136393"/>
    <w:rsid w:val="0013641C"/>
    <w:rsid w:val="0013687A"/>
    <w:rsid w:val="00136F38"/>
    <w:rsid w:val="00142C45"/>
    <w:rsid w:val="00144DD0"/>
    <w:rsid w:val="001451FC"/>
    <w:rsid w:val="001500B7"/>
    <w:rsid w:val="0015184C"/>
    <w:rsid w:val="0015395B"/>
    <w:rsid w:val="00154184"/>
    <w:rsid w:val="0015618F"/>
    <w:rsid w:val="00161172"/>
    <w:rsid w:val="001617E2"/>
    <w:rsid w:val="00161A75"/>
    <w:rsid w:val="00163010"/>
    <w:rsid w:val="00164C89"/>
    <w:rsid w:val="00164FD8"/>
    <w:rsid w:val="00172209"/>
    <w:rsid w:val="00175136"/>
    <w:rsid w:val="001822CF"/>
    <w:rsid w:val="001833C2"/>
    <w:rsid w:val="00184182"/>
    <w:rsid w:val="0018493A"/>
    <w:rsid w:val="001857C6"/>
    <w:rsid w:val="00187243"/>
    <w:rsid w:val="00187DC7"/>
    <w:rsid w:val="00192B70"/>
    <w:rsid w:val="00194BE6"/>
    <w:rsid w:val="001959C5"/>
    <w:rsid w:val="001A3D80"/>
    <w:rsid w:val="001A4A36"/>
    <w:rsid w:val="001A7162"/>
    <w:rsid w:val="001B00D4"/>
    <w:rsid w:val="001B148B"/>
    <w:rsid w:val="001B1C54"/>
    <w:rsid w:val="001B210A"/>
    <w:rsid w:val="001B2A40"/>
    <w:rsid w:val="001B2DCE"/>
    <w:rsid w:val="001B42AF"/>
    <w:rsid w:val="001B59B0"/>
    <w:rsid w:val="001B7682"/>
    <w:rsid w:val="001C1633"/>
    <w:rsid w:val="001C6DDB"/>
    <w:rsid w:val="001C6E7F"/>
    <w:rsid w:val="001C7172"/>
    <w:rsid w:val="001C7AAF"/>
    <w:rsid w:val="001D2508"/>
    <w:rsid w:val="001D2A19"/>
    <w:rsid w:val="001D362A"/>
    <w:rsid w:val="001D5AE4"/>
    <w:rsid w:val="001D7602"/>
    <w:rsid w:val="001D7B9F"/>
    <w:rsid w:val="001E48D2"/>
    <w:rsid w:val="001E6CF1"/>
    <w:rsid w:val="001F0C46"/>
    <w:rsid w:val="001F3476"/>
    <w:rsid w:val="001F3C09"/>
    <w:rsid w:val="0020119A"/>
    <w:rsid w:val="0020316C"/>
    <w:rsid w:val="00203B33"/>
    <w:rsid w:val="00206F6B"/>
    <w:rsid w:val="002076B7"/>
    <w:rsid w:val="00210F42"/>
    <w:rsid w:val="0021259E"/>
    <w:rsid w:val="0021379F"/>
    <w:rsid w:val="00215683"/>
    <w:rsid w:val="00215720"/>
    <w:rsid w:val="0021572A"/>
    <w:rsid w:val="00216908"/>
    <w:rsid w:val="00216E9E"/>
    <w:rsid w:val="002205F5"/>
    <w:rsid w:val="002210DA"/>
    <w:rsid w:val="0022143B"/>
    <w:rsid w:val="002226A3"/>
    <w:rsid w:val="0022489E"/>
    <w:rsid w:val="00224C1E"/>
    <w:rsid w:val="002260B1"/>
    <w:rsid w:val="00227AA9"/>
    <w:rsid w:val="0023188E"/>
    <w:rsid w:val="00233542"/>
    <w:rsid w:val="00233C53"/>
    <w:rsid w:val="00240638"/>
    <w:rsid w:val="00241DA4"/>
    <w:rsid w:val="00244063"/>
    <w:rsid w:val="00246150"/>
    <w:rsid w:val="002479A0"/>
    <w:rsid w:val="0025331D"/>
    <w:rsid w:val="0026024C"/>
    <w:rsid w:val="00261964"/>
    <w:rsid w:val="00267634"/>
    <w:rsid w:val="00267653"/>
    <w:rsid w:val="00270FF6"/>
    <w:rsid w:val="00273A42"/>
    <w:rsid w:val="00273D02"/>
    <w:rsid w:val="002751E0"/>
    <w:rsid w:val="002846B0"/>
    <w:rsid w:val="00285E30"/>
    <w:rsid w:val="00287406"/>
    <w:rsid w:val="002877AD"/>
    <w:rsid w:val="00297528"/>
    <w:rsid w:val="002A0A6E"/>
    <w:rsid w:val="002A26E0"/>
    <w:rsid w:val="002A44C5"/>
    <w:rsid w:val="002A58E6"/>
    <w:rsid w:val="002A64CC"/>
    <w:rsid w:val="002A6778"/>
    <w:rsid w:val="002A686D"/>
    <w:rsid w:val="002A6CEC"/>
    <w:rsid w:val="002B09D7"/>
    <w:rsid w:val="002B0A6A"/>
    <w:rsid w:val="002B2C41"/>
    <w:rsid w:val="002B5F00"/>
    <w:rsid w:val="002B7BC3"/>
    <w:rsid w:val="002D0813"/>
    <w:rsid w:val="002D3003"/>
    <w:rsid w:val="002D7F4F"/>
    <w:rsid w:val="002E0C04"/>
    <w:rsid w:val="002E3D40"/>
    <w:rsid w:val="002E57B8"/>
    <w:rsid w:val="002E6D45"/>
    <w:rsid w:val="002F14F3"/>
    <w:rsid w:val="002F2D2E"/>
    <w:rsid w:val="002F3B30"/>
    <w:rsid w:val="002F543E"/>
    <w:rsid w:val="002F62B4"/>
    <w:rsid w:val="002F6BFA"/>
    <w:rsid w:val="00303492"/>
    <w:rsid w:val="00310023"/>
    <w:rsid w:val="003123D3"/>
    <w:rsid w:val="00312510"/>
    <w:rsid w:val="00314080"/>
    <w:rsid w:val="00315480"/>
    <w:rsid w:val="00317D74"/>
    <w:rsid w:val="00321A78"/>
    <w:rsid w:val="00322D77"/>
    <w:rsid w:val="00324160"/>
    <w:rsid w:val="0032424E"/>
    <w:rsid w:val="00325400"/>
    <w:rsid w:val="00325CD5"/>
    <w:rsid w:val="003277F9"/>
    <w:rsid w:val="00332818"/>
    <w:rsid w:val="003330AE"/>
    <w:rsid w:val="00333437"/>
    <w:rsid w:val="00333A00"/>
    <w:rsid w:val="003348E2"/>
    <w:rsid w:val="00337553"/>
    <w:rsid w:val="00344729"/>
    <w:rsid w:val="00346562"/>
    <w:rsid w:val="00347AF8"/>
    <w:rsid w:val="0035182F"/>
    <w:rsid w:val="003527BD"/>
    <w:rsid w:val="00355416"/>
    <w:rsid w:val="00356877"/>
    <w:rsid w:val="003600FA"/>
    <w:rsid w:val="00360D58"/>
    <w:rsid w:val="00361B46"/>
    <w:rsid w:val="0036409B"/>
    <w:rsid w:val="00364DBE"/>
    <w:rsid w:val="00365090"/>
    <w:rsid w:val="003706D4"/>
    <w:rsid w:val="00370F80"/>
    <w:rsid w:val="00371FBD"/>
    <w:rsid w:val="00372933"/>
    <w:rsid w:val="00374212"/>
    <w:rsid w:val="00374D0E"/>
    <w:rsid w:val="0037735C"/>
    <w:rsid w:val="00380AD5"/>
    <w:rsid w:val="00380FD7"/>
    <w:rsid w:val="0038498B"/>
    <w:rsid w:val="0038507B"/>
    <w:rsid w:val="00385091"/>
    <w:rsid w:val="00387E7B"/>
    <w:rsid w:val="00390F1C"/>
    <w:rsid w:val="003918DA"/>
    <w:rsid w:val="00392763"/>
    <w:rsid w:val="00393AB2"/>
    <w:rsid w:val="00395421"/>
    <w:rsid w:val="003A089B"/>
    <w:rsid w:val="003A0DE2"/>
    <w:rsid w:val="003A2252"/>
    <w:rsid w:val="003A33D5"/>
    <w:rsid w:val="003A3E13"/>
    <w:rsid w:val="003A4043"/>
    <w:rsid w:val="003A415A"/>
    <w:rsid w:val="003A63D5"/>
    <w:rsid w:val="003B02A6"/>
    <w:rsid w:val="003B154A"/>
    <w:rsid w:val="003B52DC"/>
    <w:rsid w:val="003B5827"/>
    <w:rsid w:val="003B5CA6"/>
    <w:rsid w:val="003B6EF0"/>
    <w:rsid w:val="003C1DC5"/>
    <w:rsid w:val="003C1F99"/>
    <w:rsid w:val="003C26A6"/>
    <w:rsid w:val="003C27FD"/>
    <w:rsid w:val="003D2F3E"/>
    <w:rsid w:val="003D3D7B"/>
    <w:rsid w:val="003D62FE"/>
    <w:rsid w:val="003D6BBE"/>
    <w:rsid w:val="003E2FB2"/>
    <w:rsid w:val="003E624C"/>
    <w:rsid w:val="003E6A03"/>
    <w:rsid w:val="003E6A3D"/>
    <w:rsid w:val="003E7488"/>
    <w:rsid w:val="003F0E57"/>
    <w:rsid w:val="003F264E"/>
    <w:rsid w:val="003F2AB6"/>
    <w:rsid w:val="003F53D7"/>
    <w:rsid w:val="003F5571"/>
    <w:rsid w:val="00405644"/>
    <w:rsid w:val="004057D7"/>
    <w:rsid w:val="00412AF6"/>
    <w:rsid w:val="00414727"/>
    <w:rsid w:val="00416BF0"/>
    <w:rsid w:val="00416F34"/>
    <w:rsid w:val="004223CF"/>
    <w:rsid w:val="004238FB"/>
    <w:rsid w:val="00424156"/>
    <w:rsid w:val="0043016B"/>
    <w:rsid w:val="0043218E"/>
    <w:rsid w:val="00432858"/>
    <w:rsid w:val="00433280"/>
    <w:rsid w:val="00440337"/>
    <w:rsid w:val="00442A87"/>
    <w:rsid w:val="00446118"/>
    <w:rsid w:val="0044651C"/>
    <w:rsid w:val="00447E28"/>
    <w:rsid w:val="004539E6"/>
    <w:rsid w:val="00454B13"/>
    <w:rsid w:val="00454EBE"/>
    <w:rsid w:val="0045610B"/>
    <w:rsid w:val="00457BEA"/>
    <w:rsid w:val="00460235"/>
    <w:rsid w:val="00460A8B"/>
    <w:rsid w:val="004660E5"/>
    <w:rsid w:val="00466CB1"/>
    <w:rsid w:val="004678F1"/>
    <w:rsid w:val="00471D12"/>
    <w:rsid w:val="00472849"/>
    <w:rsid w:val="00473137"/>
    <w:rsid w:val="0047432B"/>
    <w:rsid w:val="00477C7F"/>
    <w:rsid w:val="0048108F"/>
    <w:rsid w:val="00481F76"/>
    <w:rsid w:val="00483C4D"/>
    <w:rsid w:val="004845A0"/>
    <w:rsid w:val="00493F09"/>
    <w:rsid w:val="0049459A"/>
    <w:rsid w:val="004947C3"/>
    <w:rsid w:val="004A0E81"/>
    <w:rsid w:val="004A2F3D"/>
    <w:rsid w:val="004A31D0"/>
    <w:rsid w:val="004A3941"/>
    <w:rsid w:val="004A3FBE"/>
    <w:rsid w:val="004B0DFA"/>
    <w:rsid w:val="004B4613"/>
    <w:rsid w:val="004C0D0D"/>
    <w:rsid w:val="004C20F5"/>
    <w:rsid w:val="004C63EC"/>
    <w:rsid w:val="004C697A"/>
    <w:rsid w:val="004D12DB"/>
    <w:rsid w:val="004D176D"/>
    <w:rsid w:val="004D27E1"/>
    <w:rsid w:val="004D426B"/>
    <w:rsid w:val="004D51C1"/>
    <w:rsid w:val="004D73CD"/>
    <w:rsid w:val="004E03E2"/>
    <w:rsid w:val="004E2CBA"/>
    <w:rsid w:val="004E339D"/>
    <w:rsid w:val="004E481E"/>
    <w:rsid w:val="004E4FD8"/>
    <w:rsid w:val="004E532A"/>
    <w:rsid w:val="004E7E52"/>
    <w:rsid w:val="004F37BC"/>
    <w:rsid w:val="004F43E6"/>
    <w:rsid w:val="004F4EC7"/>
    <w:rsid w:val="004F7F29"/>
    <w:rsid w:val="005028A8"/>
    <w:rsid w:val="00503A32"/>
    <w:rsid w:val="00506D5E"/>
    <w:rsid w:val="00512B6E"/>
    <w:rsid w:val="00512DB7"/>
    <w:rsid w:val="005131F7"/>
    <w:rsid w:val="0051322A"/>
    <w:rsid w:val="00513DBC"/>
    <w:rsid w:val="005203A8"/>
    <w:rsid w:val="00522923"/>
    <w:rsid w:val="0052359F"/>
    <w:rsid w:val="00526D1D"/>
    <w:rsid w:val="0053288A"/>
    <w:rsid w:val="005333A9"/>
    <w:rsid w:val="005363CE"/>
    <w:rsid w:val="0053730C"/>
    <w:rsid w:val="00537A2B"/>
    <w:rsid w:val="005431D4"/>
    <w:rsid w:val="00543990"/>
    <w:rsid w:val="005444BD"/>
    <w:rsid w:val="00545602"/>
    <w:rsid w:val="005468C8"/>
    <w:rsid w:val="00551CD0"/>
    <w:rsid w:val="005521FD"/>
    <w:rsid w:val="0055293B"/>
    <w:rsid w:val="00552A5D"/>
    <w:rsid w:val="00552FE4"/>
    <w:rsid w:val="00553FCD"/>
    <w:rsid w:val="00555DE9"/>
    <w:rsid w:val="00556751"/>
    <w:rsid w:val="005571E2"/>
    <w:rsid w:val="00564F5F"/>
    <w:rsid w:val="00567CB4"/>
    <w:rsid w:val="00572A50"/>
    <w:rsid w:val="0057412A"/>
    <w:rsid w:val="005751A2"/>
    <w:rsid w:val="005760CD"/>
    <w:rsid w:val="00576FFA"/>
    <w:rsid w:val="00577CBC"/>
    <w:rsid w:val="005807AA"/>
    <w:rsid w:val="00582A89"/>
    <w:rsid w:val="00584FA2"/>
    <w:rsid w:val="00584FC1"/>
    <w:rsid w:val="00591133"/>
    <w:rsid w:val="00592476"/>
    <w:rsid w:val="005932CD"/>
    <w:rsid w:val="00593E8C"/>
    <w:rsid w:val="00595670"/>
    <w:rsid w:val="00595C4C"/>
    <w:rsid w:val="00597BAB"/>
    <w:rsid w:val="00597BC3"/>
    <w:rsid w:val="005A0EA4"/>
    <w:rsid w:val="005A28F7"/>
    <w:rsid w:val="005A55C7"/>
    <w:rsid w:val="005A70E1"/>
    <w:rsid w:val="005A7C12"/>
    <w:rsid w:val="005B3263"/>
    <w:rsid w:val="005B504D"/>
    <w:rsid w:val="005B5D85"/>
    <w:rsid w:val="005B6ECD"/>
    <w:rsid w:val="005B7A15"/>
    <w:rsid w:val="005C45E0"/>
    <w:rsid w:val="005C4A9B"/>
    <w:rsid w:val="005C7669"/>
    <w:rsid w:val="005C770E"/>
    <w:rsid w:val="005C77B3"/>
    <w:rsid w:val="005D2CC9"/>
    <w:rsid w:val="005D353E"/>
    <w:rsid w:val="005D6936"/>
    <w:rsid w:val="005D74FE"/>
    <w:rsid w:val="005E15F2"/>
    <w:rsid w:val="005E4333"/>
    <w:rsid w:val="005E5087"/>
    <w:rsid w:val="005E688D"/>
    <w:rsid w:val="005E6AFB"/>
    <w:rsid w:val="005F2502"/>
    <w:rsid w:val="005F2974"/>
    <w:rsid w:val="005F2FBD"/>
    <w:rsid w:val="005F3912"/>
    <w:rsid w:val="0060145C"/>
    <w:rsid w:val="00601BE5"/>
    <w:rsid w:val="006030EC"/>
    <w:rsid w:val="0060645F"/>
    <w:rsid w:val="006064AC"/>
    <w:rsid w:val="006079F8"/>
    <w:rsid w:val="00613D4F"/>
    <w:rsid w:val="00614C7B"/>
    <w:rsid w:val="00616276"/>
    <w:rsid w:val="00616D18"/>
    <w:rsid w:val="00624F58"/>
    <w:rsid w:val="0062511E"/>
    <w:rsid w:val="00626A8F"/>
    <w:rsid w:val="00627DCF"/>
    <w:rsid w:val="006315A1"/>
    <w:rsid w:val="006324C5"/>
    <w:rsid w:val="006339C9"/>
    <w:rsid w:val="006349D3"/>
    <w:rsid w:val="00637F7B"/>
    <w:rsid w:val="00641059"/>
    <w:rsid w:val="00644DD7"/>
    <w:rsid w:val="00645E3E"/>
    <w:rsid w:val="0064669D"/>
    <w:rsid w:val="00647DC7"/>
    <w:rsid w:val="006507B2"/>
    <w:rsid w:val="0065220A"/>
    <w:rsid w:val="00652CBE"/>
    <w:rsid w:val="0065402F"/>
    <w:rsid w:val="00654CFB"/>
    <w:rsid w:val="00663D83"/>
    <w:rsid w:val="00664141"/>
    <w:rsid w:val="006642CC"/>
    <w:rsid w:val="00667CB7"/>
    <w:rsid w:val="006728AF"/>
    <w:rsid w:val="006758B2"/>
    <w:rsid w:val="00676673"/>
    <w:rsid w:val="0067670C"/>
    <w:rsid w:val="00681D6E"/>
    <w:rsid w:val="006821DD"/>
    <w:rsid w:val="006837D7"/>
    <w:rsid w:val="0068467A"/>
    <w:rsid w:val="006857DC"/>
    <w:rsid w:val="00686637"/>
    <w:rsid w:val="00692943"/>
    <w:rsid w:val="00692A81"/>
    <w:rsid w:val="00692F83"/>
    <w:rsid w:val="006932E6"/>
    <w:rsid w:val="006964DC"/>
    <w:rsid w:val="006A5C2B"/>
    <w:rsid w:val="006A74AC"/>
    <w:rsid w:val="006B0F40"/>
    <w:rsid w:val="006B21EB"/>
    <w:rsid w:val="006B25FC"/>
    <w:rsid w:val="006B376C"/>
    <w:rsid w:val="006B70B6"/>
    <w:rsid w:val="006B714D"/>
    <w:rsid w:val="006C01BC"/>
    <w:rsid w:val="006C060B"/>
    <w:rsid w:val="006C1414"/>
    <w:rsid w:val="006C1F72"/>
    <w:rsid w:val="006C742A"/>
    <w:rsid w:val="006C75B4"/>
    <w:rsid w:val="006D1D00"/>
    <w:rsid w:val="006D35DE"/>
    <w:rsid w:val="006D384E"/>
    <w:rsid w:val="006D38FD"/>
    <w:rsid w:val="006D426C"/>
    <w:rsid w:val="006D4277"/>
    <w:rsid w:val="006D4EC3"/>
    <w:rsid w:val="006D6BB1"/>
    <w:rsid w:val="006D6F0B"/>
    <w:rsid w:val="006E04FD"/>
    <w:rsid w:val="006E2724"/>
    <w:rsid w:val="006E30AB"/>
    <w:rsid w:val="006E661C"/>
    <w:rsid w:val="006F04CA"/>
    <w:rsid w:val="006F090D"/>
    <w:rsid w:val="006F1871"/>
    <w:rsid w:val="006F3E01"/>
    <w:rsid w:val="006F4CE6"/>
    <w:rsid w:val="006F4F64"/>
    <w:rsid w:val="006F5D57"/>
    <w:rsid w:val="006F6648"/>
    <w:rsid w:val="006F6BD7"/>
    <w:rsid w:val="006F7E8E"/>
    <w:rsid w:val="00701AC3"/>
    <w:rsid w:val="007043BE"/>
    <w:rsid w:val="007044C6"/>
    <w:rsid w:val="00707E7F"/>
    <w:rsid w:val="00710D10"/>
    <w:rsid w:val="00711B74"/>
    <w:rsid w:val="00713E1C"/>
    <w:rsid w:val="007145AE"/>
    <w:rsid w:val="007152AC"/>
    <w:rsid w:val="007160A8"/>
    <w:rsid w:val="0071729D"/>
    <w:rsid w:val="0072089D"/>
    <w:rsid w:val="00721355"/>
    <w:rsid w:val="00721652"/>
    <w:rsid w:val="00721793"/>
    <w:rsid w:val="00723B51"/>
    <w:rsid w:val="007269BE"/>
    <w:rsid w:val="007332FE"/>
    <w:rsid w:val="0073652F"/>
    <w:rsid w:val="0074156B"/>
    <w:rsid w:val="00742727"/>
    <w:rsid w:val="00742A73"/>
    <w:rsid w:val="00746933"/>
    <w:rsid w:val="00747B2A"/>
    <w:rsid w:val="00747DAD"/>
    <w:rsid w:val="00747ECF"/>
    <w:rsid w:val="007514F1"/>
    <w:rsid w:val="007554D7"/>
    <w:rsid w:val="007608AF"/>
    <w:rsid w:val="00761ACA"/>
    <w:rsid w:val="0076296E"/>
    <w:rsid w:val="00763A50"/>
    <w:rsid w:val="00764B4A"/>
    <w:rsid w:val="00771A4F"/>
    <w:rsid w:val="00774729"/>
    <w:rsid w:val="00782123"/>
    <w:rsid w:val="00782E77"/>
    <w:rsid w:val="00783DA9"/>
    <w:rsid w:val="00786253"/>
    <w:rsid w:val="00787682"/>
    <w:rsid w:val="00790DF9"/>
    <w:rsid w:val="00792843"/>
    <w:rsid w:val="00792F63"/>
    <w:rsid w:val="007951E9"/>
    <w:rsid w:val="007955DD"/>
    <w:rsid w:val="00797343"/>
    <w:rsid w:val="00797FEF"/>
    <w:rsid w:val="007A039B"/>
    <w:rsid w:val="007A2922"/>
    <w:rsid w:val="007A3244"/>
    <w:rsid w:val="007A3E89"/>
    <w:rsid w:val="007A442A"/>
    <w:rsid w:val="007A6111"/>
    <w:rsid w:val="007A6173"/>
    <w:rsid w:val="007A67A7"/>
    <w:rsid w:val="007B182F"/>
    <w:rsid w:val="007B419C"/>
    <w:rsid w:val="007B484D"/>
    <w:rsid w:val="007B5B98"/>
    <w:rsid w:val="007C0340"/>
    <w:rsid w:val="007C03F1"/>
    <w:rsid w:val="007C395D"/>
    <w:rsid w:val="007C6D8A"/>
    <w:rsid w:val="007C75A5"/>
    <w:rsid w:val="007C7F74"/>
    <w:rsid w:val="007D107A"/>
    <w:rsid w:val="007D2B7A"/>
    <w:rsid w:val="007D323C"/>
    <w:rsid w:val="007D4227"/>
    <w:rsid w:val="007D4A77"/>
    <w:rsid w:val="007D6C69"/>
    <w:rsid w:val="007D7277"/>
    <w:rsid w:val="007D76CE"/>
    <w:rsid w:val="007E2C64"/>
    <w:rsid w:val="007E502A"/>
    <w:rsid w:val="007F2C17"/>
    <w:rsid w:val="007F36C2"/>
    <w:rsid w:val="007F507C"/>
    <w:rsid w:val="007F64EB"/>
    <w:rsid w:val="007F6840"/>
    <w:rsid w:val="0080044F"/>
    <w:rsid w:val="0080161E"/>
    <w:rsid w:val="008018CE"/>
    <w:rsid w:val="00802029"/>
    <w:rsid w:val="008022B8"/>
    <w:rsid w:val="008046B7"/>
    <w:rsid w:val="00804894"/>
    <w:rsid w:val="00811A72"/>
    <w:rsid w:val="00812314"/>
    <w:rsid w:val="00812D20"/>
    <w:rsid w:val="008232AC"/>
    <w:rsid w:val="00824B29"/>
    <w:rsid w:val="00827BAF"/>
    <w:rsid w:val="008318F3"/>
    <w:rsid w:val="008339B4"/>
    <w:rsid w:val="008426C5"/>
    <w:rsid w:val="0084378D"/>
    <w:rsid w:val="0086039C"/>
    <w:rsid w:val="00863D95"/>
    <w:rsid w:val="008743F7"/>
    <w:rsid w:val="00874BE4"/>
    <w:rsid w:val="00880D43"/>
    <w:rsid w:val="008817C5"/>
    <w:rsid w:val="00881CFD"/>
    <w:rsid w:val="00882489"/>
    <w:rsid w:val="008828C8"/>
    <w:rsid w:val="008852DB"/>
    <w:rsid w:val="008855AF"/>
    <w:rsid w:val="00890DDD"/>
    <w:rsid w:val="00894DE0"/>
    <w:rsid w:val="00895938"/>
    <w:rsid w:val="008A0B70"/>
    <w:rsid w:val="008A1113"/>
    <w:rsid w:val="008A293B"/>
    <w:rsid w:val="008A4F7A"/>
    <w:rsid w:val="008A6B8A"/>
    <w:rsid w:val="008A7F44"/>
    <w:rsid w:val="008B0FB3"/>
    <w:rsid w:val="008B33BE"/>
    <w:rsid w:val="008B3C55"/>
    <w:rsid w:val="008B5B1C"/>
    <w:rsid w:val="008B6401"/>
    <w:rsid w:val="008B6CCF"/>
    <w:rsid w:val="008B718B"/>
    <w:rsid w:val="008B759E"/>
    <w:rsid w:val="008B76C6"/>
    <w:rsid w:val="008B7B71"/>
    <w:rsid w:val="008C1BC6"/>
    <w:rsid w:val="008C3FFE"/>
    <w:rsid w:val="008C5B93"/>
    <w:rsid w:val="008C5C16"/>
    <w:rsid w:val="008C7ABE"/>
    <w:rsid w:val="008D4913"/>
    <w:rsid w:val="008D5264"/>
    <w:rsid w:val="008D53C2"/>
    <w:rsid w:val="008D6D6F"/>
    <w:rsid w:val="008D79BB"/>
    <w:rsid w:val="008E118A"/>
    <w:rsid w:val="008E6441"/>
    <w:rsid w:val="0090305F"/>
    <w:rsid w:val="00910C5D"/>
    <w:rsid w:val="0091168A"/>
    <w:rsid w:val="00911EFB"/>
    <w:rsid w:val="009124EF"/>
    <w:rsid w:val="00912F7E"/>
    <w:rsid w:val="009141F4"/>
    <w:rsid w:val="00914CB6"/>
    <w:rsid w:val="00920B15"/>
    <w:rsid w:val="00920C5E"/>
    <w:rsid w:val="00923150"/>
    <w:rsid w:val="00923838"/>
    <w:rsid w:val="0092555C"/>
    <w:rsid w:val="00926F7B"/>
    <w:rsid w:val="00933D22"/>
    <w:rsid w:val="00934084"/>
    <w:rsid w:val="009370DF"/>
    <w:rsid w:val="00941A76"/>
    <w:rsid w:val="009420E4"/>
    <w:rsid w:val="009467B2"/>
    <w:rsid w:val="00947263"/>
    <w:rsid w:val="0095123F"/>
    <w:rsid w:val="0095190A"/>
    <w:rsid w:val="009528E4"/>
    <w:rsid w:val="00955622"/>
    <w:rsid w:val="00957B6D"/>
    <w:rsid w:val="00964F47"/>
    <w:rsid w:val="009650B4"/>
    <w:rsid w:val="00967DDB"/>
    <w:rsid w:val="009719A3"/>
    <w:rsid w:val="00972560"/>
    <w:rsid w:val="0098182C"/>
    <w:rsid w:val="009845D0"/>
    <w:rsid w:val="009923E1"/>
    <w:rsid w:val="00993877"/>
    <w:rsid w:val="00994742"/>
    <w:rsid w:val="00997263"/>
    <w:rsid w:val="009A1798"/>
    <w:rsid w:val="009A194F"/>
    <w:rsid w:val="009A1C0E"/>
    <w:rsid w:val="009A1D78"/>
    <w:rsid w:val="009A55D9"/>
    <w:rsid w:val="009A5810"/>
    <w:rsid w:val="009A6097"/>
    <w:rsid w:val="009B0F40"/>
    <w:rsid w:val="009B2D8F"/>
    <w:rsid w:val="009B37A5"/>
    <w:rsid w:val="009B38A4"/>
    <w:rsid w:val="009B3C4B"/>
    <w:rsid w:val="009B791F"/>
    <w:rsid w:val="009C01B8"/>
    <w:rsid w:val="009C291E"/>
    <w:rsid w:val="009C2AFA"/>
    <w:rsid w:val="009C2EE5"/>
    <w:rsid w:val="009C5AA8"/>
    <w:rsid w:val="009C75E5"/>
    <w:rsid w:val="009C7E79"/>
    <w:rsid w:val="009D2941"/>
    <w:rsid w:val="009D5C5A"/>
    <w:rsid w:val="009E0EA7"/>
    <w:rsid w:val="009E220C"/>
    <w:rsid w:val="009E229B"/>
    <w:rsid w:val="009E7FB4"/>
    <w:rsid w:val="009F1481"/>
    <w:rsid w:val="009F197F"/>
    <w:rsid w:val="009F1DC7"/>
    <w:rsid w:val="009F33DE"/>
    <w:rsid w:val="009F615E"/>
    <w:rsid w:val="009F623C"/>
    <w:rsid w:val="009F7ABD"/>
    <w:rsid w:val="00A01931"/>
    <w:rsid w:val="00A05A43"/>
    <w:rsid w:val="00A10022"/>
    <w:rsid w:val="00A10F5C"/>
    <w:rsid w:val="00A12E93"/>
    <w:rsid w:val="00A14BFB"/>
    <w:rsid w:val="00A157A2"/>
    <w:rsid w:val="00A160B3"/>
    <w:rsid w:val="00A1649F"/>
    <w:rsid w:val="00A202C7"/>
    <w:rsid w:val="00A22CD3"/>
    <w:rsid w:val="00A23227"/>
    <w:rsid w:val="00A23FE4"/>
    <w:rsid w:val="00A25139"/>
    <w:rsid w:val="00A27662"/>
    <w:rsid w:val="00A30828"/>
    <w:rsid w:val="00A317A0"/>
    <w:rsid w:val="00A3285A"/>
    <w:rsid w:val="00A365F3"/>
    <w:rsid w:val="00A37E4D"/>
    <w:rsid w:val="00A428CC"/>
    <w:rsid w:val="00A42B08"/>
    <w:rsid w:val="00A43788"/>
    <w:rsid w:val="00A45E42"/>
    <w:rsid w:val="00A469C5"/>
    <w:rsid w:val="00A513D9"/>
    <w:rsid w:val="00A51BF6"/>
    <w:rsid w:val="00A5359F"/>
    <w:rsid w:val="00A5713E"/>
    <w:rsid w:val="00A601C9"/>
    <w:rsid w:val="00A602DA"/>
    <w:rsid w:val="00A60BCF"/>
    <w:rsid w:val="00A61738"/>
    <w:rsid w:val="00A6361C"/>
    <w:rsid w:val="00A63F75"/>
    <w:rsid w:val="00A6481D"/>
    <w:rsid w:val="00A649DE"/>
    <w:rsid w:val="00A6518F"/>
    <w:rsid w:val="00A657D4"/>
    <w:rsid w:val="00A65861"/>
    <w:rsid w:val="00A712C8"/>
    <w:rsid w:val="00A76508"/>
    <w:rsid w:val="00A774D3"/>
    <w:rsid w:val="00A77770"/>
    <w:rsid w:val="00A8173D"/>
    <w:rsid w:val="00A83433"/>
    <w:rsid w:val="00A84828"/>
    <w:rsid w:val="00A8525C"/>
    <w:rsid w:val="00A85E76"/>
    <w:rsid w:val="00A86D0E"/>
    <w:rsid w:val="00A86EBE"/>
    <w:rsid w:val="00A908A1"/>
    <w:rsid w:val="00A958BA"/>
    <w:rsid w:val="00A96D75"/>
    <w:rsid w:val="00A97EEA"/>
    <w:rsid w:val="00AA00AF"/>
    <w:rsid w:val="00AA038A"/>
    <w:rsid w:val="00AA09AE"/>
    <w:rsid w:val="00AA2CA3"/>
    <w:rsid w:val="00AA4889"/>
    <w:rsid w:val="00AA62F7"/>
    <w:rsid w:val="00AA69EC"/>
    <w:rsid w:val="00AA6DE4"/>
    <w:rsid w:val="00AA73E6"/>
    <w:rsid w:val="00AA74B3"/>
    <w:rsid w:val="00AB2F6B"/>
    <w:rsid w:val="00AB4DB0"/>
    <w:rsid w:val="00AB7509"/>
    <w:rsid w:val="00AC0112"/>
    <w:rsid w:val="00AD1523"/>
    <w:rsid w:val="00AD1652"/>
    <w:rsid w:val="00AD17D2"/>
    <w:rsid w:val="00AD5A02"/>
    <w:rsid w:val="00AE0B2D"/>
    <w:rsid w:val="00AE3FB8"/>
    <w:rsid w:val="00AE5624"/>
    <w:rsid w:val="00AE69FB"/>
    <w:rsid w:val="00AF0395"/>
    <w:rsid w:val="00AF1A68"/>
    <w:rsid w:val="00AF5984"/>
    <w:rsid w:val="00AF5EAD"/>
    <w:rsid w:val="00AF67D5"/>
    <w:rsid w:val="00AF69A9"/>
    <w:rsid w:val="00AF6FF5"/>
    <w:rsid w:val="00AF77E4"/>
    <w:rsid w:val="00B01326"/>
    <w:rsid w:val="00B02DEF"/>
    <w:rsid w:val="00B03454"/>
    <w:rsid w:val="00B0439C"/>
    <w:rsid w:val="00B06B52"/>
    <w:rsid w:val="00B11309"/>
    <w:rsid w:val="00B12DE4"/>
    <w:rsid w:val="00B16398"/>
    <w:rsid w:val="00B16687"/>
    <w:rsid w:val="00B26E8B"/>
    <w:rsid w:val="00B301FC"/>
    <w:rsid w:val="00B30FAA"/>
    <w:rsid w:val="00B3185E"/>
    <w:rsid w:val="00B32226"/>
    <w:rsid w:val="00B33236"/>
    <w:rsid w:val="00B3331D"/>
    <w:rsid w:val="00B33BD4"/>
    <w:rsid w:val="00B4027A"/>
    <w:rsid w:val="00B41C39"/>
    <w:rsid w:val="00B44796"/>
    <w:rsid w:val="00B5063E"/>
    <w:rsid w:val="00B5193F"/>
    <w:rsid w:val="00B5267D"/>
    <w:rsid w:val="00B53083"/>
    <w:rsid w:val="00B56029"/>
    <w:rsid w:val="00B5611B"/>
    <w:rsid w:val="00B5618C"/>
    <w:rsid w:val="00B56FF0"/>
    <w:rsid w:val="00B61D81"/>
    <w:rsid w:val="00B61F42"/>
    <w:rsid w:val="00B62A1D"/>
    <w:rsid w:val="00B6335F"/>
    <w:rsid w:val="00B7534B"/>
    <w:rsid w:val="00B756D4"/>
    <w:rsid w:val="00B75E87"/>
    <w:rsid w:val="00B81D02"/>
    <w:rsid w:val="00B826D9"/>
    <w:rsid w:val="00B83299"/>
    <w:rsid w:val="00B86465"/>
    <w:rsid w:val="00B87845"/>
    <w:rsid w:val="00B910B5"/>
    <w:rsid w:val="00B91BA8"/>
    <w:rsid w:val="00B91DFA"/>
    <w:rsid w:val="00B923BC"/>
    <w:rsid w:val="00B92F1C"/>
    <w:rsid w:val="00B9331E"/>
    <w:rsid w:val="00B93FC9"/>
    <w:rsid w:val="00B9531D"/>
    <w:rsid w:val="00B955B7"/>
    <w:rsid w:val="00B96684"/>
    <w:rsid w:val="00BA0B8B"/>
    <w:rsid w:val="00BA3EA5"/>
    <w:rsid w:val="00BA6C17"/>
    <w:rsid w:val="00BA7187"/>
    <w:rsid w:val="00BA76CE"/>
    <w:rsid w:val="00BB2AE7"/>
    <w:rsid w:val="00BB2F29"/>
    <w:rsid w:val="00BB3AB8"/>
    <w:rsid w:val="00BB4ED9"/>
    <w:rsid w:val="00BB5693"/>
    <w:rsid w:val="00BB5FD1"/>
    <w:rsid w:val="00BB6C1D"/>
    <w:rsid w:val="00BB6FEE"/>
    <w:rsid w:val="00BC106A"/>
    <w:rsid w:val="00BC33AB"/>
    <w:rsid w:val="00BC33CD"/>
    <w:rsid w:val="00BC42A2"/>
    <w:rsid w:val="00BD008D"/>
    <w:rsid w:val="00BD3231"/>
    <w:rsid w:val="00BD324E"/>
    <w:rsid w:val="00BD35CB"/>
    <w:rsid w:val="00BD47A4"/>
    <w:rsid w:val="00BD487F"/>
    <w:rsid w:val="00BE1F9D"/>
    <w:rsid w:val="00BE4B46"/>
    <w:rsid w:val="00BE721C"/>
    <w:rsid w:val="00BE79FF"/>
    <w:rsid w:val="00BF0715"/>
    <w:rsid w:val="00BF2BF7"/>
    <w:rsid w:val="00BF3435"/>
    <w:rsid w:val="00BF3A11"/>
    <w:rsid w:val="00BF3B6E"/>
    <w:rsid w:val="00BF4EC1"/>
    <w:rsid w:val="00BF5137"/>
    <w:rsid w:val="00BF6927"/>
    <w:rsid w:val="00C03433"/>
    <w:rsid w:val="00C06F33"/>
    <w:rsid w:val="00C10A59"/>
    <w:rsid w:val="00C114EF"/>
    <w:rsid w:val="00C1178C"/>
    <w:rsid w:val="00C12B76"/>
    <w:rsid w:val="00C13D5C"/>
    <w:rsid w:val="00C256DC"/>
    <w:rsid w:val="00C26008"/>
    <w:rsid w:val="00C27D0D"/>
    <w:rsid w:val="00C31402"/>
    <w:rsid w:val="00C31E3B"/>
    <w:rsid w:val="00C32C69"/>
    <w:rsid w:val="00C47730"/>
    <w:rsid w:val="00C47C2E"/>
    <w:rsid w:val="00C506BF"/>
    <w:rsid w:val="00C50D76"/>
    <w:rsid w:val="00C52B95"/>
    <w:rsid w:val="00C53343"/>
    <w:rsid w:val="00C620BD"/>
    <w:rsid w:val="00C63E45"/>
    <w:rsid w:val="00C70D89"/>
    <w:rsid w:val="00C72DBA"/>
    <w:rsid w:val="00C7423C"/>
    <w:rsid w:val="00C74802"/>
    <w:rsid w:val="00C74ECE"/>
    <w:rsid w:val="00C75F3F"/>
    <w:rsid w:val="00C807E7"/>
    <w:rsid w:val="00C809F5"/>
    <w:rsid w:val="00C86C2C"/>
    <w:rsid w:val="00C86DCC"/>
    <w:rsid w:val="00C92F06"/>
    <w:rsid w:val="00C94F79"/>
    <w:rsid w:val="00C9515F"/>
    <w:rsid w:val="00C964EB"/>
    <w:rsid w:val="00CA0418"/>
    <w:rsid w:val="00CA4002"/>
    <w:rsid w:val="00CA7143"/>
    <w:rsid w:val="00CA7AC4"/>
    <w:rsid w:val="00CB0BC8"/>
    <w:rsid w:val="00CB2A35"/>
    <w:rsid w:val="00CB58D3"/>
    <w:rsid w:val="00CB697F"/>
    <w:rsid w:val="00CC080E"/>
    <w:rsid w:val="00CC1913"/>
    <w:rsid w:val="00CC1F83"/>
    <w:rsid w:val="00CC29D5"/>
    <w:rsid w:val="00CC2CB0"/>
    <w:rsid w:val="00CD187D"/>
    <w:rsid w:val="00CD2047"/>
    <w:rsid w:val="00CD22C0"/>
    <w:rsid w:val="00CD452A"/>
    <w:rsid w:val="00CD4DE4"/>
    <w:rsid w:val="00CD4FBD"/>
    <w:rsid w:val="00CE0854"/>
    <w:rsid w:val="00CE40A8"/>
    <w:rsid w:val="00CE74C2"/>
    <w:rsid w:val="00CE7BCF"/>
    <w:rsid w:val="00CF0FBD"/>
    <w:rsid w:val="00CF2304"/>
    <w:rsid w:val="00CF3B00"/>
    <w:rsid w:val="00CF400C"/>
    <w:rsid w:val="00CF4786"/>
    <w:rsid w:val="00CF748F"/>
    <w:rsid w:val="00CF7B51"/>
    <w:rsid w:val="00CF7BB7"/>
    <w:rsid w:val="00D011D1"/>
    <w:rsid w:val="00D033D8"/>
    <w:rsid w:val="00D0436E"/>
    <w:rsid w:val="00D04B21"/>
    <w:rsid w:val="00D05D16"/>
    <w:rsid w:val="00D06642"/>
    <w:rsid w:val="00D072F4"/>
    <w:rsid w:val="00D0768E"/>
    <w:rsid w:val="00D0784C"/>
    <w:rsid w:val="00D07A36"/>
    <w:rsid w:val="00D119E4"/>
    <w:rsid w:val="00D11A39"/>
    <w:rsid w:val="00D1220F"/>
    <w:rsid w:val="00D13AA3"/>
    <w:rsid w:val="00D212A8"/>
    <w:rsid w:val="00D255FC"/>
    <w:rsid w:val="00D26F74"/>
    <w:rsid w:val="00D27509"/>
    <w:rsid w:val="00D31354"/>
    <w:rsid w:val="00D31A29"/>
    <w:rsid w:val="00D32DA8"/>
    <w:rsid w:val="00D36F05"/>
    <w:rsid w:val="00D410AA"/>
    <w:rsid w:val="00D4547A"/>
    <w:rsid w:val="00D47E38"/>
    <w:rsid w:val="00D51FBD"/>
    <w:rsid w:val="00D52FE9"/>
    <w:rsid w:val="00D549DE"/>
    <w:rsid w:val="00D54AC1"/>
    <w:rsid w:val="00D54C5F"/>
    <w:rsid w:val="00D569B4"/>
    <w:rsid w:val="00D57062"/>
    <w:rsid w:val="00D5771E"/>
    <w:rsid w:val="00D61FA4"/>
    <w:rsid w:val="00D62B16"/>
    <w:rsid w:val="00D62F83"/>
    <w:rsid w:val="00D66C7D"/>
    <w:rsid w:val="00D67571"/>
    <w:rsid w:val="00D702AA"/>
    <w:rsid w:val="00D73850"/>
    <w:rsid w:val="00D825F9"/>
    <w:rsid w:val="00D85D02"/>
    <w:rsid w:val="00D85F86"/>
    <w:rsid w:val="00D86DF0"/>
    <w:rsid w:val="00D87978"/>
    <w:rsid w:val="00D87A52"/>
    <w:rsid w:val="00D87B15"/>
    <w:rsid w:val="00D94F68"/>
    <w:rsid w:val="00DA1D1C"/>
    <w:rsid w:val="00DA3D9D"/>
    <w:rsid w:val="00DA4009"/>
    <w:rsid w:val="00DA42AE"/>
    <w:rsid w:val="00DA58AC"/>
    <w:rsid w:val="00DB1F0F"/>
    <w:rsid w:val="00DB3109"/>
    <w:rsid w:val="00DB3624"/>
    <w:rsid w:val="00DB7DFA"/>
    <w:rsid w:val="00DC0E28"/>
    <w:rsid w:val="00DC5BF5"/>
    <w:rsid w:val="00DD0AD8"/>
    <w:rsid w:val="00DD3E55"/>
    <w:rsid w:val="00DD5710"/>
    <w:rsid w:val="00DE1CB2"/>
    <w:rsid w:val="00DE44B8"/>
    <w:rsid w:val="00DF1760"/>
    <w:rsid w:val="00DF1A45"/>
    <w:rsid w:val="00DF3AC7"/>
    <w:rsid w:val="00DF5C08"/>
    <w:rsid w:val="00DF691F"/>
    <w:rsid w:val="00E00BB9"/>
    <w:rsid w:val="00E00ECC"/>
    <w:rsid w:val="00E02549"/>
    <w:rsid w:val="00E05422"/>
    <w:rsid w:val="00E1305C"/>
    <w:rsid w:val="00E13A80"/>
    <w:rsid w:val="00E15BE1"/>
    <w:rsid w:val="00E1736B"/>
    <w:rsid w:val="00E210F7"/>
    <w:rsid w:val="00E26D47"/>
    <w:rsid w:val="00E26D56"/>
    <w:rsid w:val="00E31F7D"/>
    <w:rsid w:val="00E32083"/>
    <w:rsid w:val="00E360B2"/>
    <w:rsid w:val="00E37BE5"/>
    <w:rsid w:val="00E4054A"/>
    <w:rsid w:val="00E41371"/>
    <w:rsid w:val="00E41837"/>
    <w:rsid w:val="00E42016"/>
    <w:rsid w:val="00E436BE"/>
    <w:rsid w:val="00E4399D"/>
    <w:rsid w:val="00E43E1D"/>
    <w:rsid w:val="00E44A8E"/>
    <w:rsid w:val="00E44D53"/>
    <w:rsid w:val="00E45299"/>
    <w:rsid w:val="00E456F9"/>
    <w:rsid w:val="00E46527"/>
    <w:rsid w:val="00E500B0"/>
    <w:rsid w:val="00E51775"/>
    <w:rsid w:val="00E56148"/>
    <w:rsid w:val="00E5755C"/>
    <w:rsid w:val="00E576FD"/>
    <w:rsid w:val="00E60BFA"/>
    <w:rsid w:val="00E628BA"/>
    <w:rsid w:val="00E63C92"/>
    <w:rsid w:val="00E63E57"/>
    <w:rsid w:val="00E66CEE"/>
    <w:rsid w:val="00E66E68"/>
    <w:rsid w:val="00E67005"/>
    <w:rsid w:val="00E729BF"/>
    <w:rsid w:val="00E739B8"/>
    <w:rsid w:val="00E762C2"/>
    <w:rsid w:val="00E80353"/>
    <w:rsid w:val="00E81295"/>
    <w:rsid w:val="00E82148"/>
    <w:rsid w:val="00E856D8"/>
    <w:rsid w:val="00E87245"/>
    <w:rsid w:val="00E91241"/>
    <w:rsid w:val="00E9137B"/>
    <w:rsid w:val="00E91F7B"/>
    <w:rsid w:val="00E93B53"/>
    <w:rsid w:val="00E946A2"/>
    <w:rsid w:val="00E95153"/>
    <w:rsid w:val="00E9650E"/>
    <w:rsid w:val="00EA05F5"/>
    <w:rsid w:val="00EA19BF"/>
    <w:rsid w:val="00EB113D"/>
    <w:rsid w:val="00EB1C1D"/>
    <w:rsid w:val="00EB33B5"/>
    <w:rsid w:val="00EB41AD"/>
    <w:rsid w:val="00EB49D7"/>
    <w:rsid w:val="00EB534A"/>
    <w:rsid w:val="00EB5DAA"/>
    <w:rsid w:val="00EC05C2"/>
    <w:rsid w:val="00EC2111"/>
    <w:rsid w:val="00EC5310"/>
    <w:rsid w:val="00EC68A8"/>
    <w:rsid w:val="00EC77A9"/>
    <w:rsid w:val="00EC7D7E"/>
    <w:rsid w:val="00ED0BB9"/>
    <w:rsid w:val="00ED1B3D"/>
    <w:rsid w:val="00ED40E7"/>
    <w:rsid w:val="00ED4662"/>
    <w:rsid w:val="00ED6345"/>
    <w:rsid w:val="00EE0798"/>
    <w:rsid w:val="00EE07B0"/>
    <w:rsid w:val="00EE0890"/>
    <w:rsid w:val="00EE59A6"/>
    <w:rsid w:val="00EE78DE"/>
    <w:rsid w:val="00EF31EF"/>
    <w:rsid w:val="00EF3CA7"/>
    <w:rsid w:val="00EF5883"/>
    <w:rsid w:val="00EF6EF1"/>
    <w:rsid w:val="00EF709F"/>
    <w:rsid w:val="00F02D6D"/>
    <w:rsid w:val="00F03C33"/>
    <w:rsid w:val="00F058D7"/>
    <w:rsid w:val="00F10D1F"/>
    <w:rsid w:val="00F147BE"/>
    <w:rsid w:val="00F153CB"/>
    <w:rsid w:val="00F20D88"/>
    <w:rsid w:val="00F223A6"/>
    <w:rsid w:val="00F23644"/>
    <w:rsid w:val="00F3142D"/>
    <w:rsid w:val="00F32AC9"/>
    <w:rsid w:val="00F34D80"/>
    <w:rsid w:val="00F35FA8"/>
    <w:rsid w:val="00F360C8"/>
    <w:rsid w:val="00F3625D"/>
    <w:rsid w:val="00F365FB"/>
    <w:rsid w:val="00F36D8A"/>
    <w:rsid w:val="00F404D0"/>
    <w:rsid w:val="00F449C4"/>
    <w:rsid w:val="00F4654B"/>
    <w:rsid w:val="00F502E0"/>
    <w:rsid w:val="00F518B9"/>
    <w:rsid w:val="00F52603"/>
    <w:rsid w:val="00F533A5"/>
    <w:rsid w:val="00F534EB"/>
    <w:rsid w:val="00F5539E"/>
    <w:rsid w:val="00F56D13"/>
    <w:rsid w:val="00F570EB"/>
    <w:rsid w:val="00F60006"/>
    <w:rsid w:val="00F61873"/>
    <w:rsid w:val="00F62D97"/>
    <w:rsid w:val="00F62EBF"/>
    <w:rsid w:val="00F676EE"/>
    <w:rsid w:val="00F7097B"/>
    <w:rsid w:val="00F717AA"/>
    <w:rsid w:val="00F725B2"/>
    <w:rsid w:val="00F732C6"/>
    <w:rsid w:val="00F742BD"/>
    <w:rsid w:val="00F74433"/>
    <w:rsid w:val="00F8321F"/>
    <w:rsid w:val="00F84972"/>
    <w:rsid w:val="00F90345"/>
    <w:rsid w:val="00F96950"/>
    <w:rsid w:val="00F96DA1"/>
    <w:rsid w:val="00F9716B"/>
    <w:rsid w:val="00FA13BB"/>
    <w:rsid w:val="00FA1E9D"/>
    <w:rsid w:val="00FA22FB"/>
    <w:rsid w:val="00FA5C74"/>
    <w:rsid w:val="00FA5FBC"/>
    <w:rsid w:val="00FA6DE5"/>
    <w:rsid w:val="00FA7E3B"/>
    <w:rsid w:val="00FB098D"/>
    <w:rsid w:val="00FB359A"/>
    <w:rsid w:val="00FB3CF7"/>
    <w:rsid w:val="00FB5A2C"/>
    <w:rsid w:val="00FC0D84"/>
    <w:rsid w:val="00FC1E54"/>
    <w:rsid w:val="00FC1F12"/>
    <w:rsid w:val="00FC28E3"/>
    <w:rsid w:val="00FC2B23"/>
    <w:rsid w:val="00FC37D6"/>
    <w:rsid w:val="00FC5466"/>
    <w:rsid w:val="00FC6B1F"/>
    <w:rsid w:val="00FC772E"/>
    <w:rsid w:val="00FD05F2"/>
    <w:rsid w:val="00FD5BC7"/>
    <w:rsid w:val="00FD6589"/>
    <w:rsid w:val="00FD7309"/>
    <w:rsid w:val="00FE0285"/>
    <w:rsid w:val="00FE26ED"/>
    <w:rsid w:val="00FE6350"/>
    <w:rsid w:val="00FE728C"/>
    <w:rsid w:val="00FF0250"/>
    <w:rsid w:val="00FF0A8B"/>
    <w:rsid w:val="00FF3A1D"/>
    <w:rsid w:val="00FF63A3"/>
    <w:rsid w:val="00FF740B"/>
    <w:rsid w:val="00FF7A65"/>
    <w:rsid w:val="011D2710"/>
    <w:rsid w:val="0144507E"/>
    <w:rsid w:val="016D455E"/>
    <w:rsid w:val="02FC4086"/>
    <w:rsid w:val="044A58F2"/>
    <w:rsid w:val="05943DE1"/>
    <w:rsid w:val="05F73DAF"/>
    <w:rsid w:val="060F00E9"/>
    <w:rsid w:val="06791482"/>
    <w:rsid w:val="073D2451"/>
    <w:rsid w:val="0748600C"/>
    <w:rsid w:val="0B1A65E0"/>
    <w:rsid w:val="0C707344"/>
    <w:rsid w:val="0D1C336D"/>
    <w:rsid w:val="0D316B96"/>
    <w:rsid w:val="0F0C2C4B"/>
    <w:rsid w:val="10855ECB"/>
    <w:rsid w:val="12252FE6"/>
    <w:rsid w:val="12ED5FD8"/>
    <w:rsid w:val="14855888"/>
    <w:rsid w:val="14ED1815"/>
    <w:rsid w:val="15636F3F"/>
    <w:rsid w:val="16A649DD"/>
    <w:rsid w:val="16CD6B63"/>
    <w:rsid w:val="17E92EF4"/>
    <w:rsid w:val="18053C90"/>
    <w:rsid w:val="18CF2CF7"/>
    <w:rsid w:val="1D0E4A0A"/>
    <w:rsid w:val="1D827470"/>
    <w:rsid w:val="1DA336FF"/>
    <w:rsid w:val="1E0B6F00"/>
    <w:rsid w:val="1E4C17AA"/>
    <w:rsid w:val="1E4C6248"/>
    <w:rsid w:val="1EE955C7"/>
    <w:rsid w:val="1F18206C"/>
    <w:rsid w:val="207A3BA2"/>
    <w:rsid w:val="20E33E1A"/>
    <w:rsid w:val="23D023F4"/>
    <w:rsid w:val="24485707"/>
    <w:rsid w:val="247B54A6"/>
    <w:rsid w:val="24E057D5"/>
    <w:rsid w:val="25330177"/>
    <w:rsid w:val="26BA333F"/>
    <w:rsid w:val="26BD004B"/>
    <w:rsid w:val="291B0A33"/>
    <w:rsid w:val="293E43D0"/>
    <w:rsid w:val="296437F3"/>
    <w:rsid w:val="2AA12D83"/>
    <w:rsid w:val="2B3B711D"/>
    <w:rsid w:val="2C3F2C8B"/>
    <w:rsid w:val="2DB2120C"/>
    <w:rsid w:val="2F840E4E"/>
    <w:rsid w:val="2FBE3CC3"/>
    <w:rsid w:val="2FFF5140"/>
    <w:rsid w:val="32104CEA"/>
    <w:rsid w:val="325A370E"/>
    <w:rsid w:val="332C6F59"/>
    <w:rsid w:val="338840C3"/>
    <w:rsid w:val="33B73CA5"/>
    <w:rsid w:val="34A52EAB"/>
    <w:rsid w:val="365811C4"/>
    <w:rsid w:val="36900B74"/>
    <w:rsid w:val="3CEA4B96"/>
    <w:rsid w:val="3D2A5DFB"/>
    <w:rsid w:val="3E16027D"/>
    <w:rsid w:val="3F0E6319"/>
    <w:rsid w:val="407803FE"/>
    <w:rsid w:val="408E40BE"/>
    <w:rsid w:val="411B16D3"/>
    <w:rsid w:val="41542AF5"/>
    <w:rsid w:val="4281539E"/>
    <w:rsid w:val="43B9037A"/>
    <w:rsid w:val="44906220"/>
    <w:rsid w:val="452130B1"/>
    <w:rsid w:val="453C0257"/>
    <w:rsid w:val="45462E84"/>
    <w:rsid w:val="45A45D6B"/>
    <w:rsid w:val="465F161C"/>
    <w:rsid w:val="47226F44"/>
    <w:rsid w:val="47876DFD"/>
    <w:rsid w:val="486A3700"/>
    <w:rsid w:val="48B34581"/>
    <w:rsid w:val="49357924"/>
    <w:rsid w:val="49BC2511"/>
    <w:rsid w:val="4B751938"/>
    <w:rsid w:val="4B987115"/>
    <w:rsid w:val="4D201D72"/>
    <w:rsid w:val="4DA449D2"/>
    <w:rsid w:val="4E0B2435"/>
    <w:rsid w:val="4FB60E72"/>
    <w:rsid w:val="4FC31A01"/>
    <w:rsid w:val="4FD73701"/>
    <w:rsid w:val="4FDF40C0"/>
    <w:rsid w:val="51490F5C"/>
    <w:rsid w:val="541C5848"/>
    <w:rsid w:val="548240CD"/>
    <w:rsid w:val="58D12E0C"/>
    <w:rsid w:val="5ACC52AF"/>
    <w:rsid w:val="5E642C1E"/>
    <w:rsid w:val="5EB62F90"/>
    <w:rsid w:val="5EBE194A"/>
    <w:rsid w:val="5F4D0561"/>
    <w:rsid w:val="5F544E26"/>
    <w:rsid w:val="5FA76AA8"/>
    <w:rsid w:val="600F0265"/>
    <w:rsid w:val="618D1EA5"/>
    <w:rsid w:val="625F5EAE"/>
    <w:rsid w:val="62A72382"/>
    <w:rsid w:val="64945C45"/>
    <w:rsid w:val="65205E5D"/>
    <w:rsid w:val="658F7C81"/>
    <w:rsid w:val="66846347"/>
    <w:rsid w:val="674A73D2"/>
    <w:rsid w:val="678D19F8"/>
    <w:rsid w:val="68915124"/>
    <w:rsid w:val="69C75862"/>
    <w:rsid w:val="6A4A3C3E"/>
    <w:rsid w:val="6B500652"/>
    <w:rsid w:val="6B5B1630"/>
    <w:rsid w:val="6B6C5EC5"/>
    <w:rsid w:val="6EB13C8E"/>
    <w:rsid w:val="6EDF0EA2"/>
    <w:rsid w:val="6F7D582A"/>
    <w:rsid w:val="707206C4"/>
    <w:rsid w:val="70DE290A"/>
    <w:rsid w:val="724203AC"/>
    <w:rsid w:val="74915697"/>
    <w:rsid w:val="75DF36C4"/>
    <w:rsid w:val="75E24AD6"/>
    <w:rsid w:val="77590E50"/>
    <w:rsid w:val="7931667F"/>
    <w:rsid w:val="796D7E9D"/>
    <w:rsid w:val="7A526262"/>
    <w:rsid w:val="7CA2353B"/>
    <w:rsid w:val="7E521363"/>
    <w:rsid w:val="7E9F2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9"/>
    <w:pPr>
      <w:keepNext/>
      <w:keepLines/>
      <w:jc w:val="center"/>
      <w:outlineLvl w:val="0"/>
    </w:pPr>
    <w:rPr>
      <w:rFonts w:ascii="Times New Roman" w:hAnsi="Times New Roman" w:eastAsia="宋体"/>
      <w:b/>
      <w:bCs/>
      <w:kern w:val="44"/>
      <w:sz w:val="30"/>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5">
    <w:name w:val="List 3"/>
    <w:basedOn w:val="1"/>
    <w:qFormat/>
    <w:uiPriority w:val="0"/>
    <w:pPr>
      <w:spacing w:line="240" w:lineRule="auto"/>
      <w:ind w:left="0" w:leftChars="0" w:firstLine="0" w:firstLineChars="0"/>
      <w:jc w:val="center"/>
    </w:pPr>
    <w:rPr>
      <w:sz w:val="21"/>
    </w:rPr>
  </w:style>
  <w:style w:type="paragraph" w:styleId="6">
    <w:name w:val="Note Heading"/>
    <w:basedOn w:val="1"/>
    <w:next w:val="1"/>
    <w:qFormat/>
    <w:uiPriority w:val="0"/>
    <w:pPr>
      <w:adjustRightInd w:val="0"/>
      <w:spacing w:line="360" w:lineRule="auto"/>
      <w:jc w:val="center"/>
    </w:pPr>
    <w:rPr>
      <w:szCs w:val="24"/>
    </w:rPr>
  </w:style>
  <w:style w:type="paragraph" w:styleId="7">
    <w:name w:val="Normal Indent"/>
    <w:basedOn w:val="1"/>
    <w:qFormat/>
    <w:uiPriority w:val="0"/>
    <w:pPr>
      <w:ind w:firstLine="420"/>
    </w:pPr>
    <w:rPr>
      <w:rFonts w:ascii="Calibri" w:hAnsi="Calibri"/>
      <w:szCs w:val="20"/>
    </w:rPr>
  </w:style>
  <w:style w:type="paragraph" w:styleId="8">
    <w:name w:val="caption"/>
    <w:basedOn w:val="1"/>
    <w:next w:val="1"/>
    <w:qFormat/>
    <w:uiPriority w:val="0"/>
    <w:rPr>
      <w:rFonts w:ascii="Arial" w:hAnsi="Arial" w:eastAsia="黑体"/>
      <w:sz w:val="20"/>
      <w:szCs w:val="20"/>
    </w:rPr>
  </w:style>
  <w:style w:type="paragraph" w:styleId="9">
    <w:name w:val="annotation text"/>
    <w:basedOn w:val="1"/>
    <w:semiHidden/>
    <w:unhideWhenUsed/>
    <w:qFormat/>
    <w:uiPriority w:val="99"/>
    <w:pPr>
      <w:jc w:val="left"/>
    </w:pPr>
  </w:style>
  <w:style w:type="paragraph" w:styleId="10">
    <w:name w:val="Body Text"/>
    <w:basedOn w:val="1"/>
    <w:next w:val="1"/>
    <w:link w:val="44"/>
    <w:semiHidden/>
    <w:unhideWhenUsed/>
    <w:qFormat/>
    <w:uiPriority w:val="99"/>
    <w:pPr>
      <w:spacing w:after="120"/>
    </w:pPr>
  </w:style>
  <w:style w:type="paragraph" w:styleId="11">
    <w:name w:val="Body Text Indent"/>
    <w:basedOn w:val="1"/>
    <w:link w:val="42"/>
    <w:semiHidden/>
    <w:unhideWhenUsed/>
    <w:qFormat/>
    <w:uiPriority w:val="99"/>
    <w:pPr>
      <w:spacing w:after="120"/>
      <w:ind w:left="420" w:leftChars="200"/>
    </w:pPr>
  </w:style>
  <w:style w:type="paragraph" w:styleId="12">
    <w:name w:val="Block Text"/>
    <w:basedOn w:val="1"/>
    <w:qFormat/>
    <w:uiPriority w:val="0"/>
    <w:pPr>
      <w:spacing w:after="120"/>
      <w:ind w:left="1440" w:leftChars="700" w:right="1440" w:rightChars="700"/>
    </w:pPr>
    <w:rPr>
      <w:rFonts w:ascii="Calibri" w:hAnsi="Calibri"/>
      <w:szCs w:val="20"/>
    </w:rPr>
  </w:style>
  <w:style w:type="paragraph" w:styleId="13">
    <w:name w:val="Plain Text"/>
    <w:basedOn w:val="1"/>
    <w:qFormat/>
    <w:uiPriority w:val="0"/>
    <w:pPr>
      <w:widowControl w:val="0"/>
      <w:jc w:val="both"/>
    </w:pPr>
    <w:rPr>
      <w:rFonts w:ascii="宋体" w:hAnsi="Courier New"/>
      <w:kern w:val="2"/>
      <w:sz w:val="28"/>
    </w:rPr>
  </w:style>
  <w:style w:type="paragraph" w:styleId="14">
    <w:name w:val="List Bullet 5"/>
    <w:basedOn w:val="1"/>
    <w:semiHidden/>
    <w:unhideWhenUsed/>
    <w:qFormat/>
    <w:uiPriority w:val="99"/>
    <w:pPr>
      <w:numPr>
        <w:ilvl w:val="0"/>
        <w:numId w:val="1"/>
      </w:numPr>
    </w:pPr>
  </w:style>
  <w:style w:type="paragraph" w:styleId="15">
    <w:name w:val="Balloon Text"/>
    <w:basedOn w:val="1"/>
    <w:link w:val="49"/>
    <w:semiHidden/>
    <w:unhideWhenUsed/>
    <w:qFormat/>
    <w:uiPriority w:val="99"/>
    <w:rPr>
      <w:sz w:val="18"/>
      <w:szCs w:val="18"/>
    </w:rPr>
  </w:style>
  <w:style w:type="paragraph" w:styleId="16">
    <w:name w:val="footer"/>
    <w:basedOn w:val="1"/>
    <w:link w:val="48"/>
    <w:unhideWhenUsed/>
    <w:qFormat/>
    <w:uiPriority w:val="99"/>
    <w:pPr>
      <w:tabs>
        <w:tab w:val="center" w:pos="4153"/>
        <w:tab w:val="right" w:pos="8306"/>
      </w:tabs>
      <w:snapToGrid w:val="0"/>
      <w:jc w:val="left"/>
    </w:pPr>
    <w:rPr>
      <w:sz w:val="18"/>
      <w:szCs w:val="18"/>
    </w:rPr>
  </w:style>
  <w:style w:type="paragraph" w:styleId="17">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index heading"/>
    <w:basedOn w:val="1"/>
    <w:next w:val="20"/>
    <w:unhideWhenUsed/>
    <w:qFormat/>
    <w:uiPriority w:val="99"/>
    <w:rPr>
      <w:szCs w:val="20"/>
    </w:rPr>
  </w:style>
  <w:style w:type="paragraph" w:styleId="20">
    <w:name w:val="index 1"/>
    <w:basedOn w:val="1"/>
    <w:next w:val="1"/>
    <w:unhideWhenUsed/>
    <w:qFormat/>
    <w:uiPriority w:val="99"/>
    <w:pPr>
      <w:jc w:val="center"/>
    </w:pPr>
    <w:rPr>
      <w:szCs w:val="20"/>
    </w:rPr>
  </w:style>
  <w:style w:type="paragraph" w:styleId="21">
    <w:name w:val="List"/>
    <w:basedOn w:val="1"/>
    <w:qFormat/>
    <w:uiPriority w:val="0"/>
    <w:pPr>
      <w:ind w:left="200" w:hanging="200" w:hangingChars="200"/>
    </w:pPr>
  </w:style>
  <w:style w:type="paragraph" w:styleId="22">
    <w:name w:val="Body Text Indent 3"/>
    <w:basedOn w:val="1"/>
    <w:qFormat/>
    <w:uiPriority w:val="0"/>
    <w:pPr>
      <w:spacing w:line="280" w:lineRule="exact"/>
      <w:ind w:left="602" w:hanging="602"/>
    </w:pPr>
    <w:rPr>
      <w:kern w:val="0"/>
      <w:sz w:val="16"/>
      <w:szCs w:val="16"/>
    </w:rPr>
  </w:style>
  <w:style w:type="paragraph" w:styleId="23">
    <w:name w:val="toc 2"/>
    <w:basedOn w:val="1"/>
    <w:next w:val="1"/>
    <w:qFormat/>
    <w:uiPriority w:val="39"/>
    <w:pPr>
      <w:tabs>
        <w:tab w:val="left" w:pos="567"/>
        <w:tab w:val="left" w:pos="630"/>
        <w:tab w:val="right" w:leader="dot" w:pos="8302"/>
      </w:tabs>
      <w:jc w:val="center"/>
    </w:pPr>
    <w:rPr>
      <w:smallCaps/>
      <w:sz w:val="20"/>
      <w:szCs w:val="20"/>
    </w:rPr>
  </w:style>
  <w:style w:type="paragraph" w:styleId="24">
    <w:name w:val="toc 9"/>
    <w:basedOn w:val="1"/>
    <w:next w:val="1"/>
    <w:qFormat/>
    <w:uiPriority w:val="0"/>
    <w:pPr>
      <w:ind w:left="3360" w:leftChars="1600"/>
    </w:pPr>
  </w:style>
  <w:style w:type="paragraph" w:styleId="25">
    <w:name w:val="Body Text 2"/>
    <w:basedOn w:val="1"/>
    <w:qFormat/>
    <w:uiPriority w:val="0"/>
    <w:pPr>
      <w:spacing w:after="120" w:line="480" w:lineRule="auto"/>
    </w:pPr>
  </w:style>
  <w:style w:type="paragraph" w:styleId="26">
    <w:name w:val="Normal (Web)"/>
    <w:basedOn w:val="1"/>
    <w:link w:val="52"/>
    <w:unhideWhenUsed/>
    <w:qFormat/>
    <w:uiPriority w:val="0"/>
    <w:pPr>
      <w:widowControl/>
      <w:jc w:val="left"/>
    </w:pPr>
    <w:rPr>
      <w:rFonts w:ascii="宋体" w:hAnsi="宋体" w:eastAsia="宋体"/>
      <w:b/>
      <w:sz w:val="24"/>
    </w:rPr>
  </w:style>
  <w:style w:type="paragraph" w:styleId="27">
    <w:name w:val="Body Text First Indent"/>
    <w:basedOn w:val="10"/>
    <w:next w:val="1"/>
    <w:link w:val="45"/>
    <w:qFormat/>
    <w:uiPriority w:val="0"/>
    <w:pPr>
      <w:ind w:firstLine="420" w:firstLineChars="100"/>
    </w:pPr>
    <w:rPr>
      <w:rFonts w:ascii="Times New Roman" w:hAnsi="Times New Roman" w:eastAsia="宋体" w:cs="Times New Roman"/>
      <w:szCs w:val="20"/>
    </w:rPr>
  </w:style>
  <w:style w:type="paragraph" w:styleId="28">
    <w:name w:val="Body Text First Indent 2"/>
    <w:basedOn w:val="1"/>
    <w:next w:val="1"/>
    <w:link w:val="43"/>
    <w:qFormat/>
    <w:uiPriority w:val="99"/>
    <w:pPr>
      <w:ind w:firstLine="420" w:firstLineChars="200"/>
    </w:pPr>
    <w:rPr>
      <w:rFonts w:ascii="Times New Roman" w:hAnsi="Times New Roman" w:eastAsia="宋体" w:cs="Times New Roman"/>
      <w:szCs w:val="20"/>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Hyperlink"/>
    <w:qFormat/>
    <w:uiPriority w:val="99"/>
    <w:rPr>
      <w:color w:val="0000FF"/>
      <w:u w:val="single"/>
    </w:rPr>
  </w:style>
  <w:style w:type="character" w:styleId="34">
    <w:name w:val="annotation reference"/>
    <w:basedOn w:val="31"/>
    <w:qFormat/>
    <w:uiPriority w:val="0"/>
    <w:rPr>
      <w:sz w:val="21"/>
      <w:szCs w:val="21"/>
    </w:rPr>
  </w:style>
  <w:style w:type="paragraph" w:customStyle="1" w:styleId="35">
    <w:name w:val="Default"/>
    <w:basedOn w:val="36"/>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36">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7">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8">
    <w:name w:val="标题2"/>
    <w:basedOn w:val="3"/>
    <w:qFormat/>
    <w:uiPriority w:val="0"/>
    <w:pPr>
      <w:tabs>
        <w:tab w:val="left" w:pos="0"/>
      </w:tabs>
      <w:spacing w:line="440" w:lineRule="exact"/>
      <w:ind w:left="1560"/>
    </w:pPr>
    <w:rPr>
      <w:sz w:val="28"/>
    </w:rPr>
  </w:style>
  <w:style w:type="paragraph" w:customStyle="1" w:styleId="39">
    <w:name w:val="样式3"/>
    <w:basedOn w:val="18"/>
    <w:next w:val="40"/>
    <w:qFormat/>
    <w:uiPriority w:val="0"/>
    <w:pPr>
      <w:widowControl/>
      <w:overflowPunct w:val="0"/>
      <w:autoSpaceDE w:val="0"/>
      <w:autoSpaceDN w:val="0"/>
      <w:adjustRightInd w:val="0"/>
      <w:snapToGrid w:val="0"/>
      <w:spacing w:line="360" w:lineRule="auto"/>
      <w:ind w:firstLine="567"/>
      <w:textAlignment w:val="baseline"/>
    </w:pPr>
    <w:rPr>
      <w:rFonts w:ascii="宋体"/>
      <w:spacing w:val="20"/>
      <w:kern w:val="0"/>
      <w:sz w:val="24"/>
      <w:szCs w:val="20"/>
    </w:rPr>
  </w:style>
  <w:style w:type="paragraph" w:customStyle="1" w:styleId="40">
    <w:name w:val="目录 53"/>
    <w:basedOn w:val="1"/>
    <w:next w:val="1"/>
    <w:qFormat/>
    <w:uiPriority w:val="0"/>
    <w:pPr>
      <w:ind w:left="840"/>
    </w:pPr>
    <w:rPr>
      <w:rFonts w:cs="宋体"/>
      <w:color w:val="000000"/>
    </w:rPr>
  </w:style>
  <w:style w:type="character" w:customStyle="1" w:styleId="41">
    <w:name w:val="标题 1 字符"/>
    <w:basedOn w:val="31"/>
    <w:link w:val="2"/>
    <w:qFormat/>
    <w:uiPriority w:val="9"/>
    <w:rPr>
      <w:rFonts w:ascii="Times New Roman" w:hAnsi="Times New Roman" w:eastAsia="宋体"/>
      <w:b/>
      <w:bCs/>
      <w:kern w:val="44"/>
      <w:sz w:val="30"/>
      <w:szCs w:val="44"/>
    </w:rPr>
  </w:style>
  <w:style w:type="character" w:customStyle="1" w:styleId="42">
    <w:name w:val="正文文本缩进 字符"/>
    <w:basedOn w:val="31"/>
    <w:link w:val="11"/>
    <w:semiHidden/>
    <w:qFormat/>
    <w:uiPriority w:val="99"/>
  </w:style>
  <w:style w:type="character" w:customStyle="1" w:styleId="43">
    <w:name w:val="正文文本首行缩进 2 字符"/>
    <w:basedOn w:val="42"/>
    <w:link w:val="28"/>
    <w:qFormat/>
    <w:uiPriority w:val="99"/>
    <w:rPr>
      <w:rFonts w:ascii="Times New Roman" w:hAnsi="Times New Roman" w:eastAsia="宋体" w:cs="Times New Roman"/>
      <w:szCs w:val="20"/>
    </w:rPr>
  </w:style>
  <w:style w:type="character" w:customStyle="1" w:styleId="44">
    <w:name w:val="正文文本 字符"/>
    <w:basedOn w:val="31"/>
    <w:link w:val="10"/>
    <w:semiHidden/>
    <w:qFormat/>
    <w:uiPriority w:val="99"/>
  </w:style>
  <w:style w:type="character" w:customStyle="1" w:styleId="45">
    <w:name w:val="正文文本首行缩进 字符"/>
    <w:basedOn w:val="44"/>
    <w:link w:val="27"/>
    <w:qFormat/>
    <w:uiPriority w:val="0"/>
    <w:rPr>
      <w:rFonts w:ascii="Times New Roman" w:hAnsi="Times New Roman" w:eastAsia="宋体" w:cs="Times New Roman"/>
      <w:szCs w:val="20"/>
    </w:rPr>
  </w:style>
  <w:style w:type="paragraph" w:styleId="46">
    <w:name w:val="List Paragraph"/>
    <w:basedOn w:val="1"/>
    <w:qFormat/>
    <w:uiPriority w:val="34"/>
    <w:pPr>
      <w:ind w:firstLine="420" w:firstLineChars="200"/>
    </w:pPr>
  </w:style>
  <w:style w:type="character" w:customStyle="1" w:styleId="47">
    <w:name w:val="页眉 字符"/>
    <w:basedOn w:val="31"/>
    <w:link w:val="17"/>
    <w:qFormat/>
    <w:uiPriority w:val="99"/>
    <w:rPr>
      <w:sz w:val="18"/>
      <w:szCs w:val="18"/>
    </w:rPr>
  </w:style>
  <w:style w:type="character" w:customStyle="1" w:styleId="48">
    <w:name w:val="页脚 字符"/>
    <w:basedOn w:val="31"/>
    <w:link w:val="16"/>
    <w:qFormat/>
    <w:uiPriority w:val="99"/>
    <w:rPr>
      <w:sz w:val="18"/>
      <w:szCs w:val="18"/>
    </w:rPr>
  </w:style>
  <w:style w:type="character" w:customStyle="1" w:styleId="49">
    <w:name w:val="批注框文本 字符"/>
    <w:basedOn w:val="31"/>
    <w:link w:val="15"/>
    <w:semiHidden/>
    <w:qFormat/>
    <w:uiPriority w:val="99"/>
    <w:rPr>
      <w:sz w:val="18"/>
      <w:szCs w:val="18"/>
    </w:rPr>
  </w:style>
  <w:style w:type="paragraph" w:customStyle="1" w:styleId="50">
    <w:name w:val="表格"/>
    <w:basedOn w:val="1"/>
    <w:next w:val="1"/>
    <w:link w:val="51"/>
    <w:qFormat/>
    <w:uiPriority w:val="0"/>
    <w:pPr>
      <w:adjustRightInd w:val="0"/>
      <w:snapToGrid w:val="0"/>
      <w:spacing w:beforeLines="10" w:afterLines="10" w:line="259" w:lineRule="auto"/>
      <w:ind w:firstLine="420" w:firstLineChars="200"/>
      <w:jc w:val="center"/>
      <w:textAlignment w:val="baseline"/>
    </w:pPr>
    <w:rPr>
      <w:rFonts w:ascii="宋体" w:hAnsi="Times New Roman" w:eastAsia="黑体" w:cs="Times New Roman"/>
      <w:spacing w:val="-10"/>
      <w:kern w:val="0"/>
      <w:sz w:val="24"/>
      <w:szCs w:val="20"/>
    </w:rPr>
  </w:style>
  <w:style w:type="character" w:customStyle="1" w:styleId="51">
    <w:name w:val="表格 Char"/>
    <w:link w:val="50"/>
    <w:qFormat/>
    <w:locked/>
    <w:uiPriority w:val="0"/>
    <w:rPr>
      <w:rFonts w:ascii="宋体" w:hAnsi="Times New Roman" w:eastAsia="黑体" w:cs="Times New Roman"/>
      <w:spacing w:val="-10"/>
      <w:kern w:val="0"/>
      <w:sz w:val="24"/>
      <w:szCs w:val="20"/>
    </w:rPr>
  </w:style>
  <w:style w:type="character" w:customStyle="1" w:styleId="52">
    <w:name w:val="普通(网站) 字符"/>
    <w:link w:val="26"/>
    <w:qFormat/>
    <w:locked/>
    <w:uiPriority w:val="0"/>
    <w:rPr>
      <w:rFonts w:ascii="宋体" w:hAnsi="宋体" w:eastAsia="宋体"/>
      <w:b/>
      <w:sz w:val="24"/>
    </w:rPr>
  </w:style>
  <w:style w:type="character" w:customStyle="1" w:styleId="53">
    <w:name w:val="表格文字 Char"/>
    <w:link w:val="54"/>
    <w:qFormat/>
    <w:uiPriority w:val="0"/>
    <w:rPr>
      <w:kern w:val="24"/>
      <w:sz w:val="24"/>
    </w:rPr>
  </w:style>
  <w:style w:type="paragraph" w:customStyle="1" w:styleId="54">
    <w:name w:val="表格文字"/>
    <w:link w:val="53"/>
    <w:qFormat/>
    <w:uiPriority w:val="0"/>
    <w:pPr>
      <w:adjustRightInd w:val="0"/>
      <w:snapToGrid w:val="0"/>
      <w:jc w:val="center"/>
    </w:pPr>
    <w:rPr>
      <w:rFonts w:asciiTheme="minorHAnsi" w:hAnsiTheme="minorHAnsi" w:eastAsiaTheme="minorEastAsia" w:cstheme="minorBidi"/>
      <w:kern w:val="24"/>
      <w:sz w:val="24"/>
      <w:szCs w:val="22"/>
      <w:lang w:val="en-US" w:eastAsia="zh-CN" w:bidi="ar-SA"/>
    </w:rPr>
  </w:style>
  <w:style w:type="paragraph" w:customStyle="1" w:styleId="55">
    <w:name w:val="表格内容"/>
    <w:basedOn w:val="1"/>
    <w:next w:val="1"/>
    <w:qFormat/>
    <w:uiPriority w:val="0"/>
    <w:pPr>
      <w:jc w:val="center"/>
    </w:pPr>
    <w:rPr>
      <w:szCs w:val="21"/>
    </w:rPr>
  </w:style>
  <w:style w:type="paragraph" w:customStyle="1" w:styleId="56">
    <w:name w:val="Table Paragraph"/>
    <w:basedOn w:val="1"/>
    <w:qFormat/>
    <w:uiPriority w:val="1"/>
  </w:style>
  <w:style w:type="paragraph" w:customStyle="1" w:styleId="57">
    <w:name w:val="正文zy"/>
    <w:basedOn w:val="1"/>
    <w:qFormat/>
    <w:uiPriority w:val="0"/>
    <w:pPr>
      <w:snapToGrid w:val="0"/>
      <w:spacing w:line="360" w:lineRule="auto"/>
      <w:ind w:firstLine="480" w:firstLineChars="200"/>
    </w:pPr>
    <w:rPr>
      <w:color w:val="000000"/>
      <w:kern w:val="2"/>
    </w:rPr>
  </w:style>
  <w:style w:type="character" w:customStyle="1" w:styleId="58">
    <w:name w:val="font21"/>
    <w:basedOn w:val="31"/>
    <w:qFormat/>
    <w:uiPriority w:val="0"/>
    <w:rPr>
      <w:rFonts w:hint="eastAsia" w:ascii="宋体" w:hAnsi="宋体" w:eastAsia="宋体" w:cs="宋体"/>
      <w:color w:val="000000"/>
      <w:sz w:val="21"/>
      <w:szCs w:val="21"/>
      <w:u w:val="none"/>
    </w:rPr>
  </w:style>
  <w:style w:type="paragraph" w:customStyle="1" w:styleId="59">
    <w:name w:val="0正文"/>
    <w:basedOn w:val="1"/>
    <w:qFormat/>
    <w:uiPriority w:val="0"/>
    <w:pPr>
      <w:spacing w:line="360" w:lineRule="auto"/>
      <w:ind w:firstLine="200" w:firstLineChars="200"/>
    </w:pPr>
    <w:rPr>
      <w:kern w:val="0"/>
      <w:sz w:val="24"/>
      <w:szCs w:val="22"/>
      <w:lang w:eastAsia="en-US"/>
    </w:rPr>
  </w:style>
  <w:style w:type="paragraph" w:customStyle="1" w:styleId="60">
    <w:name w:val="表"/>
    <w:basedOn w:val="1"/>
    <w:qFormat/>
    <w:uiPriority w:val="0"/>
    <w:pPr>
      <w:keepNext/>
      <w:keepLines/>
      <w:adjustRightInd w:val="0"/>
      <w:spacing w:before="60"/>
      <w:jc w:val="center"/>
    </w:pPr>
    <w:rPr>
      <w:rFonts w:ascii="Calibri" w:hAnsi="Calibri" w:eastAsia="仿宋_GB2312"/>
      <w:kern w:val="21"/>
      <w:sz w:val="24"/>
      <w:szCs w:val="20"/>
    </w:rPr>
  </w:style>
  <w:style w:type="paragraph" w:customStyle="1" w:styleId="61">
    <w:name w:val="表格标题"/>
    <w:basedOn w:val="1"/>
    <w:qFormat/>
    <w:uiPriority w:val="0"/>
    <w:pPr>
      <w:ind w:firstLine="0" w:firstLineChars="0"/>
      <w:jc w:val="center"/>
    </w:pPr>
    <w:rPr>
      <w:b/>
      <w:szCs w:val="24"/>
    </w:rPr>
  </w:style>
  <w:style w:type="paragraph" w:customStyle="1" w:styleId="62">
    <w:name w:val="1正文"/>
    <w:basedOn w:val="1"/>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63">
    <w:name w:val="D正文"/>
    <w:basedOn w:val="64"/>
    <w:qFormat/>
    <w:uiPriority w:val="0"/>
    <w:pPr>
      <w:spacing w:line="360" w:lineRule="auto"/>
      <w:ind w:firstLine="480"/>
      <w:jc w:val="both"/>
    </w:pPr>
    <w:rPr>
      <w:rFonts w:hAnsi="宋体"/>
      <w:kern w:val="2"/>
      <w:szCs w:val="24"/>
    </w:rPr>
  </w:style>
  <w:style w:type="paragraph" w:customStyle="1" w:styleId="64">
    <w:name w:val="正文对的"/>
    <w:basedOn w:val="13"/>
    <w:qFormat/>
    <w:uiPriority w:val="0"/>
    <w:pPr>
      <w:spacing w:line="500" w:lineRule="exact"/>
      <w:ind w:firstLine="200" w:firstLineChars="200"/>
    </w:pPr>
    <w:rPr>
      <w:rFonts w:hAnsi="宋体"/>
      <w:kern w:val="2"/>
      <w:sz w:val="24"/>
      <w:szCs w:val="24"/>
    </w:rPr>
  </w:style>
  <w:style w:type="paragraph" w:customStyle="1" w:styleId="65">
    <w:name w:val="陈正文"/>
    <w:basedOn w:val="1"/>
    <w:next w:val="1"/>
    <w:qFormat/>
    <w:uiPriority w:val="0"/>
    <w:pPr>
      <w:adjustRightInd w:val="0"/>
      <w:snapToGrid w:val="0"/>
      <w:spacing w:line="360" w:lineRule="auto"/>
      <w:ind w:firstLine="720" w:firstLineChars="200"/>
      <w:jc w:val="left"/>
    </w:pPr>
    <w:rPr>
      <w:kern w:val="0"/>
      <w:szCs w:val="20"/>
    </w:rPr>
  </w:style>
  <w:style w:type="paragraph" w:customStyle="1" w:styleId="66">
    <w:name w:val="正本文字"/>
    <w:basedOn w:val="1"/>
    <w:qFormat/>
    <w:uiPriority w:val="0"/>
    <w:pPr>
      <w:adjustRightInd w:val="0"/>
      <w:snapToGrid w:val="0"/>
      <w:spacing w:line="360" w:lineRule="auto"/>
      <w:ind w:firstLine="200" w:firstLineChars="200"/>
      <w:jc w:val="left"/>
    </w:pPr>
    <w:rPr>
      <w:kern w:val="18"/>
      <w:sz w:val="24"/>
    </w:rPr>
  </w:style>
  <w:style w:type="paragraph" w:customStyle="1" w:styleId="67">
    <w:name w:val="表格普通"/>
    <w:basedOn w:val="1"/>
    <w:qFormat/>
    <w:uiPriority w:val="0"/>
    <w:pPr>
      <w:jc w:val="center"/>
    </w:pPr>
    <w:rPr>
      <w:rFonts w:eastAsia="仿宋_GB2312"/>
    </w:rPr>
  </w:style>
  <w:style w:type="paragraph" w:customStyle="1" w:styleId="68">
    <w:name w:val="111正文"/>
    <w:basedOn w:val="1"/>
    <w:qFormat/>
    <w:uiPriority w:val="0"/>
    <w:pPr>
      <w:tabs>
        <w:tab w:val="left" w:pos="600"/>
      </w:tabs>
      <w:spacing w:line="360" w:lineRule="auto"/>
      <w:ind w:firstLine="200" w:firstLineChars="200"/>
    </w:pPr>
    <w:rPr>
      <w:kern w:val="0"/>
      <w:sz w:val="24"/>
      <w:szCs w:val="22"/>
    </w:rPr>
  </w:style>
  <w:style w:type="paragraph" w:customStyle="1" w:styleId="69">
    <w:name w:val="0000"/>
    <w:basedOn w:val="1"/>
    <w:qFormat/>
    <w:uiPriority w:val="0"/>
    <w:pPr>
      <w:adjustRightInd w:val="0"/>
      <w:snapToGrid w:val="0"/>
    </w:pPr>
    <w:rPr>
      <w:rFonts w:hint="eastAsia"/>
      <w:sz w:val="24"/>
      <w:lang w:val="zh-TW"/>
    </w:rPr>
  </w:style>
  <w:style w:type="paragraph" w:customStyle="1" w:styleId="70">
    <w:name w:val="环正文"/>
    <w:basedOn w:val="1"/>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71">
    <w:name w:val="apple-style-span"/>
    <w:qFormat/>
    <w:uiPriority w:val="0"/>
  </w:style>
  <w:style w:type="paragraph" w:customStyle="1" w:styleId="72">
    <w:name w:val="二级无标题条"/>
    <w:basedOn w:val="1"/>
    <w:qFormat/>
    <w:uiPriority w:val="0"/>
  </w:style>
  <w:style w:type="paragraph" w:customStyle="1" w:styleId="73">
    <w:name w:val="报告表正文"/>
    <w:basedOn w:val="74"/>
    <w:qFormat/>
    <w:uiPriority w:val="0"/>
    <w:pPr>
      <w:ind w:firstLine="200" w:firstLineChars="200"/>
      <w:jc w:val="left"/>
    </w:pPr>
    <w:rPr>
      <w:rFonts w:ascii="Times New Roman" w:hAnsi="Times New Roman"/>
      <w:szCs w:val="24"/>
    </w:rPr>
  </w:style>
  <w:style w:type="paragraph" w:customStyle="1" w:styleId="74">
    <w:name w:val="列表1"/>
    <w:basedOn w:val="1"/>
    <w:qFormat/>
    <w:uiPriority w:val="0"/>
    <w:pPr>
      <w:spacing w:line="400" w:lineRule="exact"/>
      <w:jc w:val="center"/>
    </w:pPr>
    <w:rPr>
      <w:rFonts w:ascii="宋体" w:hAnsi="宋体" w:eastAsia="仿宋_GB2312"/>
      <w:sz w:val="24"/>
      <w:szCs w:val="20"/>
    </w:rPr>
  </w:style>
  <w:style w:type="paragraph" w:customStyle="1" w:styleId="75">
    <w:name w:val="表格式"/>
    <w:basedOn w:val="21"/>
    <w:qFormat/>
    <w:uiPriority w:val="0"/>
    <w:pPr>
      <w:spacing w:before="156" w:beforeLines="50" w:after="156" w:afterLines="50" w:line="200" w:lineRule="exact"/>
      <w:ind w:left="0" w:firstLine="0" w:firstLineChars="0"/>
      <w:jc w:val="center"/>
    </w:pPr>
    <w:rPr>
      <w:szCs w:val="20"/>
    </w:rPr>
  </w:style>
  <w:style w:type="paragraph" w:customStyle="1" w:styleId="76">
    <w:name w:val="Table Text"/>
    <w:basedOn w:val="1"/>
    <w:semiHidden/>
    <w:qFormat/>
    <w:uiPriority w:val="0"/>
    <w:rPr>
      <w:rFonts w:ascii="宋体" w:hAnsi="宋体" w:cs="宋体"/>
      <w:sz w:val="24"/>
      <w:lang w:eastAsia="en-US"/>
    </w:rPr>
  </w:style>
  <w:style w:type="table" w:customStyle="1" w:styleId="77">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86</Pages>
  <Words>138</Words>
  <Characters>171</Characters>
  <Lines>370</Lines>
  <Paragraphs>104</Paragraphs>
  <TotalTime>0</TotalTime>
  <ScaleCrop>false</ScaleCrop>
  <LinksUpToDate>false</LinksUpToDate>
  <CharactersWithSpaces>222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2023-09-13T02:21:00Z</dcterms:created>
  <dc:creator>China</dc:creator>
  <cp:lastModifiedBy>球球</cp:lastModifiedBy>
  <cp:lastPrinted>2023-12-25T01:42:00Z</cp:lastPrinted>
  <dcterms:modified xsi:type="dcterms:W3CDTF">2026-01-09T06:33:13Z</dcterms:modified>
  <cp:revision>2180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FCE96895B78B4ECE8B669366392FFF59_13</vt:lpwstr>
  </property>
  <property fmtid="{D5CDD505-2E9C-101B-9397-08002B2CF9AE}" pid="4" name="KSOTemplateDocerSaveRecord">
    <vt:lpwstr>eyJoZGlkIjoiYWZhMzA0MTE2MGQ3ODcwOTgyMWY3NzY0ZDhkYzQxODciLCJ1c2VySWQiOiIzODk2NzQyOTcifQ==</vt:lpwstr>
  </property>
</Properties>
</file>